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 </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001-36189 </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p>
      <w:pPr>
        <w:pStyle w:val="TextBody"/>
        <w:bidi w:val="0"/>
        <w:spacing w:lineRule="auto" w:line="288" w:before="80" w:after="283"/>
        <w:jc w:val="center"/>
        <w:rPr>
          <w:rFonts w:ascii="Times New Roman;serif" w:hAnsi="Times New Roman;serif"/>
          <w:b/>
          <w:color w:val="000000"/>
          <w:sz w:val="40"/>
        </w:rPr>
      </w:pPr>
      <w:r>
        <w:rPr>
          <w:rFonts w:ascii="Times New Roman;serif" w:hAnsi="Times New Roman;serif"/>
          <w:b/>
          <w:color w:val="000000"/>
          <w:sz w:val="40"/>
        </w:rPr>
        <w:t xml:space="preserve">Tandem Diabetes Care,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tbl>
      <w:tblPr>
        <w:tblW w:w="4736"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20-4327508</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12400 High Bluff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San Diego,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(858) 366-6900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277" w:type="dxa"/>
        <w:jc w:val="left"/>
        <w:tblInd w:w="0" w:type="dxa"/>
        <w:tblLayout w:type="fixed"/>
        <w:tblCellMar>
          <w:top w:w="28" w:type="dxa"/>
          <w:left w:w="28" w:type="dxa"/>
          <w:bottom w:w="28" w:type="dxa"/>
          <w:right w:w="28" w:type="dxa"/>
        </w:tblCellMar>
      </w:tblPr>
      <w:tblGrid>
        <w:gridCol w:w="1358"/>
        <w:gridCol w:w="1199"/>
        <w:gridCol w:w="1207"/>
        <w:gridCol w:w="484"/>
        <w:gridCol w:w="484"/>
        <w:gridCol w:w="486"/>
        <w:gridCol w:w="895"/>
        <w:gridCol w:w="895"/>
        <w:gridCol w:w="1269"/>
      </w:tblGrid>
      <w:tr>
        <w:trPr/>
        <w:tc>
          <w:tcPr>
            <w:tcW w:w="135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TNDM</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Yes  ☐    No   </w:t>
      </w:r>
      <w:r>
        <w:rPr>
          <w:color w:val="000000"/>
        </w:rPr>
        <w:t>☒</w:t>
      </w:r>
    </w:p>
    <w:p>
      <w:pPr>
        <w:pStyle w:val="TextBody"/>
        <w:bidi w:val="0"/>
        <w:spacing w:lineRule="auto" w:line="240" w:before="80" w:after="283"/>
        <w:ind w:left="0" w:right="0" w:firstLine="900"/>
        <w:jc w:val="left"/>
        <w:rPr>
          <w:rFonts w:ascii="Times New Roman;serif" w:hAnsi="Times New Roman;serif"/>
          <w:b w:val="false"/>
          <w:color w:val="000000"/>
          <w:sz w:val="16"/>
        </w:rPr>
      </w:pPr>
      <w:r>
        <w:rPr>
          <w:rFonts w:ascii="Times New Roman;serif" w:hAnsi="Times New Roman;serif"/>
          <w:b w:val="false"/>
          <w:color w:val="000000"/>
          <w:sz w:val="16"/>
        </w:rPr>
        <w:t>As of November 4, 2025, there were 67,802,359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43"/>
        <w:gridCol w:w="215"/>
        <w:gridCol w:w="216"/>
        <w:gridCol w:w="3117"/>
        <w:gridCol w:w="3014"/>
        <w:gridCol w:w="3024"/>
        <w:gridCol w:w="109"/>
        <w:gridCol w:w="109"/>
        <w:gridCol w:w="158"/>
      </w:tblGrid>
      <w:tr>
        <w:trPr/>
        <w:tc>
          <w:tcPr>
            <w:tcW w:w="2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25">
              <w:r>
                <w:rPr>
                  <w:rStyle w:val="InternetLink"/>
                  <w:rFonts w:ascii="Times New Roman;serif" w:hAnsi="Times New Roman;serif"/>
                  <w:b w:val="false"/>
                  <w:color w:val="0000FF"/>
                  <w:sz w:val="20"/>
                  <w:u w:val="single"/>
                </w:rPr>
                <w:t>1</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64">
              <w:r>
                <w:rPr>
                  <w:rStyle w:val="InternetLink"/>
                  <w:rFonts w:ascii="Times New Roman;serif" w:hAnsi="Times New Roman;serif"/>
                  <w:b w:val="false"/>
                  <w:color w:val="0000FF"/>
                  <w:sz w:val="20"/>
                  <w:u w:val="single"/>
                </w:rPr>
                <w:t>1</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at September 30, 2025 (Unaudited) and December 31, 2024</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97">
              <w:r>
                <w:rPr>
                  <w:rStyle w:val="InternetLink"/>
                  <w:rFonts w:ascii="Times New Roman;serif" w:hAnsi="Times New Roman;serif"/>
                  <w:b w:val="false"/>
                  <w:color w:val="0000FF"/>
                  <w:sz w:val="20"/>
                  <w:u w:val="single"/>
                </w:rPr>
                <w:t>1</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Loss for the Three and Nine Months Ended September 30, 2025 and 2024 (Unaudited)</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100">
              <w:r>
                <w:rPr>
                  <w:rStyle w:val="InternetLink"/>
                  <w:rFonts w:ascii="Times New Roman;serif" w:hAnsi="Times New Roman;serif"/>
                  <w:b w:val="false"/>
                  <w:color w:val="0000FF"/>
                  <w:sz w:val="20"/>
                  <w:u w:val="single"/>
                </w:rPr>
                <w:t>2</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for the Three and Nine Months Ended September 30, 2025 and 2024 (Unaudited)</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106">
              <w:r>
                <w:rPr>
                  <w:rStyle w:val="InternetLink"/>
                  <w:rFonts w:ascii="Times New Roman;serif" w:hAnsi="Times New Roman;serif"/>
                  <w:b w:val="false"/>
                  <w:color w:val="0000FF"/>
                  <w:sz w:val="20"/>
                  <w:u w:val="single"/>
                </w:rPr>
                <w:t>3</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for the Nine Months Ended September 30, 2025 and 2024 (Unaudited)</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118">
              <w:r>
                <w:rPr>
                  <w:rStyle w:val="InternetLink"/>
                  <w:rFonts w:ascii="Times New Roman;serif" w:hAnsi="Times New Roman;serif"/>
                  <w:b w:val="false"/>
                  <w:color w:val="0000FF"/>
                  <w:sz w:val="20"/>
                  <w:u w:val="single"/>
                </w:rPr>
                <w:t>5</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Unaudited Condensed Consolidated Financial Statements</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121">
              <w:r>
                <w:rPr>
                  <w:rStyle w:val="InternetLink"/>
                  <w:rFonts w:ascii="Times New Roman;serif" w:hAnsi="Times New Roman;serif"/>
                  <w:b w:val="false"/>
                  <w:color w:val="0000FF"/>
                  <w:sz w:val="20"/>
                  <w:u w:val="single"/>
                </w:rPr>
                <w:t>6</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394">
              <w:r>
                <w:rPr>
                  <w:rStyle w:val="InternetLink"/>
                  <w:rFonts w:ascii="Times New Roman;serif" w:hAnsi="Times New Roman;serif"/>
                  <w:b w:val="false"/>
                  <w:color w:val="0000FF"/>
                  <w:sz w:val="20"/>
                  <w:u w:val="single"/>
                </w:rPr>
                <w:t>24</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9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454">
              <w:r>
                <w:rPr>
                  <w:rStyle w:val="InternetLink"/>
                  <w:rFonts w:ascii="Times New Roman;serif" w:hAnsi="Times New Roman;serif"/>
                  <w:b w:val="false"/>
                  <w:color w:val="0000FF"/>
                  <w:sz w:val="20"/>
                  <w:u w:val="single"/>
                </w:rPr>
                <w:t>36</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9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460">
              <w:r>
                <w:rPr>
                  <w:rStyle w:val="InternetLink"/>
                  <w:rFonts w:ascii="Times New Roman;serif" w:hAnsi="Times New Roman;serif"/>
                  <w:b w:val="false"/>
                  <w:color w:val="0000FF"/>
                  <w:sz w:val="20"/>
                  <w:u w:val="single"/>
                </w:rPr>
                <w:t>36</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481">
              <w:r>
                <w:rPr>
                  <w:rStyle w:val="InternetLink"/>
                  <w:rFonts w:ascii="Times New Roman;serif" w:hAnsi="Times New Roman;serif"/>
                  <w:b w:val="false"/>
                  <w:color w:val="0000FF"/>
                  <w:sz w:val="20"/>
                  <w:u w:val="single"/>
                </w:rPr>
                <w:t>37</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484">
              <w:r>
                <w:rPr>
                  <w:rStyle w:val="InternetLink"/>
                  <w:rFonts w:ascii="Times New Roman;serif" w:hAnsi="Times New Roman;serif"/>
                  <w:b w:val="false"/>
                  <w:color w:val="0000FF"/>
                  <w:sz w:val="20"/>
                  <w:u w:val="single"/>
                </w:rPr>
                <w:t>37</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9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487">
              <w:r>
                <w:rPr>
                  <w:rStyle w:val="InternetLink"/>
                  <w:rFonts w:ascii="Times New Roman;serif" w:hAnsi="Times New Roman;serif"/>
                  <w:b w:val="false"/>
                  <w:color w:val="0000FF"/>
                  <w:sz w:val="20"/>
                  <w:u w:val="single"/>
                </w:rPr>
                <w:t>37</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520">
              <w:r>
                <w:rPr>
                  <w:rStyle w:val="InternetLink"/>
                  <w:rFonts w:ascii="Times New Roman;serif" w:hAnsi="Times New Roman;serif"/>
                  <w:b w:val="false"/>
                  <w:color w:val="0000FF"/>
                  <w:sz w:val="20"/>
                  <w:u w:val="single"/>
                </w:rPr>
                <w:t>74</w:t>
              </w:r>
            </w:hyperlink>
          </w:p>
        </w:tc>
      </w:tr>
      <w:tr>
        <w:trPr/>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9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523">
              <w:r>
                <w:rPr>
                  <w:rStyle w:val="InternetLink"/>
                  <w:rFonts w:ascii="Times New Roman;serif" w:hAnsi="Times New Roman;serif"/>
                  <w:b w:val="false"/>
                  <w:color w:val="0000FF"/>
                  <w:sz w:val="20"/>
                  <w:u w:val="single"/>
                </w:rPr>
                <w:t>75</w:t>
              </w:r>
            </w:hyperlink>
          </w:p>
        </w:tc>
      </w:tr>
      <w:tr>
        <w:trPr/>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9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d48ee9c3faa40d38196d1bf0807b677_529">
              <w:r>
                <w:rPr>
                  <w:rStyle w:val="InternetLink"/>
                  <w:rFonts w:ascii="Times New Roman;serif" w:hAnsi="Times New Roman;serif"/>
                  <w:b w:val="false"/>
                  <w:color w:val="0000FF"/>
                  <w:sz w:val="20"/>
                  <w:u w:val="single"/>
                </w:rPr>
                <w:t>76</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tbl>
      <w:tblPr>
        <w:tblW w:w="10205" w:type="dxa"/>
        <w:jc w:val="center"/>
        <w:tblInd w:w="0" w:type="dxa"/>
        <w:tblLayout w:type="fixed"/>
        <w:tblCellMar>
          <w:top w:w="28" w:type="dxa"/>
          <w:left w:w="28" w:type="dxa"/>
          <w:bottom w:w="28" w:type="dxa"/>
          <w:right w:w="28" w:type="dxa"/>
        </w:tblCellMar>
      </w:tblPr>
      <w:tblGrid>
        <w:gridCol w:w="2886"/>
        <w:gridCol w:w="2234"/>
        <w:gridCol w:w="2190"/>
        <w:gridCol w:w="109"/>
        <w:gridCol w:w="109"/>
        <w:gridCol w:w="211"/>
        <w:gridCol w:w="831"/>
        <w:gridCol w:w="109"/>
        <w:gridCol w:w="109"/>
        <w:gridCol w:w="109"/>
        <w:gridCol w:w="109"/>
        <w:gridCol w:w="211"/>
        <w:gridCol w:w="831"/>
        <w:gridCol w:w="157"/>
      </w:tblGrid>
      <w:tr>
        <w:trPr/>
        <w:tc>
          <w:tcPr>
            <w:tcW w:w="2886"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 1)</w:t>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convertible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704,560 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200,000 shares authorized, 67,773 and 66,264 shares issued and outstanding at September 30, 2025 and December 31,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967,658 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604"/>
        <w:gridCol w:w="1323"/>
        <w:gridCol w:w="1192"/>
        <w:gridCol w:w="223"/>
        <w:gridCol w:w="873"/>
        <w:gridCol w:w="115"/>
        <w:gridCol w:w="115"/>
        <w:gridCol w:w="115"/>
        <w:gridCol w:w="115"/>
        <w:gridCol w:w="223"/>
        <w:gridCol w:w="873"/>
        <w:gridCol w:w="115"/>
        <w:gridCol w:w="109"/>
        <w:gridCol w:w="109"/>
        <w:gridCol w:w="109"/>
        <w:gridCol w:w="215"/>
        <w:gridCol w:w="894"/>
        <w:gridCol w:w="111"/>
        <w:gridCol w:w="111"/>
        <w:gridCol w:w="111"/>
        <w:gridCol w:w="111"/>
        <w:gridCol w:w="215"/>
        <w:gridCol w:w="844"/>
        <w:gridCol w:w="111"/>
        <w:gridCol w:w="109"/>
        <w:gridCol w:w="160"/>
      </w:tblGrid>
      <w:tr>
        <w:trPr/>
        <w:tc>
          <w:tcPr>
            <w:tcW w:w="16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expenses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157,155 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(195,551)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basic and diluted net loss per share</w:t>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67,652 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65,538 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67,040 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65,287 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Three Months Ended September 30, 2025</w:t>
      </w:r>
    </w:p>
    <w:tbl>
      <w:tblPr>
        <w:tblW w:w="10205" w:type="dxa"/>
        <w:jc w:val="center"/>
        <w:tblInd w:w="0" w:type="dxa"/>
        <w:tblLayout w:type="fixed"/>
        <w:tblCellMar>
          <w:top w:w="28" w:type="dxa"/>
          <w:left w:w="28" w:type="dxa"/>
          <w:bottom w:w="28" w:type="dxa"/>
          <w:right w:w="28" w:type="dxa"/>
        </w:tblCellMar>
      </w:tblPr>
      <w:tblGrid>
        <w:gridCol w:w="1016"/>
        <w:gridCol w:w="620"/>
        <w:gridCol w:w="626"/>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9"/>
        <w:gridCol w:w="794"/>
        <w:gridCol w:w="156"/>
        <w:gridCol w:w="109"/>
        <w:gridCol w:w="109"/>
        <w:gridCol w:w="109"/>
        <w:gridCol w:w="196"/>
        <w:gridCol w:w="905"/>
        <w:gridCol w:w="109"/>
        <w:gridCol w:w="109"/>
        <w:gridCol w:w="109"/>
        <w:gridCol w:w="109"/>
        <w:gridCol w:w="207"/>
        <w:gridCol w:w="782"/>
        <w:gridCol w:w="171"/>
      </w:tblGrid>
      <w:tr>
        <w:trPr/>
        <w:tc>
          <w:tcPr>
            <w:tcW w:w="10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Equity </w:t>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67,531 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1,360,251 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(1,230,781)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133,283 </w:t>
            </w:r>
          </w:p>
        </w:tc>
        <w:tc>
          <w:tcPr>
            <w:tcW w:w="1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64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67,773 </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1,379,675 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5,168 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(1,251,946)</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132,965 </w:t>
            </w:r>
          </w:p>
        </w:tc>
        <w:tc>
          <w:tcPr>
            <w:tcW w:w="1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Nine Months Ended September 30, 2025</w:t>
      </w:r>
    </w:p>
    <w:tbl>
      <w:tblPr>
        <w:tblW w:w="10205" w:type="dxa"/>
        <w:jc w:val="center"/>
        <w:tblInd w:w="0" w:type="dxa"/>
        <w:tblLayout w:type="fixed"/>
        <w:tblCellMar>
          <w:top w:w="28" w:type="dxa"/>
          <w:left w:w="28" w:type="dxa"/>
          <w:bottom w:w="28" w:type="dxa"/>
          <w:right w:w="28" w:type="dxa"/>
        </w:tblCellMar>
      </w:tblPr>
      <w:tblGrid>
        <w:gridCol w:w="948"/>
        <w:gridCol w:w="656"/>
        <w:gridCol w:w="659"/>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5"/>
        <w:gridCol w:w="801"/>
        <w:gridCol w:w="153"/>
        <w:gridCol w:w="109"/>
        <w:gridCol w:w="109"/>
        <w:gridCol w:w="109"/>
        <w:gridCol w:w="196"/>
        <w:gridCol w:w="905"/>
        <w:gridCol w:w="109"/>
        <w:gridCol w:w="109"/>
        <w:gridCol w:w="109"/>
        <w:gridCol w:w="109"/>
        <w:gridCol w:w="207"/>
        <w:gridCol w:w="782"/>
        <w:gridCol w:w="170"/>
      </w:tblGrid>
      <w:tr>
        <w:trPr/>
        <w:tc>
          <w:tcPr>
            <w:tcW w:w="9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Other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Comprehensive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66,264 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1,312,804 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(1,947)</w:t>
            </w:r>
          </w:p>
        </w:tc>
        <w:tc>
          <w:tcPr>
            <w:tcW w:w="1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(1,047,825)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263,098 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72,083 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cash flow hedges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(204,121)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67,773 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5,168 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(1,251,946)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132,965 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left"/>
        <w:rPr/>
      </w:pPr>
      <w:r>
        <w:rPr/>
      </w:r>
    </w:p>
    <w:p>
      <w:pPr>
        <w:pStyle w:val="TextBody"/>
        <w:bidi w:val="0"/>
        <w:spacing w:before="140" w:after="283"/>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Three Months Ended September 30, 2024</w:t>
      </w:r>
    </w:p>
    <w:tbl>
      <w:tblPr>
        <w:tblW w:w="10205" w:type="dxa"/>
        <w:jc w:val="center"/>
        <w:tblInd w:w="0" w:type="dxa"/>
        <w:tblLayout w:type="fixed"/>
        <w:tblCellMar>
          <w:top w:w="28" w:type="dxa"/>
          <w:left w:w="28" w:type="dxa"/>
          <w:bottom w:w="28" w:type="dxa"/>
          <w:right w:w="28" w:type="dxa"/>
        </w:tblCellMar>
      </w:tblPr>
      <w:tblGrid>
        <w:gridCol w:w="1024"/>
        <w:gridCol w:w="631"/>
        <w:gridCol w:w="636"/>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906"/>
        <w:gridCol w:w="109"/>
        <w:gridCol w:w="109"/>
        <w:gridCol w:w="109"/>
        <w:gridCol w:w="109"/>
        <w:gridCol w:w="205"/>
        <w:gridCol w:w="773"/>
        <w:gridCol w:w="165"/>
      </w:tblGrid>
      <w:tr>
        <w:trPr/>
        <w:tc>
          <w:tcPr>
            <w:tcW w:w="10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233,875 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65,646 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(1,048,580)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237,710 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Nine Months Ended September 30, 2024</w:t>
      </w:r>
    </w:p>
    <w:tbl>
      <w:tblPr>
        <w:tblW w:w="10205" w:type="dxa"/>
        <w:jc w:val="center"/>
        <w:tblInd w:w="0" w:type="dxa"/>
        <w:tblLayout w:type="fixed"/>
        <w:tblCellMar>
          <w:top w:w="28" w:type="dxa"/>
          <w:left w:w="28" w:type="dxa"/>
          <w:bottom w:w="28" w:type="dxa"/>
          <w:right w:w="28" w:type="dxa"/>
        </w:tblCellMar>
      </w:tblPr>
      <w:tblGrid>
        <w:gridCol w:w="963"/>
        <w:gridCol w:w="664"/>
        <w:gridCol w:w="666"/>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6"/>
        <w:gridCol w:w="785"/>
        <w:gridCol w:w="155"/>
        <w:gridCol w:w="109"/>
        <w:gridCol w:w="109"/>
        <w:gridCol w:w="109"/>
        <w:gridCol w:w="196"/>
        <w:gridCol w:w="904"/>
        <w:gridCol w:w="109"/>
        <w:gridCol w:w="109"/>
        <w:gridCol w:w="109"/>
        <w:gridCol w:w="109"/>
        <w:gridCol w:w="205"/>
        <w:gridCol w:w="773"/>
        <w:gridCol w:w="165"/>
      </w:tblGrid>
      <w:tr>
        <w:trPr/>
        <w:tc>
          <w:tcPr>
            <w:tcW w:w="9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65,552 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1,263,997 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(951,800)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313,632 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 and retirement of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 options related to convertible notes due 2029</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Unwind of capped call options related to convertible notes due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(96,780)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(96,780)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65,646 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(1,048,580)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237,710 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771"/>
        <w:gridCol w:w="2314"/>
        <w:gridCol w:w="2332"/>
        <w:gridCol w:w="203"/>
        <w:gridCol w:w="823"/>
        <w:gridCol w:w="112"/>
        <w:gridCol w:w="112"/>
        <w:gridCol w:w="112"/>
        <w:gridCol w:w="112"/>
        <w:gridCol w:w="203"/>
        <w:gridCol w:w="730"/>
        <w:gridCol w:w="112"/>
        <w:gridCol w:w="109"/>
        <w:gridCol w:w="160"/>
      </w:tblGrid>
      <w:tr>
        <w:trPr/>
        <w:tc>
          <w:tcPr>
            <w:tcW w:w="277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269" w:type="dxa"/>
            <w:gridSpan w:val="2"/>
            <w:tcBorders/>
          </w:tcPr>
          <w:p>
            <w:pPr>
              <w:pStyle w:val="TableContents"/>
              <w:bidi w:val="0"/>
              <w:spacing w:before="0" w:after="283"/>
              <w:jc w:val="left"/>
              <w:rPr>
                <w:sz w:val="4"/>
                <w:szCs w:val="4"/>
              </w:rPr>
            </w:pPr>
            <w:r>
              <w:rPr>
                <w:sz w:val="4"/>
                <w:szCs w:val="4"/>
              </w:rPr>
            </w:r>
          </w:p>
        </w:tc>
      </w:tr>
      <w:tr>
        <w:trPr/>
        <w:tc>
          <w:tcPr>
            <w:tcW w:w="7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(204,121)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(96,780)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(used in) operating activities:</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expected credit losses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Operating lease and other impairment charges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of discount or (accretion of premium) on short-term investments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from equity method investments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73,217 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in-process research and development expenses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75,217 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(8,712)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Employee-related liabilities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 and other current liabilities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(19,510)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(251,361)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and redemptions of short-term investments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200,583 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239,031 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Acquisition of in-process research and development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87,852 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(28,492)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 due 2029, net of $9,400 debt issuance costs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306,850 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$246,740 principal amount of convertible senior notes due 2025</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(246,123)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Principal payments on convertible senior notes due 2025</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 for capped call transactions related to convertible senior notes due 2029</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used to settle withholding taxes on vested restricted stock, net of proceeds from issuance of common stock under Company stock plans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(45,971)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(9,829)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91,947 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49,039 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schedule of non-cash investing and financing activities</w:t>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obtained in exchange for operating lease obligations</w:t>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 and accrued expenses</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costs in other long term-liabilities</w:t>
            </w:r>
          </w:p>
        </w:tc>
        <w:tc>
          <w:tcPr>
            <w:tcW w:w="2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13,300 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283"/>
        <w:jc w:val="left"/>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Tandem Diabetes Care, a global insulin delivery and diabetes technology company, manufactures and sells advanced automated insulin delivery systems that reduce the burden of diabetes management, while creating new possibilities for its customers, their loved ones and healthcare providers. Tandem Diabetes Care, Inc. is incorporated in the state of Delaware. Unless the context requires otherwise, the terms the “Company” or “Tandem” refer to Tandem Diabetes Care, Inc., together with its wholly-owned subsidiaries.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manufactures, sells, and supports insulin pump products that are designed to address the evolving needs and preferences of differentiated segments of the insulin-dependent diabetes market. The Company offers an insulin pump portfolio, which includes both the t:slim X2 and the Tandem Mobi. Both pumps feature Control-IQ+ technology, which is the Company’s most advanced algorithm for managing insulin delivery, using information received from integrated continuous glucose monitoring (CGM) sensors. New software for the insulin pumps may be updated remotely by the individual users as new advancements become available. The insulin pumps are compatible with other complementary digital health offerings, such as the Company’s mobile application and cloud-based diabetes management applications. The Company’s durable insulin pump products generally have an expected lifespan of at least four years. In addition to insulin pumps, the Company sells single-use components that are used together with the pumps and are replaced every few days, including cartridges for storing and delivering insulin, and infusion sets that connect the insulin pump to a user’s body.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and considered necessary for a fair presentation of the financial information contained herein have been included.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2024 (Annual Report), from which the condensed consolidated balance sheet presented as of December 31, 2024 herein was derived. The condensed consolidated financial statements include the accounts of Tandem Diabetes Care, Inc. and its wholly-owned subsidiaries. All significant intercompany balances and transactions have been eliminated in consolidation.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income, net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during the nine months ended September 30, 2025, as compared to those disclosed in the Annual Report, except for the addition of the accounting policy related to derivatives and hedging activities, which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Lease Right-of-Use Assets and Liabilities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that contain lease and non-lease components, the Company accounts for both of those components as a single lease component.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leased assets, and are amortized on a straight-line basis as a reduction to operating lease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Intangible Assets Subject to Amortization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Finite-lived intangible assets are recorded at cost, net of accumulated amortization and, if applicable, impairment charges. Amortization of finite-lived intangible assets is recognized over their estimated useful lives using a straight-line or accelerated attribution method, depending on the economic benefit associated with the asset.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and various Roche entities (collectively “Roche”) entered into a Settlement, Mutual Release and Cross-License Agreement (the “Roche Cross-License Agreement”). The Roche Cross-License Agreement resolved all actual or potential patent disputes as of the agreement date, including the actions pending before courts of the Unified Patent Court in France and Germany.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Roche Cross-License Agreement, the Company agreed to pay Roche $36.0 million over a four-year period, with an initial cash payment of $8.0 million and four equal annual installments thereafter. The installment payments include approximately $4.4 million of imputed interest. As a result, the Company recorded a $31.6 million liability, representing the present value of the total settlement obligation. Upon payment of the initial installment, which occurred in the second quarter of 2025, both parties granted each other non-exclusive, non-royalty-bearing, non-transferrable, and irrevocable licenses to their respective insulin delivery system-related patents and applications for a period of 10 years.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present value of the settlement consideration between the value of the licensed patents and the release of past and potential future claims. Based on a relative fair value approach, $13.3 million was capitalized as an intangible asset for the value of the license, which will be amortized over seven years, reflecting the estimated useful life of the acquired patents. The remaining consideration was expensed as settlement and litigation expense with related legal fees in the second quarter of 2025.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licensed patents was estimated using a discounted cash flow model, which incorporated assumptions including projected revenues associated with the licensed technology, a technology migration rate, an estimated royalty rate, and a discount rate. The fair value of the past damages claimed was estimated based on applicable historical revenues and an estimated royalty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right-of-use lease assets, and acquired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unobservable (Level 3) inputs, including discounted cash flow models, future estimated sublease income, and third-party independent appraisals, as considered necessary. There is uncertainty in the projected undiscounted future cash flows used in the Company’s impairment review analysis, which requires the use of estimates and assumptions. If actual performance does not meet or exceed projected performance, or if the assumptions used in the model change in the future, the Company may be required to recognize additional impairment charges in future periods. Other than the impairment of operating lease right-of-use assets recognized in the first quarter of 2025 (see Note 6, “Leases”), there were no other impairments of long-lived assets, including acquired intangible assets, during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held equity method investments of $64.9 million and $74.5 million at September 30, 2025 and December 31, 2024, respectively. The Company uses the equity method to account for investments in companies if it owns more than 20% of the investee company’s outstanding equity or the investment provides the Company with the ability to exercise significant influence but not control over the operating and financial policies of the investee. The Company assesses whether it has significant influence by considering various factors, including the nature and magnitude of the investment, voting rights held and participation in the governance of the investee, if any. The Company may also consider additional relevant factors, such as the presence of other business relationships.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net loss included its proportionate share of the net loss of its equity method investee, which was $2.7 million and $9.6 million for the three and nine months ended September 30, 2025, respectively. For the three and nine months ended September 30, 2024, the Company did not hold any equity method investments and therefore did not recognize a share of net income or loss from any equity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is generated primarily from sales of insulin pumps, single-use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rebates, prompt payment discounts and a provision for product returns.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Revenue Recognition for Arrangements with Multiple Performance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the individual deliverables in its product offerings to be separate performance obligations. The transaction price is determined based on the net consideration to which the Company expects to be entitled, based either on the stated value in contractual arrangements or the estimated cash to be collected in non-contracted arrangements. The Company includes an estimate of variable consideration in the calculation of the transaction price at the time of sale. Variable consideration includes, but is not limited to: rebates, prompt payment discounts and a provision for product returns. The Company classifies these items as a reduction of accounts receivable when it is not required to make a payment and as a liability when it is required to make a payment.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the Company’s data management and software update platforms,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variable consideration that is included in the transaction price is included in revenue only to the extent that it is probable that a significant reversal in the amount of the cumulative revenue recognized will not occur in a future period. The Company is subject to certain rebates on pricing programs with managed care organizations, including pharmacy benefit managers and governmental or third-party commercial payors. The terms of these programs may vary depending on the customer and contractual arrangements. The Company estimates provisions for rebates based on contractual arrangements, estimates of products sold subject to rebate, known market events or trends and channel inventory data. Sales rebates are classified within other current or long-term liabilities on the condensed consolidated balance sheets, depending on the anticipated settlement period of the rebate. Actual rebates paid may differ from estimated amounts recorded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Revenue Recognition for Tandem Choice Program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September 2022 through December 2024, the Company offered a technology access program referred to as Tandem Choice that provided eligible in-warranty t:slim X2 customers in the United States with the flexibility to obtain the Tandem Mobi, once commercially available. The Company determined that the program created a material right for which a portion of each t:slim X2 pump sales transaction price was allocated and deferred. The Company began selling Tandem Mobi insulin pumps in February 2024 and eligibility for the Tandem Choice program ended at that time. Consequently, the Company ceased allocating and deferring a portion of the t:slim X2 transaction price for the material right for pumps sold after that date. Eligible customers who purchased a t:slim X2 insulin pump during the program period had until the end of December 2024 to exercise the option to switch to the Tandem Mobi for a stated fee.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the deferred sales when the obligations under the Tandem Choice program were satisfied. If a customer elected to participate in the program, the Company recognized upgrade fees received, and the associated cost of goods sold, at the time of fulfillment. The remaining deferrals were recognized at program expiration on December 31, 2024. For the nine months ended September 30, 2024, the net effect of Tandem Choice deferrals and fulfillments was negligible. There was no comparative adjustment to pump sales in 2025.</w:t>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 and Hedging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the fair value of derivative instruments as either current assets or current liabilities on the condensed consolidated balance sheets. Changes in the fair value of derivative instruments are recorded each period in current earnings or other comprehensive income (loss), depending on whether a derivative instrument is designated as part of a hedging transaction. For a derivative to qualify as a hedge at inception and throughout the hedged period, the Company formally documents the nature and relationships between the hedging instrument and hedged item.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derivatives formally designated as hedges, the Company assesses both at inception and quarterly thereafter, whether the hedging derivatives are highly effective in offsetting changes in either the fair value or cash flows of the hedged item.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Gains or losses on cash flow hedges are reclassified from other comprehensive income (loss) to earnings when the hedged transaction occurs and affects consolidated results. If the Company determines that a forecasted transaction is no longer probable or no longer qualifies for hedge accounting treatment, the Company discontinues hedge accounting and any related unrealized gain or loss on the derivative instrument is recognized in current earnings.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Derivatives that are not designated and do not qualify as hedges are adjusted to fair value through current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Warranty Reserve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provides a four-year warranty on its insulin pumps to end-user customers and may replace any pumps that do not function as intended in accordance with the product specifications within the warranty period. In addition, the Company offers a six-month warranty on single-use insulin cartridges and infusion sets. Estimated warranty costs are recorded at the time of shipment, and the Company reevaluates the estimate of the warranty reserve obligation at each reporting period. Warranty costs are primarily estimated based on the current expected product replacement cost and expected replacement rates using historical experience. Returned insulin pumps may be refurbished and redeployed.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Experience has shown that initial data for any new pump version or pump platform may be insufficient. Therefore, the Company relies on long-term historical replacement data from existing platforms until sufficient data is available. As actual experience accumulates, the Company adjusts its warranty reserve estimate accordingly. In addition, the availability of replacement data may differ by country due to local compliance and privacy regulations, which may require the Company to estimate its warranty liability using available information or data from similar markets. The Company may make further adjustments to the warranty reserve when appropriate, considering revised expectations of product performance based on enhanced hardware, or new features and capabilities that may become available through Tandem Device Updater. Warranty expense is recorded as a component of cost of sales in the consolidated statements of operations.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changes in product warranty liabilities for the three and nine months ended September 30, 2025 and 2024 (in thousands):</w:t>
      </w:r>
    </w:p>
    <w:tbl>
      <w:tblPr>
        <w:tblW w:w="10205" w:type="dxa"/>
        <w:jc w:val="left"/>
        <w:tblInd w:w="0" w:type="dxa"/>
        <w:tblLayout w:type="fixed"/>
        <w:tblCellMar>
          <w:top w:w="28" w:type="dxa"/>
          <w:left w:w="28" w:type="dxa"/>
          <w:bottom w:w="28" w:type="dxa"/>
          <w:right w:w="28" w:type="dxa"/>
        </w:tblCellMar>
      </w:tblPr>
      <w:tblGrid>
        <w:gridCol w:w="1434"/>
        <w:gridCol w:w="1257"/>
        <w:gridCol w:w="1261"/>
        <w:gridCol w:w="251"/>
        <w:gridCol w:w="861"/>
        <w:gridCol w:w="130"/>
        <w:gridCol w:w="130"/>
        <w:gridCol w:w="130"/>
        <w:gridCol w:w="130"/>
        <w:gridCol w:w="251"/>
        <w:gridCol w:w="861"/>
        <w:gridCol w:w="130"/>
        <w:gridCol w:w="109"/>
        <w:gridCol w:w="109"/>
        <w:gridCol w:w="109"/>
        <w:gridCol w:w="243"/>
        <w:gridCol w:w="835"/>
        <w:gridCol w:w="125"/>
        <w:gridCol w:w="125"/>
        <w:gridCol w:w="125"/>
        <w:gridCol w:w="125"/>
        <w:gridCol w:w="243"/>
        <w:gridCol w:w="835"/>
        <w:gridCol w:w="125"/>
        <w:gridCol w:w="109"/>
        <w:gridCol w:w="162"/>
      </w:tblGrid>
      <w:tr>
        <w:trPr/>
        <w:tc>
          <w:tcPr>
            <w:tcW w:w="14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rPr/>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warranties issued during the period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Increases in warranty estimates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total product warranty reserves were included in the following consolidated balance sheet accounts (in thousands):</w:t>
      </w:r>
    </w:p>
    <w:tbl>
      <w:tblPr>
        <w:tblW w:w="5757" w:type="dxa"/>
        <w:jc w:val="left"/>
        <w:tblInd w:w="0" w:type="dxa"/>
        <w:tblLayout w:type="fixed"/>
        <w:tblCellMar>
          <w:top w:w="28" w:type="dxa"/>
          <w:left w:w="28" w:type="dxa"/>
          <w:bottom w:w="28" w:type="dxa"/>
          <w:right w:w="28" w:type="dxa"/>
        </w:tblCellMar>
      </w:tblPr>
      <w:tblGrid>
        <w:gridCol w:w="809"/>
        <w:gridCol w:w="712"/>
        <w:gridCol w:w="714"/>
        <w:gridCol w:w="325"/>
        <w:gridCol w:w="1112"/>
        <w:gridCol w:w="168"/>
        <w:gridCol w:w="109"/>
        <w:gridCol w:w="109"/>
        <w:gridCol w:w="109"/>
        <w:gridCol w:w="309"/>
        <w:gridCol w:w="1056"/>
        <w:gridCol w:w="225"/>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warranty reserve</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employee purchase rights under the Company’s Employee Stock Purchase Plan (ESPP) using the Black-Scholes option pricing model on the date of grant. The Black-Scholes option 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predefined Company performance metrics and the awardee’s continuing service through the measurement date is generally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 With respect to RSU awards with a market condition, the Company recognizes compensation expense ratably over the requisite service period under an award based on the fair market value of the award at the time of grant, regardless of whether the market condition is satisfied. Previously recognized compensation cost would be reversed only if the employee terminated employment before completing the requisite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by the weighted average number of common shares outstanding for the period, without consideration for common stock equivalents. Diluted net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incentive plans, potential awards to be granted pursuant to the ESPP, and common stock warrants, each calculated using the treasury stock method, and shares issuable upon conversion of the convertible senior notes calculated using the if-converted method.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there was no difference in the weighted average number of shares used to calculate basic and diluted net loss per share due to the Company’s net loss position in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outstanding and not included in the calculation of diluted net loss per share (because inclusion would be anti-dilutive) are as follows (in thousands, in common stock equivalent shares):</w:t>
      </w:r>
    </w:p>
    <w:tbl>
      <w:tblPr>
        <w:tblW w:w="9274" w:type="dxa"/>
        <w:jc w:val="left"/>
        <w:tblInd w:w="0" w:type="dxa"/>
        <w:tblLayout w:type="fixed"/>
        <w:tblCellMar>
          <w:top w:w="28" w:type="dxa"/>
          <w:left w:w="28" w:type="dxa"/>
          <w:bottom w:w="28" w:type="dxa"/>
          <w:right w:w="28" w:type="dxa"/>
        </w:tblCellMar>
      </w:tblPr>
      <w:tblGrid>
        <w:gridCol w:w="1182"/>
        <w:gridCol w:w="1042"/>
        <w:gridCol w:w="1046"/>
        <w:gridCol w:w="388"/>
        <w:gridCol w:w="333"/>
        <w:gridCol w:w="195"/>
        <w:gridCol w:w="195"/>
        <w:gridCol w:w="195"/>
        <w:gridCol w:w="195"/>
        <w:gridCol w:w="392"/>
        <w:gridCol w:w="329"/>
        <w:gridCol w:w="195"/>
        <w:gridCol w:w="109"/>
        <w:gridCol w:w="109"/>
        <w:gridCol w:w="109"/>
        <w:gridCol w:w="364"/>
        <w:gridCol w:w="357"/>
        <w:gridCol w:w="311"/>
        <w:gridCol w:w="311"/>
        <w:gridCol w:w="311"/>
        <w:gridCol w:w="311"/>
        <w:gridCol w:w="364"/>
        <w:gridCol w:w="357"/>
        <w:gridCol w:w="311"/>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 under the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(if-converted)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14,744 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requires the Company to disclose disaggregated jurisdictional and categorical information for the tax rate reconciliation, income taxes paid and other income tax related amounts. The guidance is effective for annual periods beginning after December 15, 2024, with early adoption permitted. The Company is currently evaluating ASU 2023-09 to determine the impact it may have on its consolidated financial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which requires entities to disclose information about purchases of inventory, employee compensation, and intangible asset amortization in each income statement line item that contains those expenses. ASU 2024-03 is effective for annual reporting periods beginning after December 15, 2026 and interim reporting periods beginning after December 15, 2027. Early adoption is permitted. The Company is currently evaluating ASU 2024-03 to determine the impact it may have on its consolidated financial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which modernizes the accounting guidance for internal-use software, including website development costs. The amendments eliminate the consideration of software development stages and introduce a new capitalization threshold based on the entity’s commitment to fund the project and the probability of completion. ASU 2025-06 will be effective for annual reporting periods beginning after December 15, 2027 and interim reporting periods within those annual periods. Early adoption is permitted. The Company is currently evaluating ASU 2025-06 to determine the impact it may have on its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Short-Term Investments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invests in marketable securities primarily consisting of debt instruments of the United States Government, United States Government-sponsored enterprises, and financial institutions and corporations with strong credit ratings. The following represents a summary of the estimated fair value of short-term investments at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1377"/>
        <w:gridCol w:w="1213"/>
        <w:gridCol w:w="1156"/>
        <w:gridCol w:w="109"/>
        <w:gridCol w:w="109"/>
        <w:gridCol w:w="109"/>
        <w:gridCol w:w="109"/>
        <w:gridCol w:w="211"/>
        <w:gridCol w:w="826"/>
        <w:gridCol w:w="109"/>
        <w:gridCol w:w="109"/>
        <w:gridCol w:w="109"/>
        <w:gridCol w:w="109"/>
        <w:gridCol w:w="304"/>
        <w:gridCol w:w="890"/>
        <w:gridCol w:w="157"/>
        <w:gridCol w:w="109"/>
        <w:gridCol w:w="109"/>
        <w:gridCol w:w="109"/>
        <w:gridCol w:w="391"/>
        <w:gridCol w:w="755"/>
        <w:gridCol w:w="204"/>
        <w:gridCol w:w="109"/>
        <w:gridCol w:w="109"/>
        <w:gridCol w:w="109"/>
        <w:gridCol w:w="211"/>
        <w:gridCol w:w="826"/>
        <w:gridCol w:w="158"/>
      </w:tblGrid>
      <w:tr>
        <w:trPr/>
        <w:tc>
          <w:tcPr>
            <w:tcW w:w="137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0"/>
        <w:gridCol w:w="1213"/>
        <w:gridCol w:w="1154"/>
        <w:gridCol w:w="109"/>
        <w:gridCol w:w="109"/>
        <w:gridCol w:w="109"/>
        <w:gridCol w:w="109"/>
        <w:gridCol w:w="211"/>
        <w:gridCol w:w="826"/>
        <w:gridCol w:w="109"/>
        <w:gridCol w:w="109"/>
        <w:gridCol w:w="109"/>
        <w:gridCol w:w="109"/>
        <w:gridCol w:w="361"/>
        <w:gridCol w:w="799"/>
        <w:gridCol w:w="189"/>
        <w:gridCol w:w="109"/>
        <w:gridCol w:w="109"/>
        <w:gridCol w:w="109"/>
        <w:gridCol w:w="355"/>
        <w:gridCol w:w="812"/>
        <w:gridCol w:w="184"/>
        <w:gridCol w:w="109"/>
        <w:gridCol w:w="109"/>
        <w:gridCol w:w="109"/>
        <w:gridCol w:w="211"/>
        <w:gridCol w:w="826"/>
        <w:gridCol w:w="158"/>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available-for-sale debt securities as of September 30, 2025, were as follows (in thousands):</w:t>
      </w:r>
    </w:p>
    <w:tbl>
      <w:tblPr>
        <w:tblW w:w="10205" w:type="dxa"/>
        <w:jc w:val="left"/>
        <w:tblInd w:w="0" w:type="dxa"/>
        <w:tblLayout w:type="fixed"/>
        <w:tblCellMar>
          <w:top w:w="28" w:type="dxa"/>
          <w:left w:w="28" w:type="dxa"/>
          <w:bottom w:w="28" w:type="dxa"/>
          <w:right w:w="28" w:type="dxa"/>
        </w:tblCellMar>
      </w:tblPr>
      <w:tblGrid>
        <w:gridCol w:w="1257"/>
        <w:gridCol w:w="1105"/>
        <w:gridCol w:w="1116"/>
        <w:gridCol w:w="247"/>
        <w:gridCol w:w="970"/>
        <w:gridCol w:w="127"/>
        <w:gridCol w:w="109"/>
        <w:gridCol w:w="109"/>
        <w:gridCol w:w="109"/>
        <w:gridCol w:w="257"/>
        <w:gridCol w:w="1009"/>
        <w:gridCol w:w="132"/>
        <w:gridCol w:w="109"/>
        <w:gridCol w:w="109"/>
        <w:gridCol w:w="109"/>
        <w:gridCol w:w="401"/>
        <w:gridCol w:w="771"/>
        <w:gridCol w:w="206"/>
        <w:gridCol w:w="109"/>
        <w:gridCol w:w="109"/>
        <w:gridCol w:w="109"/>
        <w:gridCol w:w="286"/>
        <w:gridCol w:w="1122"/>
        <w:gridCol w:w="218"/>
      </w:tblGrid>
      <w:tr>
        <w:trPr/>
        <w:tc>
          <w:tcPr>
            <w:tcW w:w="125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At September 30, 2025</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One to Two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Two to Three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227,164 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classified all marketable securities, regardless of maturity, as short-term investments based upon the Company’s ability and intent to use any of those marketable securities to satisfy the Company’s liquidity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the portfolio of available-for-sale debt securities quarterly to determine if any investment is impaired due to changes in credit risk or other potential valuation concerns. Unrealized losses on available-for-sale debt securities at September 30, 2025 were not material to the Company’s quarterly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Composition of Certain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at September 30, 2025 and December 31, 2024 (in thousands):</w:t>
      </w:r>
    </w:p>
    <w:tbl>
      <w:tblPr>
        <w:tblW w:w="5433" w:type="dxa"/>
        <w:jc w:val="left"/>
        <w:tblInd w:w="0" w:type="dxa"/>
        <w:tblLayout w:type="fixed"/>
        <w:tblCellMar>
          <w:top w:w="28" w:type="dxa"/>
          <w:left w:w="28" w:type="dxa"/>
          <w:bottom w:w="28" w:type="dxa"/>
          <w:right w:w="28" w:type="dxa"/>
        </w:tblCellMar>
      </w:tblPr>
      <w:tblGrid>
        <w:gridCol w:w="984"/>
        <w:gridCol w:w="864"/>
        <w:gridCol w:w="867"/>
        <w:gridCol w:w="221"/>
        <w:gridCol w:w="865"/>
        <w:gridCol w:w="114"/>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125,940 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changes in the allowance for estimated accounts receivable credit losses for the three and nine months ended September 30, 2025 and 2024 (in thousands):</w:t>
      </w:r>
    </w:p>
    <w:tbl>
      <w:tblPr>
        <w:tblW w:w="9313" w:type="dxa"/>
        <w:jc w:val="left"/>
        <w:tblInd w:w="0" w:type="dxa"/>
        <w:tblLayout w:type="fixed"/>
        <w:tblCellMar>
          <w:top w:w="28" w:type="dxa"/>
          <w:left w:w="28" w:type="dxa"/>
          <w:bottom w:w="28" w:type="dxa"/>
          <w:right w:w="28" w:type="dxa"/>
        </w:tblCellMar>
      </w:tblPr>
      <w:tblGrid>
        <w:gridCol w:w="1347"/>
        <w:gridCol w:w="1184"/>
        <w:gridCol w:w="1188"/>
        <w:gridCol w:w="211"/>
        <w:gridCol w:w="616"/>
        <w:gridCol w:w="109"/>
        <w:gridCol w:w="109"/>
        <w:gridCol w:w="109"/>
        <w:gridCol w:w="109"/>
        <w:gridCol w:w="211"/>
        <w:gridCol w:w="616"/>
        <w:gridCol w:w="109"/>
        <w:gridCol w:w="109"/>
        <w:gridCol w:w="109"/>
        <w:gridCol w:w="109"/>
        <w:gridCol w:w="269"/>
        <w:gridCol w:w="786"/>
        <w:gridCol w:w="139"/>
        <w:gridCol w:w="139"/>
        <w:gridCol w:w="139"/>
        <w:gridCol w:w="139"/>
        <w:gridCol w:w="269"/>
        <w:gridCol w:w="786"/>
        <w:gridCol w:w="139"/>
        <w:gridCol w:w="109"/>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adjustments,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 at September 30, 2025 and December 31, 2024 (in thousands):</w:t>
      </w:r>
    </w:p>
    <w:tbl>
      <w:tblPr>
        <w:tblW w:w="4233" w:type="dxa"/>
        <w:jc w:val="left"/>
        <w:tblInd w:w="0" w:type="dxa"/>
        <w:tblLayout w:type="fixed"/>
        <w:tblCellMar>
          <w:top w:w="28" w:type="dxa"/>
          <w:left w:w="28" w:type="dxa"/>
          <w:bottom w:w="28" w:type="dxa"/>
          <w:right w:w="28" w:type="dxa"/>
        </w:tblCellMar>
      </w:tblPr>
      <w:tblGrid>
        <w:gridCol w:w="548"/>
        <w:gridCol w:w="481"/>
        <w:gridCol w:w="486"/>
        <w:gridCol w:w="221"/>
        <w:gridCol w:w="865"/>
        <w:gridCol w:w="114"/>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and liabilities measured at fair value on a recurring basis as of September 30, 2025 and December 31, 2024, and indicates the fair value hierarchy of the valuation techniques used by the Company to determine such fair value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283"/>
        <w:jc w:val="left"/>
        <w:rPr/>
      </w:pPr>
      <w:r>
        <w:rPr/>
      </w:r>
    </w:p>
    <w:tbl>
      <w:tblPr>
        <w:tblW w:w="9240" w:type="dxa"/>
        <w:jc w:val="left"/>
        <w:tblInd w:w="0" w:type="dxa"/>
        <w:tblLayout w:type="fixed"/>
        <w:tblCellMar>
          <w:top w:w="28" w:type="dxa"/>
          <w:left w:w="28" w:type="dxa"/>
          <w:bottom w:w="28" w:type="dxa"/>
          <w:right w:w="28" w:type="dxa"/>
        </w:tblCellMar>
      </w:tblPr>
      <w:tblGrid>
        <w:gridCol w:w="1461"/>
        <w:gridCol w:w="1287"/>
        <w:gridCol w:w="130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9240" w:type="dxa"/>
        <w:jc w:val="left"/>
        <w:tblInd w:w="0" w:type="dxa"/>
        <w:tblLayout w:type="fixed"/>
        <w:tblCellMar>
          <w:top w:w="28" w:type="dxa"/>
          <w:left w:w="28" w:type="dxa"/>
          <w:bottom w:w="28" w:type="dxa"/>
          <w:right w:w="28" w:type="dxa"/>
        </w:tblCellMar>
      </w:tblPr>
      <w:tblGrid>
        <w:gridCol w:w="1460"/>
        <w:gridCol w:w="1285"/>
        <w:gridCol w:w="130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(1)Generally, cash equivalents include money market funds and investments with a maturity of three months or less from the date of purchase.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Level 1 financial instruments, which are in active markets, are valued using unadjusted quoted market prices for identical instruments.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transfers into or out of Level 3 assets during the three and nine months ended September 30, 2025 and 2024, respectively.</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Convertible Senior Notes are carried at amortized cost on the consolidated balance sheets (see Note 7, “Debt”). The Company estimated the fair value of its convertible senior notes based on Level 2 quoted market prices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283"/>
        <w:jc w:val="left"/>
        <w:rPr/>
      </w:pPr>
      <w:r>
        <w:rPr/>
      </w:r>
    </w:p>
    <w:tbl>
      <w:tblPr>
        <w:tblW w:w="8220" w:type="dxa"/>
        <w:jc w:val="left"/>
        <w:tblInd w:w="0" w:type="dxa"/>
        <w:tblLayout w:type="fixed"/>
        <w:tblCellMar>
          <w:top w:w="28" w:type="dxa"/>
          <w:left w:w="28" w:type="dxa"/>
          <w:bottom w:w="28" w:type="dxa"/>
          <w:right w:w="28" w:type="dxa"/>
        </w:tblCellMar>
      </w:tblPr>
      <w:tblGrid>
        <w:gridCol w:w="1663"/>
        <w:gridCol w:w="1461"/>
        <w:gridCol w:w="1466"/>
        <w:gridCol w:w="295"/>
        <w:gridCol w:w="1157"/>
        <w:gridCol w:w="152"/>
        <w:gridCol w:w="109"/>
        <w:gridCol w:w="109"/>
        <w:gridCol w:w="109"/>
        <w:gridCol w:w="284"/>
        <w:gridCol w:w="1114"/>
        <w:gridCol w:w="147"/>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w:t>
            </w:r>
          </w:p>
        </w:tc>
        <w:tc>
          <w:tcPr>
            <w:tcW w:w="154" w:type="dxa"/>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2025</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2029</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 of outstanding convertible senior notes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275,296 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446,882 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leases consist of operating leases for facility space to support general office, research and development, manufacturing and warehouse facilities, and equipment. These non-cancellable operating leases have initial lease terms from two years to thirteen years. Certain leases include an option to renew, with renewal terms that can extend the lease term for additional periods at the Company’s sole discretion. The Company includes the renewal option period in the lease term for those leases reasonably expected to be extended at the time of lease commencement.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Headquarters Lease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2021, the Company entered into a lease agreement for 181,949 square feet of general administrative, laboratory, and research and development office space (the Premises) located on High Bluff Drive in San Diego, California (Headquarters Lease). Possession of the Premises was tendered to the Company in two phases, with Phase I consisting of 143,850 rentable square feet, which commenced in 2022, and Phase II consisting of 38,099 rentable square feet, which commenced in the first quarter of 2025. The Headquarters Lease term expires in April 2035. The Company has two options to extend the term of the lease, with each option providing for an additional period of five years. The Headquarters Lease term was determined assuming the renewal options would not be exercised.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entered into an agreement to sublease the Phase II portion of the leased premises under the Headquarters Lease, from January 2025 through March 2029, for which accounting commenced in January 2025. Future minimum payments for base rent due under Phase II of the Headquarters Lease, net of sublease rent, are estimated to be $3.0 million in total for 2025 through 2028, and $22.2 million in total for 2029 through 2035.</w:t>
      </w:r>
    </w:p>
    <w:p>
      <w:pPr>
        <w:pStyle w:val="TextBody"/>
        <w:bidi w:val="0"/>
        <w:spacing w:lineRule="auto" w:line="288" w:before="200" w:after="283"/>
        <w:ind w:left="0" w:right="0" w:firstLine="720"/>
        <w:jc w:val="left"/>
        <w:rPr/>
      </w:pPr>
      <w:r>
        <w:rPr>
          <w:rFonts w:ascii="Times New Roman;serif" w:hAnsi="Times New Roman;serif"/>
          <w:b w:val="false"/>
          <w:color w:val="000000"/>
          <w:sz w:val="20"/>
        </w:rPr>
        <w:t>The Company recognizes the sublease income on a straight-line basis over the term of the sublease which is classified in the Company’s condensed consolidated statements of operations and comprehensive loss</w:t>
      </w:r>
      <w:r>
        <w:rPr>
          <w:color w:val="000000"/>
        </w:rPr>
        <w:t xml:space="preserve"> </w:t>
      </w:r>
      <w:r>
        <w:rPr>
          <w:rFonts w:ascii="Times New Roman;serif" w:hAnsi="Times New Roman;serif"/>
          <w:b w:val="false"/>
          <w:color w:val="000000"/>
          <w:sz w:val="20"/>
        </w:rPr>
        <w:t>as a reduction of rent expense in selling, general and administrative expense (SG&amp;A). The difference between sublease income recognized and cash received from the subtenant accrues as a deferred rent receivable.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Lease Impairment Charges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our evaluation of the sublease agreement related to the Headquarters Lease, the Company compared the estimated undiscounted sublease income to the net book value of the underlying right of use asset. Because the expected sublease income was less than the net book value of the sublease assets, the Company recorded a $3.6 million impairment charge in operating expenses in the first quarter of 2025 by reducing the net book value of the subleased assets to their estimated fair value, which is determined by discounting the estimated sublease income using the estimated incremental borrowing rate of the subtenant.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during the first quarter of 2025, the Company transferred certain development activities from its Lausanne, Switzerland location to the United States. In connection with this relocation, the Company evaluated the impact on related fixed assets and operating lease arrangements. The Company also reviewed its assumptions for estimated future sublease income for its Vista Sorrento lease. As a result, the Company recorded a $3.1 million impairment charge in operating expenses in the first quarter of 2025, comprised of operating lease impairment charges and write off of fixed assets consisting primarily of leasehold improvements.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Supplemental Lease Disclosure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lease costs recorded in the consolidated statements of operations were as follows (in thousands):</w:t>
      </w:r>
    </w:p>
    <w:p>
      <w:pPr>
        <w:pStyle w:val="TextBody"/>
        <w:bidi w:val="0"/>
        <w:spacing w:before="0" w:after="0"/>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1547"/>
        <w:gridCol w:w="1345"/>
        <w:gridCol w:w="1353"/>
        <w:gridCol w:w="257"/>
        <w:gridCol w:w="752"/>
        <w:gridCol w:w="132"/>
        <w:gridCol w:w="132"/>
        <w:gridCol w:w="132"/>
        <w:gridCol w:w="132"/>
        <w:gridCol w:w="257"/>
        <w:gridCol w:w="752"/>
        <w:gridCol w:w="132"/>
        <w:gridCol w:w="109"/>
        <w:gridCol w:w="109"/>
        <w:gridCol w:w="109"/>
        <w:gridCol w:w="234"/>
        <w:gridCol w:w="803"/>
        <w:gridCol w:w="120"/>
        <w:gridCol w:w="120"/>
        <w:gridCol w:w="120"/>
        <w:gridCol w:w="120"/>
        <w:gridCol w:w="234"/>
        <w:gridCol w:w="803"/>
        <w:gridCol w:w="120"/>
        <w:gridCol w:w="109"/>
        <w:gridCol w:w="172"/>
      </w:tblGrid>
      <w:tr>
        <w:trPr/>
        <w:tc>
          <w:tcPr>
            <w:tcW w:w="15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81" w:type="dxa"/>
            <w:gridSpan w:val="2"/>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cost (excluding sublease income)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lease termination and right-of-use asset impairment charges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Sublease income, gross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at September 30, 2025 were as follows (in thousands):</w:t>
      </w:r>
    </w:p>
    <w:tbl>
      <w:tblPr>
        <w:tblW w:w="5301" w:type="dxa"/>
        <w:jc w:val="left"/>
        <w:tblInd w:w="0" w:type="dxa"/>
        <w:tblLayout w:type="fixed"/>
        <w:tblCellMar>
          <w:top w:w="28" w:type="dxa"/>
          <w:left w:w="28" w:type="dxa"/>
          <w:bottom w:w="28" w:type="dxa"/>
          <w:right w:w="28" w:type="dxa"/>
        </w:tblCellMar>
      </w:tblPr>
      <w:tblGrid>
        <w:gridCol w:w="1489"/>
        <w:gridCol w:w="1308"/>
        <w:gridCol w:w="1313"/>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Years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212529"/>
          <w:sz w:val="20"/>
        </w:rPr>
      </w:pPr>
      <w:r>
        <w:rPr>
          <w:rFonts w:ascii="Times New Roman;serif" w:hAnsi="Times New Roman;serif"/>
          <w:b w:val="false"/>
          <w:color w:val="212529"/>
          <w:sz w:val="20"/>
        </w:rPr>
        <w:t>The weighted-average remaining lease term and weighted-average discount rate for operating leases were as follows:</w:t>
      </w:r>
    </w:p>
    <w:tbl>
      <w:tblPr>
        <w:tblW w:w="9806" w:type="dxa"/>
        <w:jc w:val="left"/>
        <w:tblInd w:w="0" w:type="dxa"/>
        <w:tblLayout w:type="fixed"/>
        <w:tblCellMar>
          <w:top w:w="28" w:type="dxa"/>
          <w:left w:w="28" w:type="dxa"/>
          <w:bottom w:w="28" w:type="dxa"/>
          <w:right w:w="28" w:type="dxa"/>
        </w:tblCellMar>
      </w:tblPr>
      <w:tblGrid>
        <w:gridCol w:w="2278"/>
        <w:gridCol w:w="1999"/>
        <w:gridCol w:w="2007"/>
        <w:gridCol w:w="357"/>
        <w:gridCol w:w="357"/>
        <w:gridCol w:w="891"/>
        <w:gridCol w:w="109"/>
        <w:gridCol w:w="109"/>
        <w:gridCol w:w="109"/>
        <w:gridCol w:w="323"/>
        <w:gridCol w:w="323"/>
        <w:gridCol w:w="944"/>
      </w:tblGrid>
      <w:tr>
        <w:trPr/>
        <w:tc>
          <w:tcPr>
            <w:tcW w:w="227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used to determine operating lease liabilities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Senior Notes Due 2029</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8, 2024, the Company completed an offering of $316.3 million aggregate principal amount of 1.50% Convertible Senior Notes due 2029 (the 2029 Notes). The proceeds from the issuance of the 2029 Notes were $306.8 million, net of debt issuance costs.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used approximately $246.1 million of the net proceeds to repurchase approximately $246.7 million in aggregate principal amount of its Convertible Senior Notes Due 2025 (the 2025 Notes) concurrently with the pricing of the 2029 Notes in privately negotiated transactions. The Company also paid $1.3 million of accrued interest due at time of the note repurchase. As a result of the repurchase, the Company recognized a $1.3 million loss on extinguishment of debt in the condensed consolidated statement of operations for the nine months ended September 30, 2024. The loss on extinguishment of debt included the unamortized debt issuance costs related to the portion of the 2025 Notes repurchased.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used $30.0 million of the net proceeds to repurchase shares of the Company’s common stock from certain purchasers of the 2029 Notes at a purchase price equal to the last reported sale price per share of the Company’s common stock on March 5, 2024, which was $27.105 per share. In addition, the Company used $15.8 million of the net proceeds to pay the cost of the capped call transactions (2029 Capped Call Transactions)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2029 Notes are the Company’s senior unsecured obligations. Interest is payable in cash semi-annually in arrears on March 15 and September 15 of each year beginning on September 15, 2024, at a rate of 1.50% per year. The 2029 Notes mature on March 15, 2029 unless repurchased, redeemed, or converted in accordance with their terms before the maturity date.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initial conversion rate for the 2029 Notes is 28.9361 shares of common stock per $1,000 principal amount of the 2029 Notes, which is equivalent to an initial conversion price of approximately $34.56 per share of the Company’s common stock (2029 Notes Conversion Price). The conversion rate is subject to customary adjustments for certain events as described in the indenture governing the 2029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not redeem the 2029 Notes before March 22, 2027. The Company has the option to redeem for cash all or any portion of the 2029 Notes on or after March 22, 2027 if the last reported sale price of the Company’s common stock has been at least 130% of the 2029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2029 Notes to be redeemed, plus accrued and unpaid interest. No sinking fund is provided for the 2029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the 2029 Notes may convert all or a portion of their 2029 Notes at their option before December 15, 2028, in multiples of $1,000 principal amounts, only under the following circumstances: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during any calendar quarter commencing after the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2029 Notes Conversion Price on each applicable trading day; </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during the five business day period after any ten consecutive trading day period (the measurement period) in which the trading price per $1,000 principal amount of the 2029 Notes for each trading day of the measurement period was less than 98% of the product of the last reported sale price of the Company’s common stock and the applicable conversion rate of the 2029 Notes on such trading day;</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if the Company calls such 2029 Notes for redemption, at any time before the close of business on the scheduled trading day immediately preceding the redemption date, but only with respect to the 2029 Notes called (or deemed called) for redemption; or</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on the occurrence of specified corporate events.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December 15, 2028, until the close of business on the second scheduled trading day immediately preceding the maturity date, holders may convert their 2029 Notes, in integral multiples of $1,000 principal amount,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2029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Senior Notes Due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2020, the Company completed an offering of $287.5 million aggregate principal amount of 1.50% Convertible Senior Notes due 2025 (the 2025 Notes). The proceeds from the issuance of the Notes were $244.6 million, net of debt issuance costs and cash used to pay the cost of certain related capped call transactions. In March 2024, the Company repurchased for cash $246.7 million aggregate principal amount of the 2025 Notes, concurrently with the pricing of the 2029 Notes in privately negotiated transactions. The 2025 Notes matured in the second quarter of 2025, and the Company settled the balance of $40.8 million using existing cash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carrying amount of the Company’s convertible senior notes on the condensed consolidated balance sheets consisted of the following (in thousands):</w:t>
      </w:r>
    </w:p>
    <w:tbl>
      <w:tblPr>
        <w:tblW w:w="6610" w:type="dxa"/>
        <w:jc w:val="left"/>
        <w:tblInd w:w="0" w:type="dxa"/>
        <w:tblLayout w:type="fixed"/>
        <w:tblCellMar>
          <w:top w:w="28" w:type="dxa"/>
          <w:left w:w="28" w:type="dxa"/>
          <w:bottom w:w="28" w:type="dxa"/>
          <w:right w:w="28" w:type="dxa"/>
        </w:tblCellMar>
      </w:tblPr>
      <w:tblGrid>
        <w:gridCol w:w="1119"/>
        <w:gridCol w:w="982"/>
        <w:gridCol w:w="989"/>
        <w:gridCol w:w="295"/>
        <w:gridCol w:w="1157"/>
        <w:gridCol w:w="152"/>
        <w:gridCol w:w="109"/>
        <w:gridCol w:w="109"/>
        <w:gridCol w:w="109"/>
        <w:gridCol w:w="281"/>
        <w:gridCol w:w="1103"/>
        <w:gridCol w:w="205"/>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60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2025</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2029</w:t>
            </w:r>
          </w:p>
        </w:tc>
        <w:tc>
          <w:tcPr>
            <w:tcW w:w="14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amount</w:t>
            </w:r>
          </w:p>
        </w:tc>
        <w:tc>
          <w:tcPr>
            <w:tcW w:w="1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357,010 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4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309,590 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348,936 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4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Long-term senior convertible notes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309,590 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308,266 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if-converted value of the 2029 Notes did not exceed the principal amount. As of December 31, 2024, the if-converted value of the 2029 Notes exceeded the principal amount by $13.4 million.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effective interest rates for each of our convertible senior notes for the periods shown:</w:t>
      </w:r>
    </w:p>
    <w:tbl>
      <w:tblPr>
        <w:tblW w:w="9523" w:type="dxa"/>
        <w:jc w:val="left"/>
        <w:tblInd w:w="0" w:type="dxa"/>
        <w:tblLayout w:type="fixed"/>
        <w:tblCellMar>
          <w:top w:w="28" w:type="dxa"/>
          <w:left w:w="28" w:type="dxa"/>
          <w:bottom w:w="28" w:type="dxa"/>
          <w:right w:w="28" w:type="dxa"/>
        </w:tblCellMar>
      </w:tblPr>
      <w:tblGrid>
        <w:gridCol w:w="1152"/>
        <w:gridCol w:w="1010"/>
        <w:gridCol w:w="1018"/>
        <w:gridCol w:w="241"/>
        <w:gridCol w:w="241"/>
        <w:gridCol w:w="601"/>
        <w:gridCol w:w="241"/>
        <w:gridCol w:w="241"/>
        <w:gridCol w:w="241"/>
        <w:gridCol w:w="241"/>
        <w:gridCol w:w="241"/>
        <w:gridCol w:w="601"/>
        <w:gridCol w:w="109"/>
        <w:gridCol w:w="109"/>
        <w:gridCol w:w="109"/>
        <w:gridCol w:w="187"/>
        <w:gridCol w:w="187"/>
        <w:gridCol w:w="187"/>
        <w:gridCol w:w="203"/>
        <w:gridCol w:w="203"/>
        <w:gridCol w:w="465"/>
        <w:gridCol w:w="187"/>
        <w:gridCol w:w="187"/>
        <w:gridCol w:w="187"/>
        <w:gridCol w:w="203"/>
        <w:gridCol w:w="203"/>
        <w:gridCol w:w="465"/>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Convertible Senior Notes Due 2025</w:t>
            </w:r>
            <w:r>
              <w:rPr>
                <w:rFonts w:ascii="Times New Roman;serif" w:hAnsi="Times New Roman;serif"/>
                <w:b w:val="false"/>
                <w:color w:val="000000"/>
                <w:sz w:val="13"/>
              </w:rPr>
              <w:t>(1)</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2029</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(1) The effective interest rate presented represents the rate applicable for the period outstanding. The 2025 Notes matured in May 2025, and the outstanding principal balance was settled using cash balances.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interest expense related to the Notes recognized for the three and nine months ended September 30, 2025 and 2024 (in thousands):</w:t>
      </w:r>
    </w:p>
    <w:tbl>
      <w:tblPr>
        <w:tblW w:w="9285" w:type="dxa"/>
        <w:jc w:val="left"/>
        <w:tblInd w:w="0" w:type="dxa"/>
        <w:tblLayout w:type="fixed"/>
        <w:tblCellMar>
          <w:top w:w="28" w:type="dxa"/>
          <w:left w:w="28" w:type="dxa"/>
          <w:bottom w:w="28" w:type="dxa"/>
          <w:right w:w="28" w:type="dxa"/>
        </w:tblCellMar>
      </w:tblPr>
      <w:tblGrid>
        <w:gridCol w:w="1085"/>
        <w:gridCol w:w="954"/>
        <w:gridCol w:w="960"/>
        <w:gridCol w:w="277"/>
        <w:gridCol w:w="811"/>
        <w:gridCol w:w="143"/>
        <w:gridCol w:w="143"/>
        <w:gridCol w:w="143"/>
        <w:gridCol w:w="143"/>
        <w:gridCol w:w="277"/>
        <w:gridCol w:w="811"/>
        <w:gridCol w:w="143"/>
        <w:gridCol w:w="109"/>
        <w:gridCol w:w="109"/>
        <w:gridCol w:w="109"/>
        <w:gridCol w:w="269"/>
        <w:gridCol w:w="786"/>
        <w:gridCol w:w="139"/>
        <w:gridCol w:w="139"/>
        <w:gridCol w:w="139"/>
        <w:gridCol w:w="139"/>
        <w:gridCol w:w="269"/>
        <w:gridCol w:w="786"/>
        <w:gridCol w:w="13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2029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2029 Notes, the Company entered into Capped Call Transactions in March 2024 with certain counterparties at a net cost of $15.8 million (2029 Capped Call Transactions). The 2029 Capped Call Transactions are expected generally to reduce potential dilution to the Common Stock upon any conversion of the 2029 Notes and/or offset any cash payments the Company is required to make in excess of the principal amount of converted 2029 Notes, as the case may be, with such reduction and/or offset subject to a cap based on a cap price initially equal to $42.01 per share, and is subject to certain adjustments under the terms of the 2029 Capped Call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2025 Notes, the Company entered into Capped Call Transactions in May 2020 with certain counterparties at a net cost of $34.1 million (2025 Capped Call Transactions). The 2025 Capped Call Transactions were expected generally to reduce potential dilution to the Common Stock upon any conversion of the 2025 Notes and/or offset any cash payments the Company was required to make in excess of the principal amount of converted 2025 Notes, as the case may be, with such reduction or offset subject to a cap. The cap price of the 2025 Capped Call Transactions was initially $173.18 per share of the Company’s common stock and was subject to certain adjustments under the terms of the 2025 Capped Call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40" w:after="283"/>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repurchase of certain 2025 Notes, the Company entered into unwind agreements with the existing option counterparties in March 2024 to terminate a portion of the existing 2025 Capped Call Transactions in a notional amount corresponding to the amount of 2025 Notes repurchased (the Unwind Transactions). In connection with the Unwind Transactions, the Company received $0.2 million in cash as a termination payment with respect to the portion of the existing 2025 Capped Call Transactions that were unwound. The amount received was based generally on the termination values of the unwound portions of the existing 2025 Capped Call Transactions. The remaining 2025 Capped Call Transactions expired when the 2025 Notes matured in May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Promissory Note Payable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Capillary Biomedical, Inc. in 2022, the Company assumed a $4.7 million promissory note payable. The promissory note accrues interest at the rate of 5.0% per year, and becomes due and payable upon the first sale or license of the commercialized product. At September 30, 2025 and December 31, 2024, the loan balance, including accrued interest, was $4.9 million and $4.8 million, respectively, and was included as a component of other long-term liabilities on the condensed consolidated balance sheets.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shares of the Company's common stock were reserved for future issuance at September 30, 2025 (in thousands):</w:t>
      </w:r>
    </w:p>
    <w:tbl>
      <w:tblPr>
        <w:tblW w:w="6965" w:type="dxa"/>
        <w:jc w:val="left"/>
        <w:tblInd w:w="0" w:type="dxa"/>
        <w:tblLayout w:type="fixed"/>
        <w:tblCellMar>
          <w:top w:w="28" w:type="dxa"/>
          <w:left w:w="28" w:type="dxa"/>
          <w:bottom w:w="28" w:type="dxa"/>
          <w:right w:w="28" w:type="dxa"/>
        </w:tblCellMar>
      </w:tblPr>
      <w:tblGrid>
        <w:gridCol w:w="2206"/>
        <w:gridCol w:w="1939"/>
        <w:gridCol w:w="1945"/>
        <w:gridCol w:w="360"/>
        <w:gridCol w:w="36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issuance upon conversion of Convertible Senior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outstanding warrants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outstanding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authorized for issuance pursuant to awards granted under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authorized for future equity award grants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Warrants outstanding to purchase shares of the Company's common stock as of September 30, 2025 were as follows:</w:t>
      </w:r>
    </w:p>
    <w:tbl>
      <w:tblPr>
        <w:tblW w:w="9631" w:type="dxa"/>
        <w:jc w:val="left"/>
        <w:tblInd w:w="0" w:type="dxa"/>
        <w:tblLayout w:type="fixed"/>
        <w:tblCellMar>
          <w:top w:w="28" w:type="dxa"/>
          <w:left w:w="28" w:type="dxa"/>
          <w:bottom w:w="28" w:type="dxa"/>
          <w:right w:w="28" w:type="dxa"/>
        </w:tblCellMar>
      </w:tblPr>
      <w:tblGrid>
        <w:gridCol w:w="401"/>
        <w:gridCol w:w="352"/>
        <w:gridCol w:w="357"/>
        <w:gridCol w:w="109"/>
        <w:gridCol w:w="109"/>
        <w:gridCol w:w="109"/>
        <w:gridCol w:w="649"/>
        <w:gridCol w:w="649"/>
        <w:gridCol w:w="652"/>
        <w:gridCol w:w="109"/>
        <w:gridCol w:w="109"/>
        <w:gridCol w:w="109"/>
        <w:gridCol w:w="624"/>
        <w:gridCol w:w="624"/>
        <w:gridCol w:w="626"/>
        <w:gridCol w:w="109"/>
        <w:gridCol w:w="109"/>
        <w:gridCol w:w="109"/>
        <w:gridCol w:w="109"/>
        <w:gridCol w:w="109"/>
        <w:gridCol w:w="109"/>
        <w:gridCol w:w="990"/>
        <w:gridCol w:w="990"/>
        <w:gridCol w:w="1409"/>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Date of Warrants Outstanding</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193,788 </w:t>
            </w:r>
          </w:p>
        </w:tc>
        <w:tc>
          <w:tcPr>
            <w:tcW w:w="6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2027</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warrant allows the holder to purchase one share of common stock at the per share exercise price of the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stock-based compensation expense included in the condensed consolidated statements of operations for all stock-based compensation arrangements (in thousands):</w:t>
      </w:r>
    </w:p>
    <w:tbl>
      <w:tblPr>
        <w:tblW w:w="9731" w:type="dxa"/>
        <w:jc w:val="left"/>
        <w:tblInd w:w="0" w:type="dxa"/>
        <w:tblLayout w:type="fixed"/>
        <w:tblCellMar>
          <w:top w:w="28" w:type="dxa"/>
          <w:left w:w="28" w:type="dxa"/>
          <w:bottom w:w="28" w:type="dxa"/>
          <w:right w:w="28" w:type="dxa"/>
        </w:tblCellMar>
      </w:tblPr>
      <w:tblGrid>
        <w:gridCol w:w="1248"/>
        <w:gridCol w:w="1093"/>
        <w:gridCol w:w="1109"/>
        <w:gridCol w:w="253"/>
        <w:gridCol w:w="866"/>
        <w:gridCol w:w="131"/>
        <w:gridCol w:w="131"/>
        <w:gridCol w:w="131"/>
        <w:gridCol w:w="131"/>
        <w:gridCol w:w="253"/>
        <w:gridCol w:w="866"/>
        <w:gridCol w:w="131"/>
        <w:gridCol w:w="109"/>
        <w:gridCol w:w="109"/>
        <w:gridCol w:w="109"/>
        <w:gridCol w:w="245"/>
        <w:gridCol w:w="839"/>
        <w:gridCol w:w="126"/>
        <w:gridCol w:w="126"/>
        <w:gridCol w:w="126"/>
        <w:gridCol w:w="126"/>
        <w:gridCol w:w="245"/>
        <w:gridCol w:w="839"/>
        <w:gridCol w:w="126"/>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stock-based compensation expense capitalized as part of the cost of the Company’s inventories was $1.6 million at September 30, 2025, and $1.8 million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units (RSUs) generally have a grant value equal to the closing price of the Company’s common stock on the award date.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number of RSUs granted and the respective weighted average grant date fair value were as follows:</w:t>
      </w:r>
    </w:p>
    <w:tbl>
      <w:tblPr>
        <w:tblW w:w="10205" w:type="dxa"/>
        <w:jc w:val="left"/>
        <w:tblInd w:w="0" w:type="dxa"/>
        <w:tblLayout w:type="fixed"/>
        <w:tblCellMar>
          <w:top w:w="28" w:type="dxa"/>
          <w:left w:w="28" w:type="dxa"/>
          <w:bottom w:w="28" w:type="dxa"/>
          <w:right w:w="28" w:type="dxa"/>
        </w:tblCellMar>
      </w:tblPr>
      <w:tblGrid>
        <w:gridCol w:w="1440"/>
        <w:gridCol w:w="1260"/>
        <w:gridCol w:w="1269"/>
        <w:gridCol w:w="273"/>
        <w:gridCol w:w="800"/>
        <w:gridCol w:w="141"/>
        <w:gridCol w:w="141"/>
        <w:gridCol w:w="141"/>
        <w:gridCol w:w="141"/>
        <w:gridCol w:w="273"/>
        <w:gridCol w:w="800"/>
        <w:gridCol w:w="141"/>
        <w:gridCol w:w="109"/>
        <w:gridCol w:w="109"/>
        <w:gridCol w:w="109"/>
        <w:gridCol w:w="269"/>
        <w:gridCol w:w="781"/>
        <w:gridCol w:w="137"/>
        <w:gridCol w:w="137"/>
        <w:gridCol w:w="137"/>
        <w:gridCol w:w="137"/>
        <w:gridCol w:w="269"/>
        <w:gridCol w:w="781"/>
        <w:gridCol w:w="137"/>
        <w:gridCol w:w="109"/>
        <w:gridCol w:w="164"/>
      </w:tblGrid>
      <w:tr>
        <w:trPr/>
        <w:tc>
          <w:tcPr>
            <w:tcW w:w="14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5022" w:type="dxa"/>
            <w:gridSpan w:val="20"/>
            <w:tcBorders/>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210,725 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140,806 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2,255,095 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2,193,104 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expense associated with the ESPP using the Black-Scholes option pricing model. Valuations are performed on the grant date at the beginning of the purchase period, which generally occurs in May and November of each year. The assumptions used in the Black-Scholes option pricing model for the ESPP were as follows:</w:t>
      </w:r>
    </w:p>
    <w:tbl>
      <w:tblPr>
        <w:tblW w:w="8848" w:type="dxa"/>
        <w:jc w:val="left"/>
        <w:tblInd w:w="0" w:type="dxa"/>
        <w:tblLayout w:type="fixed"/>
        <w:tblCellMar>
          <w:top w:w="28" w:type="dxa"/>
          <w:left w:w="28" w:type="dxa"/>
          <w:bottom w:w="28" w:type="dxa"/>
          <w:right w:w="28" w:type="dxa"/>
        </w:tblCellMar>
      </w:tblPr>
      <w:tblGrid>
        <w:gridCol w:w="1500"/>
        <w:gridCol w:w="1315"/>
        <w:gridCol w:w="1324"/>
        <w:gridCol w:w="109"/>
        <w:gridCol w:w="109"/>
        <w:gridCol w:w="232"/>
        <w:gridCol w:w="232"/>
        <w:gridCol w:w="449"/>
        <w:gridCol w:w="1313"/>
        <w:gridCol w:w="577"/>
        <w:gridCol w:w="109"/>
        <w:gridCol w:w="109"/>
        <w:gridCol w:w="109"/>
        <w:gridCol w:w="211"/>
        <w:gridCol w:w="616"/>
        <w:gridCol w:w="271"/>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688" w:type="dxa"/>
            <w:gridSpan w:val="8"/>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Derivatives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global nature of the Company’s operations, a portion of revenue and operating expense are denominated in currencies other than the U.S. dollar, exposing the Company to foreign currency exchange rate fluctuations. To mitigate the impact of these fluctuations, the Company uses foreign currency forward contracts to hedge a portion of its forecasted international revenue and operating expense. The Company’s foreign currency forward contracts are denominated primarily in Euros, Canadian dollars and Swiss francs (CHF).</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Company’s foreign currency forward contracts outstanding settle within the next quarter. These contracts are designated as cash flow hedges. Unrealized gains or losses on these contracts are recorded in accumulated other comprehensive income (loss) (AOCI). Realized gains and losses of such contracts are recognized in revenue and operating expenses in the same period during which the hedged transactions affect the consolidated results of operations. The cash flow effects of our derivative contracts in the condensed consolidated statements of cash flows are included in net cash provided by operating activities. All derivative instruments are used solely for risk management purposes and are not for speculative trading purposes and settle within the next quarter. For the periods presented, the Company did not have any non-designated hedges.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notional value of foreign currency forward contracts outstanding related to forecasted transactions was $17.8 million as of September 30, 2025. The Company recorded an unrealized gain on foreign currency forward contracts of $0.5 million and an unrealized loss of $0.1 million for the three and nine months ended September 30, 2025, respectively.</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foreign currency forward contracts designated as hedging instruments in our condensed consolidated statements of income (in thousands):</w:t>
      </w:r>
    </w:p>
    <w:tbl>
      <w:tblPr>
        <w:tblW w:w="7781" w:type="dxa"/>
        <w:jc w:val="left"/>
        <w:tblInd w:w="0" w:type="dxa"/>
        <w:tblLayout w:type="fixed"/>
        <w:tblCellMar>
          <w:top w:w="28" w:type="dxa"/>
          <w:left w:w="28" w:type="dxa"/>
          <w:bottom w:w="28" w:type="dxa"/>
          <w:right w:w="28" w:type="dxa"/>
        </w:tblCellMar>
      </w:tblPr>
      <w:tblGrid>
        <w:gridCol w:w="912"/>
        <w:gridCol w:w="803"/>
        <w:gridCol w:w="805"/>
        <w:gridCol w:w="641"/>
        <w:gridCol w:w="1464"/>
        <w:gridCol w:w="331"/>
        <w:gridCol w:w="151"/>
        <w:gridCol w:w="151"/>
        <w:gridCol w:w="151"/>
        <w:gridCol w:w="590"/>
        <w:gridCol w:w="1348"/>
        <w:gridCol w:w="434"/>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 Gains (Losses) Reclassified from AOCI into Operating Income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cash flow hedges:</w:t>
            </w:r>
          </w:p>
        </w:tc>
        <w:tc>
          <w:tcPr>
            <w:tcW w:w="2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240" w:after="283"/>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enter into any foreign currency forward contracts that qualified for hedge accounting in 2024, and therefore there were no derivative assets or liabilities, nor adjustments to revenue or operating expense as a result of cash flow hedges during the three and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Employee Benefits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Defined Contribution Plans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defined contribution plans for certain of its employees. The Company’s largest defined contribution plan is the 401(k) plan for employees in the United States who are at least 18 years of age. Eligible employees may participate in the plan beginning on the first day of the calendar month following their date of hire. Unless they affirmatively elect otherwise, eligible employees are automatically enrolled in the plan following 30 days from their date of hire. Under the terms of the plan, eligible employees may make voluntary contributions as a percent of compensation and the Company may elect to match a discretionary percentage of employee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recognized income tax benefit of $4.0 million and $0.8 million, respectively, on a pre-tax loss of $25.1 million and $205.0 million for the respective periods. The Company calculated the benefit for income taxes for the three and nine months ended September 30, 2025, respectively, by applying an estimate of the annual effective tax rate for the full year to ordinary loss adjusted by the tax impact of discrete items. Income tax benefit for the three and nine months ended September 30, 2025 was due to a reduction in domestic cash tax expense as a result of the passage of the One Big Beautiful Bill Act (“OBBBA”) in July 2025. The OBBBA included various provisions with multiple effective dates, including, but not limited to, immediate expensing of domestic research and development expenditures. The impact of the OBBBA is reflected in the Company’s results for the quarter ended September 30, 2025. Additionally, certain foreign cash tax expenses were reduced in the current period.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2024, the Company recognized income tax expense of $0.6 million and $4.9 million, respectively, on a pre-tax loss of $22.6 million and $91.9 million, respectively. The Company calculated the provision for three and nine months ended September 30, 2024 by applying an estimate of the annual effective tax rate for the full year to ordinary income (loss) adjusted by the tax impact of discrete items. Income tax expense for the three and nine months ended September 30, 2024 was primarily attributable to federal, state and foreign income tax expense as a result of current taxable income in certain jurisdictions.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continues to maintain a full valuation allowance against its net deferred tax assets as of September 30, 2025, based on the current assessment that it is not more likely than not these future benefits will be realized before expiration.</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Business Segment and Geographic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single-use insulin cartridges and infusion sets for the storage and delivery of insulin. The Company views its operations and manages its business as one reporting segment because key operating decisions and resource allocations are made by the CODM using consolidated financial data. Accordingly, the Company is organized as a single operating segment and therefore a single reportable segment: Insulin Pumps and Supplies.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(CEO), who evaluates segment performance based on segment net income (loss) on a consolidated basis. Segment net income (loss) was consistent with the net loss amounts reported in the Company’s condensed consolidated statement of operations and comprehensive loss for the three and nine months ended September 30, 2025 and 2024. There were no significant segment expenses that are regularly provided to the CODM other than those reported in the Company’s condensed consolidated statement of operations and comprehensive loss for the three and nine months ended September 30, 2025 and 2024.</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provided segment assets information on a consolidated basis for the evaluation of Company performance. Total segment assets were consistent with total assets reported in the Company’s condensed consolidated balance sheets for September 30, 2025 and December 31,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240" w:after="283"/>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Segment revenues were consistent with revenue reported in the Company’s condensed consolidated statement of operations and comprehensive loss for the three and nine months ended September 30, 2025 and 2024. 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major sales channel and product as management believes these categories best depict how the nature, amount and timing of revenues and cash flows are affected by economic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 by Geographic Region and Customer Sales Channel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2024,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tbl>
      <w:tblPr>
        <w:tblW w:w="8457" w:type="dxa"/>
        <w:jc w:val="left"/>
        <w:tblInd w:w="0" w:type="dxa"/>
        <w:tblLayout w:type="fixed"/>
        <w:tblCellMar>
          <w:top w:w="28" w:type="dxa"/>
          <w:left w:w="28" w:type="dxa"/>
          <w:bottom w:w="28" w:type="dxa"/>
          <w:right w:w="28" w:type="dxa"/>
        </w:tblCellMar>
      </w:tblPr>
      <w:tblGrid>
        <w:gridCol w:w="789"/>
        <w:gridCol w:w="691"/>
        <w:gridCol w:w="695"/>
        <w:gridCol w:w="233"/>
        <w:gridCol w:w="913"/>
        <w:gridCol w:w="120"/>
        <w:gridCol w:w="120"/>
        <w:gridCol w:w="120"/>
        <w:gridCol w:w="120"/>
        <w:gridCol w:w="233"/>
        <w:gridCol w:w="913"/>
        <w:gridCol w:w="120"/>
        <w:gridCol w:w="109"/>
        <w:gridCol w:w="109"/>
        <w:gridCol w:w="109"/>
        <w:gridCol w:w="226"/>
        <w:gridCol w:w="884"/>
        <w:gridCol w:w="116"/>
        <w:gridCol w:w="116"/>
        <w:gridCol w:w="116"/>
        <w:gridCol w:w="116"/>
        <w:gridCol w:w="226"/>
        <w:gridCol w:w="884"/>
        <w:gridCol w:w="116"/>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243,971 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724,353 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657,555 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Revenues by Product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2024, sales by product were as follows (in thousands):</w:t>
      </w:r>
    </w:p>
    <w:tbl>
      <w:tblPr>
        <w:tblW w:w="10205" w:type="dxa"/>
        <w:jc w:val="left"/>
        <w:tblInd w:w="0" w:type="dxa"/>
        <w:tblLayout w:type="fixed"/>
        <w:tblCellMar>
          <w:top w:w="28" w:type="dxa"/>
          <w:left w:w="28" w:type="dxa"/>
          <w:bottom w:w="28" w:type="dxa"/>
          <w:right w:w="28" w:type="dxa"/>
        </w:tblCellMar>
      </w:tblPr>
      <w:tblGrid>
        <w:gridCol w:w="1449"/>
        <w:gridCol w:w="1253"/>
        <w:gridCol w:w="1272"/>
        <w:gridCol w:w="230"/>
        <w:gridCol w:w="902"/>
        <w:gridCol w:w="118"/>
        <w:gridCol w:w="118"/>
        <w:gridCol w:w="118"/>
        <w:gridCol w:w="118"/>
        <w:gridCol w:w="230"/>
        <w:gridCol w:w="902"/>
        <w:gridCol w:w="118"/>
        <w:gridCol w:w="109"/>
        <w:gridCol w:w="109"/>
        <w:gridCol w:w="109"/>
        <w:gridCol w:w="224"/>
        <w:gridCol w:w="877"/>
        <w:gridCol w:w="115"/>
        <w:gridCol w:w="115"/>
        <w:gridCol w:w="115"/>
        <w:gridCol w:w="115"/>
        <w:gridCol w:w="224"/>
        <w:gridCol w:w="877"/>
        <w:gridCol w:w="115"/>
        <w:gridCol w:w="109"/>
        <w:gridCol w:w="164"/>
      </w:tblGrid>
      <w:tr>
        <w:trPr/>
        <w:tc>
          <w:tcPr>
            <w:tcW w:w="144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7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 recognized for Tandem Choice program</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243,971 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724,353 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657,555 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to distributors accounted for 62% and 61% of the Company’s United States sales for the three and nine months ended September 30, 2025, respectively and 61% and 62% for the three and nine months ended September 30, 2024, respectively. Sales to distributors accounted for the vast majority of the Company’s sales outside the United States for the three and nine-month periods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the Company entered into a share purchase agreement to acquire all of the registered shares of AMF Medical (Original Transaction). AMF Medical is the original developer of the Sigi Patch Pump, which continued to be under development and was not yet commercially available as of September 30,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2023, the Company completed the acquisition of AMF Medical. The total aggregate consideration for the Original Transaction included a previous strategic investment of CHF 8.0 million made in the third quarter of 2022, a cash payment of CHF 62.4 million paid at the closing of the Transaction, and additional contingent earnout payments of up to CHF 129.6 million. The contingent consideration was to be recognized as certain defined contingencies were resolved and the respective consideration was paid or became payable.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transaction was accounted for as an asset acquisition as substantially all the value of the gross assets was concentrated in a single asset. The Company recorded a $78.8 million charge in 2023 representing the value of acquired in-process research and development assets with no alternative future use, including acquisition-related expenses, on its condensed consolidated statements of operations in acquired in-process research and development expenses (IPR&amp;D).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entered into a revised agreement that removed contingent liabilities previously included in the Original Transaction. Under the revised term, the Company agreed to pay CHF 68.0 million, consisting of a CHF 40.0 million payment made in January 2025 and a final payment of CHF 28.0 million due in October 2025. All other payment obligations in the Original Transaction were removed. The total amount of CHF 68.0 million ($75.2 million in US dollars) was recognized as acquired IPR&amp;D in the Company’s condensed consolidated statement of operations and comprehensive loss in the first quarter of 2025. As of September 30, 2025, the remaining CHF 28.0 million was recorded as a short-term accrued liability of $35.9 million on the Company’s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Legal and Regulatory Matters</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September 30, 2025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in connection with one of the Company’s operating leases (see Note 6, “Leases”), the Company had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together with our financial statements and related notes in Part I, Item 1 of this Quarterly Report on Form 10-Q for the quarter ended September 30, 2025 (Quarterly Report).</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the impact of our foreign currency forward hedging contracts, business forecasts and plans, research and product development plans, product pipelines, development timelines, manufacturing plans, strategic plans and objectives, capital needs and financing plans, product launches, geographic expansion, distribution plans, production capacity, clinical trials, regulatory approvals, competitive position and the impact of changes in the competitive environment,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this Quarterly Report,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global insulin delivery and diabetes technology company focused on the design, development and commercialization of technology solutions that reduce the burden of diabetes management. We consider our primary addressable market to be people who live with type 1 diabetes, and we expanded our U.S. addressable market this year to include people living with type 2 diabetes who require intensive insulin therapy. We sell to customers in approximately 25 countries worldwide, and the majority of our sales come from customers in the United States. Our goal is to address the individual needs of people with insulin-dependent diabetes and their care team, by offering flexibility and choice in intelligent insulin delivery systems, through an accessible portfolio of market-leading pumps, applications, and insights.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our portfolio approach, we offer people living with diabetes a choice in their therapy management system based on their individual needs and preferences. In support of this strategy, our portfolio includes both the t:slim X2 and Tandem Mobi insulin pumps. The Tandem Mobi insulin pump is the world’s smallest durable automated insulin delivery (AID) system. At approximately half the size of our t:slim X2 pump, Tandem Mobi is designed for people who seek even greater discretion and flexibility, and includes features such as expanded pump-control from a mobile application, inductive charging, and an on-pump button that can be used for bolusing and other actions. In the first half of 2024, we scaled the commercial release of Tandem Mobi in the United States. In May 2025, we received CE Mark approval for the Tandem Mobi insulin delivery system with Control-IQ+ technology. We are pursuing additional regulatory and pre-commercial activities, such as securing in-country registrations and reimbursement, before launching Tandem Mobi outside the United States.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vast majority of our customers use their insulin pump with CGM integration. This allows their insulin pump to receive CGM sensor readings, which can then be used in our AID algorithms, including our Control-IQ+ technology. Control-IQ+ is an advanced hybrid-closed loop feature designed to help increase a user’s time in their targeted glycemic range. Multiple studies, including four publications in the </w:t>
      </w:r>
      <w:r>
        <w:rPr>
          <w:rFonts w:ascii="Times New Roman;serif" w:hAnsi="Times New Roman;serif"/>
          <w:b w:val="false"/>
          <w:i/>
          <w:color w:val="000000"/>
          <w:sz w:val="20"/>
        </w:rPr>
        <w:t>New England Journal of Medicine</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most recent appearing in March 2025, demonstrate that both Control-IQ+ technology and its predecessor, Control-IQ technology, are associated with improved, immediate and sustained clinical outcomes for people living with type 1 or type 2 diabetes across diverse demographics.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t:slim X2 was the first pump in the industry on which remote software updates were made commercially available in the United States and is now also available in the countries we serve worldwide. This feature allows our customers to update their pump software independently. We believe this offering is a competitive advantage, allowing us to bring our customers clinical and lifestyle enhancements within their warranty cycle without having to purchase a new pump. These enhancements generally include new developments in our AID technology, CGM integrations and mobile app features.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more than a decade we have offered our customers, their caregivers and healthcare providers a data management application to provide a fast, easy and visual way to display diabetes therapy management data from our pumps and integrated CGMs. Since the launch of Tandem Source, we have enhanced and expanded our digital technology solutions, and will continue to scale into additional countries. In addition to displaying diabetes therapy management data, Tandem Source is also designed to serve as a portal for supplies reordering and pump software updates.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Strategy &amp; Future Technology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Diabetes management can vary greatly from person to person, creating multiple market segments based on clinical needs and personal preferences. Our goal is to redefine global leadership in insulin delivery with an accessible portfolio of transformational devices, applications and services that reduce the daily burden of living with diabetes.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support of this strategy, our portfolio of future technologies includes enhancing the features and capabilities of our t:slim X2 and Tandem Mobi insulin pump platforms, including adding a tubeless, extended-wear infusion site option for Tandem Mobi users. Our pipeline also includes a next-generation patch pump that incorporates our Sigi Patch Pump technology, and we anticipate marketing it as the next generation Tandem Mobi. In addition, our development efforts include extended-wear infusion set technology, dual glucose-ketone sensor integration, and algorithm advancement in pursuit of offering fully closed loop technology.</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Pump Reimbursement Cycle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Insulin pumps in the markets we serve worldwide are generally subject to a four-year reimbursement cycle, imposed by the third-party insurance carrier, government plan or healthcare system that serves as the primary payor. At the end of the typical four-year reimbursement cycle, customers may be eligible to purchase a new insulin pump, subject to the rules and requirements of their primary insurance payor. While warranties generally expire four years from the original pump shipment date, those customers that renew take on average up to one year from date of warranty expiration to purchase a subsequent pump. With programs dedicated to customer retention efforts, renewal sales have become a meaningful opportunity and key growth driver for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2024, we had more than 480,000 users in our in-warranty installed base, approximately one-third of whom live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ordering patterns of, and levels of inventory carried by, our distributors outside the United States for pumps and supplies have historically been highly variable from period to period due to a number of factors, including summer vacations, the timing of product launches, expansion into new geographies and variability due to supply chain logistics. This also influences the timing in which renewal eligibility begins for existing customers, which may not initially be consistent with trends in the United States market. We recently began completing full four-year reimbursement cycles in an increasing number of our markets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Trends and Uncertainties Impacting Financial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condition and operating results have historically fluctuated on a quarterly or annual basis. We expect periodic fluctuations will continue based on a number of trends and uncertainties, including the following: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Regulatory Approvals and Actions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Any adverse event involving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Markets, Seasonality, Competition, and Product Launches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expect our business to be impacted by the introduction of new diabetes devices and treatments by us or our competitors. The success of our products is variable and we believe it correlates to market acceptance, anticipated product launches and commercial availability.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second half of the year due to the nature of the reimbursement environment. Other factors that may impact sales across the year include the timing of winter, summer and other seasonal holidays, particularly in our markets outside the United States.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Regulatory approval and/or upcoming launches of other new Tandem or competing products could also adversely impact timing of purchasing decisions.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 periods following new product launches, particularly with new hardware platforms, our cost of sales may increase on a per unit basis until the new products achieve manufacturing scale and operating expenses may be elevated by increased sales and marketing spending to support the product launches.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Reimbursement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 2025, we began implementing a multi-channel managed care strategy in the United States, which provides the opportunity for reimbursement through a pharmacy benefit as an alternative to a medical benefit. This strategic expansion supports broader access and flexibility in reimbursement pathways for our customers. Historically, our products have been offered through a medical benefit. Pumps are generally reimbursed upfront, separate from the ongoing supply purchases. In the first quarter of 2025, we began contracting for Tandem Mobi customers to receive their pumps and supplies through a pharmacy benefit with the same upfront reimbursement structure as a medical benefit. In the third quarter of 2025, we began contracting for existing t:slim X2 customers to receive their supplies through a pharmacy benefit.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We generally have had broad insurance coverage for our current products from third-party payors. Our revenue and results of operations may be impacted by the failure to secure or retain adequate coverage consistent with current reimbursement levels, changes in reimbursement structures or availability of affordable options for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Macroeconomic Factors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Global economic and market uncertainty, such as recessionary concerns, changes in discretionary spending and increased interest rates have impacted our customers’ purchasing decisions and the buying patterns of our distributors.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High inflation, fluctuations in foreign currency valuations, uncertainty regarding tariffs and trade relations, and the effects of other macroeconomic factors and concerns have disrupted and may continue to disrupt our relationships with suppliers, third-party manufacturers, healthcare providers, distributors and our existing or potential customers, as well as impact our cost structure as more of our business is exposed to foreign currency fluctuations.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offer products for people with insulin-dependent diabetes, including a portfolio of hardware platforms, single-use insulin cartridges and infusion sets, data management platforms and mobile applications.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 — Markets, Seasonality, Competition, and Product Launches” above.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September 2022 through February 2024, we offered the Tandem Choice program to eligible t:slim X2 customers to provide a pathway to ownership of Tandem Mobi for a fee once available. Eligible customers who purchased a t:slim X2 insulin pump during the program period had until December 31, 2024 to exercise the option to switch to the Tandem Mobi for a stated fee. The accounting treatment for Tandem Choice was complex (see Note 2, “Summary of Significant Accounting Policies”). The program required the deferral of some portion of sales for shipments of eligible pumps between the third quarter of 2022 and the first quarter of 2024. No election was made by the customer at the time of the initial sale, nor did the right offered to the customer impact the economics associated with how or when the initial pump sale was reimbursed. When a customer elected to participate in Tandem Choice, we recognized the existing sales deferral, incremental fees received and the associated costs of goods sold for the new insulin pump, Tandem Mobi, at the time of fulfillment. Qualifying customers were able to elect participation in Tandem Choice beginning in the second quarter of 2024. The remaining deferral balance was recognized as revenue when the program ended on December 31,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primarily consists of raw materials, labor costs, manufacturing overhead expenses, reserves for expected warranty costs, product training costs, royalties, and freight.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on a per unit basis. Therefore, the percentage of pump sales relative to total sales could have a significant impact on our overall gross margin percentage.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Our sales territories in the United States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Litigation and Settlement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 reflects costs of litigation and settlement in conjunction with the Roche Cross-License Agreement, entered into during the second quarter of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trials, payments under our licensing, development and commercialization agreements and other indirect costs.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Acquired In-process Research and Development (IPR&amp;D)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IPR&amp;D reflects costs of external research and development projects acquired directly in a transaction other than a business combination, which do not have an alternative future use.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 and Expense, 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and expense primarily consist of interest earned on our cash equivalents and short-term investments, income or loss from equity method investments, foreign currency transaction gains and losses and interest expense which includes the amortization of debt issuance costs related to our convertible senior notes.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valuation allowance on domestic and foreign deferred tax assets, the Company's domestic and foreign tax provisions consist of cash tax expense incurred in each of the jurisdictions in which the Company operates.</w:t>
      </w:r>
    </w:p>
    <w:p>
      <w:pPr>
        <w:pStyle w:val="TextBody"/>
        <w:bidi w:val="0"/>
        <w:spacing w:before="0" w:after="0"/>
        <w:jc w:val="left"/>
        <w:rPr/>
      </w:pPr>
      <w:r>
        <w:rPr/>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tbl>
      <w:tblPr>
        <w:tblW w:w="10205" w:type="dxa"/>
        <w:jc w:val="left"/>
        <w:tblInd w:w="0" w:type="dxa"/>
        <w:tblLayout w:type="fixed"/>
        <w:tblCellMar>
          <w:top w:w="28" w:type="dxa"/>
          <w:left w:w="28" w:type="dxa"/>
          <w:bottom w:w="28" w:type="dxa"/>
          <w:right w:w="28" w:type="dxa"/>
        </w:tblCellMar>
      </w:tblPr>
      <w:tblGrid>
        <w:gridCol w:w="1410"/>
        <w:gridCol w:w="1129"/>
        <w:gridCol w:w="1132"/>
        <w:gridCol w:w="211"/>
        <w:gridCol w:w="826"/>
        <w:gridCol w:w="271"/>
        <w:gridCol w:w="109"/>
        <w:gridCol w:w="109"/>
        <w:gridCol w:w="109"/>
        <w:gridCol w:w="211"/>
        <w:gridCol w:w="826"/>
        <w:gridCol w:w="271"/>
        <w:gridCol w:w="109"/>
        <w:gridCol w:w="109"/>
        <w:gridCol w:w="109"/>
        <w:gridCol w:w="211"/>
        <w:gridCol w:w="882"/>
        <w:gridCol w:w="271"/>
        <w:gridCol w:w="109"/>
        <w:gridCol w:w="109"/>
        <w:gridCol w:w="109"/>
        <w:gridCol w:w="211"/>
        <w:gridCol w:w="826"/>
        <w:gridCol w:w="271"/>
        <w:gridCol w:w="109"/>
        <w:gridCol w:w="156"/>
      </w:tblGrid>
      <w:tr>
        <w:trPr/>
        <w:tc>
          <w:tcPr>
            <w:tcW w:w="141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227,881 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199,433 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345,799 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331,889 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283,987 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157,155 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150,746 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574,105 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430,664 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(195,551)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(25,143)</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(204,954)</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(91,886)</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(23,251)</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(204,121)</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(96,780)</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September 30, 2025 and 2024</w:t>
      </w:r>
    </w:p>
    <w:p>
      <w:pPr>
        <w:pStyle w:val="TextBody"/>
        <w:bidi w:val="0"/>
        <w:spacing w:lineRule="auto" w:line="288" w:before="240" w:after="283"/>
        <w:ind w:left="0" w:right="0" w:firstLine="360"/>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we shipped approximately 30,000 pumps worldwide. Sales were $249.3 million, which included $73.6 million of sales outside the United States. Sales were $244.0 million for the three months ended September 30, 2024, which included $72.3 million of sales outside the United States. </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in the United States were as follows (in thousands):</w:t>
      </w:r>
    </w:p>
    <w:tbl>
      <w:tblPr>
        <w:tblW w:w="7247" w:type="dxa"/>
        <w:jc w:val="left"/>
        <w:tblInd w:w="0" w:type="dxa"/>
        <w:tblLayout w:type="fixed"/>
        <w:tblCellMar>
          <w:top w:w="28" w:type="dxa"/>
          <w:left w:w="28" w:type="dxa"/>
          <w:bottom w:w="28" w:type="dxa"/>
          <w:right w:w="28" w:type="dxa"/>
        </w:tblCellMar>
      </w:tblPr>
      <w:tblGrid>
        <w:gridCol w:w="1576"/>
        <w:gridCol w:w="1384"/>
        <w:gridCol w:w="1405"/>
        <w:gridCol w:w="211"/>
        <w:gridCol w:w="826"/>
        <w:gridCol w:w="109"/>
        <w:gridCol w:w="109"/>
        <w:gridCol w:w="109"/>
        <w:gridCol w:w="109"/>
        <w:gridCol w:w="211"/>
        <w:gridCol w:w="826"/>
        <w:gridCol w:w="109"/>
        <w:gridCol w:w="109"/>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recognized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in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third quarter of 2025, sales in the United States increased primarily due to improved average selling prices across all products, partially offset by a slight decrease in pump shipments. Pump shipments were more than 20,000 in the third quarter of 2025 compared to nearly 21,000 pumps for the third quarter of 2024. Sales in the third quarter of 2024 included $1.0 million in incremental sales from Tandem Choice fulfillments, for which there was no comparable adjustment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outside the United States were as follows (in thousands):</w:t>
      </w:r>
    </w:p>
    <w:tbl>
      <w:tblPr>
        <w:tblW w:w="5791" w:type="dxa"/>
        <w:jc w:val="left"/>
        <w:tblInd w:w="0" w:type="dxa"/>
        <w:tblLayout w:type="fixed"/>
        <w:tblCellMar>
          <w:top w:w="28" w:type="dxa"/>
          <w:left w:w="28" w:type="dxa"/>
          <w:bottom w:w="28" w:type="dxa"/>
          <w:right w:w="28" w:type="dxa"/>
        </w:tblCellMar>
      </w:tblPr>
      <w:tblGrid>
        <w:gridCol w:w="1126"/>
        <w:gridCol w:w="989"/>
        <w:gridCol w:w="1004"/>
        <w:gridCol w:w="211"/>
        <w:gridCol w:w="721"/>
        <w:gridCol w:w="109"/>
        <w:gridCol w:w="109"/>
        <w:gridCol w:w="109"/>
        <w:gridCol w:w="109"/>
        <w:gridCol w:w="211"/>
        <w:gridCol w:w="721"/>
        <w:gridCol w:w="109"/>
        <w:gridCol w:w="109"/>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Outside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third quarter of 2025, total sales outside the United States increased primarily due to favorable changes in foreign exchange rates and higher supply volumes, partially offset by lower pump volumes. Pump shipments decreased to more than 9,000 pumps for the third quarter of 2025 compared to nearly 11,000 pumps for the third quarter of 2024. The decrease in pump shipments was attributable to distributor destocking in anticipation of the initiation of direct sales activities in select countries, expected to begin in the first quarter of 2026.</w:t>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Cost of Sales and Gross Profit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 of sales for the three months ended September 30, 2025 was $115.0 million, resulting in gross profit of $134.3 million, compared to cost of sales of $119.3 million and gross profit of $124.7 million for the same period in 2024. The gross margins for the three-month periods ended September 30, 2025 and 2024 were 54% and 51%, respectively. This increase in gross margin was primarily driven by improved average selling prices and reduced non-manufacturing costs, partially offset by the impact of less favorable product mix.</w:t>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for the three months ended September 30, 2025 were $157.2 million, compared to $150.7 million for the three months ended September 30, 2024.</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SG&amp;A expenses were $108.4 million for the three months ended September 30, 2025, compared to $99.6 million for the same period in 2024. Expenses increased $9.1 million from commercial investments in the sales infrastructure, including sales force expansion in the United States, costs to support direct operations in Europe and initiatives to create future efficiencies in operations, as well as $2.0 million in restructuring costs. The increase was partially offset by a $2.3 million decrease in stock-based compensation expense.</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R&amp;D expenses were $48.7 million for the three months ended September 30, 2025, compared to $51.1 million for the same period in 2024. The decrease in R&amp;D expenses was primarily due to a $2.4 million decrease in stock-based compensation expense and $0.5 million decrease in other employee benefits and expenses, partially offset by $0.8 million in restructuring costs.</w:t>
      </w:r>
    </w:p>
    <w:p>
      <w:pPr>
        <w:pStyle w:val="TextBody"/>
        <w:bidi w:val="0"/>
        <w:spacing w:lineRule="auto" w:line="288" w:before="200" w:after="283"/>
        <w:ind w:left="0" w:right="0" w:firstLine="360"/>
        <w:jc w:val="left"/>
        <w:rPr/>
      </w:pPr>
      <w:r>
        <w:rPr>
          <w:rFonts w:ascii="Times New Roman;serif" w:hAnsi="Times New Roman;serif"/>
          <w:b/>
          <w:color w:val="000000"/>
          <w:sz w:val="20"/>
        </w:rPr>
        <w:t>Other Income (Expense), Net</w:t>
      </w:r>
      <w:r>
        <w:rPr>
          <w:color w:val="000000"/>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 for the three months ended September 30, 2025 was a loss of $2.3 million, compared to income of $3.5 million for the same period in 2024. Other expense, net for the three months ended September 30, 2025 primarily consisted of a $2.7 million loss on equity investment, $2.1 million of interest expense which included the amortization of debt issuance costs related to our convertible senior notes, and $0.7 million of realized losses on foreign currency transactions. This was partially offset by $3.2 million of interest income earned on our cash equivalents and short-term investments. Other income, net for the three months ended September 30, 2024 was income of $3.5 million, primarily consisting of $5.6 million of interest income earned on our cash equivalents and short-term investments, partially offset by $1.9 million of interest expense which included the amortization of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income tax benefit of $4.0 million on a pre-tax loss of $25.1 million for the three months ended September 30, 2025, compared to income tax expense of $0.6 million on a pre-tax loss of $22.6 million for the three months ended September 30, 2024. Income tax benefit for the three months ended September 30, 2025, was due to a reduction in domestic cash tax expense as a result of the passage of the One Big Beautiful Bill Act (“OBBBA”) in July 2025. The OBBBA included various provisions with multiple effective dates, including, but not limited to, immediate expensing of domestic research and development expenditures. The impacts of the OBBBA are reflected in our results for the quarter ended September 30, 2025. Additionally, certain foreign cash tax expenses were reduced in the current period. Income tax expense for the three months ended September 30, 2024 was primarily attributable to state and foreign income tax expense as a result of current taxable income in certain jurisdictions.</w:t>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Comparison of the Nine Months Ended September 30, 2025 and 2024 </w:t>
      </w:r>
    </w:p>
    <w:p>
      <w:pPr>
        <w:pStyle w:val="TextBody"/>
        <w:bidi w:val="0"/>
        <w:spacing w:lineRule="auto" w:line="288" w:before="240" w:after="283"/>
        <w:ind w:left="0" w:right="0" w:firstLine="360"/>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we shipped more than 88,000 pumps worldwide. Sales were $724.4 million, which included $227.9 million of sales outside the United States. Sales were $657.6 million for the nine months ended September 30, 2024, which included $199.4 million of sales outside the United States. </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in the United States were as follows (in thousands):</w:t>
      </w:r>
    </w:p>
    <w:tbl>
      <w:tblPr>
        <w:tblW w:w="7247" w:type="dxa"/>
        <w:jc w:val="left"/>
        <w:tblInd w:w="0" w:type="dxa"/>
        <w:tblLayout w:type="fixed"/>
        <w:tblCellMar>
          <w:top w:w="28" w:type="dxa"/>
          <w:left w:w="28" w:type="dxa"/>
          <w:bottom w:w="28" w:type="dxa"/>
          <w:right w:w="28" w:type="dxa"/>
        </w:tblCellMar>
      </w:tblPr>
      <w:tblGrid>
        <w:gridCol w:w="1576"/>
        <w:gridCol w:w="1384"/>
        <w:gridCol w:w="1405"/>
        <w:gridCol w:w="211"/>
        <w:gridCol w:w="826"/>
        <w:gridCol w:w="109"/>
        <w:gridCol w:w="109"/>
        <w:gridCol w:w="109"/>
        <w:gridCol w:w="109"/>
        <w:gridCol w:w="211"/>
        <w:gridCol w:w="826"/>
        <w:gridCol w:w="109"/>
        <w:gridCol w:w="109"/>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 recognized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in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Pump and supply sales in the United States increased primarily due to growth in shipment volumes and increased average selling prices. Pumps shipments were approximately 59,000 in the nine months ended September 30, 2025. For the nine months ended September 30, 2024, there was a negligible net impact to our revenues as a result of Tandem Choice. There were no comparable Tandem Choice adjustment for the same period in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outside the United States were as follows (in thousands):</w:t>
      </w:r>
    </w:p>
    <w:tbl>
      <w:tblPr>
        <w:tblW w:w="6001" w:type="dxa"/>
        <w:jc w:val="left"/>
        <w:tblInd w:w="0" w:type="dxa"/>
        <w:tblLayout w:type="fixed"/>
        <w:tblCellMar>
          <w:top w:w="28" w:type="dxa"/>
          <w:left w:w="28" w:type="dxa"/>
          <w:bottom w:w="28" w:type="dxa"/>
          <w:right w:w="28" w:type="dxa"/>
        </w:tblCellMar>
      </w:tblPr>
      <w:tblGrid>
        <w:gridCol w:w="1126"/>
        <w:gridCol w:w="989"/>
        <w:gridCol w:w="1004"/>
        <w:gridCol w:w="211"/>
        <w:gridCol w:w="826"/>
        <w:gridCol w:w="109"/>
        <w:gridCol w:w="109"/>
        <w:gridCol w:w="109"/>
        <w:gridCol w:w="109"/>
        <w:gridCol w:w="211"/>
        <w:gridCol w:w="826"/>
        <w:gridCol w:w="109"/>
        <w:gridCol w:w="109"/>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Outside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pump sales increased due to a year-over-year increase in average selling prices and favorable changes in foreign currency exchange rates. Pump shipments were approximately 30,000 in the nine months ended September 30, 2025. For the nine months ended September 30, 2025, pump-related supply sales increased due to a year-over-year increase in volumes shipped, improved average selling prices and favorable changes in foreign currency exchange rates.</w:t>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Cost of Sales and Gross Profit</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Our cost of sales for the nine months</w:t>
      </w:r>
      <w:r>
        <w:rPr>
          <w:color w:val="000000"/>
        </w:rPr>
        <w:t xml:space="preserve"> </w:t>
      </w:r>
      <w:r>
        <w:rPr>
          <w:rFonts w:ascii="Times New Roman;serif" w:hAnsi="Times New Roman;serif"/>
          <w:b w:val="false"/>
          <w:color w:val="000000"/>
          <w:sz w:val="20"/>
        </w:rPr>
        <w:t>ended September 30, 2025</w:t>
      </w:r>
      <w:r>
        <w:rPr>
          <w:color w:val="000000"/>
        </w:rPr>
        <w:t xml:space="preserve"> </w:t>
      </w:r>
      <w:r>
        <w:rPr>
          <w:rFonts w:ascii="Times New Roman;serif" w:hAnsi="Times New Roman;serif"/>
          <w:b w:val="false"/>
          <w:color w:val="000000"/>
          <w:sz w:val="20"/>
        </w:rPr>
        <w:t>was $345.8 million</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resulting in gross profit of $378.6 million, compared to cost of sales of $325.4 million and gross profit of $332.1 million for the same period in 2024. The gross margins for the nine months ended September 30, 2025 and 2024 were 52% and 51%, respectively. This increase in gross margin was primarily driven by improved average selling prices and reduced non-manufacturing costs, partially offset by the impact of less favorable product 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for the nine months ended September 30, 2025 were $574.1 million, compared to $430.7 million for the nine months ended September 30, 2024. The $143.4 million increase was primarily driven by a $75.2 million charge to IPR&amp;D in connection with the revised AMF purchase agreement (see Note 13, “Acquisitions”), a $20.0 million litigation and settlement expense, costs related to our international and domestic sales force expansions, and certain operating lease impairment and restructuring charges recognized during 2025.</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SG&amp;A expenses, including one-time charges for non-recurring facility impairment costs of $6.7 million and restructuring costs of $4.2 million, were $331.9 million for the nine months ended September 30, 2025, compared to $284.0 million for the same period in 2024. After one-time costs, the remaining increase was largely driven by commercial investments in sales infrastructure, including sales force expansion in the United States, costs to support direct operations in Europe and initiatives to create future efficiencies in operations.</w:t>
      </w:r>
    </w:p>
    <w:tbl>
      <w:tblPr>
        <w:tblW w:w="6356" w:type="dxa"/>
        <w:jc w:val="left"/>
        <w:tblInd w:w="0" w:type="dxa"/>
        <w:tblLayout w:type="fixed"/>
        <w:tblCellMar>
          <w:top w:w="28" w:type="dxa"/>
          <w:left w:w="28" w:type="dxa"/>
          <w:bottom w:w="28" w:type="dxa"/>
          <w:right w:w="28" w:type="dxa"/>
        </w:tblCellMar>
      </w:tblPr>
      <w:tblGrid>
        <w:gridCol w:w="1201"/>
        <w:gridCol w:w="1055"/>
        <w:gridCol w:w="1058"/>
        <w:gridCol w:w="241"/>
        <w:gridCol w:w="944"/>
        <w:gridCol w:w="124"/>
        <w:gridCol w:w="124"/>
        <w:gridCol w:w="124"/>
        <w:gridCol w:w="124"/>
        <w:gridCol w:w="241"/>
        <w:gridCol w:w="944"/>
        <w:gridCol w:w="176"/>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321,034 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Non-recurring facility impairment costs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331,889 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283,987 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Litigation and Settlement Expense. </w:t>
      </w:r>
      <w:r>
        <w:rPr>
          <w:rFonts w:ascii="Times New Roman;serif" w:hAnsi="Times New Roman;serif"/>
          <w:b w:val="false"/>
          <w:color w:val="000000"/>
          <w:sz w:val="20"/>
        </w:rPr>
        <w:t>Litigation and settlement expenses of $20.0 million for the nine months ended September 30, 2025 related to the Roche Cross-License Agreement. We did not incur any litigation and settlement expenses for the nine months ended September 30, 2024.</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R&amp;D expenses were $147.0 million for the nine months ended September 30, 2025, compared to $146.7 million for the same period in 2024. The current period includes $3.1 million of non-recurring restructuring costs. Excluding these costs, the decrease was primarily due to lower stock-based compensation expense of $1.9 million.</w:t>
      </w:r>
    </w:p>
    <w:tbl>
      <w:tblPr>
        <w:tblW w:w="5351" w:type="dxa"/>
        <w:jc w:val="left"/>
        <w:tblInd w:w="0" w:type="dxa"/>
        <w:tblLayout w:type="fixed"/>
        <w:tblCellMar>
          <w:top w:w="28" w:type="dxa"/>
          <w:left w:w="28" w:type="dxa"/>
          <w:bottom w:w="28" w:type="dxa"/>
          <w:right w:w="28" w:type="dxa"/>
        </w:tblCellMar>
      </w:tblPr>
      <w:tblGrid>
        <w:gridCol w:w="837"/>
        <w:gridCol w:w="734"/>
        <w:gridCol w:w="738"/>
        <w:gridCol w:w="241"/>
        <w:gridCol w:w="944"/>
        <w:gridCol w:w="124"/>
        <w:gridCol w:w="124"/>
        <w:gridCol w:w="124"/>
        <w:gridCol w:w="124"/>
        <w:gridCol w:w="241"/>
        <w:gridCol w:w="944"/>
        <w:gridCol w:w="17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143,936 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R&amp;D expenses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Acquired In-Process Research and Development (IPR&amp;D) Expenses. </w:t>
      </w:r>
      <w:r>
        <w:rPr>
          <w:rFonts w:ascii="Times New Roman;serif" w:hAnsi="Times New Roman;serif"/>
          <w:b w:val="false"/>
          <w:color w:val="000000"/>
          <w:sz w:val="20"/>
        </w:rPr>
        <w:t>Acquired</w:t>
      </w:r>
      <w:r>
        <w:rPr>
          <w:color w:val="000000"/>
        </w:rPr>
        <w:t xml:space="preserve"> </w:t>
      </w:r>
      <w:r>
        <w:rPr>
          <w:rFonts w:ascii="Times New Roman;serif" w:hAnsi="Times New Roman;serif"/>
          <w:b w:val="false"/>
          <w:color w:val="000000"/>
          <w:sz w:val="20"/>
        </w:rPr>
        <w:t>IPR&amp;D expenses were $75.2 million for the nine months ended September 30, 2025, which represented costs associated with the revised AMF purchase agreement (see Note 13, “Acquisitions”). We did not incur any IPR&amp;D expenses for the nine months ended September 30, 2024.</w:t>
      </w:r>
    </w:p>
    <w:p>
      <w:pPr>
        <w:pStyle w:val="TextBody"/>
        <w:bidi w:val="0"/>
        <w:spacing w:lineRule="auto" w:line="288" w:before="200" w:after="283"/>
        <w:ind w:left="0" w:right="0" w:firstLine="360"/>
        <w:jc w:val="left"/>
        <w:rPr/>
      </w:pPr>
      <w:r>
        <w:rPr>
          <w:rFonts w:ascii="Times New Roman;serif" w:hAnsi="Times New Roman;serif"/>
          <w:b/>
          <w:color w:val="000000"/>
          <w:sz w:val="20"/>
        </w:rPr>
        <w:t>Other Income (Expense), Net</w:t>
      </w:r>
      <w:r>
        <w:rPr>
          <w:color w:val="000000"/>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 for the nine months ended September 30, 2025 was a $9.4 million loss, compared to a net income of $6.7 million for the same period in 2024. Other expense, net for the nine months ended September 30, 2025 primarily consisted of $9.6 million loss on equity investment, $5.8 million of interest expense which included the amortization of debt issuance costs related to our convertible senior notes, and $5.0 million realized loss from foreign currency transactions, offset by $11.1 million of interest income earned on our cash equivalents and short-term investments. Other income, net for the nine months ended September 30, 2024 primarily consisted of $16.7 million of interest income earned on our cash equivalents and short-term investments, partially offset by $5.6 million of interest expense which included the amortization of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income tax benefit of $0.8 million on a pre-tax loss of $205.0 million for the nine months ended September 30, 2025, compared to income tax expense of $4.9 million on a pre-tax loss of $91.9 million for the nine months ended September 30, 2024. Income tax benefit for the nine months ended September 30, 2025 was due to a reduction in domestic cash tax expense as a result of the passage of the OBBBA legislation in July 2025. The OBBBA included various provisions with multiple effective dates, including, but not limited to, immediate expensing of domestic research and development expenditures. The impacts of the OBBBA are reflected in our results for the nine months ended September 30, 2025. Additionally, certain foreign cash tax expenses were reduced in the current period. Income tax expense for the nine months ended September 30, 2024 was primarily attributable to federal, state and foreign income tax expense as a result of current taxable income in certain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$319.1 million in cash and cash equivalents and short-term investments. We believe that our cash and cash equivalents, short-term investments, and future cash flows from operations will be sufficient to fund our ongoing core business activities for at least the next 12 months.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asset acquisitions, capital expenditures and debt service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our principal sources of cash have included cash collected from product sales, private and public offerings of equity securities, exercises of employee stock awards and debt financing. We expect to rely primarily on product sales to fund our material cash requirements in both the short and long term.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nine months ended September 30, 2025 and 2024 (in thousands):</w:t>
      </w:r>
    </w:p>
    <w:tbl>
      <w:tblPr>
        <w:tblW w:w="7387" w:type="dxa"/>
        <w:jc w:val="left"/>
        <w:tblInd w:w="0" w:type="dxa"/>
        <w:tblLayout w:type="fixed"/>
        <w:tblCellMar>
          <w:top w:w="28" w:type="dxa"/>
          <w:left w:w="28" w:type="dxa"/>
          <w:bottom w:w="28" w:type="dxa"/>
          <w:right w:w="28" w:type="dxa"/>
        </w:tblCellMar>
      </w:tblPr>
      <w:tblGrid>
        <w:gridCol w:w="1564"/>
        <w:gridCol w:w="1372"/>
        <w:gridCol w:w="1384"/>
        <w:gridCol w:w="238"/>
        <w:gridCol w:w="899"/>
        <w:gridCol w:w="123"/>
        <w:gridCol w:w="123"/>
        <w:gridCol w:w="123"/>
        <w:gridCol w:w="123"/>
        <w:gridCol w:w="238"/>
        <w:gridCol w:w="814"/>
        <w:gridCol w:w="123"/>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87,852 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(28,492)</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22,713 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pPr>
      <w:r>
        <w:rPr>
          <w:rFonts w:ascii="Times New Roman;serif" w:hAnsi="Times New Roman;serif"/>
          <w:b w:val="false"/>
          <w:i/>
          <w:color w:val="000000"/>
          <w:sz w:val="20"/>
        </w:rPr>
        <w:t>Operating Activities</w:t>
      </w:r>
      <w:r>
        <w:rPr>
          <w:rFonts w:ascii="Times New Roman;serif" w:hAnsi="Times New Roman;serif"/>
          <w:b w:val="false"/>
          <w:color w:val="000000"/>
          <w:sz w:val="20"/>
        </w:rPr>
        <w:t>. Net cash used in operating activities was $19.5 million for the nine months ended September 30, 2025, compared to $13.5 million cash provided in the same period in 2024. For the nine months ended September 30, 2025, net loss was $204.1 million, net non-cash adjustments were $184.1 million, and the change in working capital balances was an increase of $0.5 million. For the nine months ended September 30, 2024, net loss was $96.8 million, net non-cash adjustments were $98.8 million and the change in working capital balances was an increase of $11.5 million.</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Investing Activities</w:t>
      </w:r>
      <w:r>
        <w:rPr>
          <w:rFonts w:ascii="Times New Roman;serif" w:hAnsi="Times New Roman;serif"/>
          <w:b w:val="false"/>
          <w:color w:val="000000"/>
          <w:sz w:val="20"/>
        </w:rPr>
        <w:t>. Net cash provided by investing activities was $87.9 million for the nine months ended September 30, 2025,</w:t>
      </w:r>
      <w:r>
        <w:rPr>
          <w:color w:val="000000"/>
        </w:rPr>
        <w:t xml:space="preserve"> </w:t>
      </w:r>
      <w:r>
        <w:rPr>
          <w:rFonts w:ascii="Times New Roman;serif" w:hAnsi="Times New Roman;serif"/>
          <w:b w:val="false"/>
          <w:color w:val="000000"/>
          <w:sz w:val="20"/>
        </w:rPr>
        <w:t>which primarily consisted of $200.6 million in proceeds from maturities and redemptions of short-term investments, offset by $56.0 million in purchases of short-term investments, $43.5 million paid for IPR&amp;D, and $13.3 million in purchases of property and equipment. Net cash used in investing activities was $28.5 million for the nine months ended September 30, 2024, which primarily consisted of $251.4 million of purchases of short-term investments, and $16.2 million in purchases of property and equipment, offset by $239.0 million in proceeds from maturities and redemptions of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Financing Activities. </w:t>
      </w:r>
      <w:r>
        <w:rPr>
          <w:rFonts w:ascii="Times New Roman;serif" w:hAnsi="Times New Roman;serif"/>
          <w:b w:val="false"/>
          <w:color w:val="000000"/>
          <w:sz w:val="20"/>
        </w:rPr>
        <w:t>Net cash used in financing activities was</w:t>
      </w:r>
      <w:r>
        <w:rPr>
          <w:color w:val="000000"/>
        </w:rPr>
        <w:t xml:space="preserve"> </w:t>
      </w:r>
      <w:r>
        <w:rPr>
          <w:rFonts w:ascii="Times New Roman;serif" w:hAnsi="Times New Roman;serif"/>
          <w:b w:val="false"/>
          <w:color w:val="000000"/>
          <w:sz w:val="20"/>
        </w:rPr>
        <w:t>$46.0</w:t>
      </w:r>
      <w:r>
        <w:rPr>
          <w:color w:val="000000"/>
        </w:rPr>
        <w:t xml:space="preserve"> </w:t>
      </w:r>
      <w:r>
        <w:rPr>
          <w:rFonts w:ascii="Times New Roman;serif" w:hAnsi="Times New Roman;serif"/>
          <w:b w:val="false"/>
          <w:color w:val="000000"/>
          <w:sz w:val="20"/>
        </w:rPr>
        <w:t>million for the nine months ended September 30, 2025, which consisted of $40.8 million used to pay the principal portion of the 2025 Notes and payments for tax withholdings related to the issuance of common stock under our stock plans, net of proceeds received from common stock issuances for the period. Net cash provided by financing activities was $6.1 million for the nine months ended September 30, 2024, which primarily consisted of net proceeds of $306.9 million from the issuance of the 2029 Notes which was partially offset by $246.1 million used in the repurchase of 2025 Notes, $30.0 million used in the repurchase and retirement of common stock and $15.8 million used to purchase Capped Call Options related to the 2029 Notes. In addition, $9.0 million was used in payments for tax withholdings related to the issuance of common stock under our stock plans, net of proceeds received from common stock issuances for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liquidity position and capital requirements are subject to fluctuation based on a number of factors. In particular, our cash inflows and outflows are principally impacted by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generate sales, the timing of those sales, the mix of products sold and the collection of receivables from period to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contractual debt obligations, including periodic interest payments;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timing of any additional financings, and the net proceeds raised from such financings;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amount of proceeds from the issuance of equity awards pursuant to employee stock plans;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fluctuations in costs, gross and operating margins;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working capital, including changes in accounts receivable, inventories, accounts payable, employee-related liabilities, and operating lease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Both our primary short-term and long-term capital needs are expected to include expenditures related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support of our commercialization efforts related to our current and future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expansion of our commercial resources for our growing installed customer base;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research and product development efforts, including clinical trial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acquisitions, including strategic investments, equity method investments and future contingent payments associated with acquisitions;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leasing or licensing of equipment, technology, intellectual property and other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additional facilities leases and related tenant improvements;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investments for the development, improvement and acquisition of manufacturing, testing and packaging equipment to support business growth and increase capacity;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payments under licensing, development and commercialization agreements;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integration costs related to acquisitions of businesses, products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our quantitative and qualitative disclosures about market risk during the nine months ended September 30, 2025 contained in Part II, Item 7A of our Annual Report on Form 10-K for the fiscal year ended December 31, 2024, other than our entry into foreign currency forward contracts to mitigate the impact of foreign currency exchange rate fluctuations on the portions of our revenue and operating expenses and contractual payment obligations that are denominated in currencies other than the U.S. dollar. See Note 9 in Part I, Item 1 of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September 30,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provide reasonable assurance of achieving their objectives as specified above. However, management does not expect that our disclosure controls and procedures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of the Exchange Act) during the quarter ended September 30,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“Commitments and Contingencies - Legal and Regulatory Matters” in Part I, Notes to Unaudited Condensed Consolidated Financial Statements, Note 14 of this Quarterly Report, as of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immediately after this summary, and should be carefully considered, together with other information in this Quarterly Report and the Annual Report, before making investment decisions regarding our securities.</w:t>
      </w: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incurred significant operating losses since inception and cannot assure you that we will achieve sustained profitability.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maintain and grow our revenue depends in part on retaining a high percentage of our customer base.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operate in a very competitive industry and if we fail to compete successfully against our existing or future competitors, or if the competitive environment harms our business partners, our financial condition and operating results may be negatively affected.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face unexpected challenges in marketing and selling our products, and training new customers on the use of our products, which could harm our ability to achieve our sales forecasts.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sales and marketing efforts in the United States are largely dependent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dependent on clinical investigators and clinical sites to enroll participants in our current and anticipated clinical trials and human factors studies, and the failure to successfully complete clinical trials and studies could prevent us from obtaining regulatory clearances, certifications, or approvals for or commercializing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Any concerns regarding the safety or efficacy of our products could limit sales and cause unforeseen negative effects to our business prospects and financial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Commercializing our products outside of the United States may result in a variety of risks associated with international operations that could materially adversely affect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incurred a significant amount of indebtedness and the agreements governing such indebtedness subject us to required debt service payments, any of which may restrict our financial flexibility and affect our ability to operate our business.</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Risks Related to Our Future Financings and Financial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need to raise additional funds in the future and if we are unable to raise additional funds when necessary or desirable, we may not be able to achieve our strategic objectives.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operating results may fluctuate significantly from quarter to quarter.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Macroeconomic Conditions and External Factors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International trade policies, including tariffs, sanctions and trade barriers may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Uncertainty in current global economic and political conditions could adversely affect our ability to predict product demand and impact our financial results and make it more likely that our actual results could differ materially from expectations.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Privacy and Security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Legal and Intellectual Property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comprehensively protect our intellectual property and proprietary technology is uncertain.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Regulatory Environment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recall or suspension of our products, or the discovery of serious safety issues with our products, could have a significant negative impact on us.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Risks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use our net operating loss carryforwards and certain other tax attributes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240" w:after="283"/>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the cautionary note regarding forward-looking statements at the beginning of Part I, Item 2, Management’s Discussion and Analysis of Financial Condition and Results of Operations of this Quarterly Report.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risk factors set forth below marked with an asterisk (*) next to the title did not appear as separate risk factors in, or contain changes to the similarly titled risk factor included in, Part I, Item 1A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significant operating losses since inception and cannot assure you that we will achieve sustained profitability.*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in January 2006, we have incurred a significant net loss. As of September 30, 2025, we had an accumulated deficit of $1.3 billion. To date, we have funded our operations primarily through cash collected from product sales, private and public offerings of our equity securities, and debt financings. We have devoted substantially all of our resources to the design, development and commercialization of our products, the scaling of our manufacturing and business operations, and the research and development of our current products and products under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first quarter of 2013, we have been able to manufacture and sell our insulin pump products at a cost and in volumes sufficient to allow us to achieve a positive overall gross margin. Although we have achieved a positive overall gross margin during the years ended December 31, 2024, 2023 and 2022, we had net losses from operations in those years, and we may continue to incur net losses from operations in the future.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implement our business strategy and achieve consistent profitability, we need to, among other things, increase sales of our products through various sales channels and the gross profit associated with those sales, maintain an appropriate customer service, training and support infrastructure, fund ongoing research and development (R&amp;D) activities, create additional efficiencies in our manufacturing processes while adding to our capacity, and obtain regulatory clearance, certification or approval to commercialize our products currently under development both in the United States and the 24 countries outside the United States in which our insulin pumps are available. We expect our expenses will continue to increase as we pursue these objectives and make investments in our business. Additional increases in our expenses without commensurate increases in sales could significantly increase our operating losses.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extent of our future operating losses and the timing of our profitability are highly uncertain in light of a number of factors, including the timing of the launch of new products and product features by us and our competitors, market acceptance of our products and competing products by people with insulin-dependent diabetes, their caregivers and healthcare providers, the timing of regulatory clearance, certification, or approval of our products and the products of our competitors, the actual efficiencies gained in our manufacturing processes, and general economic conditions. Any additional operating losses will have an adverse effect on our stockholders’ equity, and we cannot assure you that we will be able to achieve and sustain profitability.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nearly all of our revenue from the sale of our insulin pumps and the related insulin cartridges and infusion sets. Sales of these products may be negatively impacted by many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the insulin pumps and related products manufactured and sold by our key competitors, including Beta Bionics, Insulet, Medtronic, Sequel and Ypsomed;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that breakthroughs for the monitoring, treatment or prevention of diabetes may render our insulin pumps obsolete or less desirable or reduce the size of our potential market;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adverse regulatory or legal actions relating to our products, or similar products or technologies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of our Tandem Device Updater to accurately and timely provide customers with remote access to new product features and functionality as anticipated, or our failure to obtain regulatory clearance, certification, or approval for any such updates;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reimbursement rates or policies relating to insulin pumps or similar products or technologies by third-party payors;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competitive pricing and attrition rates of consumers who cease using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enter into contracts with third-party payors on a timely basis and on acceptable terms;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expand our sales channels, including the pharmacy channel in the United States;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problems arising from the expansion of our manufacturing capabilities and commercial operations, or destruction, loss, or temporary shutdown of our manufacturing facilities;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concerns regarding the perceived safety, reliability or cybersecurity of any of our products, or any component thereof, particularly in connection with the launch of additional mobile app features and functionality and other software products;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claims that any of our products, or any component thereof, infringes on patent rights or other intellectual property rights of third parties.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sales of any of our current or future insulin pump products with continuous glucose monitoring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currently rely on sales of our insulin pumps, and related products to generate a significant majority of our revenue, any factors that negatively impact sales of these products (or negatively impact the products or components integrated with these products) could adversely affect our business, financial condition and operating results.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maintain and grow our revenue depends in part on retaining a high percentage of our customer base.*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key to maintaining and growing our revenue is the retention of a high percentage of our customers due to the potentially significant revenue generated from ongoing purchases of single-use infusion sets, insulin cartridges and other supplies. In addition, our pumps are designed and tested to remain effective for at least four years and a customer may consider purchasing another pump from us when the time comes to replace it.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competing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certification, or approvals for products or product features in a timely manner or at all, product development or commercialization delays, the impacts and disruption from health epidemics or pandemics, international conflicts, or for other reasons.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failure to retain a high percentage of our customers and increase sales to these customers consistent with our forecasts would have a material adverse effect on our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 On June 30, 2025, the Centers for Medicare and Medicaid Services (CMS), which administers the U.S. Medicare program, outlined a proposed competitive bidding process for some medical equipment, including continuous glucose monitors and insulin pumps that could affect reimbursement rates for our products. In addition, CMS outlined a proposed change in payment for these devices to a monthly rental basis which could impact when our pumps are shipped and corresponding revenue is recognized.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guidelines in setting their coverage and reimbursement policies, many third-party payors in the United States use coverage decisions and payment amounts determined by CMS. Medicare periodically reviews its reimbursement practices for diabetes-related products, and there is uncertainty as to the future Medicare coverage structure and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pursuing a multi-channel managed care strategy and have begun offering Tandem Mobi pumps and supplies through the pharmacy channel, as well as cartridge and infusion sets for t:slim X2 customers. However, the commercial opportunity in the pharmacy channel will be limited unless a substantial portion of the sales price for any products offered through the pharmacy channel is covered by third-party payors, including private insurance companies, health maintenance organizations, preferred provider organizations, federal and state government healthcare agencies, intermediaries, Medicare, Medicaid and other managed care providers. Medicare Part D plan sponsors may provide coverage for certain products under the Medicare Part D prescription drug program, which requires negotiating with third-party payors to provide these products through the pharmacy channel in the United States. If our efforts to enter into and maintain additional contracts with intermediaries and third-party payors for products we offer or seek to offer through the pharmacy channel take longer than anticipated or are not successful, our ability to successfully offer these products or any future products through the pharmacy channel will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there will continue to be proposals by legislators at both the federal and state levels, regulators and third-party payors to reduce costs while expanding individual healthcare benefits, particularly in light of the change of administration. The current administration is pursuing policies to reduce regulations and expenditures across government including at the U.S. Department of Health and Human Services (HHS), the FDA, CMS and related agencies. It is possible that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contracts establishing reimbursement for our insulin pump products with a number of national and regional third-party payors in the United States. While we may enter into additional contracts both in the United States and the countries outside the United States in which our insulin pumps and supplies are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or in certain channels, including the pharmacy channel. In particular, we have limited experience securing reimbursement in international markets. Government involvement in funding healthcare may limit access to or reimbursement for our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healthcare industry continues to be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operate in a very competitive industry and if we fail to compete successfully against our existing or future competitors, or if the competitive environment harms our business partners, our financial condition and operating results may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medical device industry is intensely competitive, subject to rapid change and highly sensitive to the introduction of new products, treatment techniques or technologies, as well as other activities of industry participants. To continue to compete effectively, we must continue to create, invest in or acquire advanced technology, incorporate this technology into our proprietary products, obtain regulatory clearance, certification, or approvals in a timely manner, and manufacture and successfully market our products. Given these factors, we cannot guarantee that we will be able to compete effectively or continue our level of success.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competitors are major medical device companies, primarily Beta Bionics, Insulet, Medtronic, Sequel and Ypsomed. There are also a number of other companies developing and marketing their own insulin delivery systems and/or related software applications, including insulin pumps and Bluetooth-enabled insulin pens to support MDI therapy. Our primary competitors enjoy several competitive advantages over us,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financial and human resources for sales and marketing, product development, customer service and clinical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ability to respond to competitive pressures, regulatory uncertainty, or challenges within the financial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established relationships with healthcare providers, third-party payors and regulatory agencies;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established reputation and name recognition among healthcare providers and other key opinion leaders in the medical industry generally and the diabetes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larger and more established distribution networks;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ability to cross-sell products or provide incentives to healthcare providers to use their products;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more experience in conducting R&amp;D, manufacturing, clinical trials, and obtaining regulatory approval or clearance.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with non-exclusive licenses to integrate various generations of Dexcom CGM technology with our insulin pump products. We have also entered into agreements with Abbott to develop and commercialize integrated diabetes solutions using Abbott’s glucose sensors. There can be no assurance that our collaborations with Dexcom and Abbott will be successful or that we will not experience delays, business disputes, or other unanticipated challenges. Competitive pressures within our industry could negatively impact the financial condition of our business partners and impact their ability to fulfill contractual obligations to us, which could negatively impact our product sales, result in delays in obtaining regulatory clearances, certifications, or approvals for new products, harm our reputation, and result in harm to our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these and other reasons, we may not be able to compete successfully against our current or potential future competitors, which could have a material adverse impact on our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and could result in delayed purchases or a decline in market share. For example, since 2023, ongoing adoption of the GLP-1 class of drugs in diabetes and news surrounding the expansion of use of GLP-1 drugs in obesity has likely had a negative impact on the insulin therapy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insulin-dependent diabetes market is large and growing, we anticipate companies will continue to dedicate significant resources to developing competing products and technologies. The introduction by competitors of products that are or claim to be superior to our products may create market confusion that may make it difficult to differentiate the benefits of our products over competing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we have designed our hardware products to resemble modern consumer electronic devices to address certain wearability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face unexpected challenges in marketing and selling our products, and training new customers on the use of our products, which could harm our ability to achieve our sales forecasts.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marketing and selling our newer products as well as training new customers on their use, particularly in markets outside of United States. In addition, the vast majority of our existing customers are individuals with type 1 diabetes, and we have limited experience marketing and selling our products to customers with type 2 diabetes.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are restricted in their ability to interact with healthcare professionals and customers, our sales could decrease or may not increase at levels that are in line with our forecasts.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sales and marketing efforts in the United States are largely dependent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a majority of our sales within the United States will continue to be to independent distributors for the foreseeable future, and it is possible that the percentage of our sales to independent distributors could increase.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If we are unable to maintain or expand our network of independent distributors, our sales may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independent distributors in the United States have been required to sell our products exclusively and each of them may freely sell the products of our competitors. As a result, our independent distributors may not devote a sufficient level of resources and the support required to generate awareness of our products and grow or maintain product sales at the levels we expect, which may negatively affect our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third parties on which we increasingly rely to assist us with our current and anticipated pre-clinical development or clinical trials do not perform as expected, we may not be able to obtain regulatory clearance, certification, or approval or commercialize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certification, or approval for, or successfully commercialize, our products on a timely basis, if at all, and our business, operating results and prospects may be adversely affected.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clearances, certifications, or approvals for our products and commercializing our products, which would have an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important assumptions about the potential market for our products are inaccurate, or if we have failed to understand what people with insulin-dependent diabetes are seeking in an insulin pump, our business and operating results may be adversely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World Health Organization data indicates that the incidence of diabetes in the United States and worldwide is increasing. Further,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competing products, could differ materially from our projections. In addition, our strategy of focusing exclusively on the insulin-dependent diabetes market may limit our ability to increase sales or achieve profitability.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Another key element of our business strategy is using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with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Any concerns regarding the safety and efficacy of our products could limit sales and cause unforeseen negative effects on our business prospects and financial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competing products. Such results could slow the adoption of our products and significantly reduce our sales, which could prevent us from achieving our forecasted sales targets or achieving or sustaining profitability.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clearance, certification, or approval from regulatory authorities or Notified Bodies, product recalls or seizure, operating restrictions, interruption of production, fines, civil penalties and criminal prosecution which could result in significant legal liability, harm to our reputation, and a decline in our product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actual or alleged illness or injury associated with any of our products or product recalls, software recalls or medical device corrections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We have initiated voluntary recalls and corrections in the past.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achieve profitability will depend, in part, on our ability to reduce the per-unit cost of our products while also increasing production volume.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the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Manufacturing risks may adversely affect our ability to manufacture products, which could negatively impact our sales and operating margins.*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quality or reliability defects in product components that we source from third-party suppliers;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secure product components in a timely manner due to shipping delays at ports of entry or exit, the impact of natural disasters, global conflicts, health pandemics or other issues, in sufficient quantities and on commercially reasonable terms;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difficulty identifying and qualifying alternative suppliers for components in a timely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implementing and maintaining acceptable quality systems while experiencing rapid growth;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failure to increase production of products to meet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modify production lines and expand manufacturing facilities to enable us to efficiently produce future products or implement changes in current products in response to consumer demand or regulatory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inability to manufacture multiple products simultaneously while utilizing common manufacturing equipment;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government-mandated or voluntary closures of, or operational limitations impacting, our manufacturing facilities;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damage to or destruction of our manufacturing equipment or manufacturing facilities.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demand for our products increases, and as the number of our commercial products expands, we will have to invest additional resources to purchase components, hire and train employees, and enhance our manufacturing processes and quality systems. We have also increased our use of third parties to perform contracted manufacturing services for us and failure in our oversight of these third parties or any disruption to their network business could negatively impact our business operations. We may also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modifying our production lines, hiring specialized employees, identifying new suppliers for specific components, qualifying and implementing additional equipment and procedures, obtaining new regulatory clearances, certifications, or approvals, or developing new manufacturing technologies. Ultimately, it may not be possible for us to manufacture these products at a cost or in quantities sufficient to make these products commercially viable.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our contract manufacturers or our suppliers fail to increase our production capacity to meet consumer demand while also maintaining product quality standards, obtaining and maintaining regulatory clearances, certifications, or approvals, and efficiently managing costs, our sales and operating margins could be negatively impacted, which would have an adverse impact on our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rely, and expect to continue to rely, on third-party suppliers to supply components of our current products and our potential future products, including our single-use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If we fail to obtain sufficient quantities of high-quality components to meet demand on a timely basis, we could lose customer orders, our reputation may be harmed, and our business could suffer.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consistently evaluate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have difficulty obtaining components from other suppliers that are acceptable to the FDA or other comparable foreign regulatory authorities, or Notified Bodies, and the failure of our suppliers to comply with regulatory requirements could expose us to regulatory action including warning letters, product recalls, termination or interruption of distribution, operating restrictions, product seizures, delays in obtaining approval or clearance of future products, suspension or withdrawal of approvals, clearances, or certification, fines, civil penalties, or criminal prosecution. Such a failure by our suppliers could also require us to cease using the components, seek alternative components or technologies, and modify our products to incorporate alternative components or technologies, which could necessitate additional regulatory clearances, certifications, or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Any disruption at one of our facilities could adversely affect our business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experience the anticipated operating efficiencies of our manufacturing and warehousing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scale our business operations and add manufacturing requirements for products currently under development. We have outsourced the majority of our t:slim cartridge manufacturing demand to an experienced third-party contract manufacturer and consistently evaluating the outsourcing of other aspects of our operations.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enter into collaborations, licensing arrangements, joint ventures, strategic alliances or partnerships with third parties that may not result in the development of commercially viable products or the generation of significant future revenues.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beyond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Modifications to our business strategy or restructuring of our operations could lead to higher costs or otherwise impact the profitability of our business or the value of our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changes occur in our business environment, we have adjusted, and may continue to adjust, our business strategies, including our pursuit of a multi-channel managed care strategy to include offering certain products through the pharmacy channel. We may also decide to further restructure our operations, specific business functions, or assets. However, any new structure and strategies may not deliver the expected benefits, such as supporting our growth objectives or enhancing shareholder value and could prove less effective than our previous approach. Additionally, external factors, including evolving technology, shifting consumer behaviors, acceptance of our products, and macroeconomic changes, could negatively impact the value of our assets. These changes or events may lead to costs associated with adjusting our business strategy and potentially necessitate writing down asset values.</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Commercializing our products outside of the United States may result in a variety of risks associated with international operations that could materially adversely affect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sales in the approximately 24 countries in which our products are offered outside the United States, which accounted for approximately 28% of our total sales during 2024, are accompanied by certain financial and other risks related to international business markets, including:</w:t>
      </w:r>
    </w:p>
    <w:p>
      <w:pPr>
        <w:pStyle w:val="TextBody"/>
        <w:bidi w:val="0"/>
        <w:spacing w:before="0" w:after="0"/>
        <w:ind w:left="0" w:right="0" w:firstLine="90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product preferences and differing regulatory requirements for product clearances, certifications, or approvals;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differing U.S. and foreign medical device import and export rules;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more restrictive privacy and security laws relating to personal information of end-users and employees, including GDPR and other E.U. Member State national legislation;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reduced protection for our intellectual property rights in certain countries outside the United States compared to the protection that exists in the United States;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tariffs, trade barriers and regulatory requirements;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weakness, including inflation and workforce instability, and political instability in foreign economies and markets;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compliance with tax, employment, immigration and labor laws, such as the Foreign Corrupt Practices Act and comparable foreign legislation;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associated with foreign legal systems, including increased costs associated with enforcing contractual obligations in foreign jurisdictions;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instability and actual or anticipated military or political conflicts;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managing international relationships, including any relationships that we establish with foreign partners, distributors, or sales or marketing agents;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foreign taxes, including withholding and payroll taxes;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different reimbursement systems;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effectively transition to direct sales in certain European countries, manage the complexity of our global operations successfully or if we incur unanticipated expenses, we may not achieve the expected benefits of this expansion and our financial condition and results of operations could be materially and adversely impacted.</w:t>
      </w:r>
    </w:p>
    <w:p>
      <w:pPr>
        <w:pStyle w:val="TextBody"/>
        <w:bidi w:val="0"/>
        <w:spacing w:before="0" w:after="0"/>
        <w:ind w:left="0" w:right="0" w:firstLine="720"/>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Failure to obtain any required regulatory authorization, clearance or certification in foreign jurisdictions will prevent us from marketing our products in international markets.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our products in certain countries outside the United States and may seek to begin commercial sales of our products in additional geographies in the future. As we continue to expand our operations outside of the United States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Failure to comply with the U.S. Foreign Corrupt Practices Act and similar worldwide anti-bribery laws could materially adversely affect our business and result in civil and/or criminal sanctions.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FCPA, the U.K. Bribery Act, and similar anti-bribery laws enacted in other jurisdictions generally prohibit companies and their intermediaries from making improper payments to foreign officials for the purpose of obtaining or retaining business. Because of the predominance of government-sponsored healthcare systems around the world, most of our customer relationships outside of the United States are with governmental entities and are therefore subject to such anti-bribery laws. Because we do business in the U.K., the U.K. Bribery Act also extends to our interaction with public and private sector entities and persons outside the U.K., including in the United States. Our policies mandate compliance with these anti-bribery laws. We operate in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anti-bribery laws, or allegations of such violations, could disrupt our business and have a material adverse effect on our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a significant amount of indebtedness, and the agreements governing such indebtedness subject us to required debt service payments, any of which may restrict our financial flexibility and affect our ability to operate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have financed our liquidity needs under various credit arrangements and we may borrow additional funds in the future. For example, in March 2024, we completed the offering of $316.3 million aggregate principal amount of 1.50% Convertible Senior Notes due 2029 (the 2029 Notes), which are governed by the terms of an indenture (the indenture). In March 2024, we used the proceeds from the offering of the 2029 Notes to repurchase approximately $246.7 million aggregate principal amount of certain Convertible Senior Notes due 2025 (the 2025 Notes) in privately negotiated transactions with holders of the 2025 Notes and in the second quarter of 2025, all remaining 2025 Notes were paid in full. The 2029 Notes are our senior unsecured obligations, and interest on the 2029 Notes is payable in cash semi-annually at a rate of 1.50% per year.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certain obligations under the 2029 Notes, or inability to make required debt service payments, could result in an event of default under the indenture. A default, if not cured or waived, could result in acceleration of the 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current or future level of indebtedness could affect our business, operations and strategy in several important ways, including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required to dedicate a portion of our current liquidity or cash flow from operations to interest payments, limiting the availability of cash for other purposes;</w:t>
      </w:r>
    </w:p>
    <w:p>
      <w:pPr>
        <w:pStyle w:val="TextBody"/>
        <w:bidi w:val="0"/>
        <w:spacing w:lineRule="auto" w:line="288" w:before="0" w:after="0"/>
        <w:ind w:left="0" w:right="0" w:hanging="360"/>
        <w:jc w:val="left"/>
        <w:rPr>
          <w:color w:val="000000"/>
        </w:rPr>
      </w:pPr>
      <w:r>
        <w:rPr>
          <w:color w:val="000000"/>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covenants contained in future agreements governing indebtedness may limit our ability to borrow additional funds, refinance indebtedness or make certain investments;</w:t>
      </w:r>
    </w:p>
    <w:p>
      <w:pPr>
        <w:pStyle w:val="TextBody"/>
        <w:bidi w:val="0"/>
        <w:spacing w:lineRule="auto" w:line="288" w:before="0" w:after="0"/>
        <w:ind w:left="0" w:right="0" w:hanging="360"/>
        <w:jc w:val="left"/>
        <w:rPr>
          <w:color w:val="000000"/>
        </w:rPr>
      </w:pPr>
      <w:r>
        <w:rPr>
          <w:color w:val="000000"/>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debt covenants may affect our flexibility in planning for, and reacting to, changes in the economy and our industry;</w:t>
      </w:r>
    </w:p>
    <w:p>
      <w:pPr>
        <w:pStyle w:val="TextBody"/>
        <w:bidi w:val="0"/>
        <w:spacing w:lineRule="auto" w:line="288" w:before="0" w:after="0"/>
        <w:ind w:left="0" w:right="0" w:hanging="360"/>
        <w:jc w:val="left"/>
        <w:rPr>
          <w:color w:val="000000"/>
        </w:rPr>
      </w:pPr>
      <w:r>
        <w:rPr>
          <w:color w:val="000000"/>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high level of indebtedness may increase our vulnerability to adverse economic and competitive conditions; and</w:t>
      </w:r>
    </w:p>
    <w:p>
      <w:pPr>
        <w:pStyle w:val="TextBody"/>
        <w:bidi w:val="0"/>
        <w:spacing w:lineRule="auto" w:line="288" w:before="0" w:after="0"/>
        <w:ind w:left="0" w:right="0" w:hanging="360"/>
        <w:jc w:val="left"/>
        <w:rPr>
          <w:color w:val="000000"/>
        </w:rPr>
      </w:pPr>
      <w:r>
        <w:rPr>
          <w:color w:val="000000"/>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high level of indebtedness may limit our ability to obtain additional financing in the future or negatively impact the terms on which additional financing may be obtained.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Servicing the 2029 Notes will require a significant amount of cash, and we may not have sufficient cash flow from our business to repay the 2029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of the principal and interest on the 2029 Notes, or to refinance the 2029 Notes depends on our future business operations and liquidity, which are subject, to numerous risks and uncertainties, including, market acceptance of our products, regulatory clearance, certification, or approval for our products, and the competitive environment in which we operate. Our business may not generate or sustain a level of cash flow from operations sufficient to service the 2029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2029 Notes, or our future indebtedness.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from time to time seek to retire or purchase our outstanding debt, including the 2029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have sufficient cash or be able to obtain financing to repurchase the 2029 Notes upon a fundamental change, or to settle conversions of the 2029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the 2029 Notes have the right to require us to repurchase their 2029 Notes upon the occurrence of a fundamental change (as defined in the indenture) at a repurchase price equal to 100% of the principal amount of the 2029 Notes to be repurchased, plus accrued and unpaid interest, if any. In addition, upon conversion of the 2029 Notes, unless we elect to deliver solely shares of our common stock to settle such conversion, we will be required to settle all or a portion of our conversion obligation through the payment of cash, which could adversely affect our liquidity. However, we may not have enough available cash or be able to obtain financing at the time we are required to make repurchases of the 2029 Notes or settle conversions of the 2029 Notes. In addition, our ability to repurchase the 2029 Notes or to pay cash upon conversions of the 2029 Notes may be limited by agreements governing our future indebtedness. Our failure to repurchase 2029 Notes at a time when the repurchase is required by the indenture, or to pay any cash payable on future conversions of the 2029 Notes as required by the indenture, would constitute an event of default under the indenture. A default under an indenture, or the fundamental change itself, could also lead to a default under agreements governing our existing or future indebtedness, including the other indenture.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Conversion of the 2029 Notes will, to the extent we deliver shares upon conversion of such 2029 Notes, dilute the ownership interest of existing stockholders and may otherwise have a negative impact on the trading price of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conversion of some or all of the 2029 Notes will dilute the ownership interests of existing stockholders to the extent we deliver shares upon conversion of any of the 2029 Notes. Any sales in the public market of the common stock issued upon the conversion of the 2029 Notes could adversely affect prevailing market prices of our common stock. In addition, the perception that some or all of the 2029 Notes may be converted into shares of our common stock in the future could have a negative impact on the trading price of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Certain provisions in the indentures governing the 2029 Notes may delay or prevent an otherwise beneficial takeover attempt.*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provisions in the indenture governing the 2029 Notes may make it more difficult or expensive for a third party to acquire us. For example, the terms of the 2029 Notes require us to offer to repurchase the 2029 Notes in the event of a fundamental change and, in certain circumstances, to increase the conversion rate for a holder that converts its 2029 Notes in connection with a make-whole fundamental change (as defined in the indenture governing the 2029 Notes). A takeover of the Company may trigger the requirement that we offer to repurchase the 2029 Notes and/or increase the conversion rate of the 2029 Notes for a holder that elects to convert its 2029 Notes, which could make it more costly for a potential acquirer to engage in such takeover. These and other provisions set forth in the indenture may have the effect of delaying or preventing a takeover of the Company that would otherwise be beneficial to investors.</w:t>
      </w:r>
    </w:p>
    <w:p>
      <w:pPr>
        <w:pStyle w:val="TextBody"/>
        <w:bidi w:val="0"/>
        <w:spacing w:lineRule="auto" w:line="288" w:before="200" w:after="240"/>
        <w:jc w:val="left"/>
        <w:rPr>
          <w:rFonts w:ascii="Times New Roman;serif" w:hAnsi="Times New Roman;serif"/>
          <w:b/>
          <w:i/>
          <w:color w:val="231F20"/>
          <w:sz w:val="20"/>
        </w:rPr>
      </w:pPr>
      <w:r>
        <w:rPr>
          <w:rFonts w:ascii="Times New Roman;serif" w:hAnsi="Times New Roman;serif"/>
          <w:b/>
          <w:i/>
          <w:color w:val="231F20"/>
          <w:sz w:val="20"/>
        </w:rPr>
        <w:t>The Capped Call Transactions may affect the value of the 2029 Notes and our common stock.*</w:t>
      </w:r>
    </w:p>
    <w:p>
      <w:pPr>
        <w:pStyle w:val="TextBody"/>
        <w:bidi w:val="0"/>
        <w:spacing w:lineRule="auto" w:line="288" w:before="200" w:after="283"/>
        <w:ind w:left="0" w:right="0" w:firstLine="720"/>
        <w:jc w:val="left"/>
        <w:rPr/>
      </w:pPr>
      <w:r>
        <w:rPr>
          <w:rFonts w:ascii="Times New Roman;serif" w:hAnsi="Times New Roman;serif"/>
          <w:b w:val="false"/>
          <w:color w:val="231F20"/>
          <w:sz w:val="20"/>
        </w:rPr>
        <w:t xml:space="preserve">In connection </w:t>
      </w:r>
      <w:r>
        <w:rPr>
          <w:rFonts w:ascii="Times New Roman;serif" w:hAnsi="Times New Roman;serif"/>
          <w:b w:val="false"/>
          <w:color w:val="000000"/>
          <w:sz w:val="20"/>
        </w:rPr>
        <w:t>with</w:t>
      </w:r>
      <w:r>
        <w:rPr>
          <w:color w:val="231F20"/>
        </w:rPr>
        <w:t xml:space="preserve"> </w:t>
      </w:r>
      <w:r>
        <w:rPr>
          <w:rFonts w:ascii="Times New Roman;serif" w:hAnsi="Times New Roman;serif"/>
          <w:b w:val="false"/>
          <w:color w:val="231F20"/>
          <w:sz w:val="20"/>
        </w:rPr>
        <w:t xml:space="preserve">the issuance of the 2029 Notes, we entered into capped call transactions (the 2029 Capped Call Transactions) with certain financial institutions (the 2029 option counterparties).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Capped Call Transaction is expected generally to reduce the potential dilution to our common stock upon any conversion of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and/or offset any cash payments we are required to make in excess of the principal amount of converted </w:t>
      </w:r>
      <w:r>
        <w:rPr>
          <w:rFonts w:ascii="Times New Roman;serif" w:hAnsi="Times New Roman;serif"/>
          <w:b w:val="false"/>
          <w:color w:val="000000"/>
          <w:sz w:val="20"/>
        </w:rPr>
        <w:t xml:space="preserve">2029 </w:t>
      </w:r>
      <w:r>
        <w:rPr>
          <w:rFonts w:ascii="Times New Roman;serif" w:hAnsi="Times New Roman;serif"/>
          <w:b w:val="false"/>
          <w:color w:val="231F20"/>
          <w:sz w:val="20"/>
        </w:rPr>
        <w:t>Notes, as the case may be, with such reduction and/or offset subject to a cap.</w:t>
      </w:r>
    </w:p>
    <w:p>
      <w:pPr>
        <w:pStyle w:val="TextBody"/>
        <w:bidi w:val="0"/>
        <w:spacing w:lineRule="auto" w:line="288" w:before="200" w:after="283"/>
        <w:ind w:left="0" w:right="0" w:firstLine="720"/>
        <w:jc w:val="left"/>
        <w:rPr/>
      </w:pPr>
      <w:r>
        <w:rPr>
          <w:rFonts w:ascii="Times New Roman;serif" w:hAnsi="Times New Roman;serif"/>
          <w:b w:val="false"/>
          <w:color w:val="231F20"/>
          <w:sz w:val="20"/>
        </w:rPr>
        <w:t xml:space="preserve">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option </w:t>
      </w:r>
      <w:r>
        <w:rPr>
          <w:rFonts w:ascii="Times New Roman;serif" w:hAnsi="Times New Roman;serif"/>
          <w:b w:val="false"/>
          <w:color w:val="000000"/>
          <w:sz w:val="20"/>
        </w:rPr>
        <w:t>counterparties</w:t>
      </w:r>
      <w:r>
        <w:rPr>
          <w:color w:val="231F20"/>
        </w:rPr>
        <w:t xml:space="preserve"> </w:t>
      </w:r>
      <w:r>
        <w:rPr>
          <w:rFonts w:ascii="Times New Roman;serif" w:hAnsi="Times New Roman;serif"/>
          <w:b w:val="false"/>
          <w:color w:val="231F20"/>
          <w:sz w:val="20"/>
        </w:rPr>
        <w:t xml:space="preserve">or their respective affiliates may modify their hedge positions by entering into or unwinding various derivatives with respect to our common stock and/or purchasing or selling our common stock or other securities of ours in secondary market transactions before the maturity of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This activity could also cause or avoid an increase or a decrease in the market price of our common stock or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which could affect a note holder’s ability to convert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w:t>
      </w:r>
    </w:p>
    <w:p>
      <w:pPr>
        <w:pStyle w:val="TextBody"/>
        <w:bidi w:val="0"/>
        <w:spacing w:lineRule="auto" w:line="288" w:before="200" w:after="283"/>
        <w:ind w:left="0" w:right="0" w:firstLine="720"/>
        <w:jc w:val="left"/>
        <w:rPr/>
      </w:pPr>
      <w:r>
        <w:rPr>
          <w:rFonts w:ascii="Times New Roman;serif" w:hAnsi="Times New Roman;serif"/>
          <w:b w:val="false"/>
          <w:color w:val="231F20"/>
          <w:sz w:val="20"/>
        </w:rPr>
        <w:t xml:space="preserve">The </w:t>
      </w:r>
      <w:r>
        <w:rPr>
          <w:rFonts w:ascii="Times New Roman;serif" w:hAnsi="Times New Roman;serif"/>
          <w:b w:val="false"/>
          <w:color w:val="000000"/>
          <w:sz w:val="20"/>
        </w:rPr>
        <w:t>potential</w:t>
      </w:r>
      <w:r>
        <w:rPr>
          <w:color w:val="231F20"/>
        </w:rPr>
        <w:t xml:space="preserve"> </w:t>
      </w:r>
      <w:r>
        <w:rPr>
          <w:rFonts w:ascii="Times New Roman;serif" w:hAnsi="Times New Roman;serif"/>
          <w:b w:val="false"/>
          <w:color w:val="231F20"/>
          <w:sz w:val="20"/>
        </w:rPr>
        <w:t xml:space="preserve">effect, </w:t>
      </w:r>
      <w:r>
        <w:rPr>
          <w:rFonts w:ascii="Times New Roman;serif" w:hAnsi="Times New Roman;serif"/>
          <w:b w:val="false"/>
          <w:color w:val="000000"/>
          <w:sz w:val="20"/>
        </w:rPr>
        <w:t>if</w:t>
      </w:r>
      <w:r>
        <w:rPr>
          <w:color w:val="231F20"/>
        </w:rPr>
        <w:t xml:space="preserve"> </w:t>
      </w:r>
      <w:r>
        <w:rPr>
          <w:rFonts w:ascii="Times New Roman;serif" w:hAnsi="Times New Roman;serif"/>
          <w:b w:val="false"/>
          <w:color w:val="231F20"/>
          <w:sz w:val="20"/>
        </w:rPr>
        <w:t xml:space="preserve">any, of any of these transactions and activities on the market price of our common stock or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will depend in part on market conditions and cannot be ascertained at this time, but any of these activities could adversely affect the value of our common stock and the value of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and, under certain circumstances, the ability of the note holders to convert the </w:t>
      </w:r>
      <w:r>
        <w:rPr>
          <w:rFonts w:ascii="Times New Roman;serif" w:hAnsi="Times New Roman;serif"/>
          <w:b w:val="false"/>
          <w:color w:val="000000"/>
          <w:sz w:val="20"/>
        </w:rPr>
        <w:t xml:space="preserve">2029 </w:t>
      </w:r>
      <w:r>
        <w:rPr>
          <w:rFonts w:ascii="Times New Roman;serif" w:hAnsi="Times New Roman;serif"/>
          <w:b w:val="false"/>
          <w:color w:val="231F20"/>
          <w:sz w:val="20"/>
        </w:rPr>
        <w:t>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pPr>
      <w:r>
        <w:rPr>
          <w:rFonts w:ascii="Times New Roman;serif" w:hAnsi="Times New Roman;serif"/>
          <w:b/>
          <w:i/>
          <w:color w:val="000000"/>
          <w:sz w:val="20"/>
        </w:rPr>
        <w:t xml:space="preserve">We are subject to counterparty risk with </w:t>
      </w:r>
      <w:r>
        <w:rPr>
          <w:rFonts w:ascii="Times New Roman;serif" w:hAnsi="Times New Roman;serif"/>
          <w:b/>
          <w:i/>
          <w:color w:val="231F20"/>
          <w:sz w:val="20"/>
        </w:rPr>
        <w:t>respect</w:t>
      </w:r>
      <w:r>
        <w:rPr>
          <w:color w:val="000000"/>
        </w:rPr>
        <w:t xml:space="preserve"> </w:t>
      </w:r>
      <w:r>
        <w:rPr>
          <w:rFonts w:ascii="Times New Roman;serif" w:hAnsi="Times New Roman;serif"/>
          <w:b/>
          <w:i/>
          <w:color w:val="000000"/>
          <w:sz w:val="20"/>
        </w:rPr>
        <w:t>to the 2029 Capped Call Transactions.*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2029 option counterparties </w:t>
      </w:r>
      <w:r>
        <w:rPr>
          <w:rFonts w:ascii="Times New Roman;serif" w:hAnsi="Times New Roman;serif"/>
          <w:b w:val="false"/>
          <w:color w:val="231F20"/>
          <w:sz w:val="20"/>
        </w:rPr>
        <w:t>are</w:t>
      </w:r>
      <w:r>
        <w:rPr>
          <w:color w:val="000000"/>
        </w:rPr>
        <w:t xml:space="preserve"> </w:t>
      </w:r>
      <w:r>
        <w:rPr>
          <w:rFonts w:ascii="Times New Roman;serif" w:hAnsi="Times New Roman;serif"/>
          <w:b w:val="false"/>
          <w:color w:val="000000"/>
          <w:sz w:val="20"/>
        </w:rPr>
        <w:t xml:space="preserve">financial institutions, and we will be subject to the risk that any or all of them may default under the 2029 Capped Call Transactions. If a 2029 option counterparty becomes subject to insolvency proceedings, we will become an unsecured creditor in those proceedings with a claim equal to our exposure at that time under the 2029 Capped Call Transaction with such 2029 option counterparty. Our exposure will depend on many factors but, in general, an increase in our exposure will be correlated to an increase in the market price and volatility of our common stock. In addition, upon a default by a 2029 option counterparty, we may suffer more dilution than we currently anticipate with respect to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Future Financings and Financial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need or otherwise determine to raise additional funds in the future and if we are unable to raise additional funds when necessary or desirable, we may not be able to achieve our strategic objectives.*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$319.1 million in cash, cash equivalents and short-term investments. Our management expects the continued growth of our business, including the expansion of our customer service infrastructure to support our growing base of customers, our plans to continue expanding commercial sales of our products outside of the United States,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revenue generated by sales of our products, as well as the gross profits and gross margin we realize from such sales;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costs associated with maintaining and expanding an appropriate sales, marketing, clinical and customer service infrastructure;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expenses associated with developing and commercializing our proposed products or technologies, including capital expenditures we make to maintain or enhance our manufacturing operations and distribution capabilities;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obtaining and maintaining regulatory clearance, certification, or approval for our products and our manufacturing facilities, and of ongoing compliance with other legal and regulatory requirements;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expenses we incur in connection with current or future litigation or governmental investigations;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expenses we may incur or other financial commitments we may make in connection with current and potential new acquisitions, investments, business or commercial collaborations, development agreements or licensing arrangements;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from quarter to quarter.*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and may continue to be meaningful variability in our operating results from quarter to quarter, as well as within each quarter, especially around the time of anticipated new product launches or regulatory clearances, certifications, or approvals by us or our competitors, and as a result of the commercial launch of our products in geographies outside of the United States. Our operating results, and the variability of these operating results, will be affected by numerous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commercialize and sell our current and future products and our ability to increase sales and gross profit from our products, including insulin pumps and the related insulin cartridges and infusion sets;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number and mix of our products sold in each quarter;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acceptance of our products by people with insulin-dependent diabetes, their caregivers, healthcare providers and third-party payors;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pricing of our products and competing products, including the use of discounts, rebates or other financial incentives by us or our competitors;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effect of third-party coverage and reimbursement policies, including any changes by CMS to reimbursement rates and payment schedule through a proposed competitive bidding process insulin pumps;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maintain our existing infrastructure;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amount of, and the timing of the payment for, insurance deductibles required to be paid by our customers and potential customers under their existing insurance plans;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interruption in the manufacturing or distribution of our products, including as a result of our anticipated initiation of direct sales in select European countries beginning in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simultaneously manufacture multiple products that meet quality, reliability and regulatory requirements;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seasonality and other factors affecting the timing of purchases of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timing of new product offerings, acquisitions, licenses or other significant events by us or our competitors;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results of clinical research and trials on our existing and future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ability of our suppliers to timely provide us with an adequate supply of components that meet our requirements for product quality and reliability;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regulatory clearances, certifications, or approvals, or adverse regulatory or legal actions, affecting our products or those of our competitors;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of revenue and expense recognition associated with our product sales pursuant to applicable accounting standards.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are considering changing our pricing model for our pumps and our supplies sold through the pharmacy channel. If our change in strategy fails to achieve its intended outcome, our growth, business, results of operations, and financial condition could be materially and adversely impacted.*</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implementing a multi-channel managed care strategy in the United States, which provides the opportunity for reimbursement through a pharmacy benefit as an alternative to a medical benefit. Historically, our insulin pump products have primarily been considered durable medical equipment with an expected lifespan of at least four years. Our pumps are generally reimbursed upfront. In addition to our insulin pumps, we sell single-use products that are used with our pumps and are replaced every few days, including cartridges for storing and delivering insulin, and infusion sets that connect the insulin pump to a user’s body. Similar to our competitors, we are considering ways to implement a pharmacy benefit model as an alternative to the standard durable medical equipment (DME) reimbursement model which will likely reduce or eliminate the upfront pump reimbursement. While transitioning to this model, we may initially experience a decrease in sales and gross profit when pumps are shipped, and while we expect this decrease to be offset by an increase in supply sales and gross profit, there is no assurance that any decrease would be offset by these or other factors. As a result, our financial results may fluctuate or decline compared to prior periods. The success of this shift would depend on, among other things, alignment of and effective execution by our sales organization, timely release of features in our product roadmaps as well as their market acceptance, effective pricing of our offerings, and managing expected commitments to purchase our pumps and supplies. Growth in consumption of our pumps and supplies may in the future be harmed if we do not manage these factors effectively following a shift to this sales model. Our expectation is that a lower upfront cost for pump therapy would accelerate market adoption of our pumps and increase the volume and sales of our supplies over time, which would increase our overall revenue per customer. However, there can be no assurance that this strategy would prove successful or that once a customer is obtained, they will continue to purchase supplies in a quantity sufficient to make the strategy successful. As a result, this shift in strategy may materially and adversely impact our growth,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Macroeconomic Conditions and External Factors</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International trade policies, including tariffs, sanctions and trade barriers may adversely affect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global economy, and our business depends on a global supply chain for the development, manufacturing, and distribution of our products, and for the advancement of our preclinical and clinical development programs. Based on the complex relationships between the United States and certain foreign countries, there is inherent risk that political, diplomatic and national security influences might lead to trade disputes, trade restrictions, tariffs and impacts and/or disruptions to our operations. There is currently significant uncertainty about the future relationship between the United States and China, Mexico, Canada, the European Union and other foreign countries, including uncertainty with respect to trade policies, treaties, tariffs, taxes, and other limitations on cross-border operations. We import various components, subcomponents and finished products from both Mexico and China and tariffs, trade barriers, and other regulatory requirements could have an adverse effect on our business, financial condition and operating results, the extent of which cannot be predicted with certainty at this time. While we currently rely on existing tariff exemptions, our pumps require FDA clearance, CE marking, and other regulatory approvals that specify our manufacturing processes and component suppliers, making changes to processes and/or suppliers that are less affected by tariffs, trade barriers or other regulatory requirements, difficult and costly. Changes to suppliers or manufacturing locations may require regulatory resubmissions and new approvals, a process that takes significant time and costs. These regulatory constraints significantly limit our ability to quickly adapt our supply chain in response to tariff changes. Moreover, the dynamic and unpredictable tariff and trade landscape creates substantial uncertainty and significant planning challenges for our operations. Changes in tariff classifications, exemptions, country-of-origin requirements, or customs procedures can occur with limited notice. This uncertainty complicates our long-term investment decisions regarding manufacturing facilities, supply chain optimization, and research and development locations.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Current or future tariffs could also result in increased research and development expenses, including with respect to increased costs associated with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financial condition and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growth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growth prospects. In addition, tariff and trade developments have and may continue to heighten the risks related to the other risk factors described elsewhere in this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Uncertainty in current global economic and political conditions could adversely affect our ability to predict product demand and impact our financial results and make it more likely that our actual results could differ materially from expectations.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United States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Public health threats, epidemics, or pandemics could have a material adverse effect on our operations, the operations of our business partners, and the global economy as a whole.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Public health threats and other highly communicable diseases and outbreaks could adversely impact our operations, the operations of our customers, suppliers, distributors and other business partners, as well as the healthcare system in general. For example, certain development activities, such as human factors studies associated with our product development efforts and activities supporting the manufacturing scale-up for new products and the recruitment of participants in ongoing clinical studies, may be modified or delayed due to impacts of public health threats, which could our development timelines and regulatory strategies. These delays could have a negative impact on our product commercialization efforts and the future demand for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foregoing impacts, disruptions from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The full extent of the impact of potential future public health threats on our business and operations is subject to change and will continue to depend on a number of factors, including the scope and duration of the pandemic and any resulting changes to general economic conditions in the countries in which we operate and sell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Activities outside the United States accounted for approximately 28% of our total sales during 2024. Foreign currency fluctuations could result in volatility of our revenue and expenses.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In 2025, we began actively hedging our exposure to currency rate fluctuations; however, future foreign currency fluctuations are difficult to predict and there is no guaranty that our foreign currency hedging transactions will have the desired effect. As a result of these hedging transactions and future foreign currency fluctuations, the volatility of our revenue, profitability, and stock price could increase and be favorably or unfavorably impacted. These and other risks may have a material adverse effect on our business, financial condition and results of operations as a whole.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effects of inflation could adversely affect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has the potential to negatively impact our liquidity, business, financial condition, and results of operations by increasing our overall cost structure. The presence of inflation in the economy has led to, and may continue to lead to, higher interest rates, increased capital costs, supply shortages, and rising labor, component, manufacturing, and shipping costs, along with weaker exchange rates and other similar effects. As a result, we have experienced, and may continue to experience, higher costs. While we may implement measures to mitigate inflation's impact, if these measures prove ineffective, our business, financial condition, results of operations, and liquidity could be significantly harmed. Even if these measures are successful, there may be a delay between the implementation of these actions and their effect on our operations, compared to when the inflationary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Privacy and Security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process personal data. Our data processing activities may subject us to numerous data privacy and security obligations, such as various laws, regulations, guidance, industry standards, external and internal data privacy and security policies, and contractual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U.S. laws govern the privacy and security of personal data, including data breach notification laws, data privacy laws, consumer protection laws (e.g., Section 5 of the Federal Trade Commission Act), and other laws at the federal and state levels (e.g., wiretapping laws). For example, the United States Health Insurance Portability and Accountability Act of 1996 (HIPAA) as amended by the Health Information Technology for Economic and Clinical Health Act (HITECH), imposes specific requirements relating to the privacy of protected health information.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another example, the Controlling the Assault of Non-Solicited Pornography and Marketing Act of 2003 (CAN-SPAM) and the Telephone Consumer Protection Act of 1991 (TCPA) impose specific requirements on communications with customers.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Numerous U.S. states have enacted comprehensive data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These state laws also allow for statutory fines for noncompliance. For example, under the California Consumer Privacy Act of 2018 (CCPA), as amended by the California Privacy Rights Act of 2020 (CPRA) (collectively, CCPA), noncompliance may carry fines of up to $7,500 per intentional violation; the CCPA also allows private litigants affected by certain data breaches to recover significant statutory damages. Similar laws are being considered in several other states, as well as at the federal and local levels, and we expect more states to pass similar laws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and Canada’s Personal Information Protection and Electronic Documents Act (PIPEDA) or the applicable provincial alternatives, impose strict requirements for processing personal data.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under the GDPR, companies may face temporary or definitive bans on personal data processing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regulators are increasingly scrutinizing companies that process children’s data. Numerous laws, regulations, and legally binding codes, such as the Children’s Online Privacy Protection Act (COPPA), California’s Age Appropriate Design Code, the CCPA, and the GDPR govern the processing of children data, including requiring certain consents to process such data and extending certain rights to children and their parents with respect to that personal data.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employees and personnel may use Artificial Intelligence (AI) technologies (including generative AI) to perform their work. The use and disclosure of personal data in AI technologies is subject to various data privacy laws and other data privacy obligations. Governments have passed and are likely to pass additional laws regulating generative AI. Our use of this technology could result in additional compliance costs, regulatory investigations and actions, and lawsuits. If we are unable to use AI, it could make our business less efficient and result in competitive disadvantages.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may transfer personal data from Europe and other jurisdictions to the United States or other countries. Europe and other jurisdictions have enacted laws requiring certain data to be localized or limiting the transfer of personal data to other countries. In particular, the European Economic Area (EEA) and the UK have significantly restricted the transfer of personal data to the United States and other countries whose data privacy laws it deems inadequate. Other jurisdictions may adopt or have already adopted similarly stringent data localization and cross-border data transfer laws. Although there are currently various mechanisms that may be used to transfer personal data, these mechanisms are subject to legal challenges. If these legal challenges change or invalidate these transfer mechanisms, there is no assurance that we can satisfy or rely on these measures to lawfully transfer personal data to the United States. If there is no lawful mechanism for us to transfer personal data, or if the requirements for a legally compliant transfer are too onerous, we could face significant adverse consequences. Additionally, companies that transfer personal data out of the EEA and UK to other jurisdictions, particularly to the United States, are subject to increased scrutiny from regulators, individual litigants, and activist groups.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laws, we are contractually subject to industry standards adopted by industry groups. For example, we are subject to the Payment Card Industry Data Security Standard (PCI DSS). We are also bound by other contractual obligations related to data privacy, including those imposed by our payors and business partners, including obligations to comply with applicable data privacy laws. Our failure to comply with our contractual obligations may result in a loss of revenue, loss of existing and future business opportunities, and payment of financial damages to the other parties involved. We publish privacy policies,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become subject to new laws that regulate non-personal data.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data outside the EEA. Depending on how this act and any similar laws are implemented and interpreted, we may have to adapt our business practices, contractual arrangements, and products and services to comply with such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related to data privacy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with whom we work. In addition, these obligations may require us to change our business model. We may at times fail (or be perceived to have failed) in our efforts to comply with our data privacy obligations. Moreover, despite our efforts, our employees and personnel or third parties with whom we work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the third parties with whom we work fail, or are perceived to have failed to address or comply with applicable data privacy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of personal data; orders to destroy or not use personal data;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personal data and the number of violations.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efficient operation of our business depends on our information technology and communication systems, as well as those of third parties with whom we work. We and the third parties with whom we work process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systems, those of the third parties with whom we work, and the underlying data are vulnerable to damage or interruption from a variety of threats, including without limitation earthquakes, fires, floods, other natural disasters, terrorist attacks, social-engineering attacks (including phishing and deep fakes, which may be increasingly more difficult to identify as fake), malicious code (such as viruses and worms), malware (including as a result of advanced persistent threat intrusions), denial-of-service attacks, credential stuffing, credential harvesting, supply chain attacks, personnel misconduct or error, ransomware attacks, software bugs, server malfunctions, software or hardware failures, loss of data or other information technology assets, adware, attacks enhanced or facilitated by AI, and other similar threats. Notably, severe ransomware attacks are becoming increasingly prevalent. Extortion payments may alleviate the negative impact of a ransomware attack, but we may be unwilling or unable to make such payments due to, for example, applicable laws or regulations prohibiting such payments.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insulin pumps and other products rely on software and hardware, some of which is developed by third parties with whom we work, that could contain vulnerabilities. We take steps designed to detect, mitigate and remediate vulnerabilities in our information systems (such as our hardware and/or software, including that of third parties with whom we work) and products, but we may not be able to detect, mitigate, and remediate such vulnerabilities, including on a timely basis. Further, we may experience delays in developing and deploying remedial measures and patches designed to address identified vulnerabilities. Our risks may increase significantly due to the use of mobile and cloud-based applications in our medical devices. For example, while our Tandem Device Updater is designed to give us the ability to quickly recover from certain risks and/or vulnerabilities, the use of mobile applications enables third parties to store their information on mobile devices that we do not control. The Tandem Device Updater may also not operate as intended if the software being transmitted contains errors, vulnerabilities or viruses. Vulnerabilities in our products and information systems could be exploited and result in a security incident. In addition to vulnerabilities, the reliance of our insulin pumps and other products on software and hardware exposes us and our customers to risks that may impact the performance of our products. For example, in March 2024, we issued a recall of our Apple iOS t:connect mobile app in the United States relating to an issue that could cause rapid depletion of a user’s t:slim X2 insulin pump battery (the March 2024 Recall). On August 20, 2024, we released an updated version of the impacted app to correct the issue described in the March 2024 recall. In addition, in July 2025, we issued a voluntary medical device correction for select t:slim X2 insulin pumps to address a potential speaker-related issue that was capable of triggering an error resulting in discontinuation of insulin delivery.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and risks could in the future, as they have in the past, cause a security incident or other interruption that could result in the unauthorized, unlawful or accidental disclosure, access, acquisition, modification, destruction, loss, alteration, or encryption of our sensitive information or our information technology systems or those of the third parties with whom we work. A security incident or other interruption could disrupt our ability (and that of third parties with whom we work) to provide our products and services.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many of the third parties with whom we work are subject to similar risks. 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information security practices of these third parties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an award. In addition, supply chain attacks have increased in frequency and severity, and we cannot guarantee that infrastructure belonging to these third parties in our supply chain, or the supply chains of third parties with whom we work have not been compromised.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remote work has increased risks to our information technology systems and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expend significant resources or modify our business activities to try to protect against security incidents. Certain data privacy and security obligations may require us to implement and maintain reasonable or specific security measures or industry standards to protect our information technology systems and sensitive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data privacy and security obligations may require us, or we may voluntarily choose, to notify relevant stakeholders of security incidents, or to take other actions. Such disclosures and related actions can be costly, and the disclosure or the failure to comply with applicable requirements could lead to adverse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or a third party with whom we work experience a security incident such as the phishing attack we experienced in 2020, or are perceived to have experienced a security incident, we may experience adverse consequences, such as government enforcement actions (e.g., investigations, fines, penalties, audits, and inspections); additional reporting requirements and/or oversight; restrictions on processing sensitive information including personal data, litigation including class claims and mass arbitration demands; indemnification obligations; negative publicity; reputational harm; loss of investor, partner or customer confidence in the effectiveness of our cybersecurity measures; monetary fund diversions; diversion of management attention; interruptions in our operations including availability of data; financial loss; and other similar harms. Security incidents and attendant consequences may cause customers to stop using our products, prevent customers from using our products, deter new customers from using our products, and negatively impact our ability to grow and operate our business.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sensitive information could be leaked, disclosed, or revealed as a result of or in connection with our employees’, personnel’s, or third parties with whom we work using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Cyberattacks aimed at our devices, products, services, or related systems, with the intent to alter or misuse them in ways that are inconsistent with our FDA clearances and approvals, could pose risks to users.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Medical devices are increasingly connected to the internet, personal technology devices, hospital networks, and other medical devices to enhance healthcare features, improve treatment capabilities for healthcare providers, and help patients manage their conditions. However, these same advancements can also heighten cybersecurity risks, including the potential for unauthorized access and misuse by third parties. As a result, cyberattacks that infiltrate, disrupt, or compromise our devices, products, services, or related systems could affect the quality-of-care patients receive or compromise the confidentiality of patient information. Additionally, any alteration or misuse of these devices, products, or services in ways that are inconsistent with our FDA clearances and approvals could create risks for users and expose the company to potential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Legal and Intellectual Property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comprehensively protect our intellectual property and proprietary technology is uncertain.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Our success will depend in part on not infringing the patents or violating the other proprietary rights of third parties. While we review third party patents in advance of product launches to try to identify and avoid any infringement concerns, the large number of patents, the rapid rate of new patent issuances, and the complexity of the technology involved mean that there can be no assurance that all potentially relevant patents are identified or that our products do not infringe existing patents or patents that may be granted in the future.</w:t>
      </w:r>
      <w:r>
        <w:rPr>
          <w:color w:val="000000"/>
        </w:rPr>
        <w:t xml:space="preserve"> </w:t>
      </w:r>
      <w:r>
        <w:rPr>
          <w:rFonts w:ascii="Times New Roman;serif" w:hAnsi="Times New Roman;serif"/>
          <w:b w:val="false"/>
          <w:color w:val="000000"/>
          <w:sz w:val="20"/>
        </w:rPr>
        <w:t>As such, there is a risk that third parties may assert patent infringement claims against us. Despite our efforts to avoid infringement and to resolve any claims that may arise, litigation may be necessary to defend against these claims, which could result in substantial costs and diversion of resources and may have a material adverse effect on our business, financial condition, and results of operations. Our competitors in both the United States and markets outside of United States may have applied for or obtained or may in the future apply for and obtain, patents that will prevent, limit or otherwise interfere with our ability to make and sell our current products or products under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stop selling current products, developing new products or using technology that allegedly infringes on third-party intellectual property;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try to obtain a license to intellectual property from the third parties, which may not be available on reasonable terms or at all;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try to re-design our products around third-party intellectual property;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incur significant royalty payments and legal expenses; or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pay substantial damages to the party whose intellectual property rights we are allegedly infringing.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were involved in a multi-year patent dispute with F. Hoffman-La Roche AG and Roche Diabetes Care GmbH until our entry into a settlement agreement in May 2025. See Note 14, “Commitments and Contingencies.”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may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incur product liability losses, and insurance coverage may be inadequate or unavailable to cover these losses.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Adhering to regulations concerning public company corporate governance and reporting requirements may place a strain on our resources and distract management from other priorities.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Numerous laws and regulations, particularly those enacted under the Sarbanes-Oxley Act of 2002, the Dodd-Frank Wall Street Reform and Consumer Protection Act, new SEC rules, and Nasdaq Stock Market listing requirements, impose obligations on public companies like ours. These have expanded the scope, complexity, and cost of corporate governance, reporting, and disclosure practices. Complying with these laws, including new disclosure requirements, has required and will continue to require substantial management time and oversight, as well as significant accounting and legal expenses. Additionally, changes to accounting rules or standards, such as a potential mandate for U.S. companies to prepare financial statements using International Financial Reporting Standards, could negatively impact our financial results and business, potentially leading to higher accounting fees. These laws and regulations, often vague in their details, are subject to interpretation, and their application may evolve as new guidance emerges from regulatory bodies. This uncertainty could lead to higher costs due to ongoing updates in governance and disclosure practices. We plan to continue investing resources to comply with these evolving laws and regulations, which may increase general and administrative expenses and divert management’s attention from revenue-generating activities to compliance efforts. If our compliance efforts differ from regulatory expectations due to ambiguities in the laws, authorities may initiate legal action, which could negatively impact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Regulatory Environment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medical device industry is regulated extensively by governmental authorities, principally the FDA and corresponding state regulatory agencies in the United States, foreign regulatory authorities, and Notified Bodies in the EU.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United States governmental agencies and comparable foreign regulatory authorities and Notified Bodies regulate numerous elements of our business,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design and development;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pre-clinical and clinical testing and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safety;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establishment registration and product listing;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labeling, packaging and storage;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marketing, manufacturing, sales and distribution;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import and export;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pre-market clearance, certification, or approval;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servicing and post-market surveillance;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advertising and promotion;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recalls and field safety corrective actions.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we can market or sell a new regulated product or a significant modification to an existing product in the United States, we must obtain either clearance under Section 510(k) of the Food, Drug and Cosmetic Act (510(k) or approval of a pre-market approval (PMA) application from the FDA, unless an exemption from pre-market review applies. The process of obtaining regulatory clearances, certification, or approvals to market a medical device can be costly and time-consuming, which may be exacerbated if the FDA or other comparable regulatory authorities or Notified Bodies in the EU changes their clearance, certification, and approval policies, and we may not be able to obtain these clearances, certification for our proposed products or approvals on a timely basis or at all, including as a result of:</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inability to demonstrate that our products are safe and effective for their intended users;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data from our pre-clinical studies or clinical trials may be insufficient to support clearance, certification, or approval; or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failure of the manufacturing process or facilities we use to meet applicable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or failure to receive or maintain, clearance, certification, or approval for our products under development could prevent us from generating revenue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been audited or inspected by various regulatory authorities and Notified Bodies on numerous occasions. We also regularly respond to routine inquiries from regulatory authorities and Notified Bodies.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or criminal penalties, injunctions, warning letters, product recalls, operating restrictions, interruption of production, delays in the introduction of products into the market, refusal of the FDA or other comparable foreign regulatory authorities or Notified Bodies to grant future clearances, certification, or approvals, and the suspension or withdrawal of existing clearances, certifications, or approvals by the FDA, other comparable foreign regulatory authorities or Notified Bodies.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New products or modifications to our existing products may require new 510(k) clearances, PMAs, CE Marks or other certifications, or may require us to cease marketing or recall the modified products until clearances, certifications or approvals are obtained.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those medical devices sold in the EU and for which we have obtained a CE Certificate of Conformity by a Notified Body, we must notify the Notified Body that carried out the conformity assessment of the medical devices we market or sell in the EEA of any planned significant changes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Moreover, any substantial changes that take place in the coming years may impact the continuing validity of our CE Certificates of Conformity that were issued on the basis of the Medical Device Directive.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 recall or suspension of our products, or the discovery of serious safety issues with our products, could have a significant negative impact on 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 We have initiated voluntary recalls and medical device corrections in the past.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 In addition, we have in the past relied on our distributors for assistance with market surveillance in Europe and we may face additional challenges in responding to a voluntary or mandatory recall, requirement to repair or similar corrective action during and after our planned transition to direct sales in select European countries beginning in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failure to comply with United States federal and state fraud and abuse laws, including anti-kickback laws and other United States federal and state anti-referral laws, or comparable foreign legislation, could have a material, adverse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United States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Healthcare fraud and abuse regulations are complex and evolving. Minor irregularities can potentially give rise to claims. The laws that may affect our ability to operate include: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false claims laws which prohibit, among other things, persons from knowingly presenting, or causing to be presented, false or fraudulent claims for payment to Medicare, state Medicaid programs, or other third-party payors;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or their immediate family member has a financial relationship unless that financial relationship meets an exception under the applicable law;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criminal laws enacted as part of HIPAA that prohibit, among other things, executing a scheme to defraud any healthcare benefit program or making false statements relating to healthcare matters;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disclosure laws, such as the Physician Payments Sunshine Act, which require certain manufacturers, including medical device manufacturers, to submit annual data pertaining to payments or other transfers of value to covered recipients, including physicians and certain other healthcare providers, and teaching hospitals, as well as information regarding ownership and investment interests held by physicians and their immediate family members;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laws governing the use, disclosure and security of personal information, including protected health information, such as HIPAA and the HITECH;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foreign and United States state law equivalents of each of the above federal laws which may apply to items or services reimbursed by any third-party payor, including commercial insurers.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Outside the United States,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relationships with healthcare providers and other third parties are subject to scrutiny under these laws. Violations of any of these laws and other applicable healthcare fraud and abuse laws may be punishable by criminal and civil sanctions, including significant fines and civil monetary penalties, the possibility of exclusion from federal healthcare programs (including Medicare and Medicaid), disgorgement and corporate integrity agreements, which impose, among other things, rigorous operational and monitoring requirements on companies.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United States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Patient Protection and Affordable Care Act, as amended by the Health Care and Education Reconciliation Act (collectively,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 Further, on August 16, 2022, former President Biden signed the Inflation Reduction Act of 2022 (the IRA 2022) into law, which among other things, extends enhanced subsidies for individuals purchasing health insurance coverage in the Affordable Care Act marketplaces through plan year 2025. The IRA 2022 also eliminates the “donut hole” under the Medicare Part D program beginning in 2025 by significantly lowering the beneficiary maximum out-of-pocket cost and through a newly established manufacturer discount program. In addition,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the Affordable Care Act marketplace exchange enrollment and declines to extend the Affordable Care Act enhanced advanced premium tax credits, set to expire at the end of 2025, which, among other provisions in the law, are anticipated to reduce the number of Americans with health insurance. In addition, on June 30, 2025, CMS outlined a proposed competitive bidding process for some medical equipment, including continuous glucose monitors and insulin pumps that could affect reimbursement rates for our products. In addition, CMS outlined a proposed change in payment for these devices to a monthly rental basis which could impact when our pumps are shipped and corresponding revenue is recognized.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(and in Northern Ireland),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and has applied as of January 2025, is intended to boost cooperation among EU Member States in assessing health technologies, including new medical devices,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exit of the UK from the EU, commonly referred to as “Brexit” could lead to further regulatory divergence between the EU and the UK. On May 26, 2021, the MDR became applicable in the EU. However, the MDR is not applicable in Great Britain (i.e., England, Wales and Scotland), but does apply in Northern Ireland. In Great Britain, medical devices are governed by the Medical Devices Regulations 2002 (SI 2002 No 618, as amended) (UK MDR 2002) which, for the time being, retains a regulatory framework similar to the framework set out by the MDD. The UK’s regulator, the Medicines &amp; Healthcare products Regulatory Agency, or MHRA, has published a roadmap to new regulations for medical devices. The first of the regulations, which strengthen post-market surveillance requirements, came into force on June 17, 2025. Further updated regulations are scheduled to follow and 2026.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Governments outside the United States tend to impose strict price controls, reimbursement approval and rebate policies, which may adversely affect our ability to generate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some countries, particularly EU member states and EFTA countries,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revenue outside of the United States, if any, could be adversely affected and our business could be harmed.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advertising and promotion may include claims about our product in comparison to competing products, which could expose us to heightened regulatory scrutiny, enforcement risks, and the potential for 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applies a heightened level of scrutiny to comparative claims in advertising and promotion, ensuring that promotional labeling is truthful and not misleading. There may be differing interpretations of whether certain communications align with a product's FDA-required labeling, and the FDA assesses these communications on a case-by-case basis. Additionally, making comparative claims may raise concerns among our competitors. If a company claims in its advertising that its product is superior to a competitor's or that the competitor’s product is inferior, it could face the risk of a lawsuit from the competitor under federal and state false advertising, unfair trade practices, or potentially state libel laws. Such lawsuits could seek injunctive relief to stop further advertising, a court order for corrective advertising, and compensatory or punitive damages, where allowed by law. Similar risks apply outside the United States in relation to comparative advertising practices.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Direct-to-consumer marketing and social media initiatives may subject us to increased regulatory scrutiny.*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efforts to promote our products through direct-to-consumer marketing and social media initiatives may lead to increased scrutiny of how we communicate risk information, benefits, or claims, under the oversight of the FDA, FTC, HHS-OCR, or other regulatory bodies, particularly due to the Make America Healthy Again Commission’s recent Strategy Report, detailing how government agencies would increase enforcement on direct-to-consumer pharmaceutical advertising. EU Member States’ national legislation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Environmental, Social and Governance Matters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Environmental, social, and governance (ESG) regulations, initiatives, directives, policies, and requirements could expose us to various risks.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regulators, customers, investors, employees, and other stakeholders are focused on ESG issues and related disclosures. These evolving regulations and shifting stakeholder expectations have led, and may continue to lead, to higher general and administrative costs, as well as increased management time and attention spent on compliance. For instance, collecting, measuring, and reporting ESG-related data is becoming more complex due to changing reporting standards, including from international regulatory bodies. In 2023, California passed three separate climate bills addressing greenhouse gas emissions data, climate-related financial risks, and emissions-related claims and carbon offsets. These ESG requirements and initiatives are subject to change, can be unpredictable, and may be challenging and costly for us to meet due to the complexity of our supply chain and the outsourced manufacturing of certain components. If we fail to comply or are unable to ensure our suppliers' compliance with these policies, customers may stop purchasing from us or pursue legal action, potentially damaging our reputation, revenue, and financial performance.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could be adversely affected by changing expectations and challenges associated with implementing ESG initiatives, establishing ESG-related goals, gathering ESG data, and disclosing ESG-related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disclose certain ESG-related initiatives and goals in our SEC filings or other public communications. However, implementing these initiatives and goals could be challenging and costly, with the technologies required potentially being inefficient or slow to develop. Additionally, we may face criticism regarding the accuracy, adequacy, or completeness of our disclosures. Statements about our ESG initiatives, goals, and progress may rely on evolving measurement standards, developing internal controls and processes, and assumptions that could change over time. Furthermore, we may be criticized for the scope or nature of these initiatives or goals, or for any revisions made to them. If our ESG data, processes, or reporting are incomplete or inaccurate, or if we fail to make timely progress toward our ESG goals, our reputation, business, financial performance, and growth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Climate change or other extreme weather conditions and related regulations may have a long-term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Climate-related events, including the increasing frequency of extreme weather events and their impact on the United States, Mexico, Canada, and other major regions’ critical infrastructure along with potential related regulations, have the potential to disrupt our business, our third-party suppliers, and/or the business of our customers. For example, our third-party contract manufacturers are located in regions subject to natural disasters, including earthquakes, hurricanes, floods, wildfires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it is difficult to predict and adequately prepare to meet the challenges to our business posed by climate change, if new laws or regulations are more stringent than current legal or regulatory requirements, we may experience increased compliance burdens and costs to meet the regulatory obligations as well as adverse impacts on raw material sourcing, manufacturing operations and the distribution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price of our common stock may continue to fluctuate significantly.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been and will continue to be volatile in response to a variety of factors,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fluctuations in our financial and operating results from period to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current products and products under development, and the recognition of our brand;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introduction of proposed products, technologies or treatment techniques by us or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of significant contracts, acquisitions, divestitures or partnerships by us, our competitors or our collaboration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clearance, certification, or approval of our products or the products of our competitors or collaboration partners, or the failure to obtain such clearances, certifications, or approvals on the projected timeline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announcement of a product recall, suspension or other safety notice associated with our products or the products of our competitors, or other similar regulatory enforcement 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financial and operating results relative to the expectations of securities analysts and other market participants and the issuance of securities analysts’ reports or recommendations;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threatened or actual litigation, regulatory proceedings, or government investigations;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political or economic conditions.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 Given the competitiveness of the life sciences and medical device industry, the prices at which our common stock trades may fluctuate more significantly than might otherwise be typical, even with other market conditions, including general volatility, held constant. This volatility could negatively impact our ability to raise additional capital or utilize equity as consideration in any acquisition transactions we may pursue, and could make it more difficult for existing stockholders to sell their shares of the common stock at a price they consider acceptable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motivate and retain our current management and key employees, and to attract, motivate and retain qualified personnel in the future. In our industry, it is common to attract, motivate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equity incentives, and benefits to attract and retain our personnel, which would increase our expenses. It may be difficult to continue to incentivize employees with meaningful equity incentives while limiting the use of the share reserve under our current long-term incentive plans.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Anti-takeover provisions in our organizational documents and Delaware law may delay or prevent a change of control, which could reduce our stock price and prevent our stockholders from removing our current board of directors.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authorize the issuance of preferred stock with powers, preferences and rights that may be senior to our common stock, which can be created and issued by the board of directors without prior stockholder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provide for the removal of a director only with cause and then by the affirmative vote of the holders of a majority of the outstanding shares;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prohibit stockholders from calling special stockholder meetings;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prohibit stockholders from acting by written consent without holding a meeting of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 the vote of at least two-thirds of the outstanding shares to approve certain amendments to the certificate of incorporation and bylaws;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 advance written notice of stockholder proposals and director nominations.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problems assimilating, maintaining or operating the acquired products or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issues maintaining uniform standards, procedures, controls and policies;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unanticipated costs, liabilities, impairment charges or write-offs associated with acquisitions or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management’s attention from our existing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risks associated with entering new markets in which we have limited or no experience;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increased legal and accounting costs relating to the acquisitions or to comply with regulatory requirements or other compliance matters.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Federal net operating losses (NOLs) incurred in tax years beginning after December 31, 2017, may be carried forward indefinitely, but the deductibility of such federal NOL carryforwards in a taxable year is limited to 80% of taxable income in such year. As of December 31, 2024, we had accumulated federal and state NOL carryforwards of approximately $96.5 million, and $248.0 million, respectively. Of the total federal NOL carryforwards, approximately $13.2 million were generated after January 1, 2018, and therefore do not expire but can only be utilized to offset 80% of future taxable income. The remaining federal NOL carryforwards of $83.2 million will begin to expire in 2033, and state tax loss carryforwards continue to expire.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Similar rules may apply under state tax laws. In addition, there may be other limitations under state law on our ability to utilize NOL carryforwards, including temporary suspensions or other limitations on the use of NOL carryforwards to offset taxable income.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United States presidential administration, Congress, or taxing authorities in other jurisdictions, including jurisdictions outside of the United States, or by bodies such as the European Commission or the Organization for Economic Co-operation and Development (OECD),could materially affect our tax obligations (including the costs of compliance) and effective tax rate. To the extent that such changes have a negative impact on us, including as a result of related uncertainty, these changes may adversely impact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 government recently enacted the OBBBA that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tax obligations and effective tax rate in the jurisdictions in which we conduct business could increase, including as a result of the base erosion and profit shifting (BEPS) project led by the OECD and other initiatives led by the OECD or the European Commission. In particular, the OECD is leading work on an iteration of the project based on two “pillars,” involving the reallocation of taxing rights with respect to certain multinational enterprises above a fixed profit margin to the jurisdictions in which they carry on business (subject to certain revenue threshold rules which we do not currently meet but may meet in the future) (Pillar One) and imposing a minimum effective corporate tax rate on certain multinational enterprises (Pillar Two). A number of countries in which we conduct business, including through our subsidiaries, such as the Netherlands and Switzerland, have enacted, or are in the process of enacting, core elements of the Pillar Two rules. Based on the minimum revenue thresholds contained in the Pillar Two rules, we expect that we are likely to fall within their scope in the short-to-medium term, subject to the application of any relevant transition or safe harbor rules. We are monitoring developments and evaluating the potential impacts of these new rules, including on our effective tax rates and associated compliance costs, and considering our eligibility to qualify for any relevant transition or safe harbor rules.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
        <w:gridCol w:w="317"/>
        <w:gridCol w:w="318"/>
        <w:gridCol w:w="1713"/>
        <w:gridCol w:w="1497"/>
        <w:gridCol w:w="1501"/>
        <w:gridCol w:w="261"/>
        <w:gridCol w:w="209"/>
        <w:gridCol w:w="170"/>
        <w:gridCol w:w="281"/>
        <w:gridCol w:w="262"/>
        <w:gridCol w:w="191"/>
        <w:gridCol w:w="398"/>
        <w:gridCol w:w="308"/>
        <w:gridCol w:w="267"/>
        <w:gridCol w:w="327"/>
        <w:gridCol w:w="327"/>
        <w:gridCol w:w="328"/>
        <w:gridCol w:w="339"/>
        <w:gridCol w:w="339"/>
        <w:gridCol w:w="491"/>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Provided Herewith</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4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First Filing</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47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47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4711"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4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00"/>
                  <w:sz w:val="20"/>
                  <w:u w:val="single"/>
                </w:rPr>
                <w:t>Amended and Restated Certificate of Incorporation of the Registrant (as amended and currently in effect).</w:t>
              </w:r>
            </w:hyperlink>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001-36189</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2023</w:t>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u w:val="single"/>
                </w:rPr>
                <w:t>Amended and Restated Bylaws of the Registrant (as amended and currently in effect).</w:t>
              </w:r>
            </w:hyperlink>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001-36189</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2023</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tndm-20250930.htm">
              <w:r>
                <w:rPr>
                  <w:rStyle w:val="InternetLink"/>
                  <w:rFonts w:ascii="Times New Roman;serif" w:hAnsi="Times New Roman;serif"/>
                  <w:b w:val="false"/>
                  <w:color w:val="000000"/>
                  <w:sz w:val="20"/>
                  <w:u w:val="single"/>
                </w:rPr>
                <w:t>Certification of John F. Sheridan, Chief Executive Officer, pursuant to Section 302 of the Sarbanes-Oxley Act of 2002.</w:t>
              </w:r>
            </w:hyperlink>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tndm-20250930.htm">
              <w:r>
                <w:rPr>
                  <w:rStyle w:val="InternetLink"/>
                  <w:rFonts w:ascii="Times New Roman;serif" w:hAnsi="Times New Roman;serif"/>
                  <w:b w:val="false"/>
                  <w:color w:val="000000"/>
                  <w:sz w:val="20"/>
                  <w:u w:val="single"/>
                </w:rPr>
                <w:t>Certification of Leigh A. Vosseller, Chief Financial Officer, pursuant to Section 302 of the Sarbanes-Oxley Act of 2002.</w:t>
              </w:r>
            </w:hyperlink>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tndm-20250930.htm">
              <w:r>
                <w:rPr>
                  <w:rStyle w:val="InternetLink"/>
                  <w:rFonts w:ascii="Times New Roman;serif" w:hAnsi="Times New Roman;serif"/>
                  <w:b w:val="false"/>
                  <w:color w:val="000000"/>
                  <w:sz w:val="20"/>
                  <w:u w:val="single"/>
                </w:rPr>
                <w:t>Certification of John F. Sheridan, Chief Executive Officer, pursuant to U.S.C. Section 1350, as adopted pursuant to Section 906 of the Sarbanes-Oxley Act of 2002.</w:t>
              </w:r>
            </w:hyperlink>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tndm-20250930.htm">
              <w:r>
                <w:rPr>
                  <w:rStyle w:val="InternetLink"/>
                  <w:rFonts w:ascii="Times New Roman;serif" w:hAnsi="Times New Roman;serif"/>
                  <w:b w:val="false"/>
                  <w:color w:val="000000"/>
                  <w:sz w:val="20"/>
                  <w:u w:val="single"/>
                </w:rPr>
                <w:t>Certification of Leigh A. Vosseller, Chief Financial Officer, pursuant to U.S.C. Section 1350, as adopted pursuant to Section 906 of the Sarbanes-Oxley Act of 2002.</w:t>
              </w:r>
            </w:hyperlink>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4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4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914"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368"/>
        <w:gridCol w:w="368"/>
        <w:gridCol w:w="368"/>
        <w:gridCol w:w="1535"/>
        <w:gridCol w:w="1535"/>
        <w:gridCol w:w="2209"/>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Sheridan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Sheridan</w:t>
              <w:br/>
              <w:t>President and Chief Executive Officer</w:t>
              <w:br/>
              <w:t>(on behalf of the registrant and as the registrant’s</w:t>
              <w:br/>
              <w:t>Principal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Leigh A. Vosseller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Leigh A. Vosseller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John F. Sheridan, certify that: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543" w:type="dxa"/>
        <w:jc w:val="left"/>
        <w:tblInd w:w="0" w:type="dxa"/>
        <w:tblLayout w:type="fixed"/>
        <w:tblCellMar>
          <w:top w:w="28" w:type="dxa"/>
          <w:left w:w="28" w:type="dxa"/>
          <w:bottom w:w="28" w:type="dxa"/>
          <w:right w:w="28" w:type="dxa"/>
        </w:tblCellMar>
      </w:tblPr>
      <w:tblGrid>
        <w:gridCol w:w="797"/>
        <w:gridCol w:w="700"/>
        <w:gridCol w:w="707"/>
        <w:gridCol w:w="387"/>
        <w:gridCol w:w="387"/>
        <w:gridCol w:w="387"/>
        <w:gridCol w:w="1301"/>
        <w:gridCol w:w="1301"/>
        <w:gridCol w:w="1313"/>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Sheridan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Sheridan</w:t>
              <w:br/>
              <w:t>President, 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Leigh A. Vosseller, certify that: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8862" w:type="dxa"/>
        <w:jc w:val="left"/>
        <w:tblInd w:w="0" w:type="dxa"/>
        <w:tblLayout w:type="fixed"/>
        <w:tblCellMar>
          <w:top w:w="28" w:type="dxa"/>
          <w:left w:w="28" w:type="dxa"/>
          <w:bottom w:w="28" w:type="dxa"/>
          <w:right w:w="28" w:type="dxa"/>
        </w:tblCellMar>
      </w:tblPr>
      <w:tblGrid>
        <w:gridCol w:w="797"/>
        <w:gridCol w:w="700"/>
        <w:gridCol w:w="707"/>
        <w:gridCol w:w="387"/>
        <w:gridCol w:w="387"/>
        <w:gridCol w:w="387"/>
        <w:gridCol w:w="1740"/>
        <w:gridCol w:w="1740"/>
        <w:gridCol w:w="1754"/>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Leigh A. Vosseller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Leigh A. Vosseller</w:t>
              <w:br/>
              <w:t>Executive Vice President, Chief Financial Officer and Treasurer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Tandem Diabetes Care, Inc. (the “Company”) for the period ended September 30, 2025,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as of the dates and for the periods presented.</w:t>
      </w:r>
    </w:p>
    <w:tbl>
      <w:tblPr>
        <w:tblW w:w="638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159"/>
        <w:gridCol w:w="1159"/>
        <w:gridCol w:w="164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Sheridan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Sheridan</w:t>
              <w:br/>
              <w:t>President, Chief Executive Officer and Director</w:t>
            </w:r>
          </w:p>
        </w:tc>
      </w:tr>
    </w:tbl>
    <w:p>
      <w:pPr>
        <w:pStyle w:val="TextBody"/>
        <w:bidi w:val="0"/>
        <w:spacing w:lineRule="auto" w:line="288" w:before="200" w:after="283"/>
        <w:ind w:left="0" w:right="0" w:firstLine="900"/>
        <w:jc w:val="left"/>
        <w:rPr>
          <w:rFonts w:ascii="Times New Roman;serif" w:hAnsi="Times New Roman;serif"/>
          <w:b w:val="false"/>
          <w:i/>
          <w:color w:val="000000"/>
          <w:sz w:val="20"/>
        </w:rPr>
      </w:pPr>
      <w:r>
        <w:rPr>
          <w:rFonts w:ascii="Times New Roman;serif" w:hAnsi="Times New Roman;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Tandem Diabetes Care, Inc. (the “Company”) for the period ended September 30, 2025,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as of the dates and for the periods presented.</w:t>
      </w:r>
    </w:p>
    <w:tbl>
      <w:tblPr>
        <w:tblW w:w="770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547"/>
        <w:gridCol w:w="1547"/>
        <w:gridCol w:w="218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Leigh A. Vosseller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Leigh A. Vosseller</w:t>
              <w:br/>
              <w:t>Executive Vice President, Chief Financial Officer and Treasurer</w:t>
            </w:r>
          </w:p>
        </w:tc>
      </w:tr>
    </w:tbl>
    <w:p>
      <w:pPr>
        <w:pStyle w:val="TextBody"/>
        <w:bidi w:val="0"/>
        <w:spacing w:lineRule="auto" w:line="288" w:before="200" w:after="283"/>
        <w:ind w:left="0" w:right="0" w:firstLine="900"/>
        <w:jc w:val="left"/>
        <w:rPr>
          <w:rFonts w:ascii="Times New Roman;serif" w:hAnsi="Times New Roman;serif"/>
          <w:b w:val="false"/>
          <w:i/>
          <w:color w:val="000000"/>
          <w:sz w:val="20"/>
        </w:rPr>
      </w:pPr>
      <w:r>
        <w:rPr>
          <w:rFonts w:ascii="Times New Roman;serif" w:hAnsi="Times New Roman;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8133/000143813323000153/exhibit31amendedandrestate.htm" TargetMode="External"/><Relationship Id="rId3" Type="http://schemas.openxmlformats.org/officeDocument/2006/relationships/hyperlink" Target="https://www.sec.gov/Archives/edgar/data/1438133/000143813323000153/exhibit32amendedandrestat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48322</Words>
  <Characters>275688</Characters>
  <CharactersWithSpaces>322400</CharactersWithSpaces>
  <Paragraphs>2783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