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4926.xml.htm"/>
      <w:bookmarkStart w:id="1" w:name="kswkform4_17870849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Vosseller Leigh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12400 HIGH BLUFF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TANDEM DIABETES CARE INC</w:t>
              </w:r>
            </w:hyperlink>
            <w:r>
              <w:rPr/>
              <w:t xml:space="preserve"> [ </w:t>
            </w:r>
            <w:r>
              <w:rPr>
                <w:rFonts w:ascii="Times;serif" w:hAnsi="Times;serif"/>
                <w:color w:val="0000FF"/>
                <w:sz w:val="24"/>
                <w:shd w:fill="FFFFFF" w:val="clear"/>
              </w:rPr>
              <w:t>TNDM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4"/>
        <w:gridCol w:w="902"/>
        <w:gridCol w:w="772"/>
        <w:gridCol w:w="599"/>
        <w:gridCol w:w="347"/>
        <w:gridCol w:w="840"/>
        <w:gridCol w:w="450"/>
        <w:gridCol w:w="752"/>
        <w:gridCol w:w="1156"/>
        <w:gridCol w:w="992"/>
        <w:gridCol w:w="106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1,496</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50,895</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50,358</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2,624</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52,982</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942</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52,040</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25,580</w:t>
            </w:r>
          </w:p>
        </w:tc>
        <w:tc>
          <w:tcPr>
            <w:tcW w:w="9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Leigh A. Vosseller Trust</w:t>
            </w:r>
            <w:r>
              <w:rPr>
                <w:rFonts w:ascii="Times;serif" w:hAnsi="Times;serif"/>
                <w:color w:val="008000"/>
                <w:position w:val="7"/>
                <w:sz w:val="16"/>
                <w:sz w:val="20"/>
                <w:shd w:fill="FFFFFF" w:val="clear"/>
              </w:rPr>
              <w:t>(2)</w:t>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1,496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4,486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(6)</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2,624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18,368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by the Issuer to satisfy tax withholding requirements upon the vesting of restricted stock units (RSUs). No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held by the Leigh A. Vosseller Trust dated January 17, 2010, of which Leigh Vosseller is the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Awarded on May 23, 2024 pursuant to the Tandem Diabetes Care Inc. 2023 Long-Term Incentive Plan, as amended, and agreements related thereto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RSU represents a contingent right to receive either one share of common stock of the Issuer or cash in lieu thereof, at the Issuer's discretion, in accordance with the terms of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One-third of the RSUs granted on May 23, 2024 vested on May 15, 2025, with the remaining RSUs vesting in eight (8) equal quarterly installments thereafter, subject to the terms of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Awarded on May 30, 2025 pursuant to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One-third of the RSUs granted on May 30, 2025 vested on May 15, 2026, with the remaining RSUs vesting in eight (8) equal quarterly installments thereafter, subject to the terms of the 2023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Jerilyn Laskie, Attorney-in-Fact for Leigh A. Vosseller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6322" TargetMode="External"/><Relationship Id="rId5" Type="http://schemas.openxmlformats.org/officeDocument/2006/relationships/hyperlink" Target="http://www.sec.gov/cgi-bin/browse-edgar?action=getcompany&amp;CIK=00014381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824</Words>
  <Characters>4299</Characters>
  <CharactersWithSpaces>4997</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