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11045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74295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4"/>
          <w:szCs w:val="24"/>
          <w:color w:val="auto"/>
        </w:rPr>
      </w:pPr>
    </w:p>
    <w:p>
      <w:pPr>
        <w:ind w:right="1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320"/>
          </w:cols>
          <w:pgMar w:left="240" w:top="598" w:right="339" w:bottom="1440" w:gutter="0" w:footer="0" w:header="0"/>
        </w:sectPr>
      </w:pP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820" w:space="720"/>
            <w:col w:w="4840" w:space="720"/>
            <w:col w:w="2340" w:space="720"/>
            <w:col w:w="160"/>
          </w:cols>
          <w:pgMar w:left="240" w:top="598" w:right="3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820" w:space="720"/>
            <w:col w:w="160" w:space="80"/>
            <w:col w:w="4600" w:space="720"/>
            <w:col w:w="2340" w:space="720"/>
            <w:col w:w="160"/>
          </w:cols>
          <w:pgMar w:left="240" w:top="598" w:right="339" w:bottom="1440" w:gutter="0" w:footer="0" w:header="0"/>
          <w:type w:val="continuous"/>
        </w:sectPr>
      </w:pPr>
    </w:p>
    <w:p>
      <w:pPr>
        <w:ind w:left="520"/>
        <w:spacing w:after="0" w:line="196" w:lineRule="exact"/>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3">
            <w:col w:w="9380" w:space="200"/>
            <w:col w:w="220" w:space="120"/>
            <w:col w:w="1400"/>
          </w:cols>
          <w:pgMar w:left="240" w:top="598" w:right="3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April 25, 2016, there were 30,351,361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556895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9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140" w:type="dxa"/>
            <w:vAlign w:val="bottom"/>
            <w:gridSpan w:val="7"/>
          </w:tcPr>
          <w:p>
            <w:pPr>
              <w:ind w:left="18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0" w:type="dxa"/>
            <w:vAlign w:val="bottom"/>
            <w:tcBorders>
              <w:top w:val="single" w:sz="8" w:color="0000EE"/>
            </w:tcBorders>
          </w:tcPr>
          <w:p>
            <w:pPr>
              <w:spacing w:after="0"/>
              <w:rPr>
                <w:sz w:val="17"/>
                <w:szCs w:val="17"/>
                <w:color w:val="auto"/>
              </w:rPr>
            </w:pPr>
          </w:p>
        </w:tc>
        <w:tc>
          <w:tcPr>
            <w:tcW w:w="836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59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at March 31, 2016 (Unaudited) and December 31, 2015</w:t>
              </w:r>
            </w:hyperlink>
          </w:p>
        </w:tc>
        <w:tc>
          <w:tcPr>
            <w:tcW w:w="394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94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Months Ended March 31, 2016 and 2015 (Unaudited)</w:t>
              </w:r>
            </w:hyperlink>
          </w:p>
        </w:tc>
        <w:tc>
          <w:tcPr>
            <w:tcW w:w="5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Three Months Ended March 31, 2016 and 2015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7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232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92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62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331"/>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6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92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60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20" w:type="dxa"/>
            <w:vAlign w:val="bottom"/>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5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20" w:type="dxa"/>
            <w:vAlign w:val="bottom"/>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816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62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243"/>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56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6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560" w:type="dxa"/>
            <w:vAlign w:val="bottom"/>
          </w:tcPr>
          <w:p>
            <w:pPr>
              <w:jc w:val="center"/>
              <w:ind w:left="2470"/>
              <w:spacing w:after="0"/>
              <w:rPr>
                <w:sz w:val="20"/>
                <w:szCs w:val="20"/>
                <w:color w:val="auto"/>
              </w:rPr>
            </w:pPr>
            <w:r>
              <w:rPr>
                <w:rFonts w:ascii="Arial" w:cs="Arial" w:eastAsia="Arial" w:hAnsi="Arial"/>
                <w:sz w:val="18"/>
                <w:szCs w:val="18"/>
                <w:b w:val="1"/>
                <w:bCs w:val="1"/>
                <w:color w:val="auto"/>
              </w:rPr>
              <w:t>TANDEM DIABETES CARE, INC.</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6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560" w:type="dxa"/>
            <w:vAlign w:val="bottom"/>
          </w:tcPr>
          <w:p>
            <w:pPr>
              <w:jc w:val="center"/>
              <w:ind w:left="2450"/>
              <w:spacing w:after="0"/>
              <w:rPr>
                <w:sz w:val="20"/>
                <w:szCs w:val="20"/>
                <w:color w:val="auto"/>
              </w:rPr>
            </w:pPr>
            <w:r>
              <w:rPr>
                <w:rFonts w:ascii="Arial" w:cs="Arial" w:eastAsia="Arial" w:hAnsi="Arial"/>
                <w:sz w:val="18"/>
                <w:szCs w:val="18"/>
                <w:b w:val="1"/>
                <w:bCs w:val="1"/>
                <w:color w:val="auto"/>
                <w:w w:val="89"/>
              </w:rPr>
              <w:t>(In thousands, except par value)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2"/>
              <w:spacing w:after="0" w:line="155"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2"/>
              <w:spacing w:after="0"/>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spacing w:after="0"/>
              <w:rPr>
                <w:sz w:val="20"/>
                <w:szCs w:val="20"/>
                <w:color w:val="auto"/>
              </w:rPr>
            </w:pPr>
            <w:r>
              <w:rPr>
                <w:rFonts w:ascii="Arial" w:cs="Arial" w:eastAsia="Arial" w:hAnsi="Arial"/>
                <w:sz w:val="18"/>
                <w:szCs w:val="18"/>
                <w:color w:val="auto"/>
                <w:w w:val="93"/>
              </w:rPr>
              <w:t>Current assets:</w:t>
            </w:r>
          </w:p>
        </w:tc>
        <w:tc>
          <w:tcPr>
            <w:tcW w:w="6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40,610</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102,567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Patents, net</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Total assets</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120,642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Accrued expense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Employee-related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Deferred rent—long-term</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Total liabilities</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100,000 shares authorized as of March 31, 2016 and December 31,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2"/>
              </w:rPr>
              <w:t>2015, 30,348 and 30,255 shares issued and outstanding at March 31, 2016 and December 31, 2015,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7"/>
              </w:rPr>
              <w:t>respectively.</w:t>
            </w:r>
          </w:p>
        </w:tc>
        <w:tc>
          <w:tcPr>
            <w:tcW w:w="6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387,491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(341,617)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(321,133)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45,944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120,642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0" w:type="dxa"/>
            <w:vAlign w:val="bottom"/>
            <w:gridSpan w:val="5"/>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12,308</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Operating loss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(19,238)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(20,410)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0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(20,484)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(21,208)</w:t>
            </w:r>
          </w:p>
        </w:tc>
        <w:tc>
          <w:tcPr>
            <w:tcW w:w="3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loss:</w:t>
            </w: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short-term investments</w:t>
            </w:r>
          </w:p>
        </w:tc>
        <w:tc>
          <w:tcPr>
            <w:tcW w:w="202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8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(20,464)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(21,169)</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0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rPr>
              <w:t>TANDEM DIABETES CARE, INC.</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w w:val="98"/>
              </w:rPr>
              <w:t>CONDENSED STATEMENTS OF CASH FLOWS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jc w:val="center"/>
              <w:ind w:left="3510"/>
              <w:spacing w:after="0"/>
              <w:rPr>
                <w:sz w:val="20"/>
                <w:szCs w:val="20"/>
                <w:color w:val="auto"/>
              </w:rPr>
            </w:pPr>
            <w:r>
              <w:rPr>
                <w:rFonts w:ascii="Arial" w:cs="Arial" w:eastAsia="Arial" w:hAnsi="Arial"/>
                <w:sz w:val="18"/>
                <w:szCs w:val="18"/>
                <w:b w:val="1"/>
                <w:bCs w:val="1"/>
                <w:color w:val="auto"/>
                <w:w w:val="93"/>
              </w:rPr>
              <w:t>(Unaudited)</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w w:val="90"/>
              </w:rPr>
              <w:t>(In thousands)</w:t>
            </w:r>
          </w:p>
        </w:tc>
        <w:tc>
          <w:tcPr>
            <w:tcW w:w="360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19"/>
                <w:szCs w:val="19"/>
                <w:color w:val="auto"/>
              </w:rPr>
            </w:pPr>
          </w:p>
        </w:tc>
        <w:tc>
          <w:tcPr>
            <w:tcW w:w="36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(20,484)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(21,208)</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Amortization of premium (discount) on short-term investments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(2,622)</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Employee-related liabilities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(2,223)</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(15,945)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Purchase of short-term investments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(13,441)</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(39,099)</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(1,945)</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Purchase of patents</w:t>
            </w:r>
          </w:p>
        </w:tc>
        <w:tc>
          <w:tcPr>
            <w:tcW w:w="10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Issuance of notes payable, net of issuance costs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public offering, net of offering costs</w:t>
            </w:r>
          </w:p>
        </w:tc>
        <w:tc>
          <w:tcPr>
            <w:tcW w:w="10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paid</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 included in other long-term liabilities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Property and equipment included in accounts payable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420" w:firstLine="577"/>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a family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120" w:firstLine="588"/>
        <w:spacing w:after="0" w:line="277" w:lineRule="auto"/>
        <w:rPr>
          <w:sz w:val="20"/>
          <w:szCs w:val="20"/>
          <w:color w:val="auto"/>
        </w:rPr>
      </w:pPr>
      <w:r>
        <w:rPr>
          <w:rFonts w:ascii="Arial" w:cs="Arial" w:eastAsia="Arial" w:hAnsi="Arial"/>
          <w:sz w:val="18"/>
          <w:szCs w:val="18"/>
          <w:color w:val="auto"/>
        </w:rPr>
        <w:t>The Company currently manufactures and sells three insulin pump products in the United States that are designed to address large and differentiated needs of the insulin-dependent diabetes market:</w:t>
      </w:r>
    </w:p>
    <w:p>
      <w:pPr>
        <w:spacing w:after="0" w:line="170" w:lineRule="exact"/>
        <w:rPr>
          <w:sz w:val="20"/>
          <w:szCs w:val="20"/>
          <w:color w:val="auto"/>
        </w:rPr>
      </w:pPr>
    </w:p>
    <w:p>
      <w:pPr>
        <w:ind w:left="960" w:hanging="37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t:slim</w:t>
      </w:r>
      <w:r>
        <w:rPr>
          <w:rFonts w:ascii="Arial" w:cs="Arial" w:eastAsia="Arial" w:hAnsi="Arial"/>
          <w:sz w:val="15"/>
          <w:szCs w:val="15"/>
          <w:color w:val="auto"/>
        </w:rPr>
        <w:t>®</w:t>
      </w:r>
      <w:r>
        <w:rPr>
          <w:rFonts w:ascii="Arial" w:cs="Arial" w:eastAsia="Arial" w:hAnsi="Arial"/>
          <w:sz w:val="18"/>
          <w:szCs w:val="18"/>
          <w:color w:val="auto"/>
        </w:rPr>
        <w:t xml:space="preserve"> Insulin Delivery System, or t:slim, the Company’s flagship product that can easily and discreetly fit into a pocket,</w:t>
      </w:r>
    </w:p>
    <w:p>
      <w:pPr>
        <w:spacing w:after="0" w:line="23" w:lineRule="exact"/>
        <w:rPr>
          <w:rFonts w:ascii="Arial" w:cs="Arial" w:eastAsia="Arial" w:hAnsi="Arial"/>
          <w:sz w:val="18"/>
          <w:szCs w:val="18"/>
          <w:color w:val="auto"/>
        </w:rPr>
      </w:pPr>
    </w:p>
    <w:p>
      <w:pPr>
        <w:ind w:left="960" w:hanging="37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t:flex</w:t>
      </w:r>
      <w:r>
        <w:rPr>
          <w:rFonts w:ascii="Arial" w:cs="Arial" w:eastAsia="Arial" w:hAnsi="Arial"/>
          <w:sz w:val="15"/>
          <w:szCs w:val="15"/>
          <w:color w:val="auto"/>
        </w:rPr>
        <w:t>®</w:t>
      </w:r>
      <w:r>
        <w:rPr>
          <w:rFonts w:ascii="Arial" w:cs="Arial" w:eastAsia="Arial" w:hAnsi="Arial"/>
          <w:sz w:val="18"/>
          <w:szCs w:val="18"/>
          <w:color w:val="auto"/>
        </w:rPr>
        <w:t xml:space="preserve"> Insulin Delivery System, or t:flex, for people with greater insulin needs, and</w:t>
      </w:r>
    </w:p>
    <w:p>
      <w:pPr>
        <w:spacing w:after="0" w:line="9" w:lineRule="exact"/>
        <w:rPr>
          <w:rFonts w:ascii="Arial" w:cs="Arial" w:eastAsia="Arial" w:hAnsi="Arial"/>
          <w:sz w:val="18"/>
          <w:szCs w:val="18"/>
          <w:color w:val="auto"/>
        </w:rPr>
      </w:pPr>
    </w:p>
    <w:p>
      <w:pPr>
        <w:ind w:left="960" w:hanging="371"/>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t:slim G4 Insulin Delivery System, or t:slim G4, a Continuous Glucose Monitoring (“CGM”) enabled pump with touch-screen simplicity.</w:t>
      </w:r>
    </w:p>
    <w:p>
      <w:pPr>
        <w:spacing w:after="0" w:line="222" w:lineRule="exact"/>
        <w:rPr>
          <w:sz w:val="20"/>
          <w:szCs w:val="20"/>
          <w:color w:val="auto"/>
        </w:rPr>
      </w:pPr>
    </w:p>
    <w:p>
      <w:pPr>
        <w:ind w:right="340" w:firstLine="629"/>
        <w:spacing w:after="0" w:line="264" w:lineRule="auto"/>
        <w:rPr>
          <w:sz w:val="20"/>
          <w:szCs w:val="20"/>
          <w:color w:val="auto"/>
        </w:rPr>
      </w:pPr>
      <w:r>
        <w:rPr>
          <w:rFonts w:ascii="Arial" w:cs="Arial" w:eastAsia="Arial" w:hAnsi="Arial"/>
          <w:sz w:val="18"/>
          <w:szCs w:val="18"/>
          <w:color w:val="auto"/>
        </w:rPr>
        <w:t>The Company designed and commercialized its products based on its proprietary technology platform and consumer-focused approach. The Company began commercial sales of its first product, t:slim, in August 2012. During 2015, the Company commenced commercial sales of two additional insulin pumps: t:flex in May 2015 and t:slim G4 in September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577"/>
        <w:spacing w:after="0" w:line="257" w:lineRule="auto"/>
        <w:rPr>
          <w:sz w:val="20"/>
          <w:szCs w:val="20"/>
          <w:color w:val="auto"/>
        </w:rPr>
      </w:pPr>
      <w:r>
        <w:rPr>
          <w:rFonts w:ascii="Arial" w:cs="Arial" w:eastAsia="Arial" w:hAnsi="Arial"/>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20" w:firstLine="577"/>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financial statements should be read in conjunction with the Company’s audited financial statements and footnotes included in the Company’s Annual Report on Form 10-K for the year ended December 31, 2015, from which the balance sheet information herein was derived but excludes disclosures required by GAAP for complete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60" w:firstLine="571"/>
        <w:spacing w:after="0" w:line="277" w:lineRule="auto"/>
        <w:rPr>
          <w:sz w:val="20"/>
          <w:szCs w:val="20"/>
          <w:color w:val="auto"/>
        </w:rPr>
      </w:pPr>
      <w:r>
        <w:rPr>
          <w:rFonts w:ascii="Arial" w:cs="Arial" w:eastAsia="Arial" w:hAnsi="Arial"/>
          <w:sz w:val="18"/>
          <w:szCs w:val="18"/>
          <w:color w:val="auto"/>
        </w:rPr>
        <w:t>There have been no significant changes in our significant accounting policies during the three months ended March 31, 2016, as compared with those disclosed in our Annual Report on Form 10-K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60"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notes as of the date of the financial statements. Actual results could materially differ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577"/>
        <w:spacing w:after="0" w:line="302" w:lineRule="auto"/>
        <w:rPr>
          <w:sz w:val="20"/>
          <w:szCs w:val="20"/>
          <w:color w:val="auto"/>
        </w:rPr>
      </w:pPr>
      <w:r>
        <w:rPr>
          <w:rFonts w:ascii="Arial" w:cs="Arial" w:eastAsia="Arial" w:hAnsi="Arial"/>
          <w:sz w:val="16"/>
          <w:szCs w:val="16"/>
          <w:color w:val="auto"/>
        </w:rPr>
        <w:t>Restricted cash as of March 31, 2016 and December 31, 2015 was comprised of a $2.0 million minimum cash balance requirement in connection with the Company’s Term Loan Agreement, as amended by Consent and Amendment Agreement, dated June 20, 2014, Omnibus Amendment Agreement No. 2, dated February 23, 2015 and Amendment No. 3 to Term Loan Agreement, dated January 8, 2016 (as amended, the “Term Loan Agreement”) with Capital Royalty Partners II, L.P. and its affiliate funds (“Capital Royalty Partners”) (see Note 6, “Term Loan Agreement with Capital Royalty Partners”).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220" w:firstLine="577"/>
        <w:spacing w:after="0" w:line="259" w:lineRule="auto"/>
        <w:rPr>
          <w:sz w:val="20"/>
          <w:szCs w:val="20"/>
          <w:color w:val="auto"/>
        </w:rPr>
      </w:pPr>
      <w:r>
        <w:rPr>
          <w:rFonts w:ascii="Arial" w:cs="Arial" w:eastAsia="Arial" w:hAnsi="Arial"/>
          <w:sz w:val="18"/>
          <w:szCs w:val="18"/>
          <w:color w:val="auto"/>
        </w:rPr>
        <w:t>The Company grants credit to various customers in the normal course of business. The Company maintains an allowance for doubtful accounts for potential credit losses. Provisions are made, generally, for receivables greater than 120 days past due and based upon a specific review of other outstanding invoices. Uncollectible accounts are written off against the allowance after appropriate collection efforts have been exhausted and when it is deemed that a balance is uncollectible.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and foreign exchange forward contracts that are not designated as hedges are carried at fair value. Based on the borrowing rates currently available for loans with similar terms, the Company believes that the fair value of its long-term notes payable approximates its carrying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40" w:firstLine="571"/>
        <w:spacing w:after="0" w:line="264" w:lineRule="auto"/>
        <w:rPr>
          <w:sz w:val="20"/>
          <w:szCs w:val="20"/>
          <w:color w:val="auto"/>
        </w:rPr>
      </w:pPr>
      <w:r>
        <w:rPr>
          <w:rFonts w:ascii="Arial" w:cs="Arial" w:eastAsia="Arial" w:hAnsi="Arial"/>
          <w:sz w:val="18"/>
          <w:szCs w:val="18"/>
          <w:color w:val="auto"/>
        </w:rPr>
        <w:t>Revenue is generated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 These criteria are applied as follows:</w:t>
      </w:r>
    </w:p>
    <w:p>
      <w:pPr>
        <w:spacing w:after="0" w:line="170" w:lineRule="exact"/>
        <w:rPr>
          <w:sz w:val="20"/>
          <w:szCs w:val="20"/>
          <w:color w:val="auto"/>
        </w:rPr>
      </w:pPr>
    </w:p>
    <w:p>
      <w:pPr>
        <w:ind w:left="1140" w:right="56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evidence of an arrangement generally consists of contractual arrangements with distributors, third-party insurance payors or direct customers.</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Transfer of title and risk and rewards of ownership are passed upon shipment of the pump to distributors or upon delivery to the customer.</w:t>
      </w:r>
    </w:p>
    <w:p>
      <w:pPr>
        <w:spacing w:after="0" w:line="248" w:lineRule="exact"/>
        <w:rPr>
          <w:rFonts w:ascii="Arial" w:cs="Arial" w:eastAsia="Arial" w:hAnsi="Arial"/>
          <w:sz w:val="16"/>
          <w:szCs w:val="16"/>
          <w:color w:val="auto"/>
        </w:rPr>
      </w:pPr>
    </w:p>
    <w:p>
      <w:pPr>
        <w:ind w:left="1140" w:right="120" w:hanging="376"/>
        <w:spacing w:after="0" w:line="31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selling prices are fixed and agreed upon based on the contracts with distributors, the customer and contracted insurance payors, if applicable. For sales to customers associated with insurance providers with whom there is no contract, revenue is recognized upon collection of cash, at which time the price is determinable. The Company generally does not offer rebates to its distributors and customers.</w:t>
      </w:r>
    </w:p>
    <w:p>
      <w:pPr>
        <w:spacing w:after="0" w:line="146" w:lineRule="exact"/>
        <w:rPr>
          <w:rFonts w:ascii="Arial" w:cs="Arial" w:eastAsia="Arial" w:hAnsi="Arial"/>
          <w:sz w:val="16"/>
          <w:szCs w:val="16"/>
          <w:color w:val="auto"/>
        </w:rPr>
      </w:pPr>
    </w:p>
    <w:p>
      <w:pPr>
        <w:ind w:left="1140" w:right="22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considers the overall creditworthiness and payment history of the distributor, customer and the contracted insurance payor in determining whether collectability is reasonably assured.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firstLine="588"/>
        <w:spacing w:after="0" w:line="273" w:lineRule="auto"/>
        <w:rPr>
          <w:sz w:val="20"/>
          <w:szCs w:val="20"/>
          <w:color w:val="auto"/>
        </w:rPr>
      </w:pPr>
      <w:r>
        <w:rPr>
          <w:rFonts w:ascii="Arial" w:cs="Arial" w:eastAsia="Arial" w:hAnsi="Arial"/>
          <w:sz w:val="17"/>
          <w:szCs w:val="17"/>
          <w:color w:val="auto"/>
        </w:rPr>
        <w:t>The Company considers the deliverables in its product offering as separate units of accounting and recognizes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The Company allocates consideration to the separate units of accounting, unless the undelivered elements were deemed perfunctory and inconsequential. The Company uses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178"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Company offers a cloud-based data management application, t:connect, which is made available to customers upon purchase of any of its insulin pumps. This service is deemed an undelivered element at the time of the insulin pump sale. Because the Company has neither VSOE nor TPE for this deliverable,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this element at the time of sale and is recognizing the revenue over the four-year hosting period. At March 31, 2016 and December 31, 2015, $1.2 million and $1.1 million, respectively, were recorded as deferred revenue for the t:connect hosting service. All other undelivered elements at the time of sale are deemed inconsequential or perfunctory.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is recorded as a reduction of revenue and accounts receivable in the period in which the related sale is recorded. The amounts recorded on the Company’s balance sheet for product return allowance were $0.2 million and $0.3 million at March 31, 2016 and December 31, 2015, respectively. Actual product returns have not differed materially from estimated amounts reserved in the accompanying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100" w:firstLine="571"/>
        <w:spacing w:after="0" w:line="273" w:lineRule="auto"/>
        <w:rPr>
          <w:sz w:val="20"/>
          <w:szCs w:val="20"/>
          <w:color w:val="auto"/>
        </w:rPr>
      </w:pPr>
      <w:r>
        <w:rPr>
          <w:rFonts w:ascii="Arial" w:cs="Arial" w:eastAsia="Arial" w:hAnsi="Arial"/>
          <w:sz w:val="17"/>
          <w:szCs w:val="17"/>
          <w:color w:val="auto"/>
        </w:rPr>
        <w:t>The Company generally provides a four-year warranty on its insulin pumps to end user customers and may replace any pumps that do not function in accordance with the product specifications. t:slim pumps returned to the Company may be refurbished and redeployed, but the Company does not currently refurbish t:flex or t:slim G4 pumps. Additionally, the Company offers a six-month warranty on disposable cartridges and infusion sets. Estimated warranty costs are recorded at the time of shipment. Warranty costs are estimated based on the current expected replacement product cost and expected rates based on historical experience. The Company evaluates the reserve quarterly and makes adjustments when appropriate. Changes to the actual replacement rates could have a material impact on the Company’s estimated liability.</w:t>
      </w:r>
    </w:p>
    <w:p>
      <w:pPr>
        <w:spacing w:after="0" w:line="178"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color w:val="auto"/>
        </w:rPr>
        <w:t>At March 31, 2016 and December 31, 2015, the warranty reserve was $4.2 million and $3.5 million, respectively. The following table provides a reconciliation of the change in product warranty liabilities through March 31,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2016</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2013 Stock Incentive Plan (the “2013 Plan”) and shares issued under the Employee Stock Purchase Plan (“ESPP”) using a Black-Scholes option-pricing model on the date of grant. The Black-Scholes option-pricing model requires the use of subjective assumptions including volatility, expected term, and risk-free rate. For awards that vest based on service conditions, the Company recognizes expense using the straight-line method less estimated forfeitures based on historical experience.</w:t>
      </w:r>
    </w:p>
    <w:p>
      <w:pPr>
        <w:spacing w:after="0" w:line="193" w:lineRule="exact"/>
        <w:rPr>
          <w:sz w:val="20"/>
          <w:szCs w:val="20"/>
          <w:color w:val="auto"/>
        </w:rPr>
      </w:pPr>
    </w:p>
    <w:p>
      <w:pPr>
        <w:ind w:right="260" w:firstLine="571"/>
        <w:spacing w:after="0" w:line="264"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options using the Black-Scholes option-pricing model. The fair value of non-employee awards is remeasured at each reporting period as the underlying awards vest unless the instruments are fully vested, immediately exercisable and nonforfeitable on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Basic net loss per share is calculated by dividing the net loss by the weighted average number of common shares that were outstanding for the period, without consideration for common stock equivalents. Diluted net loss per share is calculated by dividing the net loss by the sum of the weighted-average number of dilutive common share equivalents outstanding for the period determined using the treasury stock method. Dilutive common share equivalents are comprised of warrants, potential awards granted pursuant to the ESPP, and options outstanding under the Company’s other equity incentive plans. For all periods presented, there is no difference in the number of shares used to calculate basic and diluted shares outstanding due to the Company’s net loss 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ind w:right="120" w:firstLine="57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common stock equivalent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020" w:type="dxa"/>
            <w:vAlign w:val="bottom"/>
            <w:gridSpan w:val="3"/>
          </w:tcPr>
          <w:p>
            <w:pPr>
              <w:jc w:val="center"/>
              <w:ind w:left="1258"/>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6940" w:type="dxa"/>
            <w:vAlign w:val="bottom"/>
          </w:tcPr>
          <w:p>
            <w:pPr>
              <w:spacing w:after="0"/>
              <w:rPr>
                <w:sz w:val="19"/>
                <w:szCs w:val="19"/>
                <w:color w:val="auto"/>
              </w:rPr>
            </w:pPr>
          </w:p>
        </w:tc>
        <w:tc>
          <w:tcPr>
            <w:tcW w:w="3020" w:type="dxa"/>
            <w:vAlign w:val="bottom"/>
            <w:tcBorders>
              <w:bottom w:val="single" w:sz="8" w:color="auto"/>
            </w:tcBorders>
            <w:gridSpan w:val="3"/>
          </w:tcPr>
          <w:p>
            <w:pPr>
              <w:jc w:val="center"/>
              <w:ind w:left="1258"/>
              <w:spacing w:after="0"/>
              <w:rPr>
                <w:sz w:val="20"/>
                <w:szCs w:val="20"/>
                <w:color w:val="auto"/>
              </w:rPr>
            </w:pPr>
            <w:r>
              <w:rPr>
                <w:rFonts w:ascii="Arial" w:cs="Arial" w:eastAsia="Arial" w:hAnsi="Arial"/>
                <w:sz w:val="14"/>
                <w:szCs w:val="14"/>
                <w:b w:val="1"/>
                <w:bCs w:val="1"/>
                <w:color w:val="auto"/>
                <w:w w:val="99"/>
              </w:rPr>
              <w:t>March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940" w:type="dxa"/>
            <w:vAlign w:val="bottom"/>
            <w:tcBorders>
              <w:bottom w:val="single" w:sz="8" w:color="CFF0FC"/>
            </w:tcBorders>
          </w:tcPr>
          <w:p>
            <w:pPr>
              <w:spacing w:after="0"/>
              <w:rPr>
                <w:sz w:val="20"/>
                <w:szCs w:val="20"/>
                <w:color w:val="auto"/>
              </w:rPr>
            </w:pPr>
          </w:p>
        </w:tc>
        <w:tc>
          <w:tcPr>
            <w:tcW w:w="2000" w:type="dxa"/>
            <w:vAlign w:val="bottom"/>
            <w:tcBorders>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20"/>
                <w:szCs w:val="20"/>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Common stock options</w:t>
            </w:r>
          </w:p>
        </w:tc>
        <w:tc>
          <w:tcPr>
            <w:tcW w:w="2000" w:type="dxa"/>
            <w:vAlign w:val="bottom"/>
          </w:tcPr>
          <w:p>
            <w:pPr>
              <w:jc w:val="right"/>
              <w:spacing w:after="0"/>
              <w:rPr>
                <w:sz w:val="20"/>
                <w:szCs w:val="20"/>
                <w:color w:val="auto"/>
              </w:rPr>
            </w:pPr>
            <w:r>
              <w:rPr>
                <w:rFonts w:ascii="Arial" w:cs="Arial" w:eastAsia="Arial" w:hAnsi="Arial"/>
                <w:sz w:val="18"/>
                <w:szCs w:val="18"/>
                <w:color w:val="auto"/>
              </w:rPr>
              <w:t>606</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571"/>
        <w:spacing w:after="0" w:line="293" w:lineRule="auto"/>
        <w:rPr>
          <w:sz w:val="20"/>
          <w:szCs w:val="20"/>
          <w:color w:val="auto"/>
        </w:rPr>
      </w:pPr>
      <w:r>
        <w:rPr>
          <w:rFonts w:ascii="Arial" w:cs="Arial" w:eastAsia="Arial" w:hAnsi="Arial"/>
          <w:sz w:val="16"/>
          <w:szCs w:val="16"/>
          <w:color w:val="auto"/>
        </w:rPr>
        <w:t>In March 2016, the Financial Accounting Standards Board (“FASB”) issued an Accounting Standards Update on changing certain aspects of accounting for share-based payments to employees. The new guidance will require all income tax effects of awards to be recognized in the income statement when the awards vest or are settled. It also will allow an employer to repurchase more of an employee’s shares than it can today for tax withholding purposes without triggering liability accounting, and to make a policy election to account for forfeitures as they occur. The guidance is effective for public business entities for fiscal years beginning after December 15, 2016, and interim periods within those years. Early adoption is permitted, but all of the guidance must be adopted in the same period. The Company is in the process of assessing the impact of the adoption of the standard on its financial statements.</w:t>
      </w:r>
    </w:p>
    <w:p>
      <w:pPr>
        <w:spacing w:after="0" w:line="165"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guidance requires lessees to put most leases on their balance sheet but to recognize expenses on their income statement in a manner similar to today’s accounting. The new guidance also eliminates today’s real estate-specific provisions for all entities. The standard is effective for public business entities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188"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In May 2014, FASB and the International Accounting Standards Board issued a comprehensive new revenue recognition standard that will supersede existing revenue guidance under U.S. GAAP and International Financial Reporting Standards.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This may include identifying performance obligations in the contract, estimating the amount of variable consideration to include in the transaction price and allocating the transaction price to each separate performance obligation. On July 9, 2015, the FASB approved a one-year deferral of the effective date of the standard to December 15, 2017 and early application is permitted, but not before the original effective date of December 15, 2016. The Company is in the process of assessing the impact of the adoption of the standard on its financial statements.</w:t>
      </w:r>
    </w:p>
    <w:p>
      <w:pPr>
        <w:spacing w:after="0" w:line="166"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In April 2015, the FASB issued ASU No. 2015-03 amended requirements that require debt issuance costs, related to a recognized debt liability, to be presented in the balance sheet as a direct deduction from the carrying amount of that debt liability, effective for the Company beginning January 1, 2016 and applied retroactively for all consolidated balance sheets presented. The Company applied the amended presentation requirements in the first quarter 2016, which resulted in the reclassification of $0.4 million of debt issuance costs in the Company’s balance sheet from other long-term assets to long term notes payable at December 31, 2015.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520" w:firstLine="571"/>
        <w:spacing w:after="0" w:line="277" w:lineRule="auto"/>
        <w:rPr>
          <w:sz w:val="20"/>
          <w:szCs w:val="20"/>
          <w:color w:val="auto"/>
        </w:rPr>
      </w:pPr>
      <w:r>
        <w:rPr>
          <w:rFonts w:ascii="Arial" w:cs="Arial" w:eastAsia="Arial" w:hAnsi="Arial"/>
          <w:sz w:val="18"/>
          <w:szCs w:val="18"/>
          <w:color w:val="auto"/>
        </w:rPr>
        <w:t>The Company invests in various securities, principally in debt instruments of financial institutions and corporations. The following represents a summary of the estimated fair value of short-term investments at March 31, 2016 and December 31,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March 31, 2016</w:t>
            </w:r>
          </w:p>
        </w:tc>
        <w:tc>
          <w:tcPr>
            <w:tcW w:w="1100" w:type="dxa"/>
            <w:vAlign w:val="bottom"/>
          </w:tcPr>
          <w:p>
            <w:pPr>
              <w:jc w:val="center"/>
              <w:ind w:left="57"/>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660" w:type="dxa"/>
            <w:vAlign w:val="bottom"/>
            <w:gridSpan w:val="3"/>
            <w:vMerge w:val="continue"/>
          </w:tcPr>
          <w:p>
            <w:pPr>
              <w:spacing w:after="0"/>
              <w:rPr>
                <w:sz w:val="13"/>
                <w:szCs w:val="13"/>
                <w:color w:val="auto"/>
              </w:rPr>
            </w:pPr>
          </w:p>
        </w:tc>
        <w:tc>
          <w:tcPr>
            <w:tcW w:w="1100" w:type="dxa"/>
            <w:vAlign w:val="bottom"/>
          </w:tcPr>
          <w:p>
            <w:pPr>
              <w:jc w:val="center"/>
              <w:ind w:left="37"/>
              <w:spacing w:after="0" w:line="158"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3"/>
                <w:szCs w:val="13"/>
                <w:color w:val="auto"/>
              </w:rPr>
            </w:pPr>
          </w:p>
        </w:tc>
        <w:tc>
          <w:tcPr>
            <w:tcW w:w="9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30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w w:val="88"/>
              </w:rPr>
              <w:t>Less than 1</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40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US Treasuries</w:t>
            </w:r>
          </w:p>
        </w:tc>
        <w:tc>
          <w:tcPr>
            <w:tcW w:w="110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88"/>
              </w:rPr>
              <w:t>Less than 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Government-sponsored enterprise securities</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w w:val="88"/>
              </w:rPr>
              <w:t>Less than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100" w:type="dxa"/>
            <w:vAlign w:val="bottom"/>
            <w:shd w:val="clear" w:color="auto" w:fill="CFF0FC"/>
          </w:tcPr>
          <w:p>
            <w:pPr>
              <w:spacing w:after="0"/>
              <w:rPr>
                <w:sz w:val="20"/>
                <w:szCs w:val="20"/>
                <w:color w:val="auto"/>
              </w:rPr>
            </w:pPr>
          </w:p>
        </w:tc>
        <w:tc>
          <w:tcPr>
            <w:tcW w:w="280" w:type="dxa"/>
            <w:vAlign w:val="bottom"/>
            <w:gridSpan w:val="3"/>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3"/>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At December 31, 2015</w:t>
            </w:r>
          </w:p>
        </w:tc>
        <w:tc>
          <w:tcPr>
            <w:tcW w:w="3300" w:type="dxa"/>
            <w:vAlign w:val="bottom"/>
            <w:vMerge w:val="restart"/>
          </w:tcPr>
          <w:p>
            <w:pPr>
              <w:spacing w:after="0"/>
              <w:rPr>
                <w:sz w:val="24"/>
                <w:szCs w:val="24"/>
                <w:color w:val="auto"/>
              </w:rPr>
            </w:pPr>
          </w:p>
        </w:tc>
        <w:tc>
          <w:tcPr>
            <w:tcW w:w="1100" w:type="dxa"/>
            <w:vAlign w:val="bottom"/>
          </w:tcPr>
          <w:p>
            <w:pPr>
              <w:jc w:val="center"/>
              <w:ind w:left="57"/>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100" w:type="dxa"/>
            <w:vAlign w:val="bottom"/>
          </w:tcPr>
          <w:p>
            <w:pPr>
              <w:jc w:val="center"/>
              <w:ind w:left="37"/>
              <w:spacing w:after="0" w:line="158"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w w:val="88"/>
              </w:rPr>
              <w:t>Less than 1</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40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US Treasuries</w:t>
            </w:r>
          </w:p>
        </w:tc>
        <w:tc>
          <w:tcPr>
            <w:tcW w:w="110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88"/>
              </w:rPr>
              <w:t>Less than 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Government-sponsored enterprise securities</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w w:val="88"/>
              </w:rPr>
              <w:t>Less than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3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0" w:type="dxa"/>
            <w:vAlign w:val="bottom"/>
            <w:vMerge w:val="restart"/>
            <w:shd w:val="clear" w:color="auto" w:fill="CFF0FC"/>
          </w:tcPr>
          <w:p>
            <w:pPr>
              <w:spacing w:after="0" w:line="20" w:lineRule="exact"/>
              <w:rPr>
                <w:sz w:val="1"/>
                <w:szCs w:val="1"/>
                <w:color w:val="auto"/>
              </w:rPr>
            </w:pPr>
          </w:p>
        </w:tc>
        <w:tc>
          <w:tcPr>
            <w:tcW w:w="22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vMerge w:val="continue"/>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20" w:type="dxa"/>
            <w:vAlign w:val="bottom"/>
            <w:vMerge w:val="continue"/>
            <w:shd w:val="clear" w:color="auto" w:fill="CFF0FC"/>
          </w:tcPr>
          <w:p>
            <w:pPr>
              <w:spacing w:after="0"/>
              <w:rPr>
                <w:sz w:val="19"/>
                <w:szCs w:val="19"/>
                <w:color w:val="auto"/>
              </w:rPr>
            </w:pPr>
          </w:p>
        </w:tc>
        <w:tc>
          <w:tcPr>
            <w:tcW w:w="4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100" w:type="dxa"/>
            <w:vAlign w:val="bottom"/>
            <w:shd w:val="clear" w:color="auto" w:fill="CFF0FC"/>
          </w:tcPr>
          <w:p>
            <w:pPr>
              <w:spacing w:after="0"/>
              <w:rPr>
                <w:sz w:val="20"/>
                <w:szCs w:val="20"/>
                <w:color w:val="auto"/>
              </w:rPr>
            </w:pPr>
          </w:p>
        </w:tc>
        <w:tc>
          <w:tcPr>
            <w:tcW w:w="280" w:type="dxa"/>
            <w:vAlign w:val="bottom"/>
            <w:gridSpan w:val="3"/>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3"/>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Inventory</w:t>
            </w: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6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gridSpan w:val="3"/>
          </w:tcPr>
          <w:p>
            <w:pPr>
              <w:ind w:left="580"/>
              <w:spacing w:after="0"/>
              <w:rPr>
                <w:sz w:val="20"/>
                <w:szCs w:val="20"/>
                <w:color w:val="auto"/>
              </w:rPr>
            </w:pPr>
            <w:r>
              <w:rPr>
                <w:rFonts w:ascii="Arial" w:cs="Arial" w:eastAsia="Arial" w:hAnsi="Arial"/>
                <w:sz w:val="18"/>
                <w:szCs w:val="18"/>
                <w:color w:val="auto"/>
              </w:rPr>
              <w:t>Inventory consisted of the following (in thousands):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3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11,541</w:t>
            </w:r>
          </w:p>
        </w:tc>
        <w:tc>
          <w:tcPr>
            <w:tcW w:w="180" w:type="dxa"/>
            <w:vAlign w:val="bottom"/>
            <w:shd w:val="clear" w:color="auto" w:fill="CFF0FC"/>
          </w:tcPr>
          <w:p>
            <w:pPr>
              <w:spacing w:after="0"/>
              <w:rPr>
                <w:sz w:val="19"/>
                <w:szCs w:val="19"/>
                <w:color w:val="auto"/>
              </w:rPr>
            </w:pPr>
          </w:p>
        </w:tc>
        <w:tc>
          <w:tcPr>
            <w:tcW w:w="260" w:type="dxa"/>
            <w:vAlign w:val="bottom"/>
            <w:tcBorders>
              <w:right w:val="single" w:sz="8" w:color="CFF0FC"/>
            </w:tcBorders>
            <w:gridSpan w:val="2"/>
            <w:shd w:val="clear" w:color="auto" w:fill="CFF0FC"/>
          </w:tcPr>
          <w:p>
            <w:pPr>
              <w:spacing w:after="0"/>
              <w:rPr>
                <w:sz w:val="19"/>
                <w:szCs w:val="19"/>
                <w:color w:val="auto"/>
              </w:rPr>
            </w:pPr>
          </w:p>
        </w:tc>
        <w:tc>
          <w:tcPr>
            <w:tcW w:w="140" w:type="dxa"/>
            <w:vAlign w:val="bottom"/>
            <w:shd w:val="clear" w:color="auto" w:fill="CFF0FC"/>
          </w:tcPr>
          <w:p>
            <w:pPr>
              <w:jc w:val="right"/>
              <w:ind w:right="42"/>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20,196</w:t>
            </w: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tcPr>
          <w:p>
            <w:pPr>
              <w:jc w:val="right"/>
              <w:ind w:right="42"/>
              <w:spacing w:after="0"/>
              <w:rPr>
                <w:sz w:val="20"/>
                <w:szCs w:val="20"/>
                <w:color w:val="auto"/>
              </w:rPr>
            </w:pPr>
            <w:r>
              <w:rPr>
                <w:rFonts w:ascii="Arial" w:cs="Arial" w:eastAsia="Arial" w:hAnsi="Arial"/>
                <w:sz w:val="5"/>
                <w:szCs w:val="5"/>
                <w:color w:val="auto"/>
                <w:w w:val="70"/>
              </w:rPr>
              <w: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160" w:firstLine="4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March 31, 2016 and December 31, 2015, and indicates the fair value hierarchy of the valuation techniques utilized by the Company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2016</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23,736</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23,402</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23,402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478"/>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equivalents included money market funds and commercial paper with a maturity of three months or less from the date of purchase.</w:t>
      </w:r>
    </w:p>
    <w:p>
      <w:pPr>
        <w:spacing w:after="0" w:line="23" w:lineRule="exact"/>
        <w:rPr>
          <w:rFonts w:ascii="Arial" w:cs="Arial" w:eastAsia="Arial" w:hAnsi="Arial"/>
          <w:sz w:val="18"/>
          <w:szCs w:val="18"/>
          <w:color w:val="auto"/>
        </w:rPr>
      </w:pPr>
    </w:p>
    <w:p>
      <w:pPr>
        <w:ind w:left="540" w:right="240" w:hanging="478"/>
        <w:spacing w:after="0" w:line="277"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Deferred compensation plans are compensation plans directed by the Company and structured as a Rabbi Trust for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3"/>
          <w:szCs w:val="13"/>
          <w:color w:val="auto"/>
        </w:rPr>
        <w:t>.</w:t>
      </w:r>
    </w:p>
    <w:p>
      <w:pPr>
        <w:spacing w:after="0" w:line="173"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three months ended March 31,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Term Loan Agreement with Capital Royalty Partners</w:t>
      </w:r>
    </w:p>
    <w:p>
      <w:pPr>
        <w:spacing w:after="0" w:line="229" w:lineRule="exact"/>
        <w:rPr>
          <w:sz w:val="20"/>
          <w:szCs w:val="20"/>
          <w:color w:val="auto"/>
        </w:rPr>
      </w:pPr>
    </w:p>
    <w:p>
      <w:pPr>
        <w:ind w:right="80" w:firstLine="571"/>
        <w:spacing w:after="0" w:line="264" w:lineRule="auto"/>
        <w:rPr>
          <w:sz w:val="20"/>
          <w:szCs w:val="20"/>
          <w:color w:val="auto"/>
        </w:rPr>
      </w:pPr>
      <w:r>
        <w:rPr>
          <w:rFonts w:ascii="Arial" w:cs="Arial" w:eastAsia="Arial" w:hAnsi="Arial"/>
          <w:sz w:val="18"/>
          <w:szCs w:val="18"/>
          <w:color w:val="auto"/>
        </w:rPr>
        <w:t>In January 2016, the Company entered into a third amendment to its Term Loan Agreement with Capital Royalty Partners (the “Third Amendment”). The Term Loan Agreement with Capital Royalty Partners was previously amended by Consent and Amendment Agreement, dated June 20, 2014, and Omnibus Amendment Agreement No. 2, dated February 23, 2015.</w:t>
      </w:r>
    </w:p>
    <w:p>
      <w:pPr>
        <w:spacing w:after="0" w:line="181" w:lineRule="exact"/>
        <w:rPr>
          <w:sz w:val="20"/>
          <w:szCs w:val="20"/>
          <w:color w:val="auto"/>
        </w:rPr>
      </w:pPr>
    </w:p>
    <w:p>
      <w:pPr>
        <w:ind w:right="160" w:firstLine="571"/>
        <w:spacing w:after="0" w:line="279" w:lineRule="auto"/>
        <w:rPr>
          <w:sz w:val="20"/>
          <w:szCs w:val="20"/>
          <w:color w:val="auto"/>
        </w:rPr>
      </w:pPr>
      <w:r>
        <w:rPr>
          <w:rFonts w:ascii="Arial" w:cs="Arial" w:eastAsia="Arial" w:hAnsi="Arial"/>
          <w:sz w:val="17"/>
          <w:szCs w:val="17"/>
          <w:color w:val="auto"/>
        </w:rPr>
        <w:t>Under its Term Loan Agreement with Capital Royalty Partners, the Company had aggregate borrowings outstanding of $30.2 million (such amount, the “First Tranche”) as of December 31, 2015. Under the Third Amendment, the Company borrowed $15.0 million (such amount, the “Second Tranche”) in January 2016, and the Third Amendment provides the Company with a one-time option to draw up to an additional $35.0 million in increments of $5.0 million on or before December 31, 2016 (such amount, to the extent drawn, the “Third Tranche”).</w:t>
      </w:r>
    </w:p>
    <w:p>
      <w:pPr>
        <w:spacing w:after="0" w:line="171" w:lineRule="exact"/>
        <w:rPr>
          <w:sz w:val="20"/>
          <w:szCs w:val="20"/>
          <w:color w:val="auto"/>
        </w:rPr>
      </w:pPr>
    </w:p>
    <w:p>
      <w:pPr>
        <w:ind w:right="20" w:firstLine="571"/>
        <w:spacing w:after="0" w:line="270" w:lineRule="auto"/>
        <w:rPr>
          <w:sz w:val="20"/>
          <w:szCs w:val="20"/>
          <w:color w:val="auto"/>
        </w:rPr>
      </w:pPr>
      <w:r>
        <w:rPr>
          <w:rFonts w:ascii="Arial" w:cs="Arial" w:eastAsia="Arial" w:hAnsi="Arial"/>
          <w:sz w:val="17"/>
          <w:szCs w:val="17"/>
          <w:color w:val="auto"/>
        </w:rPr>
        <w:t>The other principal terms of the Term Loan Agreement with Capital Royalty Partners were not amended by the Third Amendment. Accordingly, interest continues to be payable, at the Company’s option, (i) in cash at a rate of 11.5% per annum or (ii) at a rate of 9.5% of the 11.5% per annum in cash and 2.0% of the 11.5% per annum (the “PIK Loan”) to be added to the principal of the loan and subject to accruing interest. Interest-only payments continue to be due quarterly on March 31, June 30, September 30 and December 31 of each year of the interest-only payment period, which ends on December 31, 2019. The principal balance continues to be due in full at the end of the term of the loan, which is March 31, 2020 (the “Maturity Date”). The Term Loan Agreement with Capital Royalty Partners provides for prepayment fees in an amount equal to one percent (1.0%) of the outstanding balance of the loan if the loan is repaid prior to March 31, 2017, after which there is no prepayment fee. The term loan is collateralized by all assets of the Company. The principal financial covenants continue to require that the Company attain minimum annual revenues of $65.0 million in 2016, $80.0 million in 2017 and $95.0 million each year thereafter until the Maturity Date. At March 31, 2016, the Company was in compliance with all of the covenants in its Term Loan Agreement with Capital Royalty Partners.</w:t>
      </w:r>
    </w:p>
    <w:p>
      <w:pPr>
        <w:spacing w:after="0" w:line="178"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The Company had elected to pay interest in cash at a rate of 11.5% per annum through September 30, 2015. For the three months ended March 31, 2016 and December 31, 2015, the Company elected to pay interest in cash at a rate of 9.5% per annum and to have 2.0% per annum added to the principal of the loan. As a result, $212,000 and $153,000 was added to the principal of the loan for the three months ended March 31, 2016 and December 31, 2015, respectively. The Company had $45.4 million aggregate borrowings outstanding under its Term Loan Agreement with Capital Royalty Partners as of March 31, 2016.</w:t>
      </w:r>
    </w:p>
    <w:p>
      <w:pPr>
        <w:spacing w:after="0" w:line="188" w:lineRule="exact"/>
        <w:rPr>
          <w:sz w:val="20"/>
          <w:szCs w:val="20"/>
          <w:color w:val="auto"/>
        </w:rPr>
      </w:pPr>
    </w:p>
    <w:p>
      <w:pPr>
        <w:ind w:firstLine="571"/>
        <w:spacing w:after="0" w:line="297" w:lineRule="auto"/>
        <w:rPr>
          <w:sz w:val="20"/>
          <w:szCs w:val="20"/>
          <w:color w:val="auto"/>
        </w:rPr>
      </w:pPr>
      <w:r>
        <w:rPr>
          <w:rFonts w:ascii="Arial" w:cs="Arial" w:eastAsia="Arial" w:hAnsi="Arial"/>
          <w:sz w:val="16"/>
          <w:szCs w:val="16"/>
          <w:color w:val="auto"/>
        </w:rPr>
        <w:t>Pursuant to the Third Amendment, the Company has agreed to pay, on the earlier of (i) the Maturity Date; (ii) the date that the loan under its Term Loan Agreement with Capital Royalty Partners becomes due, and (iii) the date on which the Company makes a voluntary pre-payment of the loan, a financing fee equal to three percent (3.0%) of the sum of (x) the aggregate amount of the Second Tranche and Third Tranche drawn, and (y) any PIK Loans issued in relation to the Second Tranche and Third Tranche (collectively, the “Back End Financing Fee”). As of March 31, 2016 the Company had accrued $0.5 million for the Back End Financing Fee in other long term liabilities and as contra-debt in notes payable-long term on the accompanying balance sheet.</w:t>
      </w:r>
    </w:p>
    <w:p>
      <w:pPr>
        <w:spacing w:after="0" w:line="158"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Company treated this amendment as a modification. The present value of the future cash flows under the Third Amendment did not exceed the present value of the future cash flows under the previous terms by more than 10%. The Back End Financing Fee and the remaining balance of debt issuance costs and debt discount of the term loan are amortized to interest expense over the remaining term of the Third Amendment using the effective interest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In the first quarter of 2015, the Company completed a public offering of 6,037,500 shares of its common stock at a public offering price of $11.50 per share. Net cash proceeds from the public offering were approximately $64.9 million, after deducting underwriting discounts, commissions and offering expenses paid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at March 31, 2016:</w:t>
      </w:r>
    </w:p>
    <w:p>
      <w:pPr>
        <w:sectPr>
          <w:pgSz w:w="11900" w:h="16838" w:orient="portrait"/>
          <w:cols w:equalWidth="0" w:num="1">
            <w:col w:w="11400"/>
          </w:cols>
          <w:pgMar w:left="240" w:top="364" w:right="2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990,031</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6,796,078</w:t>
      </w:r>
    </w:p>
    <w:p>
      <w:pPr>
        <w:spacing w:after="0" w:line="34"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2,053,101</w:t>
      </w:r>
    </w:p>
    <w:p>
      <w:pPr>
        <w:spacing w:after="0" w:line="3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770,787</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10,609,997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53975</wp:posOffset>
            </wp:positionV>
            <wp:extent cx="2075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60" w:space="720"/>
            <w:col w:w="920"/>
          </w:cols>
          <w:pgMar w:left="240" w:top="364" w:right="259" w:bottom="1440" w:gutter="0" w:footer="0" w:header="0"/>
          <w:type w:val="continuous"/>
        </w:sectPr>
      </w:pP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12" w:name="page13"/>
    <w:bookmarkEnd w:id="12"/>
    <w:p>
      <w:pPr>
        <w:ind w:right="280" w:firstLine="571"/>
        <w:spacing w:after="0" w:line="342" w:lineRule="auto"/>
        <w:rPr>
          <w:sz w:val="20"/>
          <w:szCs w:val="20"/>
          <w:color w:val="auto"/>
        </w:rPr>
      </w:pPr>
      <w:r>
        <w:rPr>
          <w:rFonts w:ascii="Arial" w:cs="Arial" w:eastAsia="Arial" w:hAnsi="Arial"/>
          <w:sz w:val="16"/>
          <w:szCs w:val="16"/>
          <w:color w:val="auto"/>
        </w:rPr>
        <w:t>The Company issued 93,314 shares of its common stock upon the exercise of stock options and warrants during the three months ended March 31, 2016, and issued 260,091 shares of its common stock upon the exercise of stock options and warrants during the year ended December 31, 2015.</w:t>
      </w:r>
    </w:p>
    <w:p>
      <w:pPr>
        <w:spacing w:after="0" w:line="124" w:lineRule="exact"/>
        <w:rPr>
          <w:sz w:val="20"/>
          <w:szCs w:val="20"/>
          <w:color w:val="auto"/>
        </w:rPr>
      </w:pPr>
    </w:p>
    <w:p>
      <w:pPr>
        <w:ind w:right="80" w:firstLine="571"/>
        <w:spacing w:after="0" w:line="279"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 tax payroll deductions, subject to certain conditions. The ESPP consists of a two-year offering period with four six-month purchase periods which begin in May and November of each year. There were no shares of the Company’s common stock purchased under the ESPP during the three months ended March 31, 2016, and there were 302,171 shares of the Company’s common stock purchased under the ESPP during the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ind w:right="205"/>
              <w:spacing w:after="0"/>
              <w:rPr>
                <w:sz w:val="20"/>
                <w:szCs w:val="20"/>
                <w:color w:val="auto"/>
              </w:rPr>
            </w:pPr>
            <w:r>
              <w:rPr>
                <w:rFonts w:ascii="Arial" w:cs="Arial" w:eastAsia="Arial" w:hAnsi="Arial"/>
                <w:sz w:val="14"/>
                <w:szCs w:val="14"/>
                <w:b w:val="1"/>
                <w:bCs w:val="1"/>
                <w:color w:val="auto"/>
                <w:w w:val="94"/>
              </w:rPr>
              <w:t>Stock Option</w:t>
            </w:r>
          </w:p>
        </w:tc>
        <w:tc>
          <w:tcPr>
            <w:tcW w:w="1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40" w:type="dxa"/>
            <w:vAlign w:val="bottom"/>
            <w:gridSpan w:val="6"/>
          </w:tcPr>
          <w:p>
            <w:pPr>
              <w:jc w:val="center"/>
              <w:ind w:right="225"/>
              <w:spacing w:after="0"/>
              <w:rPr>
                <w:sz w:val="20"/>
                <w:szCs w:val="20"/>
                <w:color w:val="auto"/>
              </w:rPr>
            </w:pPr>
            <w:r>
              <w:rPr>
                <w:rFonts w:ascii="Arial" w:cs="Arial" w:eastAsia="Arial" w:hAnsi="Arial"/>
                <w:sz w:val="14"/>
                <w:szCs w:val="14"/>
                <w:b w:val="1"/>
                <w:bCs w:val="1"/>
                <w:color w:val="auto"/>
                <w:w w:val="95"/>
              </w:rPr>
              <w:t>Three Months Ended</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6"/>
          </w:tcPr>
          <w:p>
            <w:pPr>
              <w:jc w:val="center"/>
              <w:ind w:right="225"/>
              <w:spacing w:after="0"/>
              <w:rPr>
                <w:sz w:val="20"/>
                <w:szCs w:val="20"/>
                <w:color w:val="auto"/>
              </w:rPr>
            </w:pPr>
            <w:r>
              <w:rPr>
                <w:rFonts w:ascii="Arial" w:cs="Arial" w:eastAsia="Arial" w:hAnsi="Arial"/>
                <w:sz w:val="14"/>
                <w:szCs w:val="14"/>
                <w:b w:val="1"/>
                <w:bCs w:val="1"/>
                <w:color w:val="auto"/>
                <w:w w:val="99"/>
              </w:rPr>
              <w:t>March 31,</w:t>
            </w:r>
          </w:p>
        </w:tc>
        <w:tc>
          <w:tcPr>
            <w:tcW w:w="1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900" w:type="dxa"/>
            <w:vAlign w:val="bottom"/>
            <w:tcBorders>
              <w:bottom w:val="single" w:sz="8" w:color="auto"/>
            </w:tcBorders>
            <w:gridSpan w:val="2"/>
          </w:tcPr>
          <w:p>
            <w:pPr>
              <w:jc w:val="right"/>
              <w:ind w:right="485"/>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900" w:type="dxa"/>
            <w:vAlign w:val="bottom"/>
            <w:gridSpan w:val="2"/>
            <w:shd w:val="clear" w:color="auto" w:fill="CFF0FC"/>
          </w:tcPr>
          <w:p>
            <w:pPr>
              <w:jc w:val="right"/>
              <w:ind w:right="172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70.4%</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32"/>
        </w:trPr>
        <w:tc>
          <w:tcPr>
            <w:tcW w:w="7880" w:type="dxa"/>
            <w:vAlign w:val="bottom"/>
            <w:gridSpan w:val="3"/>
          </w:tcPr>
          <w:p>
            <w:pPr>
              <w:ind w:left="580"/>
              <w:spacing w:after="0"/>
              <w:rPr>
                <w:sz w:val="20"/>
                <w:szCs w:val="20"/>
                <w:color w:val="auto"/>
              </w:rPr>
            </w:pPr>
            <w:r>
              <w:rPr>
                <w:rFonts w:ascii="Arial" w:cs="Arial" w:eastAsia="Arial" w:hAnsi="Arial"/>
                <w:sz w:val="18"/>
                <w:szCs w:val="18"/>
                <w:color w:val="auto"/>
                <w:w w:val="91"/>
              </w:rPr>
              <w:t>The following table summarizes the allocation of stock-based compensation expense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40" w:type="dxa"/>
            <w:vAlign w:val="bottom"/>
            <w:gridSpan w:val="6"/>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6"/>
          </w:tcPr>
          <w:p>
            <w:pPr>
              <w:jc w:val="right"/>
              <w:ind w:right="545"/>
              <w:spacing w:after="0"/>
              <w:rPr>
                <w:sz w:val="20"/>
                <w:szCs w:val="20"/>
                <w:color w:val="auto"/>
              </w:rPr>
            </w:pPr>
            <w:r>
              <w:rPr>
                <w:rFonts w:ascii="Arial" w:cs="Arial" w:eastAsia="Arial" w:hAnsi="Arial"/>
                <w:sz w:val="14"/>
                <w:szCs w:val="14"/>
                <w:b w:val="1"/>
                <w:bCs w:val="1"/>
                <w:color w:val="auto"/>
              </w:rPr>
              <w:t>March 31,</w:t>
            </w: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900" w:type="dxa"/>
            <w:vAlign w:val="bottom"/>
            <w:gridSpan w:val="2"/>
          </w:tcPr>
          <w:p>
            <w:pPr>
              <w:jc w:val="right"/>
              <w:ind w:right="385"/>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jc w:val="right"/>
              <w:ind w:right="9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16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800" w:type="dxa"/>
            <w:vAlign w:val="bottom"/>
          </w:tcPr>
          <w:p>
            <w:pPr>
              <w:jc w:val="right"/>
              <w:ind w:right="164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71"/>
        <w:spacing w:after="0" w:line="277" w:lineRule="auto"/>
        <w:rPr>
          <w:sz w:val="20"/>
          <w:szCs w:val="20"/>
          <w:color w:val="auto"/>
        </w:rPr>
      </w:pPr>
      <w:r>
        <w:rPr>
          <w:rFonts w:ascii="Arial" w:cs="Arial" w:eastAsia="Arial" w:hAnsi="Arial"/>
          <w:sz w:val="18"/>
          <w:szCs w:val="18"/>
          <w:color w:val="auto"/>
        </w:rPr>
        <w:t>The total stock-based compensation capitalized as part of the cost of inventory was $0.2 million and $0.1 million at March 31, 2016 and December 31,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DexCom Development and Commercialization Agreement</w:t>
      </w:r>
    </w:p>
    <w:p>
      <w:pPr>
        <w:spacing w:after="0" w:line="225"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In February 2012, the Company entered into a Development and Commercialization Agreement (the “DexCom Agreement”) with DexCom, Inc. (“DexCom”) for the purpose of collaborating on the development and commercialization of an integrated system which incorporates t:slim Insulin Delivery System with DexCom’s proprietary continuous glucose monitoring system.</w:t>
      </w:r>
    </w:p>
    <w:p>
      <w:pPr>
        <w:spacing w:after="0" w:line="181" w:lineRule="exact"/>
        <w:rPr>
          <w:sz w:val="20"/>
          <w:szCs w:val="20"/>
          <w:color w:val="auto"/>
        </w:rPr>
      </w:pPr>
    </w:p>
    <w:p>
      <w:pPr>
        <w:jc w:val="both"/>
        <w:ind w:right="240" w:firstLine="571"/>
        <w:spacing w:after="0" w:line="286" w:lineRule="auto"/>
        <w:rPr>
          <w:sz w:val="20"/>
          <w:szCs w:val="20"/>
          <w:color w:val="auto"/>
        </w:rPr>
      </w:pPr>
      <w:r>
        <w:rPr>
          <w:rFonts w:ascii="Arial" w:cs="Arial" w:eastAsia="Arial" w:hAnsi="Arial"/>
          <w:sz w:val="17"/>
          <w:szCs w:val="17"/>
          <w:color w:val="auto"/>
        </w:rPr>
        <w:t>Under the DexCom Agreement, the Company paid DexCom $1.0 million at the commencement of the collaboration in 2012, $1.0 million in 2014 upon the achievement of t:slim G4 pre-market approval (“PMA”) submission to the FDA and an additional $1.0 million in September 2015 upon obtaining approval of the PMA submission from the FDA. All payments were recorded as research and development costs in their respective years.</w:t>
      </w:r>
    </w:p>
    <w:p>
      <w:pPr>
        <w:spacing w:after="0" w:line="166" w:lineRule="exact"/>
        <w:rPr>
          <w:sz w:val="20"/>
          <w:szCs w:val="20"/>
          <w:color w:val="auto"/>
        </w:rPr>
      </w:pPr>
    </w:p>
    <w:p>
      <w:pPr>
        <w:ind w:right="80" w:firstLine="571"/>
        <w:spacing w:after="0" w:line="277" w:lineRule="auto"/>
        <w:rPr>
          <w:sz w:val="20"/>
          <w:szCs w:val="20"/>
          <w:color w:val="auto"/>
        </w:rPr>
      </w:pPr>
      <w:r>
        <w:rPr>
          <w:rFonts w:ascii="Arial" w:cs="Arial" w:eastAsia="Arial" w:hAnsi="Arial"/>
          <w:sz w:val="18"/>
          <w:szCs w:val="18"/>
          <w:color w:val="auto"/>
        </w:rPr>
        <w:t>Additionally, upon commercialization and as compensation for the non-exclusive license rights, under the original DexCom Agreement the Company agreed to pay DexCom a royalty calculated at $100 per integrated system sold.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100" w:firstLine="571"/>
        <w:spacing w:after="0" w:line="293" w:lineRule="auto"/>
        <w:rPr>
          <w:sz w:val="20"/>
          <w:szCs w:val="20"/>
          <w:color w:val="auto"/>
        </w:rPr>
      </w:pPr>
      <w:r>
        <w:rPr>
          <w:rFonts w:ascii="Arial" w:cs="Arial" w:eastAsia="Arial" w:hAnsi="Arial"/>
          <w:sz w:val="16"/>
          <w:szCs w:val="16"/>
          <w:color w:val="auto"/>
        </w:rPr>
        <w:t>In September 2015, the Company entered into an amendment to the DexCom Agreement (the “Amendment”). Pursuant to the Amendment, in lieu of the $100 royalty payment for each integrated system sold, the Company will commit $100 of each t:slim G4 integrated system sold to incremental marketing activities associated with t:slim G4 integrated systems that are in addition to a level of ordinary course marketing activities or marketing activities to support other Company and DexCom jointly funded development projects. The committed marketing fund is recorded as an increase to cost of sales and current liability in the period that the related t:slim G4 sale is recorded. As of March 31, 2016 and December 31, 2015, the Company has recorded such marketing fund liability of $0.7 million and $0.4 million, respectively, in other current liabilities on the accompanying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Collaboration</w:t>
      </w:r>
    </w:p>
    <w:p>
      <w:pPr>
        <w:spacing w:after="0" w:line="225"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In January 2013, the Company entered into a Research, Development and Commercialization Agreement (“JDRF Agreement”) with JDRF to develop the t:dual Infusion System, a first-of-its-kind, dual-chamber infusion pump for the management of diabetes. According to the terms of the JDRF Agreement, JDRF would provide research funding of up to $3.0 million based on the achievement of research and development milestones, not to exceed research costs incurred by the Company. Any intellectual property developed by either party in the performance of the agreement would be owned or exclusively licensed by the Company.</w:t>
      </w:r>
    </w:p>
    <w:p>
      <w:pPr>
        <w:spacing w:after="0" w:line="188" w:lineRule="exact"/>
        <w:rPr>
          <w:sz w:val="20"/>
          <w:szCs w:val="20"/>
          <w:color w:val="auto"/>
        </w:rPr>
      </w:pPr>
    </w:p>
    <w:p>
      <w:pPr>
        <w:jc w:val="both"/>
        <w:ind w:right="240" w:firstLine="571"/>
        <w:spacing w:after="0" w:line="312" w:lineRule="auto"/>
        <w:rPr>
          <w:sz w:val="20"/>
          <w:szCs w:val="20"/>
          <w:color w:val="auto"/>
        </w:rPr>
      </w:pPr>
      <w:r>
        <w:rPr>
          <w:rFonts w:ascii="Arial" w:cs="Arial" w:eastAsia="Arial" w:hAnsi="Arial"/>
          <w:sz w:val="16"/>
          <w:szCs w:val="16"/>
          <w:color w:val="auto"/>
        </w:rPr>
        <w:t>Payments that the Company received to fund the collaboration efforts under the terms of the JDRF Agreement were recorded as restricted cash and current and long-term liabilities. The liabilities were recognized as an offset of research and development expenses straight-line over the remaining months until anticipated completion of the final milestone, only to the extent that the restricted cash was utilized to fund such development activities.</w:t>
      </w:r>
    </w:p>
    <w:p>
      <w:pPr>
        <w:spacing w:after="0" w:line="147" w:lineRule="exact"/>
        <w:rPr>
          <w:sz w:val="20"/>
          <w:szCs w:val="20"/>
          <w:color w:val="auto"/>
        </w:rPr>
      </w:pPr>
    </w:p>
    <w:p>
      <w:pPr>
        <w:ind w:right="20" w:firstLine="571"/>
        <w:spacing w:after="0" w:line="276" w:lineRule="auto"/>
        <w:rPr>
          <w:sz w:val="20"/>
          <w:szCs w:val="20"/>
          <w:color w:val="auto"/>
        </w:rPr>
      </w:pPr>
      <w:r>
        <w:rPr>
          <w:rFonts w:ascii="Arial" w:cs="Arial" w:eastAsia="Arial" w:hAnsi="Arial"/>
          <w:sz w:val="17"/>
          <w:szCs w:val="17"/>
          <w:color w:val="auto"/>
        </w:rPr>
        <w:t>In February 2016, the Company and JDRF entered into a termination agreement (“JDRF Termination Agreement”), where both parties mutually terminated the JDRF Agreement. As of December 31, 2015, milestone payment achievements totaled $0.7 million, and research and development costs were offset cumulatively by $0.5 million. Under the terms of JDRF Termination Agreement, the Company agreed to repay JDRF $0.7 million, which is equal to the amount of milestone payments received by the Company to date. The Company accrued for the repayment in other current liabilities on the accompanying balance sheet as of December 31, 2015 and repaid such amount during the first quarter of 2016.</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40" w:firstLine="571"/>
        <w:spacing w:after="0" w:line="271" w:lineRule="auto"/>
        <w:rPr>
          <w:sz w:val="20"/>
          <w:szCs w:val="20"/>
          <w:color w:val="auto"/>
        </w:rPr>
      </w:pPr>
      <w:r>
        <w:rPr>
          <w:rFonts w:ascii="Arial" w:cs="Arial" w:eastAsia="Arial" w:hAnsi="Arial"/>
          <w:sz w:val="17"/>
          <w:szCs w:val="17"/>
          <w:color w:val="auto"/>
        </w:rPr>
        <w:t>From time to time, the Company may be subject to legal proceedings or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each of March 31, 2016 and December 31, 2015, there were no material matters for which the negative outcome was considered probable or estimable.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or this Quarterly Report.</w:t>
      </w:r>
    </w:p>
    <w:p>
      <w:pPr>
        <w:spacing w:after="0" w:line="170" w:lineRule="exact"/>
        <w:rPr>
          <w:sz w:val="20"/>
          <w:szCs w:val="20"/>
          <w:color w:val="auto"/>
        </w:rPr>
      </w:pPr>
    </w:p>
    <w:p>
      <w:pPr>
        <w:ind w:right="60" w:firstLine="571"/>
        <w:spacing w:after="0" w:line="276"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w:t>
      </w:r>
    </w:p>
    <w:p>
      <w:pPr>
        <w:spacing w:after="0" w:line="173"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results may be materially different and worse from what we expect.</w:t>
      </w:r>
    </w:p>
    <w:p>
      <w:pPr>
        <w:spacing w:after="0" w:line="178"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30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a family of products for people with insulin-dependent diabetes. Our advantage is rooted in our unique consumer-focused approach and proprietary technology platform. This allows us to deliver innovative hardware and software solutions to meet the various needs and preferences of people with diabetes and their healthcare providers. We currently manufacture and sell three insulin pump products in the United States that are designed to address large and differentiated segments of the insulin-dependent diabetes market:</w:t>
      </w:r>
    </w:p>
    <w:p>
      <w:pPr>
        <w:spacing w:after="0" w:line="188" w:lineRule="exact"/>
        <w:rPr>
          <w:sz w:val="20"/>
          <w:szCs w:val="20"/>
          <w:color w:val="auto"/>
        </w:rPr>
      </w:pPr>
    </w:p>
    <w:p>
      <w:pPr>
        <w:ind w:left="1420" w:hanging="386"/>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t:slim Insulin Delivery System, or t:slim, our flagship product that can easily and discreetly fit into a pocket,</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 and</w:t>
      </w:r>
    </w:p>
    <w:p>
      <w:pPr>
        <w:spacing w:after="0" w:line="9" w:lineRule="exact"/>
        <w:rPr>
          <w:rFonts w:ascii="Arial" w:cs="Arial" w:eastAsia="Arial" w:hAnsi="Arial"/>
          <w:sz w:val="18"/>
          <w:szCs w:val="18"/>
          <w:color w:val="auto"/>
        </w:rPr>
      </w:pPr>
    </w:p>
    <w:p>
      <w:pPr>
        <w:ind w:left="1420" w:hanging="386"/>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t:slim G4 Insulin Delivery System, or t:slim G4, the first CGM-enabled pump with touch-screen simplicity.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This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88"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technology platform features our patented Micro-Delivery technology, a miniaturized pumping mechanism which draws insulin from a flexible bag within the pump’s cartridge, rather than relying on a syringe and plunger mechanism. It also features an easy-to-navigate software architecture, a vivid color touch screen and a micro-USB connection that supports both a rechargeable battery and t:connect, our custom cloud-based data management application that provides a fast, easy and visual way to display therapy management data from the pump and supported blood glucose meters.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5" w:name="page16"/>
    <w:bookmarkEnd w:id="15"/>
    <w:p>
      <w:pPr>
        <w:ind w:left="580"/>
        <w:spacing w:after="0"/>
        <w:rPr>
          <w:sz w:val="20"/>
          <w:szCs w:val="20"/>
          <w:color w:val="auto"/>
        </w:rPr>
      </w:pPr>
      <w:r>
        <w:rPr>
          <w:rFonts w:ascii="Arial" w:cs="Arial" w:eastAsia="Arial" w:hAnsi="Arial"/>
          <w:sz w:val="17"/>
          <w:szCs w:val="17"/>
          <w:color w:val="auto"/>
        </w:rPr>
        <w:t>We began commercial sales of our first product, t:slim, in August 2012. During 2015, we commenced commercial sales of two additional insulin</w:t>
      </w:r>
    </w:p>
    <w:p>
      <w:pPr>
        <w:spacing w:after="0" w:line="35"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pumps: t:flex in May 2015 and t:slim G4 in September 2015. Since inception, we have derived nearly all of our revenue from the sale of insulin pumps and associated supplies in the United States. We consider the number of units shipped per quarter to be an important metric for managing our business. We have shipped nearly 38,000 insulin pumps since the initiation of our commercial efforts in 2012. Pump shipments are broken down by product, and by quarter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w:t>
            </w:r>
            <w:r>
              <w:rPr>
                <w:rFonts w:ascii="Arial" w:cs="Arial" w:eastAsia="Arial" w:hAnsi="Arial"/>
                <w:sz w:val="12"/>
                <w:szCs w:val="12"/>
                <w:b w:val="1"/>
                <w:bCs w:val="1"/>
                <w:color w:val="auto"/>
                <w:w w:val="92"/>
              </w:rPr>
              <w:t>(1)</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t:slim</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t:flex</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20"/>
                <w:szCs w:val="20"/>
                <w:color w:val="auto"/>
              </w:rPr>
            </w:pP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t:slim G4</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c>
          <w:tcPr>
            <w:tcW w:w="300" w:type="dxa"/>
            <w:vAlign w:val="bottom"/>
          </w:tcPr>
          <w:p>
            <w:pPr>
              <w:spacing w:after="0"/>
              <w:rPr>
                <w:sz w:val="20"/>
                <w:szCs w:val="20"/>
                <w:color w:val="auto"/>
              </w:rPr>
            </w:pP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occurred in the ordinary course of business.</w:t>
      </w:r>
    </w:p>
    <w:p>
      <w:pPr>
        <w:spacing w:after="0" w:line="23" w:lineRule="exact"/>
        <w:rPr>
          <w:rFonts w:ascii="Arial" w:cs="Arial" w:eastAsia="Arial" w:hAnsi="Arial"/>
          <w:sz w:val="18"/>
          <w:szCs w:val="18"/>
          <w:color w:val="auto"/>
        </w:rPr>
      </w:pPr>
    </w:p>
    <w:p>
      <w:pPr>
        <w:ind w:left="380" w:right="180" w:hanging="372"/>
        <w:spacing w:after="0" w:line="25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fourth quarter of 2015, 148 t:slim pumps and two t:flex pumps originally shipped in the third quarter of 2015 were exchanged for t:slim G4 pumps under a limited product exchange program. Amounts for the fourth quarter of 2015 in the table above are adjusted to reflect the impact of the exchange program.</w:t>
      </w:r>
    </w:p>
    <w:p>
      <w:pPr>
        <w:spacing w:after="0" w:line="190" w:lineRule="exact"/>
        <w:rPr>
          <w:sz w:val="20"/>
          <w:szCs w:val="20"/>
          <w:color w:val="auto"/>
        </w:rPr>
      </w:pPr>
    </w:p>
    <w:p>
      <w:pPr>
        <w:ind w:right="520" w:firstLine="571"/>
        <w:spacing w:after="0" w:line="277" w:lineRule="auto"/>
        <w:rPr>
          <w:sz w:val="20"/>
          <w:szCs w:val="20"/>
          <w:color w:val="auto"/>
        </w:rPr>
      </w:pPr>
      <w:r>
        <w:rPr>
          <w:rFonts w:ascii="Arial" w:cs="Arial" w:eastAsia="Arial" w:hAnsi="Arial"/>
          <w:sz w:val="18"/>
          <w:szCs w:val="18"/>
          <w:color w:val="auto"/>
        </w:rPr>
        <w:t>For the three months ended March 31, 2016 and 2015, our sales were $20.1 million and $12.3 million, respectively. For the three months ended March 31, 2016 and 2015, our net loss was $20.5 million and $21.2 million, respectively.</w:t>
      </w:r>
    </w:p>
    <w:p>
      <w:pPr>
        <w:spacing w:after="0" w:line="170" w:lineRule="exact"/>
        <w:rPr>
          <w:sz w:val="20"/>
          <w:szCs w:val="20"/>
          <w:color w:val="auto"/>
        </w:rPr>
      </w:pPr>
    </w:p>
    <w:p>
      <w:pPr>
        <w:ind w:right="280" w:firstLine="571"/>
        <w:spacing w:after="0" w:line="277" w:lineRule="auto"/>
        <w:rPr>
          <w:sz w:val="20"/>
          <w:szCs w:val="20"/>
          <w:color w:val="auto"/>
        </w:rPr>
      </w:pPr>
      <w:r>
        <w:rPr>
          <w:rFonts w:ascii="Arial" w:cs="Arial" w:eastAsia="Arial" w:hAnsi="Arial"/>
          <w:sz w:val="18"/>
          <w:szCs w:val="18"/>
          <w:color w:val="auto"/>
        </w:rPr>
        <w:t>Since its commercial launch, t:slim G4 has represented a majority of our overall shipments. We expect that t:slim G4 will continue to represent the largest percentage of our pump shipments during the remainder of 2016.</w:t>
      </w:r>
    </w:p>
    <w:p>
      <w:pPr>
        <w:spacing w:after="0" w:line="170" w:lineRule="exact"/>
        <w:rPr>
          <w:sz w:val="20"/>
          <w:szCs w:val="20"/>
          <w:color w:val="auto"/>
        </w:rPr>
      </w:pPr>
    </w:p>
    <w:p>
      <w:pPr>
        <w:ind w:right="100" w:firstLine="571"/>
        <w:spacing w:after="0" w:line="297"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Access to adequate coverage and reimbursement for our current and future products by third-party payors is essential to the acceptance of our products by customers. Future sales of our current and future products will be limited unless our customers can rely on third-party payors to pay for all or part of the associated purchase cost. In circumstances in which we do not have contracts established with third-party payors, to the extent possible, we utilize our network of national and regional distributors to service our customers.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ind w:firstLine="571"/>
        <w:spacing w:after="0" w:line="271" w:lineRule="auto"/>
        <w:rPr>
          <w:sz w:val="20"/>
          <w:szCs w:val="20"/>
          <w:color w:val="auto"/>
        </w:rPr>
      </w:pPr>
      <w:r>
        <w:rPr>
          <w:rFonts w:ascii="Arial" w:cs="Arial" w:eastAsia="Arial" w:hAnsi="Arial"/>
          <w:sz w:val="17"/>
          <w:szCs w:val="17"/>
          <w:color w:val="auto"/>
        </w:rPr>
        <w:t>We believe we can ultimately achieve profitability because our proprietary technology platform will allow us to maximize efficiencies in the development, production and sale of our products. By offering a family of products, all of which are based on our proprietary technology platform, we believe we can develop and bring to market products more rapidly, while significantly reducing our design and development costs. Due to shared product design features, our production system is adaptable to new products and we intend to leverage our shared manufacturing infrastructure to reduce our product costs and drive operational efficiencies. Further, we expect to continue to increase production volume and to reduce the per-unit production overhead cost for our pump products and their associated disposable cartridges over time. By expanding our product offerings to address people in different segments of the large and growing insulin-dependent diabetes market, we believe we can increase the productivity of our sales, clinical and marketing organization, and utilize the expertise of our customer, technical and support services, thereby improving our operating margin.</w:t>
      </w:r>
    </w:p>
    <w:p>
      <w:pPr>
        <w:spacing w:after="0" w:line="179"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From inception through March 31, 2016, we have primarily financed our operations through sales of equity securities, and, to a lesser extent, debt financings. We expect to continue to incur net losses for the next several years, and may require additional capital through equity and debt financings in order to fund our operations at a level of revenue adequate to support our cost structure.</w:t>
      </w:r>
    </w:p>
    <w:p>
      <w:pPr>
        <w:spacing w:after="0" w:line="181"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In the first quarter of 2016, we entered into a third amendment (the “Third Amendment”) to our Term Loan Agreement, as amended by Consent and Amendment Agreement, dated June 20, 2014, Omnibus Amendment Agreement No. 2, dated February 23, 2015 and Amendment No. 3 to Term Loan Agreement, dated January 8, 2016 (as amended, the “Term Loan Agreement”) with Capital Royalty Partners II, L.P. and its affiliate funds (“Capital Royalty Partners”). The Third Amendment granted us the right to borrow up to an additional $50.0 million. We borrowed $15.0 million of this amount in January 2016, and the Third Amendment provides us with a one-time option to draw up to an additional $35.0 million in increments of $5.0 million on or before December 31, 2016.</w:t>
      </w:r>
    </w:p>
    <w:p>
      <w:pPr>
        <w:spacing w:after="0" w:line="193" w:lineRule="exact"/>
        <w:rPr>
          <w:sz w:val="20"/>
          <w:szCs w:val="20"/>
          <w:color w:val="auto"/>
        </w:rPr>
      </w:pPr>
    </w:p>
    <w:p>
      <w:pPr>
        <w:ind w:right="20" w:firstLine="571"/>
        <w:spacing w:after="0" w:line="276" w:lineRule="auto"/>
        <w:rPr>
          <w:sz w:val="20"/>
          <w:szCs w:val="20"/>
          <w:color w:val="auto"/>
        </w:rPr>
      </w:pPr>
      <w:r>
        <w:rPr>
          <w:rFonts w:ascii="Arial" w:cs="Arial" w:eastAsia="Arial" w:hAnsi="Arial"/>
          <w:sz w:val="17"/>
          <w:szCs w:val="17"/>
          <w:color w:val="auto"/>
        </w:rPr>
        <w:t>We have experienced considerable revenue growth since the commercial launch of t:slim in the third quarter of 2012, while incurring operating losses since our inception. Our operating results may fluctuate on a quarterly or annual basis in the future, in particular in the periods surrounding anticipated and actual regulatory approvals and initial stages of commercialization of new products, and our growth or operating results may not be consistent with predictions made by securities analysts. We may not be able to achieve profitability in the future. For additional information about the risks and uncertainties associated with our business, see the section entitled “Risk Factors” in Part II, Item 1A of this Quarterly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80" w:firstLine="571"/>
        <w:spacing w:after="0" w:line="279" w:lineRule="auto"/>
        <w:rPr>
          <w:sz w:val="20"/>
          <w:szCs w:val="20"/>
          <w:color w:val="auto"/>
        </w:rPr>
      </w:pPr>
      <w:r>
        <w:rPr>
          <w:rFonts w:ascii="Arial" w:cs="Arial" w:eastAsia="Arial" w:hAnsi="Arial"/>
          <w:sz w:val="17"/>
          <w:szCs w:val="17"/>
          <w:color w:val="auto"/>
        </w:rPr>
        <w:t>We offer a family of products for people with insulin-dependent diabetes. We commenced commercial sales of t:slim in the United States in the third quarter of 2012. We launched our second insulin pump product, t:flex, in the second quarter of 2015, and launched our third insulin pump product, t:slim G4, in September 2015. Our products include these insulin pumps, as well as disposable cartridges and infusion sets. We also offer accessories including protective cases, belt clips, and power adapters. Sales of accessories since commercial launch have not been material.</w:t>
      </w:r>
    </w:p>
    <w:p>
      <w:pPr>
        <w:spacing w:after="0" w:line="171"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w:t>
      </w:r>
    </w:p>
    <w:p>
      <w:pPr>
        <w:spacing w:after="0" w:line="18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We believe we can continue to rapidly increase sales and that our sales growth during the next 12 months will outpace growth in operating expenses during this period. We also believe further expansion of our sales, clinical and marketing infrastructure will allow us to engage with more potential customers, their caregivers and healthcare providers on a more frequent basis to promote our products. Our quarterly sales may also fluctuate on a quarterly basis in the future due to a variety of factors, including the impact of:</w:t>
      </w:r>
    </w:p>
    <w:p>
      <w:pPr>
        <w:spacing w:after="0" w:line="187" w:lineRule="exact"/>
        <w:rPr>
          <w:sz w:val="20"/>
          <w:szCs w:val="20"/>
          <w:color w:val="auto"/>
        </w:rPr>
      </w:pPr>
    </w:p>
    <w:p>
      <w:pPr>
        <w:ind w:left="760" w:right="380" w:hanging="374"/>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deductibles and coinsurance requirements associated with most medical insurance plans utilized by our individual customers and the individual customers of our distributors,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and timing of sales force expansions,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and actual regulatory approvals of new products by us or our competitors.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 w:name="page18"/>
    <w:bookmarkEnd w:id="17"/>
    <w:p>
      <w:pPr>
        <w:ind w:right="40" w:firstLine="571"/>
        <w:spacing w:after="0" w:line="254" w:lineRule="auto"/>
        <w:rPr>
          <w:sz w:val="20"/>
          <w:szCs w:val="20"/>
          <w:color w:val="auto"/>
        </w:rPr>
      </w:pPr>
      <w:r>
        <w:rPr>
          <w:rFonts w:ascii="Arial" w:cs="Arial" w:eastAsia="Arial" w:hAnsi="Arial"/>
          <w:sz w:val="18"/>
          <w:szCs w:val="18"/>
          <w:color w:val="auto"/>
        </w:rPr>
        <w:t>We have experienced and expect to continue to experience sequential growth of sales in each quarter from the first quarter to the fourth quarter, and we also expect sequential sales from the fourth quarter to the following first quarter to decrease. Our sales for the second quarter have historically represented approximately 20% of our total sales in any given year and overall sales have historically also been weighted heavily towards the second half of the year. In 2015, we believe that the timing of the regulatory approval and commercial launch of t:slim G4 contributed to our sales being weighted even more heavily towards the fourth quarter of the year. In 2016, we expect the quarterly sales distribution to be similar to what we have experienced historically, excluding the impact of the t:slim G4 launch in 2015, due to the combined effect of the increasing productivity of our existing sales force and the newer members of our sales force that were added in the first quarter, the anticipated contribution from product enhancements, and pump renewal opportunities that will begin in the fourth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and scrap and inventory obsolescence. Manufacturing overhead expenses are currently a significant portion of our per-unit costs but continue to decline as our production volumes grow. These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continue to gain broader market acceptance.</w:t>
      </w:r>
    </w:p>
    <w:p>
      <w:pPr>
        <w:spacing w:after="0" w:line="165"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We expect our overall gross margin,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among our three pump products that utilize the same core infrastructure. However, we do expect our overall gross margin to fluctuate in future quarterly periods as a result of numerous factors besides those associated with production volumes, such as the changing mix of products sold with different gross margins, the changing percentage of products sold to distributors versus directly to individual customers, varying levels of reimbursement among third-party payors, the timing and success of new product launches, warranty and training costs, and changes in our manufacturing processes, costs or output, changes in our manufacturing capacity or output as well as the impact of implementing additional automated manufacturing equipment and expanding our manufacturing facilities as we attempt to manufacture our products on a larger scale.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selling, general and administrative, or SG&amp;A, expenses primarily consist of salary, cash-based incentive compensation, fringe benefits and non-cash stock-based compensation for our executive, financial, marketing, sales, business development, regulatory affairs and administrative functions.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We expect our SG&amp;A expenses to increase as our business expands, including potential future expansions of the number of sales territories in which we operate.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research and development, or R&amp;D, activities primarily consist of engineering and research programs associated with our products under development, as well as R&amp;D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milestone payments under our development and commercialization agreements and other indirect costs. We expect our R&amp;D expenses, including related clinical trial costs, to increase as we initiate and advance our development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140" w:firstLine="571"/>
        <w:spacing w:after="0" w:line="279" w:lineRule="auto"/>
        <w:rPr>
          <w:sz w:val="20"/>
          <w:szCs w:val="20"/>
          <w:color w:val="auto"/>
        </w:rPr>
      </w:pPr>
      <w:r>
        <w:rPr>
          <w:rFonts w:ascii="Arial" w:cs="Arial" w:eastAsia="Arial" w:hAnsi="Arial"/>
          <w:sz w:val="17"/>
          <w:szCs w:val="17"/>
          <w:color w:val="auto"/>
        </w:rPr>
        <w:t>Our other income and expense primarily consists of interest expense and amortization of debt discount and debt issuance costs associated with our Term Loan Agreement with Capital Royalty Partners. At March 31, 2016, there was $45.4 million of outstanding principal under our Term Loan Agreement with Capital Royalty Partners, which accrues interest at a rate of 11.5% per annum. We expect interest expense to increase in 2016 as a result of additional borrowings under our Term Loan Agreement with Capital Royalty Partners (see the section below entitled “Indebtedness”).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20" w:type="dxa"/>
            <w:vAlign w:val="bottom"/>
            <w:gridSpan w:val="3"/>
          </w:tcPr>
          <w:p>
            <w:pPr>
              <w:jc w:val="right"/>
              <w:ind w:right="45"/>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March 31,</w:t>
            </w:r>
          </w:p>
        </w:tc>
        <w:tc>
          <w:tcPr>
            <w:tcW w:w="1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Pr>
          <w:p>
            <w:pPr>
              <w:spacing w:after="0"/>
              <w:rPr>
                <w:sz w:val="14"/>
                <w:szCs w:val="14"/>
                <w:color w:val="auto"/>
              </w:rPr>
            </w:pPr>
          </w:p>
        </w:tc>
        <w:tc>
          <w:tcPr>
            <w:tcW w:w="1560" w:type="dxa"/>
            <w:vAlign w:val="bottom"/>
          </w:tcPr>
          <w:p>
            <w:pPr>
              <w:jc w:val="right"/>
              <w:ind w:right="750"/>
              <w:spacing w:after="0" w:line="156" w:lineRule="exact"/>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jc w:val="right"/>
              <w:ind w:right="750"/>
              <w:spacing w:after="0" w:line="156" w:lineRule="exact"/>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Sales</w:t>
            </w:r>
          </w:p>
        </w:tc>
        <w:tc>
          <w:tcPr>
            <w:tcW w:w="436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00" w:type="dxa"/>
            <w:vAlign w:val="bottom"/>
            <w:vMerge w:val="continue"/>
          </w:tcPr>
          <w:p>
            <w:pPr>
              <w:spacing w:after="0"/>
              <w:rPr>
                <w:sz w:val="19"/>
                <w:szCs w:val="19"/>
                <w:color w:val="auto"/>
              </w:rPr>
            </w:pPr>
          </w:p>
        </w:tc>
        <w:tc>
          <w:tcPr>
            <w:tcW w:w="4360" w:type="dxa"/>
            <w:vAlign w:val="bottom"/>
            <w:vMerge w:val="continue"/>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20,058</w:t>
            </w:r>
          </w:p>
        </w:tc>
        <w:tc>
          <w:tcPr>
            <w:tcW w:w="46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12,308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4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9,500</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6,928</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35%</w:t>
            </w:r>
          </w:p>
        </w:tc>
        <w:tc>
          <w:tcPr>
            <w:tcW w:w="7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21,997</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19,355</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4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4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26,166</w:t>
            </w:r>
          </w:p>
        </w:tc>
        <w:tc>
          <w:tcPr>
            <w:tcW w:w="4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23,218</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(19,238)</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260"/>
              <w:spacing w:after="0"/>
              <w:rPr>
                <w:sz w:val="20"/>
                <w:szCs w:val="20"/>
                <w:color w:val="auto"/>
              </w:rPr>
            </w:pPr>
            <w:r>
              <w:rPr>
                <w:rFonts w:ascii="Arial" w:cs="Arial" w:eastAsia="Arial" w:hAnsi="Arial"/>
                <w:sz w:val="18"/>
                <w:szCs w:val="18"/>
                <w:color w:val="auto"/>
              </w:rPr>
              <w:t>Interest and other income</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(1,364)</w:t>
            </w:r>
          </w:p>
        </w:tc>
        <w:tc>
          <w:tcPr>
            <w:tcW w:w="7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46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4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(20,484)</w:t>
            </w:r>
          </w:p>
        </w:tc>
        <w:tc>
          <w:tcPr>
            <w:tcW w:w="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(21,208)</w:t>
            </w:r>
          </w:p>
        </w:tc>
        <w:tc>
          <w:tcPr>
            <w:tcW w:w="4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2016 and 2015</w:t>
      </w:r>
    </w:p>
    <w:p>
      <w:pPr>
        <w:spacing w:after="0" w:line="229"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Sales for the three months ended March 31, 2016 were $20.1 million, representing an increase of 63% compared to $12.3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w:t>
      </w:r>
    </w:p>
    <w:p>
      <w:pPr>
        <w:spacing w:after="0" w:line="170" w:lineRule="exact"/>
        <w:rPr>
          <w:sz w:val="20"/>
          <w:szCs w:val="20"/>
          <w:color w:val="auto"/>
        </w:rPr>
      </w:pPr>
    </w:p>
    <w:p>
      <w:pPr>
        <w:ind w:right="240" w:firstLine="571"/>
        <w:spacing w:after="0" w:line="264" w:lineRule="auto"/>
        <w:rPr>
          <w:sz w:val="20"/>
          <w:szCs w:val="20"/>
          <w:color w:val="auto"/>
        </w:rPr>
      </w:pPr>
      <w:r>
        <w:rPr>
          <w:rFonts w:ascii="Arial" w:cs="Arial" w:eastAsia="Arial" w:hAnsi="Arial"/>
          <w:sz w:val="18"/>
          <w:szCs w:val="18"/>
          <w:color w:val="auto"/>
        </w:rPr>
        <w:t>For the three months ended March 31, 2016 and 2015, sales of insulin pumps accounted for 81% of sales during both periods, while sales of pump-related supplies primarily accounted for the remainder of our sales during those periods. Sales of accessories were not material in either of the reported periods. All pump sales for the three months ended March 31, 2015 were for t:slim pumps.</w:t>
      </w:r>
    </w:p>
    <w:p>
      <w:pPr>
        <w:spacing w:after="0" w:line="18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increase in sales during the three months ended March 31, 2016 compared to the same period in 2015 was primarily attributable to a 63% increase in pump shipments from 2,487 in the first quarter of 2015 to 4,042 in the first quarter of 2016. This includes pump shipments of 371 t:flex pumps and 2,416 t:slim G4 pumps during the first quarter of 2016 compared to no sales of these pumps in the first quarter of 2015. Sales of t:flex pumps and t:slim G4 pumps began in May 2015 and September 2015, respectively.</w:t>
      </w:r>
    </w:p>
    <w:p>
      <w:pPr>
        <w:spacing w:after="0" w:line="187" w:lineRule="exact"/>
        <w:rPr>
          <w:sz w:val="20"/>
          <w:szCs w:val="20"/>
          <w:color w:val="auto"/>
        </w:rPr>
      </w:pPr>
    </w:p>
    <w:p>
      <w:pPr>
        <w:ind w:right="80" w:firstLine="571"/>
        <w:spacing w:after="0" w:line="264" w:lineRule="auto"/>
        <w:rPr>
          <w:sz w:val="20"/>
          <w:szCs w:val="20"/>
          <w:color w:val="auto"/>
        </w:rPr>
      </w:pPr>
      <w:r>
        <w:rPr>
          <w:rFonts w:ascii="Arial" w:cs="Arial" w:eastAsia="Arial" w:hAnsi="Arial"/>
          <w:sz w:val="18"/>
          <w:szCs w:val="18"/>
          <w:color w:val="auto"/>
        </w:rPr>
        <w:t>Sales to distributors accounted for 77% and 76% of our total sales for the three months ended March 31, 2016 and 2015, respectively. The percentage of sales to distributors versus direct customers is principally determined by the mix of customers ordering our products within the period and whether or not we have a contractual arrangement with their underlying third-party insurance payor.</w:t>
      </w:r>
    </w:p>
    <w:p>
      <w:pPr>
        <w:spacing w:after="0" w:line="181"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March 31, 2016 was $13.1 million, representing an increase of 38%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$9.5 million for the same period in 2015. Gross profit for the three months ended March 31, 2016 was $6.9 million and gross margin was 35%, compared to gross profit of $2.8 million and gross margin of 23% for the same period in 2015.</w:t>
      </w:r>
    </w:p>
    <w:p>
      <w:pPr>
        <w:spacing w:after="0" w:line="181" w:lineRule="exact"/>
        <w:rPr>
          <w:sz w:val="20"/>
          <w:szCs w:val="20"/>
          <w:color w:val="auto"/>
        </w:rPr>
      </w:pPr>
    </w:p>
    <w:p>
      <w:pPr>
        <w:ind w:right="40" w:firstLine="571"/>
        <w:spacing w:after="0" w:line="293" w:lineRule="auto"/>
        <w:rPr>
          <w:sz w:val="20"/>
          <w:szCs w:val="20"/>
          <w:color w:val="auto"/>
        </w:rPr>
      </w:pPr>
      <w:r>
        <w:rPr>
          <w:rFonts w:ascii="Arial" w:cs="Arial" w:eastAsia="Arial" w:hAnsi="Arial"/>
          <w:sz w:val="16"/>
          <w:szCs w:val="16"/>
          <w:color w:val="auto"/>
        </w:rPr>
        <w:t>The increase in our gross margin for the three months ended March 31, 2016 from the comparable period in 2015 was primarily due to a decrease in per-unit manufacturing overhead costs of our products, which was driven by increased production volumes and manufacturing efficiencies. We continue to increase our manufacturing operations and costs as we address increasing production volume requirements. Our manufacturing overhead costs have been, and will continue to be, a significant component of the costs of our products. As a result our manufacturing overhead costs have impacted, and may continue to impact, our gross margins as we attempt to manufacture our products on a larger scale, change our manufacturing processes, change our manufacturing capacity or output, implement additional automated manufacturing equipment and expand our manufacturing facilities.</w:t>
      </w:r>
    </w:p>
    <w:p>
      <w:pPr>
        <w:spacing w:after="0" w:line="165" w:lineRule="exact"/>
        <w:rPr>
          <w:sz w:val="20"/>
          <w:szCs w:val="20"/>
          <w:color w:val="auto"/>
        </w:rPr>
      </w:pPr>
    </w:p>
    <w:p>
      <w:pPr>
        <w:ind w:right="100" w:firstLine="571"/>
        <w:spacing w:after="0" w:line="302" w:lineRule="auto"/>
        <w:rPr>
          <w:sz w:val="20"/>
          <w:szCs w:val="20"/>
          <w:color w:val="auto"/>
        </w:rPr>
      </w:pPr>
      <w:r>
        <w:rPr>
          <w:rFonts w:ascii="Arial" w:cs="Arial" w:eastAsia="Arial" w:hAnsi="Arial"/>
          <w:sz w:val="16"/>
          <w:szCs w:val="16"/>
          <w:color w:val="auto"/>
        </w:rPr>
        <w:t>Gross margin for both pumps and cartridges improved during the three months ended March 31, 2016 as compared to the same period in 2015. Our gross margin on the insulin pumps was higher than our gross margin on pump-related supplies for the quarters ended March 31, 2016 and 2015, and is expected to remain higher in the future. Other factors that impact our gross margins include the varying levels of reimbursement among third party payors on our direct business, new product launch scale-up, warranty and training costs, and other changes in our manufacturing processes, costs and output.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left="580"/>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14% to $22.0 million for the three months ended March 31, 2016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$19.4 million for the same period in 2015. The increase in SG&amp;A expenses was primarily associated with the expansion of our commercial operations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2016. We expanded the number of our sales territories from 60 to 72 during the first quarter of 2016, as well as increased our customer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technical support personnel to service our growing customer base. Territories are maintained by sales representatives and field clinical specialists,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supported by managed care liaisons, additional sales management and other customer support personnel. Employee-related expenses for our sales,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functions comprise the majority of the SG&amp;A expenses. Employee-related expenses in the first quarter of 2016 increased $1.8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 increase of $1.8 million in salaries and $0.7 million in sales commissions, offset by a decrease in non-cash stock-based compensation of $0.7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SG&amp;A expenses also increased $0.9 million associated with outside services, marketing and promotional activities, tradeshows and travel expenses.</w:t>
      </w:r>
    </w:p>
    <w:p>
      <w:pPr>
        <w:spacing w:after="0" w:line="234"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8% to $4.2 million for the three months ended March 31, 2016 from $3.9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2015, principally associated with an increase in employee-related expenses and outside services.</w:t>
      </w:r>
    </w:p>
    <w:p>
      <w:pPr>
        <w:spacing w:after="0" w:line="170" w:lineRule="exact"/>
        <w:rPr>
          <w:sz w:val="20"/>
          <w:szCs w:val="20"/>
          <w:color w:val="auto"/>
        </w:rPr>
      </w:pPr>
    </w:p>
    <w:p>
      <w:pPr>
        <w:ind w:right="220" w:firstLine="571"/>
        <w:spacing w:after="0" w:line="257"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Other expense for the three months ended March 31, 2016 and 2015 was $1.4 million and $0.9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for both periods was primarily comprised of interest expense associated with our Term Loan Agreement with Capital Royalty Partners. The increase in expense is due to $15 million of additional borrowing under the Third Amendment in the three months ended March 31, 2016. Interest currently accrues at a rate of 11.5% of the outstanding principal balances of $45.4 million and $30.2 million as of March 31, 2016 and December 31, 2015, respectively. Other income for both periods presented was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571"/>
        <w:spacing w:after="0" w:line="269" w:lineRule="auto"/>
        <w:rPr>
          <w:sz w:val="20"/>
          <w:szCs w:val="20"/>
          <w:color w:val="auto"/>
        </w:rPr>
      </w:pPr>
      <w:r>
        <w:rPr>
          <w:rFonts w:ascii="Arial" w:cs="Arial" w:eastAsia="Arial" w:hAnsi="Arial"/>
          <w:sz w:val="17"/>
          <w:szCs w:val="17"/>
          <w:color w:val="auto"/>
        </w:rPr>
        <w:t>At March 31, 2016, we had $70.4 million in cash, cash equivalents and short-term investments, which included $2.0 million of restricted cash. We believe that our cash on hand, cash generated from operations, cash available under the Term Loan Agreement with Capital Royalty Partners, proceeds from the exercise of options and warrants, and proceeds from employee contributions for the purchase of our common stock through our ESPP will be sufficient to satisfy our liquidity requirements for at least the next 12 months. We expect that our sales performance and the resulting operating income or loss, as well as the status of each of our new product development programs, will significantly impact our cash management decisions. We have utilized, and may continue to utilize, debt arrangements with debt providers and financial institutions to finance our operations. Factors such as interest rates, repayment terms and available cash will impact our decision to continue to utilize debt arrangements as a source of cash. In November 2013, we completed an initial public offering of common stock that resulted in net proceeds of approximately $125.0 million, and in the first quarter of 2015 we completed a public offering of common stock that resulted in net proceeds of approximately $64.9 million. In the future, we may give consideration to additional public offerings of equity securities as a source of financing. In December 2014, we filed a registration statement on Form S-3 with the Securities and Exchange Commission (“SEC”), which was declared effective on December 19, 2014. Under this shelf registration statement, we may from time to time offer and sell any combination of common stock, preferred stock, warrants or units in one or more offerings.</w:t>
      </w:r>
    </w:p>
    <w:p>
      <w:pPr>
        <w:spacing w:after="0" w:line="180"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debt arrangements, and cash generated from operations. Our historical cash outflows have primarily been associated with cash used for operating activities such as the expansion and support of our sales and marketing infrastructure, an increase in our R&amp;D activities, the acquisition of intellectual property, expenditures related to equipment and improvements used to increase our manufacturing capacity and improve our manufacturing efficiency, overall facility expansion and other working capital needs.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a summary of our cash flows for the three months ended March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 2016</w:t>
            </w: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940" w:type="dxa"/>
            <w:vAlign w:val="bottom"/>
            <w:gridSpan w:val="2"/>
            <w:vMerge w:val="continue"/>
          </w:tcPr>
          <w:p>
            <w:pPr>
              <w:spacing w:after="0"/>
              <w:rPr>
                <w:sz w:val="12"/>
                <w:szCs w:val="12"/>
                <w:color w:val="auto"/>
              </w:rPr>
            </w:pPr>
          </w:p>
        </w:tc>
        <w:tc>
          <w:tcPr>
            <w:tcW w:w="2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ind w:right="878"/>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jc w:val="right"/>
              <w:ind w:right="8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FF0FC"/>
            </w:tcBorders>
            <w:shd w:val="clear" w:color="auto" w:fill="000000"/>
          </w:tcPr>
          <w:p>
            <w:pPr>
              <w:spacing w:after="0" w:line="20" w:lineRule="exact"/>
              <w:rPr>
                <w:sz w:val="1"/>
                <w:szCs w:val="1"/>
                <w:color w:val="auto"/>
              </w:rPr>
            </w:pPr>
          </w:p>
        </w:tc>
        <w:tc>
          <w:tcPr>
            <w:tcW w:w="3060" w:type="dxa"/>
            <w:vAlign w:val="bottom"/>
            <w:tcBorders>
              <w:bottom w:val="single" w:sz="8" w:color="CFF0FC"/>
            </w:tcBorders>
          </w:tcPr>
          <w:p>
            <w:pPr>
              <w:spacing w:after="0" w:line="20" w:lineRule="exact"/>
              <w:rPr>
                <w:sz w:val="1"/>
                <w:szCs w:val="1"/>
                <w:color w:val="auto"/>
              </w:rPr>
            </w:pPr>
          </w:p>
        </w:tc>
        <w:tc>
          <w:tcPr>
            <w:tcW w:w="252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5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0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(15,945)</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(15,422)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(1,636)</w:t>
            </w:r>
          </w:p>
        </w:tc>
        <w:tc>
          <w:tcPr>
            <w:tcW w:w="7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Financing activities</w:t>
            </w:r>
          </w:p>
        </w:tc>
        <w:tc>
          <w:tcPr>
            <w:tcW w:w="25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15,103</w:t>
            </w:r>
          </w:p>
        </w:tc>
        <w:tc>
          <w:tcPr>
            <w:tcW w:w="4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4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520" w:type="dxa"/>
            <w:vAlign w:val="bottom"/>
            <w:vMerge w:val="restart"/>
          </w:tcPr>
          <w:p>
            <w:pPr>
              <w:jc w:val="right"/>
              <w:ind w:right="570"/>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20" w:name="page21"/>
    <w:bookmarkEnd w:id="20"/>
    <w:p>
      <w:pPr>
        <w:ind w:right="200" w:firstLine="571"/>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$15.9 million for the three months ended March 31, 2016, compared to $15.4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2015. The change in net cash used in operating activities was primarily associated with a decrease in our operating loss, offset by changes in working capital. The changes in working capital were primarily due to an increase in inventory to meet higher production volumes, including those associated with new products, and decrease in employee-related liabilities offset by a decrease in accounts receivable and an increase in accounts payable.</w:t>
      </w:r>
    </w:p>
    <w:p>
      <w:pPr>
        <w:spacing w:after="0" w:line="188"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was $1.6 million for the three months ended March 31, 2016, which was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 of $13.4 million of short-term investments and $1.9 million of property and equipment, offset by proceeds from maturities of short-term investments of $13.8 million. Net cash used in investing activities was $18.3 million for the three months ended March 31, 2015, which was primarily related to the net purchase of $39.1 million in short-term investments and $0.6 million of property and equipment, offset by proceeds from maturities of short-term investments of $21.5 million.</w:t>
      </w:r>
    </w:p>
    <w:p>
      <w:pPr>
        <w:spacing w:after="0" w:line="188"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$15.1 million for the three months ended March 31, 2016, which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net proceeds in the amount of $15.0 million in connection with the Third Amendment. Net cash provided by financing activities was $65.1 million for the three months ended March 31, 2015, which was primarily the result of the net proceeds from a public offering of our common stock in the amount of $64.9 million.</w:t>
      </w:r>
    </w:p>
    <w:p>
      <w:pPr>
        <w:spacing w:after="0" w:line="187" w:lineRule="exact"/>
        <w:rPr>
          <w:sz w:val="20"/>
          <w:szCs w:val="20"/>
          <w:color w:val="auto"/>
        </w:rPr>
      </w:pPr>
    </w:p>
    <w:p>
      <w:pPr>
        <w:ind w:right="40" w:firstLine="571"/>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For example, our cash inflow and outflow may be impacted by the following:</w:t>
      </w:r>
    </w:p>
    <w:p>
      <w:pPr>
        <w:spacing w:after="0" w:line="170" w:lineRule="exact"/>
        <w:rPr>
          <w:sz w:val="20"/>
          <w:szCs w:val="20"/>
          <w:color w:val="auto"/>
        </w:rPr>
      </w:pPr>
    </w:p>
    <w:p>
      <w:pPr>
        <w:ind w:left="1520" w:hanging="378"/>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sales and their timing within quarterly periods and years;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560" w:hanging="418"/>
        <w:spacing w:after="0"/>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our manufacturing capacity and efficiency;</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research and product development efforts;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interest due under our Term Loan Agreement with Capital Royalty Partners;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of equipment and other fixed assets;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expansion needs; and</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up-front, milestone payments or reimbursement of costs under R&amp;D collaborations.</w:t>
      </w:r>
    </w:p>
    <w:p>
      <w:pPr>
        <w:spacing w:after="0" w:line="225" w:lineRule="exact"/>
        <w:rPr>
          <w:sz w:val="20"/>
          <w:szCs w:val="20"/>
          <w:color w:val="auto"/>
        </w:rPr>
      </w:pPr>
    </w:p>
    <w:p>
      <w:pPr>
        <w:ind w:right="180" w:firstLine="571"/>
        <w:spacing w:after="0" w:line="257" w:lineRule="auto"/>
        <w:rPr>
          <w:sz w:val="20"/>
          <w:szCs w:val="20"/>
          <w:color w:val="auto"/>
        </w:rPr>
      </w:pPr>
      <w:r>
        <w:rPr>
          <w:rFonts w:ascii="Arial" w:cs="Arial" w:eastAsia="Arial" w:hAnsi="Arial"/>
          <w:sz w:val="18"/>
          <w:szCs w:val="18"/>
          <w:color w:val="auto"/>
        </w:rPr>
        <w:t>Although we believe the foregoing items reflect our most likely uses of cash in the short-term, we cannot predict with certainty all of our particular short-term cash uses or the timing or amount of cash used. If cash generated from operations is insufficient to satisfy our working capital and capital expenditure requirements, we may be required to sell additional equity or debt securities or obtain additional credit facilities. There can be no assurance that equity or debt financing will be available on satisfactory terms, or at all. Further, any additional equity financing may be dilutive to stockholders, and debt financing, if available, may include restrictive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 with Capital Royalty Partners</w:t>
      </w:r>
    </w:p>
    <w:p>
      <w:pPr>
        <w:spacing w:after="0" w:line="225"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Under our Term Loan Agreement with Capital Royalty Partners, we had aggregate borrowings outstanding of $30.2 million as of December 31, 2015. In the first quarter of 2016, we entered into the Third Amendment, under which we borrowed $15.0 million in January 2016 and provides a one-time option to draw up to an additional $35.0 million in increments of $5.0 million on or before December 31,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ind w:right="60" w:firstLine="571"/>
        <w:spacing w:after="0" w:line="255" w:lineRule="auto"/>
        <w:rPr>
          <w:sz w:val="20"/>
          <w:szCs w:val="20"/>
          <w:color w:val="auto"/>
        </w:rPr>
      </w:pPr>
      <w:r>
        <w:rPr>
          <w:rFonts w:ascii="Arial" w:cs="Arial" w:eastAsia="Arial" w:hAnsi="Arial"/>
          <w:sz w:val="18"/>
          <w:szCs w:val="18"/>
          <w:color w:val="auto"/>
        </w:rPr>
        <w:t>Under the Term Loan Agreement with Capital Royalty Partners,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Term Loan Agreement with Capital Royalty Partners provided for prepayment fees in an amount equal to one percent (1.0%) of the outstanding balance of the loan if the loan is repaid prior to March 31, 2017, after which there is no prepayment fee.</w:t>
      </w:r>
    </w:p>
    <w:p>
      <w:pPr>
        <w:spacing w:after="0" w:line="193"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color w:val="auto"/>
        </w:rPr>
        <w:t>We had elected to pay interest in cash at a rate of 11.5% per annum through September 30, 2015. For the three months ended March 31, 2016 and December 31, 2015, we elected to pay interest in cash at a rate of 9.5% per annum and to have a rate of 2.0% per annum added to the principal of the loan. As a result, $212,000 and $153,000 was added to the principal of the loan for the three months ended March 31, 2016 and December 31, 2015, respectively. As of March 31, 2016, we had $45.4 million of aggregate borrowings outstanding under the Term Loan Agreement with Capital Royalty Partners.</w:t>
      </w:r>
    </w:p>
    <w:p>
      <w:pPr>
        <w:spacing w:after="0" w:line="154"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The term loan is collateralized by all of our assets. The Term Loan Agreement with Capital Royalty Partners also imposes various affirmative and negative covenants on us. The principal financial covenants require that we attain minimum annual revenues of $65.0 million in 2016, $80.0 million in 2017 and $95.0 million each year thereafter until the end of the term of the loan. At March 31, 2016, we were in compliance with all of the covenants in the Term Loan Agreement.</w:t>
      </w:r>
    </w:p>
    <w:p>
      <w:pPr>
        <w:spacing w:after="0" w:line="187"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color w:val="auto"/>
        </w:rPr>
        <w:t>Under the Third Amendment, we have agreed to pay, on the earlier of (i) the Maturity Date; (ii) the date that the loan under the Term Loan Agreement with Capital Royalty Partners becomes due, and (iii) the date on which we make a voluntary pre-payment of the loan, a financing fee equal to three percent (3.0%) of the sum of (x) the aggregate amount drawn under the Third Amendment, and (y) any PIK Loans issued in relation to the Third Amendment.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March 31, 2016, we did not have any off-balance sheet arrangements.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2016, this change would not have had a material effect on the fair value of our investment portfolio as of that date.</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interest rate under our Term Loan Agreement with Capital Royalty Partners is fixed and not subject to changes in market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2" w:name="page23"/>
    <w:bookmarkEnd w:id="22"/>
    <w:p>
      <w:pPr>
        <w:ind w:firstLine="571"/>
        <w:spacing w:after="0" w:line="255" w:lineRule="auto"/>
        <w:rPr>
          <w:sz w:val="20"/>
          <w:szCs w:val="20"/>
          <w:color w:val="auto"/>
        </w:rPr>
      </w:pPr>
      <w:r>
        <w:rPr>
          <w:rFonts w:ascii="Arial" w:cs="Arial" w:eastAsia="Arial" w:hAnsi="Arial"/>
          <w:sz w:val="18"/>
          <w:szCs w:val="18"/>
          <w:color w:val="auto"/>
        </w:rPr>
        <w:t>Our operations are located in the United States, and nearly all of our sales since inception have been made in U.S. dollars. Accordingly, we do not currently have any material exposure to foreign currency rate fluctuations.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1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588"/>
        <w:spacing w:after="0" w:line="28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As of March 31, 2016, 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and Exchange Act of 1934, as amended (the “Exchange Act”). Based on this evaluation, our principal executive officer and principal financial officer concluded that our disclosure controls and procedures were effective at the reasonable assurance level as of March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571"/>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March 31, 2016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0" w:firstLine="571"/>
        <w:spacing w:after="0" w:line="286" w:lineRule="auto"/>
        <w:rPr>
          <w:sz w:val="20"/>
          <w:szCs w:val="20"/>
          <w:color w:val="auto"/>
        </w:rPr>
      </w:pPr>
      <w:r>
        <w:rPr>
          <w:rFonts w:ascii="Arial" w:cs="Arial" w:eastAsia="Arial" w:hAnsi="Arial"/>
          <w:sz w:val="17"/>
          <w:szCs w:val="17"/>
          <w:color w:val="auto"/>
        </w:rPr>
        <w:t>From time to time we may be involved in various disputes and litigation matters that arise in the ordinary course of business. We are currently not a party to any material legal proceedings.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 xml:space="preserve">The following sets forth certain risk factors associated with our business. The risk factors set forth below marked with an asterisk (*) next to the title contain </w:t>
      </w:r>
      <w:r>
        <w:rPr>
          <w:rFonts w:ascii="Arial" w:cs="Arial" w:eastAsia="Arial" w:hAnsi="Arial"/>
          <w:sz w:val="18"/>
          <w:szCs w:val="18"/>
          <w:color w:val="auto"/>
        </w:rPr>
        <w:t>changes</w:t>
      </w:r>
      <w:r>
        <w:rPr>
          <w:rFonts w:ascii="Arial" w:cs="Arial" w:eastAsia="Arial" w:hAnsi="Arial"/>
          <w:sz w:val="18"/>
          <w:szCs w:val="18"/>
          <w:i w:val="1"/>
          <w:iCs w:val="1"/>
          <w:color w:val="auto"/>
        </w:rPr>
        <w:t xml:space="preserve"> to the description of the risk factors associated with our business previously disclosed in Part I, Item 1A of our Annual Report on Form 10-K for the year ended December 31, 2015.</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i w:val="1"/>
          <w:iCs w:val="1"/>
          <w:color w:val="auto"/>
        </w:rPr>
        <w:t>An investment in our common stock involves risks. You should consider carefully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 For additional information, see “Cautionary Note Regarding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Since our inception in January 2006 we have incurred a significant net loss. As of March 31, 2016, we had an accumulated deficit of $341.6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research and development of our products, the commercial launch of our products, the development of a sales and marketing team and the assembly of a management team to manage our business.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began commercial sales of our first commercial product, the t:slim pump, in the third quarter of 2012. We began commercial sales of the t:flex pump in the second quarter of 2015 and the t:slim G4 pump in the third quarter of 2015. Since the first quarter of 2013, we have been able to manufacture and sell our insulin pump products at a cost and in volumes sufficient to allow us to achieve a positive overall gross margin. For the years ended December 31, 2015 and 2014, our gross profit was $26.6 million and $15.2 million, respectively. For the three months ended March 31, 2016 and 2015, our gross profit was $6.9 million and $2.8 million, respectively. However, although we have achieved a positive overall gross margin, we still operate at a substantial net loss and expect that we will continue to do so for the next several years.</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To implement our business strategy we need to, among other things, grow our sales, clinical and marketing infrastructure to increase sales of our products, fund ongoing research and development activities, expand our manufacturing capabilities, and obtain regulatory clearance or approval to commercialize our products currently under development. We expect our expenses to increase significantly as we pursue these objectives. The extent of our future operating losses and the timing of profitability are highly uncertain, especially given that we expect to further expand the size of our sales, clinical and marketing infrastructure and that we only recently began sales of two new commercial products, which makes forecasting our sales more difficult. Any additional operating losses will have an adverse effect on our stockholders’ equity, and we cannot assure you that we will ever be able to achieve or sustain profitability.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4" w:name="page25"/>
    <w:bookmarkEnd w:id="24"/>
    <w:p>
      <w:pPr>
        <w:ind w:right="16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 *</w:t>
      </w:r>
    </w:p>
    <w:p>
      <w:pPr>
        <w:spacing w:after="0" w:line="101" w:lineRule="exact"/>
        <w:rPr>
          <w:sz w:val="20"/>
          <w:szCs w:val="20"/>
          <w:color w:val="auto"/>
        </w:rPr>
      </w:pPr>
    </w:p>
    <w:p>
      <w:pPr>
        <w:ind w:firstLine="571"/>
        <w:spacing w:after="0" w:line="268" w:lineRule="auto"/>
        <w:rPr>
          <w:sz w:val="20"/>
          <w:szCs w:val="20"/>
          <w:color w:val="auto"/>
        </w:rPr>
      </w:pPr>
      <w:r>
        <w:rPr>
          <w:rFonts w:ascii="Arial" w:cs="Arial" w:eastAsia="Arial" w:hAnsi="Arial"/>
          <w:sz w:val="17"/>
          <w:szCs w:val="17"/>
          <w:color w:val="auto"/>
        </w:rPr>
        <w:t>We believe that our ability to reduce the per-unit cost of our insulin pump products and related cartridges will have a significant impact on our ability to achieve profitability. Due to our existing production volumes relative to our potential production capacity, manufacturing costs are currently a significant portion of our per-unit costs. Our manufacturing costs include raw material procurement costs, labor costs, product-training expenses and expected warranty expenses. They also include manufacturing overhead costs, including expenses relating to quality assurance, inventory control, facilities, equipment, information technology, and operations management. If we are unable to sustain or reduce our overall manufacturing costs, including through arrangements such as volume purchase discounts, negotiation of improved pricing, more efficient training programs for customers, and improved warranty performance, it will be difficult to reduce our per unit manufacturing costs and our ability to achieve profitability will be constrained. In addition, the per unit cost of our products is significantly impacted by our overall production volumes, and any factors that cause our production volumes to decline, or to grow at a slower rate than we expect, would significantly impact our expected per unit costs.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expected per unit costs. If we are unable to effectively manage our overall manufacturing costs, while increasing our production volumes, we may not be able to achieve or sustain profitability, which would have an adverse impact on our business and financial condition.</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 *</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generate a significant majority of our commercial revenue from the sale of our family of insulin pump products, which include our t:slim, t:flex and t:slim G4 products.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of our insulin pumps may be negatively impacted by many factors, including:</w:t>
      </w:r>
    </w:p>
    <w:p>
      <w:pPr>
        <w:spacing w:after="0" w:line="225" w:lineRule="exact"/>
        <w:rPr>
          <w:sz w:val="20"/>
          <w:szCs w:val="20"/>
          <w:color w:val="auto"/>
        </w:rPr>
      </w:pPr>
    </w:p>
    <w:p>
      <w:pPr>
        <w:ind w:left="1040" w:right="50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rates or policies relating to insulin pumps or similar products or technologies by third-party payors;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040" w:right="50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rFonts w:ascii="Arial" w:cs="Arial" w:eastAsia="Arial" w:hAnsi="Arial"/>
          <w:sz w:val="18"/>
          <w:szCs w:val="18"/>
          <w:color w:val="auto"/>
        </w:rPr>
      </w:pPr>
    </w:p>
    <w:p>
      <w:pPr>
        <w:ind w:left="1040" w:right="56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 products obsolete or less desirable;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addition, sales of our t:slim G4 pump, in particular, are subject to the continuation of our development and commercialization agreement with DexCom, which is subject to termination by DexCom, with or without cause, on relatively short notice.</w:t>
      </w:r>
    </w:p>
    <w:p>
      <w:pPr>
        <w:spacing w:after="0" w:line="170"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Because we currently rely on sales of our insulin pump products, of which our t:slim G4 pump currently makes up the majority, to generate a significant majority of our revenue, any factors that negatively impact sales of these products, or result in sales of these products increasing at a lower rate than expected, could adversely affect our business, financial condition and operating results and negatively impact our ability to successfully launch future products currently under development.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current business strategy is highly dependent on our family of insulin pump products, which include t:slim, t:flex and t:slim G4, achieving and maintaining market acceptance. In order for us to sell our products to people with insulin-dependent diabetes, we must convince them, their caregivers and healthcare providers that it is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as to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Achieving and maintaining market acceptance of our products could be negatively impacted by many factors, including:</w:t>
      </w:r>
    </w:p>
    <w:p>
      <w:pPr>
        <w:spacing w:after="0" w:line="225" w:lineRule="exact"/>
        <w:rPr>
          <w:sz w:val="20"/>
          <w:szCs w:val="20"/>
          <w:color w:val="auto"/>
        </w:rPr>
      </w:pPr>
    </w:p>
    <w:p>
      <w:pPr>
        <w:ind w:left="1040" w:right="44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of our products to achieve wide acceptance among people with insulin-dependent diabetes, their caregivers, insulin-prescribing healthcare providers, third-party payors and key opinion leaders in the diabetes treatment community;</w:t>
      </w:r>
    </w:p>
    <w:p>
      <w:pPr>
        <w:spacing w:after="0" w:line="170" w:lineRule="exact"/>
        <w:rPr>
          <w:rFonts w:ascii="Arial" w:cs="Arial" w:eastAsia="Arial" w:hAnsi="Arial"/>
          <w:sz w:val="18"/>
          <w:szCs w:val="18"/>
          <w:color w:val="auto"/>
        </w:rPr>
      </w:pPr>
    </w:p>
    <w:p>
      <w:pPr>
        <w:ind w:left="1040" w:right="42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perceived risks associated with the use of our insulin pump products or similar products or technologies generally;</w:t>
      </w:r>
    </w:p>
    <w:p>
      <w:pPr>
        <w:spacing w:after="0" w:line="225" w:lineRule="exact"/>
        <w:rPr>
          <w:rFonts w:ascii="Arial" w:cs="Arial" w:eastAsia="Arial" w:hAnsi="Arial"/>
          <w:sz w:val="18"/>
          <w:szCs w:val="18"/>
          <w:color w:val="auto"/>
        </w:rPr>
      </w:pPr>
    </w:p>
    <w:p>
      <w:pPr>
        <w:ind w:left="1040" w:right="6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discounts, rebates and other financial incentives that our competitors may offer for competitive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clinical studies relating to t:slim, t:flex, t:slim G4 or similar competitive products.</w:t>
      </w:r>
    </w:p>
    <w:p>
      <w:pPr>
        <w:spacing w:after="0" w:line="225"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In addition, t:slim, t:flex and t:slim G4 may be perceived by people with insulin-dependent diabetes, their caregivers or healthcare providers to be more complicated, less reliable or less effective than traditional insulin therapies, including MDI, and people may be unwilling to change their current treatment regimens.</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Moreover, we believe that healthcare providers tend to be slow to change their medical treatment practices because of perceived liability risks arising from the use of new products and the uncertainty of third-party reimbursement. Accordingly, healthcare providers may not recommend our products until there is sufficient evidence to convince them to alter the treatment methods they typically recommend, such as receiving recommendations from prominent healthcare providers or other key opinion leaders in the diabetes treatment community that our products are effective in providing insulin therapy. Additionally, payors may have more stringent requirements for reimbursement.</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Further, even if we are able to convince people with insulin-dependent diabetes, their caregivers or healthcare providers that our products compare favorably to the products and treatment alternatives offered by our competitors,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third quarter of 2015 there were consumers interested in purchasing one of our insulin pump products who may have delayed the purchase decision in anticipation of the release of t:slim G4. It is also possible that consumers interested in purchasing any of our future products currently in development may delay the purchase of one of our current products, particularly in light of our current practice of generally not offering product upgrades to existing customers.</w:t>
      </w:r>
    </w:p>
    <w:p>
      <w:pPr>
        <w:spacing w:after="0" w:line="178"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projected amounts. If our sales do not meet our projections, we may fail to meet our strategic objectives, and our business, financial condition and operating results could be materially and adversely affected.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have derived nearly all of our revenue from sales of t:slim, t:flex and t:slim G4 pumps and associated supplies, and expect to continue to do so until we are able to commercialize our other products that are currently under development.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Because we only recently initiated commercial sales of t:flex and t:slim G4, there remains some uncertainty regarding the coverage that third-party payors will offer for these products, particularly for individuals with type 2 diabetes where coverage requirements may necessitate additional laboratory tests or other information to support a determination of medical necessity. Access to adequate coverage and reimbursement for our current and future products by third-party payors is essential to the acceptance of our products by customers.</w:t>
      </w:r>
    </w:p>
    <w:p>
      <w:pPr>
        <w:spacing w:after="0" w:line="1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Many third-party payors use coverage decisions and payment amounts determined by the Centers for Medicare and Medicaid Services, or CMS, which administers the U.S. Medicare program, as guidelines in setting their coverage and reimbursement policies. Medicare periodically reviews its reimbursement practices for diabetes-related products. Medicare implemented a competitive bidding process for blood glucose strip reimbursement, which resulted in a significant reduction in the reimbursement rate for those products. More recently, Medicare has also initiated a competitive bidding process for insulin pumps in limited geographies.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144 national and regional third-party payors in the United States. While we anticipate entering into additional contracts with third-party payors and adding coverage for future products under our current agreements, we cannot guarantee that we will succeed in doing so or that the reimbursement contracts that we are able to negotiate will enable us to sell our products on a profitable basis. In addition,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or technologies, or other activities of industry participants. We expect our products will compete directly with a number of traditional insulin pumps as well as other methods for the treatment of diabetes. In particular, we expect that the competitive landscape for t:flex and t:slim G4 will be similar to that of t:slim.</w:t>
      </w:r>
    </w:p>
    <w:p>
      <w:pPr>
        <w:spacing w:after="0" w:line="14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Many of our existing and potential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Other significant insulin pump suppliers in the United States include Animas Corporation, a division of Johnson &amp; Johnson, and Insulet Corporation. There are also newer companies entering the field.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Many of these more established competitors enjoy several competitive advantages over us, including:</w:t>
      </w:r>
    </w:p>
    <w:p>
      <w:pPr>
        <w:spacing w:after="0" w:line="225" w:lineRule="exact"/>
        <w:rPr>
          <w:sz w:val="20"/>
          <w:szCs w:val="20"/>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and product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and third-party payors;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diabetes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 w:name="page28"/>
    <w:bookmarkEnd w:id="27"/>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some cases, an established base of long-time customers;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more experience in conducting research and development, manufacturing, clinical trials, and obtaining regulatory approval or clearance.</w:t>
      </w:r>
    </w:p>
    <w:p>
      <w:pPr>
        <w:spacing w:after="0" w:line="23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some instances, our competitors also offer products that include features that we do not currently offer. For instance, Medtronic currently offers a traditional insulin pump that is integrated with a CGM system with a threshold suspend feature, and Insulet offers an insulin pump with a tubeless delivery system that does not utilize an infusion set. For these and other reasons, we may not be able to compete successfully against our current or potential future competitors. As a result, we may fail to meet our strategic objectives and forecasted budget, and our business, financial condition and operating results could be materially and adversely affected.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breakthroughs for the monitoring, treatment or prevention of diabetes or technological developments may render our products obsolete or less desirable.</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ability to achieve our strategic objectives will depend, among other things, on our ability to develop and commercialize products for the treatment of diabetes that offer distinct features,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technological or treatment advancements could occur in the future could cause consumers to delay the purchase of our products.</w:t>
      </w:r>
    </w:p>
    <w:p>
      <w:pPr>
        <w:spacing w:after="0" w:line="16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the entry of multiple new products has led some of our competitors to employ pricing strategies, including the use of discounts, rebates, low cost product upgrades or other financial incentives that could adversely affect sales of our products. If a competitor develops a product that competes with or is perceived to be superior to our own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16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continual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selling and training new customers on the use of our products, which could harm our ability to achieve our sales and service objectives.*</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have only limited experience marketing and selling our products as well as training new customers on their use. For example, we do not have significant experience training new customers on the use of continuous glucose monitoring, which we are required to provide to customers in connection with the commercialization of t:slim G4. As a result, we may face unexpected challenges marketing and selling t:slim G4. In addition, the vast majority of our existing customers are individuals with type 1 diabetes, and we have only limited experience marketing and selling our products to customers with type 2 diabetes. As a result, we may face unexpected challenges marketing and selling t:flex.</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8" w:name="page29"/>
    <w:bookmarkEnd w:id="28"/>
    <w:p>
      <w:pPr>
        <w:ind w:right="40" w:firstLine="518"/>
        <w:spacing w:after="0" w:line="276" w:lineRule="auto"/>
        <w:rPr>
          <w:sz w:val="20"/>
          <w:szCs w:val="20"/>
          <w:color w:val="auto"/>
        </w:rPr>
      </w:pPr>
      <w:r>
        <w:rPr>
          <w:rFonts w:ascii="Arial" w:cs="Arial" w:eastAsia="Arial" w:hAnsi="Arial"/>
          <w:sz w:val="17"/>
          <w:szCs w:val="17"/>
          <w:color w:val="auto"/>
        </w:rPr>
        <w:t>We expect to derive nearly all of our revenue from the sale of t:slim, t:flex, t:slim G4 and pump-related supplies unless and until we receive regulatory clearance or approval for other products currently in development. As a result, our financial condition and operating results are and will continue to be highly dependent on the ability of our sales representatives to adequately promote, market and sell our current family of insulin pumps,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expand our sales, marketing and clinical infrastructure effectively and on a timely basis, we may fail to increase our sales to meet our forecasts.*</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 key element of our business strategy is the continued expansion of our sales, clinical and marketing infrastructure to drive adoption of our products, which includes our team of diabetes educators that trains new customers on the use of our products. We have rapidly increased the number of sales, marketing and clinical personnel employed by us since the initial commercial launch of t:slim in 2012. However, we have faced considerable challenges in growing and managing our sales, marketing and clinical force over the past 12-18 months, including with respect to recruiting, training and assimilation of new territories and accounts. We expect to continue to face significant challenges as we manage and grow our sales, marketing and clinical infrastructure and work to motivate and retain the individuals who make up those networks. These challenges may be even greater in light of our plans to further expand our commercial organization during 2016, especially because newly hired sales, clinical and marketing representatives require training and take time to achieve full productivity. Moreover, the expansion of our sales force has disrupted, and we expect that it will continue to disrupt the productivity of our existing sales representatives. Unexpected turnover, especially during a period of anticipated expansion,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we may not be able to successfully train new customers on the use of our products,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-351155</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expect that the management and future expansion of our sales, marketing and clinical personnel will continue to place significant burdens on our management team. If we are unable to retain and expand our sales, marketing and clinical capabilities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sales and marketing efforts are dependent on independent distributors who are free to market products that compete with our own. If we are unable to maintain or expand our network of independent distributors, our sales may be negatively affected.</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For the year ended December 31, 2015, sales to approximately 40 independent distributors represented approximately 77% of our sales. While our goal is to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on a direct basis.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Some of our independent distributors account for a significant portion of our sales volume. For the year ended December 31, 2015, our two largest independent distributors comprised approximately 35% of our sales. If any of our key independent distributors were to cease to distribute our products,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 *</w:t>
      </w:r>
    </w:p>
    <w:p>
      <w:pPr>
        <w:spacing w:after="0" w:line="170" w:lineRule="exact"/>
        <w:rPr>
          <w:sz w:val="20"/>
          <w:szCs w:val="20"/>
          <w:color w:val="auto"/>
        </w:rPr>
      </w:pPr>
    </w:p>
    <w:p>
      <w:pPr>
        <w:ind w:right="120" w:firstLine="571"/>
        <w:spacing w:after="0" w:line="272"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these third parties on a timely basis or on acceptable terms, or these third parties do not successfully carry out their contractual duties or regulatory obligations or meet expected deadlines,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7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patients in our current and anticipated clinical trials and other third parties to manage such trials and to perform related data collection and analysis, and, as a result, we may face costs and delays that are outside of our control. *</w:t>
      </w:r>
    </w:p>
    <w:p>
      <w:pPr>
        <w:spacing w:after="0" w:line="18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The failure to retain a high percentage of our customers would negatively impact our revenue growth and may have a material adverse effect on our business, financial condition and operating results.</w:t>
      </w:r>
    </w:p>
    <w:p>
      <w:pPr>
        <w:spacing w:after="0" w:line="19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rapidly.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0" w:name="page31"/>
    <w:bookmarkEnd w:id="30"/>
    <w:p>
      <w:pPr>
        <w:ind w:firstLine="518"/>
        <w:spacing w:after="0" w:line="270" w:lineRule="auto"/>
        <w:rPr>
          <w:sz w:val="20"/>
          <w:szCs w:val="20"/>
          <w:color w:val="auto"/>
        </w:rPr>
      </w:pPr>
      <w:r>
        <w:rPr>
          <w:rFonts w:ascii="Arial" w:cs="Arial" w:eastAsia="Arial" w:hAnsi="Arial"/>
          <w:sz w:val="17"/>
          <w:szCs w:val="17"/>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Moreover, even if our market research has allowed us to better understand the features consumers are seeking in an insulin pump to improve management of their diabetes therapy, there can be no assurance that consumers will actually purchase our products or that our competitors will not develop products with similar features.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may face difficulties encountered by companies early in their commercialization in competitive and rapidly evolving markets.</w:t>
      </w:r>
    </w:p>
    <w:p>
      <w:pPr>
        <w:spacing w:after="0" w:line="170"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especially with respect to the impact of t:flex and t:slim G4 on our mix of product sales and our overall growth rate. In assessing our business prospects, you should consider the various risks and difficulties frequently encountered by companies early in their commercialization history in competitive and rapidly evolving markets, particularly companies that develop and sell medical devices. These risks include our ability to:</w:t>
      </w:r>
    </w:p>
    <w:p>
      <w:pPr>
        <w:spacing w:after="0" w:line="158" w:lineRule="exact"/>
        <w:rPr>
          <w:sz w:val="20"/>
          <w:szCs w:val="20"/>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 and improve the productivity of our sales, clinical and marketing infrastructure to grow sales of our existing and proposed products;</w:t>
      </w:r>
    </w:p>
    <w:p>
      <w:pPr>
        <w:spacing w:after="0" w:line="248" w:lineRule="exact"/>
        <w:rPr>
          <w:rFonts w:ascii="Arial" w:cs="Arial" w:eastAsia="Arial" w:hAnsi="Arial"/>
          <w:sz w:val="16"/>
          <w:szCs w:val="16"/>
          <w:color w:val="auto"/>
        </w:rPr>
      </w:pPr>
    </w:p>
    <w:p>
      <w:pPr>
        <w:ind w:left="1140" w:hanging="376"/>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awareness of our brand and build loyalty among people with insulin-dependent diabetes, their caregivers and healthcare providers;</w:t>
      </w:r>
    </w:p>
    <w:p>
      <w:pPr>
        <w:spacing w:after="0" w:line="248" w:lineRule="exact"/>
        <w:rPr>
          <w:rFonts w:ascii="Arial" w:cs="Arial" w:eastAsia="Arial" w:hAnsi="Arial"/>
          <w:sz w:val="16"/>
          <w:szCs w:val="16"/>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expanding operations, including complying with a broad range of legal requirements within a highly regulated industry;</w:t>
      </w:r>
    </w:p>
    <w:p>
      <w:pPr>
        <w:spacing w:after="0" w:line="225"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manufacturing capabilities, including increasing production of current products efficiently while maintaining quality standards and adapting our manufacturing facilities to the production of new products;</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commercialize proposed products and enhance our existing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Manufacturing risks may adversely affect our ability to manufacture products and could negatively impact our sales and operating margins. *</w:t>
      </w:r>
    </w:p>
    <w:p>
      <w:pPr>
        <w:spacing w:after="0" w:line="23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181"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challenge of implementing and maintaining acceptable quality systems while experiencing rapid growth;</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modify production lines to enable us to efficiently produce future products or implement changes in current products in response to regulatory requirements;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These risks are likely to be exacerbated by our limited experience with our current products and manufacturing processes. 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 months. However, it is possible that we may not derive the anticipated improvements from these investments. We also expect to require additional facilities to consolidate our manufacturing, warehousing and other operational needs, and any transition of our current manufacturing, warehousing and other operations to a new facility is subject to additional risk and uncertainty. If we fail to increase our production capacity efficiently while also maintaining quality requirements, our sales may not increase in line with our forecasts and our operating margins could fluctuate or decline.</w:t>
      </w:r>
    </w:p>
    <w:p>
      <w:pPr>
        <w:spacing w:after="0" w:line="179"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addition, although we expect some of our products in development to share product features and components with our current products, manufacturing of these products may require the modification of our production lines, the hiring of specialized employees, the identification of new suppliers for specific components, the implementation of additional equipment and procedures, or the development of new manufacturing technologies. It may not be possible for us to manufacture these products at a cost or in quantities sufficient to make these products commercially viable.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components, and the loss of any of these suppliers, or their inability to provide us with an adequate supply of materials, could harm our business.</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 upon specifications, at acceptable costs and on a timely basis. Increases in our product sales, whether forecasted or unanticipated, could strain the ability of our suppliers to deliver an increasingly large supply of components in a manner that meets these various requirements.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do not have long-term supply agreements with most of our suppliers and, in many cases, we make our purchases on a purchase order basis. Under most of our supply agreements, we have no obligation to buy any given quantity of products, and our suppliers have no obligation to manufacture for us or sell to us any given quantity of products. As a result, our ability to purchase adequate quantities of our products may be limited. Additionally, our suppliers may encounter problems that limit their ability to manufacture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ind w:firstLine="518"/>
        <w:spacing w:after="0" w:line="288" w:lineRule="auto"/>
        <w:rPr>
          <w:sz w:val="20"/>
          <w:szCs w:val="20"/>
          <w:color w:val="auto"/>
        </w:rPr>
      </w:pPr>
      <w:r>
        <w:rPr>
          <w:rFonts w:ascii="Arial" w:cs="Arial" w:eastAsia="Arial" w:hAnsi="Arial"/>
          <w:sz w:val="16"/>
          <w:szCs w:val="16"/>
          <w:color w:val="auto"/>
        </w:rPr>
        <w:t>We generally use a small number of suppliers for our products. Depending on a limited number of suppliers exposes us to risks, including limited control over pricing, availability, quality and delivery schedules. Moreover, due to the recent commercialization of our products and the limited amount of our sales to date,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16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or other regulatory agencies, and the failure of our suppliers to comply with strictly enforced regulatory requirements could expose us to regulatory action including warning letters, product recalls, termination of distribution, product seizures or civil penalties. It could also require us to cease using the components, seek alternative components or technologies and modify our products to incorporate alternative components or technologies, which could result in a requirement to seek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a single location comprised of five buildings, and any disruption at this location could adversely affect our business and operating results.</w:t>
      </w:r>
    </w:p>
    <w:p>
      <w:pPr>
        <w:spacing w:after="0" w:line="17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principal offices are presently located in five buildings in San Diego, California. Substantially all of our operations are presently conducted at this location, including our manufacturing processes, research and development activities, customer and technical support, and management and administrative functions. In addition, substantially all of our inventory of component supplies and finished goods is held at this location.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or finished goods, cause substantial delays in our operations, result in the loss of key information, and cause us to incur additional expenses. Our insurance may not cover our losses in any particular case. In addition, regardless of the level of insurance coverage, damage to our facilities may have a material adverse effect on our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our product offerings through our research and development efforts, we may fail to effectively compete or become profitable.</w:t>
      </w:r>
    </w:p>
    <w:p>
      <w:pPr>
        <w:spacing w:after="0" w:line="24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consumers, their caregivers, healthcare providers or third-party payors who reimburse consumers for our products. The success of any proposed product offerings will depend on numerous factors, including our ability to:</w:t>
      </w:r>
    </w:p>
    <w:p>
      <w:pPr>
        <w:spacing w:after="0" w:line="158" w:lineRule="exact"/>
        <w:rPr>
          <w:sz w:val="20"/>
          <w:szCs w:val="20"/>
          <w:color w:val="auto"/>
        </w:rPr>
      </w:pPr>
    </w:p>
    <w:p>
      <w:pPr>
        <w:ind w:left="1040" w:right="340" w:hanging="38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the product features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introduce proposed products in sufficient quantities and in a timely manner;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If we fail to generate demand by developing products that incorporate features requested by consumers, their caregivers or healthcare providers, or if we do not obtain regulatory clearance or approval for proposed products in time to meet market demand, we may fail to generate sales sufficient to achieve or maintain profitability. We have in the past experienced, and we may in the future experience, delays in various phases of product development and commercial launch,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t:slim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received FDA approval under a PMA. However, there are no published studies to evaluate the safety or effectiveness of t:slim G4.</w:t>
      </w:r>
    </w:p>
    <w:p>
      <w:pPr>
        <w:spacing w:after="0" w:line="18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7"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Moreover, we monitor and investigate incoming customer complaints on an ongoing basis, particularly following the launch of new products or changes to our existing products. Changes to our existing products may include changes to hardware or software, or changes to manufacturing methods or procedures. 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15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and existing and potential collaborators, and could adversely affect our operating results and cause a decline in our stock price.</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4" w:name="page35"/>
    <w:bookmarkEnd w:id="34"/>
    <w:p>
      <w:pPr>
        <w:ind w:firstLine="518"/>
        <w:spacing w:after="0" w:line="288"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our collaborators and us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6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For example, we entered into a Development and Commercialization Agreement with DexCom, which provides us a non-exclusive license to integrate the DexCom G4 PLATINUM CGM System with t:slim G4 during the term of the agreement. This agreement currently runs until January 4, 2018, with automatic one-year renewals. The license granted covers the United States and other territories may be added from time to time. Under certain circumstances, the agreement may be terminated by either party without cause or on short notice. Termination of this agreement could require us to redesign t:slim G4 and attempt to integrate an alternative CGM system into our insulin pump systems, which would require significant development and regulatory activities that could result in an interruption in the availability of the product to our customers.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there are significant disruptions in our information technology systems, our business, financial condition and operating results could be adversely affected.</w:t>
      </w:r>
    </w:p>
    <w:p>
      <w:pPr>
        <w:spacing w:after="0" w:line="17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 sales and marketing data, accounting and financial functions, inventory management, product development tasks, research and development data, customer service and technical support functions. Our information technology systems, including those that support t:connect, our cloud-based data management application, are vulnerable to damage or interruption from earthquakes, fires, floods and other natural disasters, terrorist attacks, attacks by computer viruses or hackers, power losses, and computer system or data network failures. In addition, our currently marketed insulin pumps and our products currently in development contain software, which could be subject to computer virus or hacker attacks or other failures. We are currently in the process of developing our Tandem Device Updater, a system that is designed to enable customers to remotely update the software on t:slim and t:flex. We expect that this system will be subject to similar risks.</w:t>
      </w:r>
    </w:p>
    <w:p>
      <w:pPr>
        <w:spacing w:after="0" w:line="19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and could result in decreased sales, increased overhead costs, and product shortages, all of which could have a material adverse effect on our reputation,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225"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Our rapid growth has placed, and we expect that it will continue to place, a significant strain on our management team and financial resources. For example, between December 31, 2014 and December 31, 2015 our employee base increased approximately 10% and we expect to continue to experience growth of our employee base during 2016. In addition, during late 2015 and early 2016 we experienced turnover among key employees in our sales, marketing and clinical functions, including the recent hiring of a new Chief Commercial Officer. Our failure to manage growth effectively could cause us to misallocate management or financial resources, and result in losses or weaknesses in our infrastructure, which could materially adversely affect our business. Additionally, our anticipated growth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5" w:name="page36"/>
    <w:bookmarkEnd w:id="35"/>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the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124"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these funds may not be available on acceptable terms or at all. *</w:t>
      </w:r>
    </w:p>
    <w:p>
      <w:pPr>
        <w:spacing w:after="0" w:line="170"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At March 31, 2016, we had $70.4 million in cash, cash equivalents and short-term investments, which included $2.0 million of restricted cash. We believe that our cash on hand, cash available under our Term Loan Agreement with Capital Royalty Partners, cash generated from operations, and cash proceeds from the exercise of warrants and options will be sufficient to satisfy our liquidity requirements for at least the next 12 months. However, the continued growth of our business, including the expansion of our sales, clinical and marketing infrastructure, research and development activities, and manufacturing capabilities, will continue to increase our expenses. In addition, the amount of our future product sales is difficult to predict and actual sales may not be in line with our forecasts. As a result, we may seek additional funds in the future. Our future capital requirements will depend on many factors, including:</w:t>
      </w:r>
    </w:p>
    <w:p>
      <w:pPr>
        <w:spacing w:after="0" w:line="189"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revenue generated by sales of our family of insulin pump products, and any other future products that we may develop and commercialize;</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sales and marketing infrastructure;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we incur in maintaining our manufacturing facility and adding additional manufacturing equipment and capacity;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associated with developing and commercializing our proposed products or technologies;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current or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we incur in connection with potential litigation or governmental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As a result of these and other factors, we do not know the extent to which we may be required to raise additional capital. We may in the future seek additional capital from public or private offerings of our capital stock, we may elect to borrow additional amounts under our Term Loan Agreement with Capital Royalty Partners under new credit lines or other sources. In particular, we have an effective shelf registration statement on file with the SEC, under which we may offer to sell equity securities.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If we are unable to raise additional capital, we may not be able to expand our sales and marketing infrastructure, enhance our current products or develop new products, take advantage of future opportunities, or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81" w:lineRule="exact"/>
        <w:rPr>
          <w:sz w:val="20"/>
          <w:szCs w:val="20"/>
          <w:color w:val="auto"/>
        </w:rPr>
      </w:pPr>
    </w:p>
    <w:p>
      <w:pPr>
        <w:ind w:left="1040" w:right="6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sales of our currently available insulin pump products and to commercialize and sell our future products, and the number of our products sold in each quarter;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7" w:name="page38"/>
    <w:bookmarkEnd w:id="37"/>
    <w:p>
      <w:pPr>
        <w:ind w:left="1040" w:hanging="384"/>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pricing of our products and competitive products, including the use of discounts, rebates or other financial incentives by our competitors;</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grow an effective sales, clinical and marketing infrastructure;</w:t>
      </w:r>
    </w:p>
    <w:p>
      <w:pPr>
        <w:spacing w:after="0" w:line="225" w:lineRule="exact"/>
        <w:rPr>
          <w:rFonts w:ascii="Arial" w:cs="Arial" w:eastAsia="Arial" w:hAnsi="Arial"/>
          <w:sz w:val="18"/>
          <w:szCs w:val="18"/>
          <w:color w:val="auto"/>
        </w:rPr>
      </w:pPr>
    </w:p>
    <w:p>
      <w:pPr>
        <w:ind w:left="1040" w:right="34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and reliability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revenue recognition associated with our product sales pursuant to applicable accounting standards.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due to the timing of the regulatory approval and commercial launch of t:slim G4, our quarterly financial results during the second half of 2015 had an even greater fluctuation than in prior years, as customers may have delayed purchasing decisions in anticipation of the launch, and needed to satisfy additional insurance verification and approval requirements prior to completing their purchase.</w:t>
      </w:r>
    </w:p>
    <w:p>
      <w:pPr>
        <w:spacing w:after="0" w:line="18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addition, we will continue to increase our operating expenses as we expand our business. Accordingly, we may experience substantial variability in our operating results from quarter to quarter, including anticipated or unanticipated quarterly losses.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our indebtedness, which currently consists of our credit facility with Capital Royalty Partners. *</w:t>
      </w:r>
    </w:p>
    <w:p>
      <w:pPr>
        <w:spacing w:after="0" w:line="26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At December 31, 2015, we had $30.2 million aggregate borrowings outstanding under a Term Loan Agreement with Capital Royalty Partners. In January 2016, we entered into a third amendment to our Term Loan Agreement with Capital Royalty Partners, which allowed us to borrow up to an additional $50.0 million. We borrowed $15.0 million in January 2016, and the Third Amendment provides us with a one-time option to draw up to an additional $35.0 million in increments of $5.0 million on or before December 31, 2016.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 If our cash balances or cash flows from operations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In addition, in the event of our breach of our Term Loan Agreement with Capital Royalty Partners, we may be required to repay any outstanding amounts earlier than anticipated.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Our Term Loan Agreement with Capital Royalty Partners contains restrictive and financial covenants that may limit our operating flexibility.</w:t>
      </w:r>
    </w:p>
    <w:p>
      <w:pPr>
        <w:spacing w:after="0" w:line="23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Term Loan Agreement with Capital Royalty Partners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therefore may not be able to engage in any of the foregoing transactions unless we obtain the consent of the lenders or terminate the applicable Term Loan Agreement. Our Term Loan Agreement with Capital Royalty Partners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our agreement. Further, there is no guarantee that future working capital, borrowings or equity financing will be available to repay or refinance the amounts outstanding under a given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 *</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rely primarily on patent, trademark and trade secret laws, as well as confidentiality and non-disclosure agreements, to protect our proprietary technologies. As of March 31, 2016, our patent portfolio consisted of approximately 43 issued U.S. patents and 49 pending U.S. patent applications. Of these, our issued U.S. patents expire between approximately 2021 and 2034. We are also seeking patent protection for our proprietary technology in other countries throughout the world. In addition, we also have three pending U.S. trademark applications and one pending foreign trademark application, as well as 20 trademark registrations, including eight U.S. trademark registrations and 12 foreign trademark registrations.</w:t>
      </w:r>
    </w:p>
    <w:p>
      <w:pPr>
        <w:spacing w:after="0" w:line="1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rely on our trademarks and trade names to distinguish our products from the products of our competitors, and have registered or applied to register many of these trademarks. We cannot assure you that our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58"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desire to defend our patents or trademarks against challenges or to enforce our intellectual property rights. Litigation also puts our patents at risk of being invalidated or interpreted narrowly and our patent applications at risk of not issuing. Additionally, we may provoke third parties to assert 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From time to time, we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23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0" w:name="page41"/>
    <w:bookmarkEnd w:id="40"/>
    <w:p>
      <w:pPr>
        <w:ind w:right="160" w:firstLine="518"/>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initially received pre-market clearance for t:slim under Section 510(k) of the FDCA in November 2011. We obtained 510(k) clearance for t:connect and t:flex in February 2013 and January 2015, respectively. From time to time, we may make modifications to these products that may require a new 510(k). We received 510(k) clearance for modifications to t:slim and its associated cartridge during 2014 and we are pursuing, and expect to continue to pursue, 510(k) clearance for additional modifications to t:slim and t:flex in the future. We are also currently pursuing 510(k) clearance for our Tandem Device Updater.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In addition, the FDA may determine that future products will require the more costly, lengthy and uncertain PMA process.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25"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products are safe and effective for their intended users;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jc w:val="both"/>
        <w:ind w:right="220" w:firstLine="518"/>
        <w:spacing w:after="0" w:line="257"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or lower than anticipated sales and have a material adverse effect on our reputation, business, financial condition and operating results.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Further, we may evaluate international expansion opportunities in the future.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comply any such requirements, our international expansion and business could be significantly harmed.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pre-market approvals, or may require us to cease marketing or recall the modified products until clearances are obtained.</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previously concluded that new clearances or approvals were not necessary, we may be required to cease marketing or to recall the modified product until we obtain clearance or approval, and we may be subject to significant regulatory fines or penalties.</w:t>
      </w:r>
    </w:p>
    <w:p>
      <w:pPr>
        <w:spacing w:after="0" w:line="178"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Further, the FDA’s ongoing review of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our third-party suppliers or we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Our third-party suppliers and we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our suppliers or we have significant non-compliance issues or if any corrective action plan that our suppliers or we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FDA has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and have an adverse effect on our reputation, financial condition and operating results, which could impair our ability to produce our products in a cost-effective and timely manner.</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040" w:right="180" w:hanging="384"/>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healthcare programs’ Anti-Kickback Law,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040" w:right="34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040" w:right="12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HIPAA of 1996, which created federal criminal laws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 and</w:t>
      </w:r>
    </w:p>
    <w:p>
      <w:pPr>
        <w:spacing w:after="0" w:line="225" w:lineRule="exact"/>
        <w:rPr>
          <w:rFonts w:ascii="Arial" w:cs="Arial" w:eastAsia="Arial" w:hAnsi="Arial"/>
          <w:sz w:val="18"/>
          <w:szCs w:val="18"/>
          <w:color w:val="auto"/>
        </w:rPr>
      </w:pPr>
    </w:p>
    <w:p>
      <w:pPr>
        <w:ind w:left="1040" w:right="8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 person or entity can now be found guilty under the PPACA without actual knowledge of the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statutes. Possible sanctions for violation of these anti-kickback laws include monetary fines, civil and criminal penalties, exclusion from Medicare and Medicaid programs and forfeiture of amounts collected in violation of those prohibitions. Any violations of these laws, or any action against us for violation of these laws, even if we successfully defend against it, could result in a material adverse effect on our reputation, business,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3" w:name="page44"/>
    <w:bookmarkEnd w:id="43"/>
    <w:p>
      <w:pPr>
        <w:ind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off-label promotion of our products.</w:t>
      </w:r>
    </w:p>
    <w:p>
      <w:pPr>
        <w:spacing w:after="0" w:line="225"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Product liability claims are expensive to defend and could result in substantial damage awards against us and harm our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Legislative or regulatory healthcare reforms may make it more difficult and costly for us to obtain regulatory clearance or approval of our products.</w:t>
      </w:r>
    </w:p>
    <w:p>
      <w:pPr>
        <w:spacing w:after="0" w:line="24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Recent political, economic and regulatory influences are subjecting the healthcare industry to fundamental changes. 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contain or reduce the cost of healthcare. This legislation and regulation may result in decreased reimbursement for medical devices, which may further exacerbate industry-wide pressure to reduce the prices charged for medical devices. This could harm our ability to market our products and generate sales.</w:t>
      </w:r>
    </w:p>
    <w:p>
      <w:pPr>
        <w:spacing w:after="0" w:line="19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products. Delays in receipt of or failure to receive regulatory clearances or approvals for our proposed products would have a material adverse effect on our business, financial condition and operating results.</w:t>
      </w:r>
    </w:p>
    <w:p>
      <w:pPr>
        <w:spacing w:after="0" w:line="18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Federal and state governments in the United States have enacted legislation to overhaul the nation’s healthcare system. While the goal of healthcare reform is to expand coverage to more individuals, it also involves increased government price controls, additional regulatory mandates and other measures designed to constrain medical costs. The PPACA substantially changes the way healthcare is financed by both governmental and private insurers, encourages improvements in the quality of healthcare items and services and significantly impacts the medical device industries. Among other things, the PPACA:</w:t>
      </w:r>
    </w:p>
    <w:p>
      <w:pPr>
        <w:spacing w:after="0" w:line="154" w:lineRule="exact"/>
        <w:rPr>
          <w:sz w:val="20"/>
          <w:szCs w:val="20"/>
          <w:color w:val="auto"/>
        </w:rPr>
      </w:pPr>
    </w:p>
    <w:p>
      <w:pPr>
        <w:ind w:left="1040" w:right="2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identify priorities in and conduct comparative clinical effectiveness research;</w:t>
      </w:r>
    </w:p>
    <w:p>
      <w:pPr>
        <w:spacing w:after="0" w:line="170" w:lineRule="exact"/>
        <w:rPr>
          <w:rFonts w:ascii="Arial" w:cs="Arial" w:eastAsia="Arial" w:hAnsi="Arial"/>
          <w:sz w:val="18"/>
          <w:szCs w:val="18"/>
          <w:color w:val="auto"/>
        </w:rPr>
      </w:pPr>
    </w:p>
    <w:p>
      <w:pPr>
        <w:ind w:left="1040" w:right="400" w:hanging="384"/>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23" w:lineRule="exact"/>
        <w:rPr>
          <w:rFonts w:ascii="Arial" w:cs="Arial" w:eastAsia="Arial" w:hAnsi="Arial"/>
          <w:sz w:val="16"/>
          <w:szCs w:val="16"/>
          <w:color w:val="auto"/>
        </w:rPr>
      </w:pPr>
    </w:p>
    <w:p>
      <w:pPr>
        <w:ind w:left="1040" w:right="2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creates an independent payment advisory board that will submit recommendations to reduce Medicare spending if projected Medicare spending exceeds a specified growth rate.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4" w:name="page45"/>
    <w:bookmarkEnd w:id="44"/>
    <w:p>
      <w:pPr>
        <w:ind w:right="80" w:firstLine="518"/>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Most recently, on August 2, 2011, the President signed into law the Budget Control Act of 2011, which, among other things, creates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aggregate reductions to Medicare payments to providers of up to 2% per fiscal year which commenced in 2013. The uncertainties regarding the ultimate features of the PPACA and other healthcare reform initiatives and their enactment and implementation may have an adverse effect on our customers’ purchasing decisions regarding our products. In the coming years,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or the PPACA, may have on our business and operations, and any of these impacts may be adverse on our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PPACA imposes, among other things, an annual excise tax of 2.3% on any entity that manufactures or imports medical devices offered for sale in the United States beginning in 2013. Under these provisions, the Congressional Research Service predicts that the total cost to the medical device industry may be up to $20 billion over the next decade. We do not believe that our current products are currently subject to this tax based on the retail exemption under applicable Treasury Regulations. However, the availability of this exemption is subject to interpretation by the IRS, and the IRS may disagree with our analysis. In addition, future products that we manufacture, produce or import may be subject to this tax. The financial impact this tax may have on our business is unclear and there can be no assurance that our business will not be materially adversely affected by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certain of our executive officers, directors and principal stockholders will be able to exert control over us and our significant corporate decisions. *</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Based on an aggregate of 30,347,821 shares of our common stock outstanding as of March 31, 2016, our executive officers and directors, and their affiliates owned, in the aggregate, approximately 39%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interests of the aforementioned stockholders might not coincide with the interests of the other holders of our capital stock. This concentration of ownership may reduce the value of our common stock by, among other things:</w:t>
      </w:r>
    </w:p>
    <w:p>
      <w:pPr>
        <w:spacing w:after="0" w:line="170"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w:t>
      </w:r>
    </w:p>
    <w:p>
      <w:pPr>
        <w:spacing w:after="0" w:line="225"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040" w:right="2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040" w:right="26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p>
      <w:pPr>
        <w:ind w:left="1040" w:hanging="384"/>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for the removal of a director only with cause and then by the affirmative vote of the holders of a majority of the outstanding shares;</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the vote of at least two-thirds of the outstanding shares to approve amendments to the certificate of incorporation or bylaws;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As of December 31, 2015, we had federal net operating loss, or NOL, carryforwards of approximately $226.3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which we refer to as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58" w:lineRule="exact"/>
        <w:rPr>
          <w:sz w:val="20"/>
          <w:szCs w:val="20"/>
          <w:color w:val="auto"/>
        </w:rPr>
      </w:pPr>
    </w:p>
    <w:p>
      <w:pPr>
        <w:jc w:val="both"/>
        <w:ind w:right="180" w:firstLine="518"/>
        <w:spacing w:after="0" w:line="288" w:lineRule="auto"/>
        <w:rPr>
          <w:sz w:val="20"/>
          <w:szCs w:val="20"/>
          <w:color w:val="auto"/>
        </w:rPr>
      </w:pPr>
      <w:r>
        <w:rPr>
          <w:rFonts w:ascii="Arial" w:cs="Arial" w:eastAsia="Arial" w:hAnsi="Arial"/>
          <w:sz w:val="16"/>
          <w:szCs w:val="16"/>
          <w:color w:val="auto"/>
        </w:rPr>
        <w:t>Although we have determined that it is more likely than not that an ownership change occurred in March 2015, we have not completed an update of our Section 382 analysis subsequent to December 31, 2013. When this analysis is finalized, we will reassess the amount of net operating losses and credits subject to limitation under Section 382.We may also experience ownership changes in the future as a result of subsequent shifts in our stock ownership.</w:t>
      </w:r>
    </w:p>
    <w:p>
      <w:pPr>
        <w:jc w:val="both"/>
        <w:ind w:right="200"/>
        <w:spacing w:after="0" w:line="261" w:lineRule="auto"/>
        <w:rPr>
          <w:sz w:val="20"/>
          <w:szCs w:val="20"/>
          <w:color w:val="auto"/>
        </w:rPr>
      </w:pPr>
      <w:r>
        <w:rPr>
          <w:rFonts w:ascii="Arial" w:cs="Arial" w:eastAsia="Arial" w:hAnsi="Arial"/>
          <w:sz w:val="18"/>
          <w:szCs w:val="18"/>
          <w:color w:val="auto"/>
        </w:rPr>
        <w:t>Accordingly, if we earn net taxable income, our ability to use net operating loss carryforwards to offset U.S. federal taxable income may become subject to limitations, which could potentially result in increases in our future tax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the Term Loan Agreement with Capital Royalty Partners, we are precluded from paying any cash dividends. Accordingly, you may have to sell some or all of your shares of our common stock in order to generate cash flow from your investment. You may not receive a gain on your investment when you sell shares and you may lose the entire amount of the investment.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Stock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5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New 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On August 22, 2012, the SEC adopted a new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are currently investigating the use of conflict materials, if any, within our supply chain.</w:t>
      </w:r>
    </w:p>
    <w:p>
      <w:pPr>
        <w:spacing w:after="0" w:line="16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periodic reports and proxy statements; and</w:t>
      </w:r>
    </w:p>
    <w:p>
      <w:pPr>
        <w:spacing w:after="0" w:line="225" w:lineRule="exact"/>
        <w:rPr>
          <w:rFonts w:ascii="Arial" w:cs="Arial" w:eastAsia="Arial" w:hAnsi="Arial"/>
          <w:sz w:val="18"/>
          <w:szCs w:val="18"/>
          <w:color w:val="auto"/>
        </w:rPr>
      </w:pPr>
    </w:p>
    <w:p>
      <w:pPr>
        <w:ind w:left="1040" w:right="42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we will rely on these exemptions. If some investors find our common stock less attractive as a result, there may be a less active trading market for our common stock, which could result in a reduction in the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7" w:name="page48"/>
    <w:bookmarkEnd w:id="47"/>
    <w:p>
      <w:pPr>
        <w:ind w:right="20"/>
        <w:spacing w:after="0" w:line="277" w:lineRule="auto"/>
        <w:rPr>
          <w:sz w:val="20"/>
          <w:szCs w:val="20"/>
          <w:color w:val="auto"/>
        </w:rPr>
      </w:pPr>
      <w:r>
        <w:rPr>
          <w:rFonts w:ascii="Arial" w:cs="Arial" w:eastAsia="Arial" w:hAnsi="Arial"/>
          <w:sz w:val="18"/>
          <w:szCs w:val="18"/>
          <w:b w:val="1"/>
          <w:bCs w:val="1"/>
          <w:i w:val="1"/>
          <w:iCs w:val="1"/>
          <w:color w:val="auto"/>
        </w:rPr>
        <w:t>Pursuant to the JOBS Act, our independent registered public accounting firm will not be required to attest to the effectiveness of our internal control over financial reporting for so long as we are an “emerging growth company.”</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Under existing SEC rules and regulations, we will be required to disclose changes made in our internal control over financial reporting on a quarterly basis and management will be required to assess the effectiveness of our controls annually. However, under the JOBS Act, our independent registered public accounting firm will not be required to attest to the effectiveness of our internal control over financial reporting pursuant to Section 404(b) of the Sarbanes-Oxley Act until we are no longer an “emerging growth company.” We could be an “emerging growth company” for up to five years from our November 2013 initial public offering.</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are required to disclose changes made in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w:t>
      </w:r>
    </w:p>
    <w:p>
      <w:pPr>
        <w:spacing w:after="0" w:line="225"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Prior to our initial public offering in November 2013, there was no public market for our common stock. The trading price of our common stock is likely to be volatile for the foreseeable future. Our stock price could be subject to wide fluctuations in response to a variety of factors, including the following:</w:t>
      </w:r>
    </w:p>
    <w:p>
      <w:pPr>
        <w:spacing w:after="0" w:line="181" w:lineRule="exact"/>
        <w:rPr>
          <w:sz w:val="20"/>
          <w:szCs w:val="20"/>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introduction of proposed products, or announcements of significant contracts, licenses or acquisitions,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 w:name="page49"/>
    <w:bookmarkEnd w:id="48"/>
    <w:p>
      <w:pPr>
        <w:ind w:firstLine="518"/>
        <w:spacing w:after="0" w:line="276"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the perception of future sales, of shares of our common stock could materially reduce the market price of our common stock.*</w:t>
      </w:r>
    </w:p>
    <w:p>
      <w:pPr>
        <w:spacing w:after="0" w:line="24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We had outstanding 30,347,821 shares of common stock as of March 31, 2016, of which approximately 11,970,550 shares are restricted securities that may be sold only in accordance with the resale restrictions under Rule 144 of the Securities Act. In addition, as of March 31, 2016, we had outstanding options to purchase 6,796,078 shares of common stock and warrants to purchase 990,031 shares of common stock that, if exercised, will result in these additional shares becoming available for sale. As of March 31, 2016, there are also an aggregate of 2,823,888 shares of our common stock reserved for future grant or issuance under the 2013 Plan and the ESPP.</w:t>
      </w:r>
    </w:p>
    <w:p>
      <w:pPr>
        <w:spacing w:after="0" w:line="18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Certain holders of shares of common stock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sold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88" w:lineRule="exact"/>
        <w:rPr>
          <w:sz w:val="20"/>
          <w:szCs w:val="20"/>
          <w:color w:val="auto"/>
        </w:rPr>
      </w:pPr>
    </w:p>
    <w:p>
      <w:pPr>
        <w:ind w:right="640" w:firstLine="518"/>
        <w:spacing w:after="0" w:line="308" w:lineRule="auto"/>
        <w:rPr>
          <w:sz w:val="20"/>
          <w:szCs w:val="20"/>
          <w:color w:val="auto"/>
        </w:rPr>
      </w:pPr>
      <w:r>
        <w:rPr>
          <w:rFonts w:ascii="Arial" w:cs="Arial" w:eastAsia="Arial" w:hAnsi="Arial"/>
          <w:sz w:val="17"/>
          <w:szCs w:val="17"/>
          <w:color w:val="auto"/>
        </w:rPr>
        <w:t>In the future, we also may issue our securities if we need to raise additional capital. The number of new shares of our common stock issued in connection with raising additional capital could constitute a material portion of the then-outstanding shares of our common stock.</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70"/>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w w:val="94"/>
              </w:rPr>
              <w:t>Amended and Restated Certificate of Incorporation as</w:t>
            </w:r>
          </w:p>
        </w:tc>
        <w:tc>
          <w:tcPr>
            <w:tcW w:w="0" w:type="dxa"/>
            <w:vAlign w:val="bottom"/>
          </w:tcPr>
          <w:p>
            <w:pPr>
              <w:spacing w:after="0"/>
              <w:rPr>
                <w:sz w:val="1"/>
                <w:szCs w:val="1"/>
                <w:color w:val="auto"/>
              </w:rPr>
            </w:pPr>
          </w:p>
        </w:tc>
      </w:tr>
      <w:tr>
        <w:trPr>
          <w:trHeight w:val="215"/>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currently in effect.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00" w:type="dxa"/>
            <w:vAlign w:val="bottom"/>
          </w:tcPr>
          <w:p>
            <w:pPr>
              <w:ind w:left="140"/>
              <w:spacing w:after="0"/>
              <w:rPr>
                <w:sz w:val="20"/>
                <w:szCs w:val="20"/>
                <w:color w:val="auto"/>
              </w:rPr>
            </w:pPr>
            <w:r>
              <w:rPr>
                <w:rFonts w:ascii="Arial" w:cs="Arial" w:eastAsia="Arial" w:hAnsi="Arial"/>
                <w:sz w:val="18"/>
                <w:szCs w:val="18"/>
                <w:color w:val="auto"/>
                <w:w w:val="95"/>
              </w:rPr>
              <w:t>Amended and Restated Bylaws as currently in effect.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1"/>
              </w:rPr>
              <w:t>Employee Offer Letter, dated January 12, 2016, by and</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4200" w:type="dxa"/>
            <w:vAlign w:val="bottom"/>
          </w:tcPr>
          <w:p>
            <w:pPr>
              <w:ind w:left="140"/>
              <w:spacing w:after="0"/>
              <w:rPr>
                <w:sz w:val="20"/>
                <w:szCs w:val="20"/>
                <w:color w:val="auto"/>
              </w:rPr>
            </w:pPr>
            <w:r>
              <w:rPr>
                <w:rFonts w:ascii="Arial" w:cs="Arial" w:eastAsia="Arial" w:hAnsi="Arial"/>
                <w:sz w:val="18"/>
                <w:szCs w:val="18"/>
                <w:color w:val="auto"/>
              </w:rPr>
              <w:t>between Tandem Diabetes Care, Inc. and Brian B.</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Hansen.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2"/>
              </w:rPr>
              <w:t>Employment Severance Agreement, dated February 1,</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4200" w:type="dxa"/>
            <w:vAlign w:val="bottom"/>
          </w:tcPr>
          <w:p>
            <w:pPr>
              <w:ind w:left="140"/>
              <w:spacing w:after="0"/>
              <w:rPr>
                <w:sz w:val="20"/>
                <w:szCs w:val="20"/>
                <w:color w:val="auto"/>
              </w:rPr>
            </w:pPr>
            <w:r>
              <w:rPr>
                <w:rFonts w:ascii="Arial" w:cs="Arial" w:eastAsia="Arial" w:hAnsi="Arial"/>
                <w:sz w:val="18"/>
                <w:szCs w:val="18"/>
                <w:color w:val="auto"/>
                <w:w w:val="91"/>
              </w:rPr>
              <w:t>2016, by and between Tandem Diabetes Care, Inc.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Brian B. Hansen.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9"/>
              </w:rPr>
              <w:t>Certification of Kim D. Blickenstaff, Chief Executive</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4200" w:type="dxa"/>
            <w:vAlign w:val="bottom"/>
          </w:tcPr>
          <w:p>
            <w:pPr>
              <w:ind w:left="140"/>
              <w:spacing w:after="0"/>
              <w:rPr>
                <w:sz w:val="20"/>
                <w:szCs w:val="20"/>
                <w:color w:val="auto"/>
              </w:rPr>
            </w:pPr>
            <w:r>
              <w:rPr>
                <w:rFonts w:ascii="Arial" w:cs="Arial" w:eastAsia="Arial" w:hAnsi="Arial"/>
                <w:sz w:val="18"/>
                <w:szCs w:val="18"/>
                <w:color w:val="auto"/>
                <w:w w:val="92"/>
              </w:rPr>
              <w:t>Officer, pursuant to Section 302 of the Sarbanes-Oxley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7"/>
              </w:rPr>
              <w:t>Certification of John Cajigas, Chief Financial Officer,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200" w:type="dxa"/>
            <w:vAlign w:val="bottom"/>
          </w:tcPr>
          <w:p>
            <w:pPr>
              <w:ind w:left="140"/>
              <w:spacing w:after="0"/>
              <w:rPr>
                <w:sz w:val="20"/>
                <w:szCs w:val="20"/>
                <w:color w:val="auto"/>
              </w:rPr>
            </w:pPr>
            <w:r>
              <w:rPr>
                <w:rFonts w:ascii="Arial" w:cs="Arial" w:eastAsia="Arial" w:hAnsi="Arial"/>
                <w:sz w:val="18"/>
                <w:szCs w:val="18"/>
                <w:color w:val="auto"/>
                <w:w w:val="94"/>
              </w:rPr>
              <w:t>pursuant to Section 302 of the Sarbanes-Oxley Act of</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9"/>
              </w:rPr>
              <w:t>Certification of Kim D. Blickenstaff, Chief Executive</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32.1**</w:t>
            </w:r>
          </w:p>
        </w:tc>
        <w:tc>
          <w:tcPr>
            <w:tcW w:w="4200" w:type="dxa"/>
            <w:vAlign w:val="bottom"/>
          </w:tcPr>
          <w:p>
            <w:pPr>
              <w:ind w:left="140"/>
              <w:spacing w:after="0"/>
              <w:rPr>
                <w:sz w:val="20"/>
                <w:szCs w:val="20"/>
                <w:color w:val="auto"/>
              </w:rPr>
            </w:pPr>
            <w:r>
              <w:rPr>
                <w:rFonts w:ascii="Arial" w:cs="Arial" w:eastAsia="Arial" w:hAnsi="Arial"/>
                <w:sz w:val="18"/>
                <w:szCs w:val="18"/>
                <w:color w:val="auto"/>
                <w:w w:val="96"/>
              </w:rPr>
              <w:t>Officer, pursuant to U.S.C. Section 1350, as adopted</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w w:val="94"/>
              </w:rPr>
              <w:t>pursuant to Section 906 of the Sarbanes-Oxley Act of</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4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7"/>
              </w:rPr>
              <w:t>Certification of John Cajigas, Chief Financial Officer,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rPr>
              <w:t>32.2**</w:t>
            </w:r>
          </w:p>
        </w:tc>
        <w:tc>
          <w:tcPr>
            <w:tcW w:w="4200" w:type="dxa"/>
            <w:vAlign w:val="bottom"/>
          </w:tcPr>
          <w:p>
            <w:pPr>
              <w:ind w:left="140"/>
              <w:spacing w:after="0"/>
              <w:rPr>
                <w:sz w:val="20"/>
                <w:szCs w:val="20"/>
                <w:color w:val="auto"/>
              </w:rPr>
            </w:pPr>
            <w:r>
              <w:rPr>
                <w:rFonts w:ascii="Arial" w:cs="Arial" w:eastAsia="Arial" w:hAnsi="Arial"/>
                <w:sz w:val="18"/>
                <w:szCs w:val="18"/>
                <w:color w:val="auto"/>
                <w:w w:val="89"/>
              </w:rPr>
              <w:t>pursuant to U.S.C. Section 1350, as adopted pursuant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20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101.CAL</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101.DEF</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4200" w:type="dxa"/>
            <w:vAlign w:val="bottom"/>
          </w:tcPr>
          <w:p>
            <w:pPr>
              <w:ind w:left="140"/>
              <w:spacing w:after="0"/>
              <w:rPr>
                <w:sz w:val="20"/>
                <w:szCs w:val="20"/>
                <w:color w:val="auto"/>
              </w:rPr>
            </w:pPr>
            <w:r>
              <w:rPr>
                <w:rFonts w:ascii="Arial" w:cs="Arial" w:eastAsia="Arial" w:hAnsi="Arial"/>
                <w:sz w:val="18"/>
                <w:szCs w:val="18"/>
                <w:color w:val="auto"/>
                <w:w w:val="92"/>
              </w:rPr>
              <w:t>XBRL Taxonomy Extension Label Linkbase Document.</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8"/>
              </w:rPr>
              <w:t>101.PRE</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Incorporated by Reference</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Date of First</w:t>
            </w:r>
          </w:p>
        </w:tc>
        <w:tc>
          <w:tcPr>
            <w:tcW w:w="10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80" w:type="dxa"/>
            <w:vAlign w:val="bottom"/>
          </w:tcPr>
          <w:p>
            <w:pPr>
              <w:jc w:val="center"/>
              <w:ind w:left="190"/>
              <w:spacing w:after="0"/>
              <w:rPr>
                <w:sz w:val="20"/>
                <w:szCs w:val="20"/>
                <w:color w:val="auto"/>
              </w:rPr>
            </w:pPr>
            <w:r>
              <w:rPr>
                <w:rFonts w:ascii="Arial" w:cs="Arial" w:eastAsia="Arial" w:hAnsi="Arial"/>
                <w:sz w:val="18"/>
                <w:szCs w:val="18"/>
                <w:b w:val="1"/>
                <w:bCs w:val="1"/>
                <w:color w:val="auto"/>
                <w:w w:val="97"/>
              </w:rPr>
              <w:t>Form</w:t>
            </w:r>
          </w:p>
        </w:tc>
        <w:tc>
          <w:tcPr>
            <w:tcW w:w="1720" w:type="dxa"/>
            <w:vAlign w:val="bottom"/>
          </w:tcPr>
          <w:p>
            <w:pPr>
              <w:ind w:left="740"/>
              <w:spacing w:after="0"/>
              <w:rPr>
                <w:sz w:val="20"/>
                <w:szCs w:val="20"/>
                <w:color w:val="auto"/>
              </w:rPr>
            </w:pPr>
            <w:r>
              <w:rPr>
                <w:rFonts w:ascii="Arial" w:cs="Arial" w:eastAsia="Arial" w:hAnsi="Arial"/>
                <w:sz w:val="18"/>
                <w:szCs w:val="18"/>
                <w:b w:val="1"/>
                <w:bCs w:val="1"/>
                <w:color w:val="auto"/>
              </w:rPr>
              <w:t>File No.</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338"/>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97"/>
              </w:rPr>
              <w:t>S-1/A</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97"/>
              </w:rPr>
              <w:t>S-1/A</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ind w:left="290"/>
              <w:spacing w:after="0"/>
              <w:rPr>
                <w:sz w:val="20"/>
                <w:szCs w:val="20"/>
                <w:color w:val="auto"/>
              </w:rPr>
            </w:pPr>
            <w:r>
              <w:rPr>
                <w:rFonts w:ascii="Arial" w:cs="Arial" w:eastAsia="Arial" w:hAnsi="Arial"/>
                <w:sz w:val="18"/>
                <w:szCs w:val="18"/>
                <w:color w:val="auto"/>
                <w:w w:val="90"/>
              </w:rPr>
              <w:t>001-36189</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ind w:left="290"/>
              <w:spacing w:after="0"/>
              <w:rPr>
                <w:sz w:val="20"/>
                <w:szCs w:val="20"/>
                <w:color w:val="auto"/>
              </w:rPr>
            </w:pPr>
            <w:r>
              <w:rPr>
                <w:rFonts w:ascii="Arial" w:cs="Arial" w:eastAsia="Arial" w:hAnsi="Arial"/>
                <w:sz w:val="18"/>
                <w:szCs w:val="18"/>
                <w:color w:val="auto"/>
                <w:w w:val="90"/>
              </w:rPr>
              <w:t>001-36189</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740" w:lineRule="exact"/>
        <w:rPr>
          <w:sz w:val="20"/>
          <w:szCs w:val="20"/>
          <w:color w:val="auto"/>
        </w:rPr>
      </w:pPr>
    </w:p>
    <w:p>
      <w:pPr>
        <w:sectPr>
          <w:pgSz w:w="11900" w:h="16838" w:orient="portrait"/>
          <w:cols w:equalWidth="0" w:num="2">
            <w:col w:w="5160" w:space="260"/>
            <w:col w:w="5920"/>
          </w:cols>
          <w:pgMar w:left="240" w:top="364" w:right="319" w:bottom="1440" w:gutter="0" w:footer="0" w:header="0"/>
        </w:sectPr>
      </w:pPr>
    </w:p>
    <w:p>
      <w:pPr>
        <w:spacing w:after="0" w:line="25" w:lineRule="exact"/>
        <w:rPr>
          <w:sz w:val="20"/>
          <w:szCs w:val="20"/>
          <w:color w:val="auto"/>
        </w:rPr>
      </w:pPr>
    </w:p>
    <w:p>
      <w:pPr>
        <w:ind w:left="520" w:right="100" w:hanging="512"/>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540" w:type="dxa"/>
            <w:vAlign w:val="bottom"/>
            <w:gridSpan w:val="2"/>
          </w:tcPr>
          <w:p>
            <w:pPr>
              <w:ind w:left="2280"/>
              <w:spacing w:after="0"/>
              <w:rPr>
                <w:sz w:val="20"/>
                <w:szCs w:val="20"/>
                <w:color w:val="auto"/>
              </w:rPr>
            </w:pPr>
            <w:r>
              <w:rPr>
                <w:rFonts w:ascii="Arial" w:cs="Arial" w:eastAsia="Arial" w:hAnsi="Arial"/>
                <w:sz w:val="18"/>
                <w:szCs w:val="18"/>
                <w:color w:val="auto"/>
              </w:rPr>
              <w:t>Tandem Diabetes Care, Inc.</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Dated: April 28, 2016</w:t>
            </w: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880" w:type="dxa"/>
            <w:vAlign w:val="bottom"/>
          </w:tcPr>
          <w:p>
            <w:pPr>
              <w:spacing w:after="0"/>
              <w:rPr>
                <w:sz w:val="24"/>
                <w:szCs w:val="24"/>
                <w:color w:val="auto"/>
              </w:rPr>
            </w:pP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Cajigas</w:t>
            </w:r>
          </w:p>
        </w:tc>
      </w:tr>
      <w:tr>
        <w:trPr>
          <w:trHeight w:val="211"/>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John Cajigas</w:t>
            </w:r>
          </w:p>
        </w:tc>
      </w:tr>
    </w:tbl>
    <w:p>
      <w:pPr>
        <w:ind w:left="6620"/>
        <w:spacing w:after="0"/>
        <w:rPr>
          <w:sz w:val="20"/>
          <w:szCs w:val="20"/>
          <w:color w:val="auto"/>
        </w:rPr>
      </w:pPr>
      <w:r>
        <w:rPr>
          <w:rFonts w:ascii="Arial" w:cs="Arial" w:eastAsia="Arial" w:hAnsi="Arial"/>
          <w:sz w:val="17"/>
          <w:szCs w:val="17"/>
          <w:color w:val="auto"/>
        </w:rPr>
        <w:t>Executive Vice President, Chief Financial Officer and Treasurer</w:t>
      </w:r>
    </w:p>
    <w:p>
      <w:pPr>
        <w:spacing w:after="0" w:line="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2"/>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2"/>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2"/>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526"/>
        <w:spacing w:after="0" w:line="277" w:lineRule="auto"/>
        <w:tabs>
          <w:tab w:leader="none" w:pos="7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7" w:lineRule="auto"/>
        <w:tabs>
          <w:tab w:leader="none" w:pos="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D. Blickenstaff</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-130175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Cajigas,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2"/>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2"/>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526"/>
        <w:spacing w:after="0" w:line="277" w:lineRule="auto"/>
        <w:tabs>
          <w:tab w:leader="none" w:pos="7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7" w:lineRule="auto"/>
        <w:tabs>
          <w:tab w:leader="none" w:pos="7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Cajigas</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-130175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March 31, 2016,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March 31, 2016, as filed with the Securities and Exchange Commission on the date hereof (the “Report”), I, John Cajigas,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6"/>
          <w:szCs w:val="16"/>
          <w:color w:val="auto"/>
        </w:rPr>
        <w:t>/s/ John Cajigas</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2019-12-29T12:18:37Z</dcterms:created>
  <dcterms:modified xsi:type="dcterms:W3CDTF">2019-12-29T12:18:37Z</dcterms:modified>
</cp:coreProperties>
</file>