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26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1180" w:type="dxa"/>
            <w:vAlign w:val="bottom"/>
            <w:gridSpan w:val="2"/>
            <w:vMerge w:val="restart"/>
          </w:tcPr>
          <w:p>
            <w:pPr>
              <w:spacing w:after="0"/>
              <w:rPr>
                <w:rFonts w:ascii="Times New Roman" w:cs="Times New Roman" w:eastAsia="Times New Roman" w:hAnsi="Times New Roman"/>
                <w:sz w:val="17"/>
                <w:szCs w:val="17"/>
                <w:color w:val="0000EE"/>
                <w:w w:val="99"/>
              </w:rPr>
            </w:pPr>
            <w:hyperlink r:id="rId13">
              <w:r>
                <w:rPr>
                  <w:rFonts w:ascii="Times New Roman" w:cs="Times New Roman" w:eastAsia="Times New Roman" w:hAnsi="Times New Roman"/>
                  <w:sz w:val="17"/>
                  <w:szCs w:val="17"/>
                  <w:color w:val="0000EE"/>
                  <w:w w:val="99"/>
                </w:rPr>
                <w:t>Howell Peyton R</w:t>
              </w:r>
            </w:hyperlink>
          </w:p>
        </w:tc>
        <w:tc>
          <w:tcPr>
            <w:tcW w:w="10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5"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TANDEM DIABETES CARE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TNDM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0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360" w:type="dxa"/>
            <w:vAlign w:val="bottom"/>
            <w:tcBorders>
              <w:top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2"/>
                <w:szCs w:val="12"/>
                <w:color w:val="auto"/>
              </w:rPr>
            </w:pPr>
          </w:p>
        </w:tc>
        <w:tc>
          <w:tcPr>
            <w:tcW w:w="1140" w:type="dxa"/>
            <w:vAlign w:val="bottom"/>
            <w:tcBorders>
              <w:top w:val="single" w:sz="8" w:color="0000EE"/>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4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6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40"/>
              <w:spacing w:after="0"/>
              <w:rPr>
                <w:sz w:val="20"/>
                <w:szCs w:val="20"/>
                <w:color w:val="auto"/>
              </w:rPr>
            </w:pPr>
            <w:r>
              <w:rPr>
                <w:rFonts w:ascii="Arial" w:cs="Arial" w:eastAsia="Arial" w:hAnsi="Arial"/>
                <w:sz w:val="10"/>
                <w:szCs w:val="10"/>
                <w:color w:val="auto"/>
              </w:rPr>
              <w:t>(First)</w:t>
            </w:r>
          </w:p>
        </w:tc>
        <w:tc>
          <w:tcPr>
            <w:tcW w:w="1460" w:type="dxa"/>
            <w:vAlign w:val="bottom"/>
          </w:tcPr>
          <w:p>
            <w:pPr>
              <w:ind w:left="26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12400 HIGH BLUFF DRIVE</w:t>
            </w:r>
          </w:p>
        </w:tc>
        <w:tc>
          <w:tcPr>
            <w:tcW w:w="1460" w:type="dxa"/>
            <w:vAlign w:val="bottom"/>
          </w:tcPr>
          <w:p>
            <w:pPr>
              <w:spacing w:after="0"/>
              <w:rPr>
                <w:sz w:val="15"/>
                <w:szCs w:val="15"/>
                <w:color w:val="auto"/>
              </w:rPr>
            </w:pPr>
          </w:p>
        </w:tc>
        <w:tc>
          <w:tcPr>
            <w:tcW w:w="248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0000FF"/>
              </w:rPr>
              <w:t>05/20/2026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0"/>
          <w:szCs w:val="20"/>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6" w:lineRule="exact"/>
        <w:rPr>
          <w:sz w:val="20"/>
          <w:szCs w:val="20"/>
          <w:color w:val="auto"/>
        </w:rPr>
      </w:pPr>
    </w:p>
    <w:p>
      <w:pPr>
        <w:sectPr>
          <w:pgSz w:w="11900" w:h="16838" w:orient="portrait"/>
          <w:cols w:equalWidth="0" w:num="2">
            <w:col w:w="7700" w:space="53"/>
            <w:col w:w="3267"/>
          </w:cols>
          <w:pgMar w:left="440" w:top="202" w:right="4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6"/>
          </w:tcPr>
          <w:p>
            <w:pPr>
              <w:jc w:val="right"/>
              <w:ind w:right="11"/>
              <w:spacing w:after="0"/>
              <w:rPr>
                <w:sz w:val="20"/>
                <w:szCs w:val="20"/>
                <w:color w:val="auto"/>
              </w:rPr>
            </w:pPr>
            <w:r>
              <w:rPr>
                <w:rFonts w:ascii="Arial" w:cs="Arial" w:eastAsia="Arial" w:hAnsi="Arial"/>
                <w:sz w:val="10"/>
                <w:szCs w:val="10"/>
                <w:color w:val="auto"/>
              </w:rPr>
              <w:t>4. If Amendment, Date of Original Filed (Month/Day/Year)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color w:val="0000FF"/>
              </w:rPr>
              <w:t>SAN DIEGO</w:t>
            </w:r>
          </w:p>
        </w:tc>
        <w:tc>
          <w:tcPr>
            <w:tcW w:w="72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1740" w:type="dxa"/>
            <w:vAlign w:val="bottom"/>
            <w:gridSpan w:val="2"/>
          </w:tcPr>
          <w:p>
            <w:pPr>
              <w:ind w:left="760"/>
              <w:spacing w:after="0"/>
              <w:rPr>
                <w:sz w:val="20"/>
                <w:szCs w:val="20"/>
                <w:color w:val="auto"/>
              </w:rPr>
            </w:pPr>
            <w:r>
              <w:rPr>
                <w:rFonts w:ascii="Times New Roman" w:cs="Times New Roman" w:eastAsia="Times New Roman" w:hAnsi="Times New Roman"/>
                <w:sz w:val="13"/>
                <w:szCs w:val="13"/>
                <w:color w:val="0000FF"/>
              </w:rPr>
              <w:t>92130</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gridSpan w:val="4"/>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gridSpan w:val="6"/>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6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4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2. Transaction</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jc w:val="center"/>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40" w:type="dxa"/>
            <w:vAlign w:val="bottom"/>
            <w:gridSpan w:val="2"/>
          </w:tcPr>
          <w:p>
            <w:pPr>
              <w:ind w:left="120"/>
              <w:spacing w:after="0"/>
              <w:rPr>
                <w:sz w:val="20"/>
                <w:szCs w:val="20"/>
                <w:color w:val="auto"/>
              </w:rPr>
            </w:pPr>
            <w:r>
              <w:rPr>
                <w:rFonts w:ascii="Arial" w:cs="Arial" w:eastAsia="Arial" w:hAnsi="Arial"/>
                <w:sz w:val="9"/>
                <w:szCs w:val="9"/>
                <w:b w:val="1"/>
                <w:bCs w:val="1"/>
                <w:color w:val="auto"/>
              </w:rPr>
              <w:t>Date</w:t>
            </w:r>
          </w:p>
        </w:tc>
        <w:tc>
          <w:tcPr>
            <w:tcW w:w="980" w:type="dxa"/>
            <w:vAlign w:val="bottom"/>
            <w:gridSpan w:val="2"/>
          </w:tcPr>
          <w:p>
            <w:pPr>
              <w:ind w:left="16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  if any</w:t>
            </w:r>
          </w:p>
        </w:tc>
        <w:tc>
          <w:tcPr>
            <w:tcW w:w="460" w:type="dxa"/>
            <w:vAlign w:val="bottom"/>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80" w:type="dxa"/>
            <w:vAlign w:val="bottom"/>
            <w:gridSpan w:val="2"/>
          </w:tcPr>
          <w:p>
            <w:pPr>
              <w:ind w:left="160"/>
              <w:spacing w:after="0" w:line="74" w:lineRule="exact"/>
              <w:rPr>
                <w:sz w:val="20"/>
                <w:szCs w:val="20"/>
                <w:color w:val="auto"/>
              </w:rPr>
            </w:pPr>
            <w:r>
              <w:rPr>
                <w:rFonts w:ascii="Arial" w:cs="Arial" w:eastAsia="Arial" w:hAnsi="Arial"/>
                <w:sz w:val="8"/>
                <w:szCs w:val="8"/>
                <w:b w:val="1"/>
                <w:bCs w:val="1"/>
                <w:color w:val="auto"/>
              </w:rPr>
              <w:t>(Month/Day/Year)</w:t>
            </w:r>
          </w:p>
        </w:tc>
        <w:tc>
          <w:tcPr>
            <w:tcW w:w="280" w:type="dxa"/>
            <w:vAlign w:val="bottom"/>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4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6"/>
                <w:szCs w:val="6"/>
                <w:color w:val="auto"/>
              </w:rPr>
            </w:pPr>
          </w:p>
        </w:tc>
        <w:tc>
          <w:tcPr>
            <w:tcW w:w="760" w:type="dxa"/>
            <w:vAlign w:val="bottom"/>
            <w:vMerge w:val="restart"/>
          </w:tcPr>
          <w:p>
            <w:pPr>
              <w:jc w:val="center"/>
              <w:ind w:left="186"/>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05/21/2026</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8,759</w:t>
            </w:r>
          </w:p>
        </w:tc>
        <w:tc>
          <w:tcPr>
            <w:tcW w:w="760" w:type="dxa"/>
            <w:vAlign w:val="bottom"/>
          </w:tcPr>
          <w:p>
            <w:pPr>
              <w:jc w:val="center"/>
              <w:ind w:left="206"/>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0000FF"/>
              </w:rPr>
              <w:t>29,836</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5420" w:type="dxa"/>
            <w:vAlign w:val="bottom"/>
            <w:tcBorders>
              <w:bottom w:val="single" w:sz="8" w:color="2C2C2C"/>
            </w:tcBorders>
            <w:gridSpan w:val="11"/>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1"/>
          </w:tcPr>
          <w:p>
            <w:pPr>
              <w:jc w:val="center"/>
              <w:ind w:left="14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20" w:type="dxa"/>
            <w:vAlign w:val="bottom"/>
            <w:gridSpan w:val="9"/>
          </w:tcPr>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46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(A) or Disposed of</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20" w:type="dxa"/>
            <w:vAlign w:val="bottom"/>
            <w:vMerge w:val="restart"/>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ind w:left="80"/>
              <w:spacing w:after="0"/>
              <w:rPr>
                <w:sz w:val="20"/>
                <w:szCs w:val="20"/>
                <w:color w:val="auto"/>
              </w:rPr>
            </w:pPr>
            <w:r>
              <w:rPr>
                <w:rFonts w:ascii="Arial" w:cs="Arial" w:eastAsia="Arial" w:hAnsi="Arial"/>
                <w:sz w:val="9"/>
                <w:szCs w:val="9"/>
                <w:b w:val="1"/>
                <w:bCs w:val="1"/>
                <w:color w:val="auto"/>
                <w:w w:val="92"/>
              </w:rPr>
              <w:t>Date</w:t>
            </w:r>
          </w:p>
        </w:tc>
        <w:tc>
          <w:tcPr>
            <w:tcW w:w="400" w:type="dxa"/>
            <w:vAlign w:val="bottom"/>
          </w:tcPr>
          <w:p>
            <w:pPr>
              <w:spacing w:after="0"/>
              <w:rPr>
                <w:sz w:val="9"/>
                <w:szCs w:val="9"/>
                <w:color w:val="auto"/>
              </w:rPr>
            </w:pPr>
          </w:p>
        </w:tc>
        <w:tc>
          <w:tcPr>
            <w:tcW w:w="540" w:type="dxa"/>
            <w:vAlign w:val="bottom"/>
          </w:tcPr>
          <w:p>
            <w:pPr>
              <w:jc w:val="right"/>
              <w:ind w:right="11"/>
              <w:spacing w:after="0"/>
              <w:rPr>
                <w:sz w:val="20"/>
                <w:szCs w:val="20"/>
                <w:color w:val="auto"/>
              </w:rPr>
            </w:pPr>
            <w:r>
              <w:rPr>
                <w:rFonts w:ascii="Arial" w:cs="Arial" w:eastAsia="Arial" w:hAnsi="Arial"/>
                <w:sz w:val="9"/>
                <w:szCs w:val="9"/>
                <w:b w:val="1"/>
                <w:bCs w:val="1"/>
                <w:color w:val="auto"/>
              </w:rPr>
              <w:t>Expiration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60" w:type="dxa"/>
            <w:vAlign w:val="bottom"/>
          </w:tcPr>
          <w:p>
            <w:pPr>
              <w:jc w:val="right"/>
              <w:ind w:right="251"/>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jc w:val="right"/>
              <w:ind w:right="271"/>
              <w:spacing w:after="0"/>
              <w:rPr>
                <w:sz w:val="20"/>
                <w:szCs w:val="20"/>
                <w:color w:val="auto"/>
              </w:rPr>
            </w:pPr>
            <w:r>
              <w:rPr>
                <w:rFonts w:ascii="Arial" w:cs="Arial" w:eastAsia="Arial" w:hAnsi="Arial"/>
                <w:sz w:val="9"/>
                <w:szCs w:val="9"/>
                <w:b w:val="1"/>
                <w:bCs w:val="1"/>
                <w:color w:val="auto"/>
              </w:rPr>
              <w:t>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05/20/2026</w:t>
            </w:r>
          </w:p>
        </w:tc>
        <w:tc>
          <w:tcPr>
            <w:tcW w:w="86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0"/>
                <w:szCs w:val="10"/>
                <w:color w:val="0000FF"/>
              </w:rPr>
              <w:t>10,220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(2)</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(2)</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10,220</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720" w:type="dxa"/>
            <w:vAlign w:val="bottom"/>
            <w:gridSpan w:val="2"/>
          </w:tcPr>
          <w:p>
            <w:pPr>
              <w:jc w:val="right"/>
              <w:ind w:right="193"/>
              <w:spacing w:after="0"/>
              <w:rPr>
                <w:sz w:val="20"/>
                <w:szCs w:val="20"/>
                <w:color w:val="auto"/>
              </w:rPr>
            </w:pPr>
            <w:r>
              <w:rPr>
                <w:rFonts w:ascii="Times New Roman" w:cs="Times New Roman" w:eastAsia="Times New Roman" w:hAnsi="Times New Roman"/>
                <w:sz w:val="10"/>
                <w:szCs w:val="10"/>
                <w:color w:val="0000FF"/>
              </w:rPr>
              <w:t>10,220</w:t>
            </w: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0000FF"/>
              </w:rPr>
              <w:t>Restricted Stock Unit</w:t>
            </w:r>
          </w:p>
        </w:tc>
        <w:tc>
          <w:tcPr>
            <w:tcW w:w="720" w:type="dxa"/>
            <w:vAlign w:val="bottom"/>
          </w:tcPr>
          <w:p>
            <w:pPr>
              <w:ind w:left="360"/>
              <w:spacing w:after="0"/>
              <w:rPr>
                <w:sz w:val="20"/>
                <w:szCs w:val="20"/>
                <w:color w:val="auto"/>
              </w:rPr>
            </w:pPr>
            <w:r>
              <w:rPr>
                <w:rFonts w:ascii="Times New Roman" w:cs="Times New Roman" w:eastAsia="Times New Roman" w:hAnsi="Times New Roman"/>
                <w:sz w:val="9"/>
                <w:szCs w:val="9"/>
                <w:color w:val="008000"/>
              </w:rPr>
              <w:t>(1)</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0"/>
                <w:szCs w:val="10"/>
                <w:color w:val="0000FF"/>
              </w:rPr>
              <w:t>05/21/2026</w:t>
            </w:r>
          </w:p>
        </w:tc>
        <w:tc>
          <w:tcPr>
            <w:tcW w:w="860" w:type="dxa"/>
            <w:vAlign w:val="bottom"/>
          </w:tcPr>
          <w:p>
            <w:pPr>
              <w:spacing w:after="0"/>
              <w:rPr>
                <w:sz w:val="17"/>
                <w:szCs w:val="17"/>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520" w:type="dxa"/>
            <w:vAlign w:val="bottom"/>
          </w:tcPr>
          <w:p>
            <w:pPr>
              <w:spacing w:after="0"/>
              <w:rPr>
                <w:sz w:val="17"/>
                <w:szCs w:val="17"/>
                <w:color w:val="auto"/>
              </w:rPr>
            </w:pPr>
          </w:p>
        </w:tc>
        <w:tc>
          <w:tcPr>
            <w:tcW w:w="4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0000FF"/>
              </w:rPr>
              <w:t>8,759</w:t>
            </w:r>
          </w:p>
        </w:tc>
        <w:tc>
          <w:tcPr>
            <w:tcW w:w="280" w:type="dxa"/>
            <w:vAlign w:val="bottom"/>
          </w:tcPr>
          <w:p>
            <w:pPr>
              <w:spacing w:after="0"/>
              <w:rPr>
                <w:sz w:val="17"/>
                <w:szCs w:val="17"/>
                <w:color w:val="auto"/>
              </w:rPr>
            </w:pPr>
          </w:p>
        </w:tc>
        <w:tc>
          <w:tcPr>
            <w:tcW w:w="400" w:type="dxa"/>
            <w:vAlign w:val="bottom"/>
          </w:tcPr>
          <w:p>
            <w:pPr>
              <w:jc w:val="right"/>
              <w:ind w:right="256"/>
              <w:spacing w:after="0"/>
              <w:rPr>
                <w:sz w:val="20"/>
                <w:szCs w:val="20"/>
                <w:color w:val="auto"/>
              </w:rPr>
            </w:pPr>
            <w:r>
              <w:rPr>
                <w:rFonts w:ascii="Times New Roman" w:cs="Times New Roman" w:eastAsia="Times New Roman" w:hAnsi="Times New Roman"/>
                <w:sz w:val="9"/>
                <w:szCs w:val="9"/>
                <w:color w:val="008000"/>
                <w:w w:val="75"/>
              </w:rPr>
              <w:t>(3)</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9"/>
                <w:szCs w:val="9"/>
                <w:color w:val="008000"/>
              </w:rPr>
              <w:t>(3)</w:t>
            </w:r>
          </w:p>
        </w:tc>
        <w:tc>
          <w:tcPr>
            <w:tcW w:w="1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color w:val="0000FF"/>
              </w:rPr>
              <w:t>Common Stock</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3"/>
                <w:szCs w:val="13"/>
                <w:color w:val="0000FF"/>
              </w:rPr>
              <w:t>8,759</w:t>
            </w:r>
          </w:p>
        </w:tc>
        <w:tc>
          <w:tcPr>
            <w:tcW w:w="800" w:type="dxa"/>
            <w:vAlign w:val="bottom"/>
            <w:gridSpan w:val="2"/>
          </w:tcPr>
          <w:p>
            <w:pPr>
              <w:ind w:left="40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0000FF"/>
              </w:rPr>
              <w:t>0</w:t>
            </w:r>
          </w:p>
        </w:tc>
        <w:tc>
          <w:tcPr>
            <w:tcW w:w="320" w:type="dxa"/>
            <w:vAlign w:val="bottom"/>
          </w:tcPr>
          <w:p>
            <w:pPr>
              <w:spacing w:after="0"/>
              <w:rPr>
                <w:sz w:val="17"/>
                <w:szCs w:val="17"/>
                <w:color w:val="auto"/>
              </w:rPr>
            </w:pPr>
          </w:p>
        </w:tc>
        <w:tc>
          <w:tcPr>
            <w:tcW w:w="620" w:type="dxa"/>
            <w:vAlign w:val="bottom"/>
          </w:tcPr>
          <w:p>
            <w:pPr>
              <w:ind w:left="28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units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Such RSUs were granted to the Reporting Person on May 20, 2026, and will vest on the one-year anniversary thereof, subject to the terms of the 2023 Plan.</w:t>
      </w:r>
    </w:p>
    <w:p>
      <w:pPr>
        <w:spacing w:after="0" w:line="40"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On May 21, 2025, the Reporting Person was granted 8,759 RSUs, all of which vested and converted into shares of the Issuers common stock on the one-year anniversary thereof in accordance with the 2023 Plan.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 24: Power of Attorney</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580" w:type="dxa"/>
            <w:vAlign w:val="bottom"/>
          </w:tcPr>
          <w:p>
            <w:pPr>
              <w:spacing w:after="0"/>
              <w:rPr>
                <w:sz w:val="14"/>
                <w:szCs w:val="14"/>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0000FF"/>
              </w:rPr>
              <w:t>/s/ Jerilyn Laskie, Attorney-in-Fact for</w:t>
            </w:r>
          </w:p>
        </w:tc>
        <w:tc>
          <w:tcPr>
            <w:tcW w:w="6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60" w:type="dxa"/>
            <w:vAlign w:val="bottom"/>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Peyton R. Howell</w:t>
            </w:r>
          </w:p>
        </w:tc>
        <w:tc>
          <w:tcPr>
            <w:tcW w:w="1180" w:type="dxa"/>
            <w:vAlign w:val="bottom"/>
            <w:gridSpan w:val="2"/>
            <w:vMerge w:val="restart"/>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80" w:type="dxa"/>
            <w:vAlign w:val="bottom"/>
            <w:gridSpan w:val="2"/>
          </w:tcPr>
          <w:p>
            <w:pPr>
              <w:ind w:left="6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72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72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28056" TargetMode="External"/><Relationship Id="rId14" Type="http://schemas.openxmlformats.org/officeDocument/2006/relationships/hyperlink" Target="http://www.sec.gov/cgi-bin/browse-edgar?action=getcompany&amp;CIK=0001438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2026-05-22T15:20:07Z</dcterms:created>
  <dcterms:modified xsi:type="dcterms:W3CDTF">2026-05-22T15:20:07Z</dcterms:modified>
</cp:coreProperties>
</file>