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 </w:t>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001-36189 </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p>
      <w:pPr>
        <w:pStyle w:val="TextBody"/>
        <w:bidi w:val="0"/>
        <w:spacing w:lineRule="auto" w:line="288" w:before="80" w:after="283"/>
        <w:jc w:val="center"/>
        <w:rPr>
          <w:rFonts w:ascii="Times New Roman;sans-serif" w:hAnsi="Times New Roman;sans-serif"/>
          <w:b/>
          <w:color w:val="000000"/>
          <w:sz w:val="40"/>
        </w:rPr>
      </w:pPr>
      <w:r>
        <w:rPr>
          <w:rFonts w:ascii="Times New Roman;sans-serif" w:hAnsi="Times New Roman;sans-serif"/>
          <w:b/>
          <w:color w:val="000000"/>
          <w:sz w:val="40"/>
        </w:rPr>
        <w:t xml:space="preserve">Tandem Diabetes Care,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tbl>
      <w:tblPr>
        <w:tblW w:w="4736" w:type="dxa"/>
        <w:jc w:val="left"/>
        <w:tblInd w:w="0" w:type="dxa"/>
        <w:tblLayout w:type="fixed"/>
        <w:tblCellMar>
          <w:top w:w="28" w:type="dxa"/>
          <w:left w:w="28" w:type="dxa"/>
          <w:bottom w:w="28" w:type="dxa"/>
          <w:right w:w="28" w:type="dxa"/>
        </w:tblCellMar>
      </w:tblPr>
      <w:tblGrid>
        <w:gridCol w:w="539"/>
        <w:gridCol w:w="473"/>
        <w:gridCol w:w="473"/>
        <w:gridCol w:w="473"/>
        <w:gridCol w:w="473"/>
        <w:gridCol w:w="494"/>
        <w:gridCol w:w="109"/>
        <w:gridCol w:w="109"/>
        <w:gridCol w:w="109"/>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20-4327508</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12400 High Bluff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92130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San Diego,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(858) 366-6900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277" w:type="dxa"/>
        <w:jc w:val="left"/>
        <w:tblInd w:w="0" w:type="dxa"/>
        <w:tblLayout w:type="fixed"/>
        <w:tblCellMar>
          <w:top w:w="28" w:type="dxa"/>
          <w:left w:w="28" w:type="dxa"/>
          <w:bottom w:w="28" w:type="dxa"/>
          <w:right w:w="28" w:type="dxa"/>
        </w:tblCellMar>
      </w:tblPr>
      <w:tblGrid>
        <w:gridCol w:w="1358"/>
        <w:gridCol w:w="1199"/>
        <w:gridCol w:w="1207"/>
        <w:gridCol w:w="484"/>
        <w:gridCol w:w="484"/>
        <w:gridCol w:w="486"/>
        <w:gridCol w:w="895"/>
        <w:gridCol w:w="895"/>
        <w:gridCol w:w="1269"/>
      </w:tblGrid>
      <w:tr>
        <w:trPr/>
        <w:tc>
          <w:tcPr>
            <w:tcW w:w="135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TNDM</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Market</w:t>
            </w:r>
          </w:p>
        </w:tc>
      </w:tr>
    </w:tbl>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    No   </w:t>
      </w:r>
      <w:r>
        <w:rPr>
          <w:color w:val="000000"/>
        </w:rPr>
        <w:t>☒</w:t>
      </w:r>
    </w:p>
    <w:p>
      <w:pPr>
        <w:pStyle w:val="TextBody"/>
        <w:bidi w:val="0"/>
        <w:spacing w:lineRule="auto" w:line="240" w:before="80" w:after="283"/>
        <w:ind w:left="0" w:right="0" w:firstLine="900"/>
        <w:jc w:val="left"/>
        <w:rPr>
          <w:rFonts w:ascii="Times New Roman;sans-serif" w:hAnsi="Times New Roman;sans-serif"/>
          <w:b w:val="false"/>
          <w:color w:val="000000"/>
          <w:sz w:val="16"/>
        </w:rPr>
      </w:pPr>
      <w:r>
        <w:rPr>
          <w:rFonts w:ascii="Times New Roman;sans-serif" w:hAnsi="Times New Roman;sans-serif"/>
          <w:b w:val="false"/>
          <w:color w:val="000000"/>
          <w:sz w:val="16"/>
        </w:rPr>
        <w:t>As of April 25, 2025, there were 66,607,206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50"/>
        <w:gridCol w:w="221"/>
        <w:gridCol w:w="222"/>
        <w:gridCol w:w="3096"/>
        <w:gridCol w:w="3015"/>
        <w:gridCol w:w="3025"/>
        <w:gridCol w:w="109"/>
        <w:gridCol w:w="109"/>
        <w:gridCol w:w="158"/>
      </w:tblGrid>
      <w:tr>
        <w:trPr/>
        <w:tc>
          <w:tcPr>
            <w:tcW w:w="2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25">
              <w:r>
                <w:rPr>
                  <w:rStyle w:val="InternetLink"/>
                  <w:rFonts w:ascii="Times New Roman;sans-serif" w:hAnsi="Times New Roman;sans-serif"/>
                  <w:b w:val="false"/>
                  <w:color w:val="0000FF"/>
                  <w:sz w:val="20"/>
                  <w:u w:val="single"/>
                </w:rPr>
                <w:t>1</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94">
              <w:r>
                <w:rPr>
                  <w:rStyle w:val="InternetLink"/>
                  <w:rFonts w:ascii="Times New Roman;sans-serif" w:hAnsi="Times New Roman;sans-serif"/>
                  <w:b w:val="false"/>
                  <w:color w:val="0000FF"/>
                  <w:sz w:val="20"/>
                  <w:u w:val="single"/>
                </w:rPr>
                <w:t>1</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at March 31, 2025 (Unaudited) and December 31, 2024</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190">
              <w:r>
                <w:rPr>
                  <w:rStyle w:val="InternetLink"/>
                  <w:rFonts w:ascii="Times New Roman;sans-serif" w:hAnsi="Times New Roman;sans-serif"/>
                  <w:b w:val="false"/>
                  <w:color w:val="0000FF"/>
                  <w:sz w:val="20"/>
                  <w:u w:val="single"/>
                </w:rPr>
                <w:t>1</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Loss for the Three Months Ended March 31, 2025 and 2024 (Unaudited)</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193">
              <w:r>
                <w:rPr>
                  <w:rStyle w:val="InternetLink"/>
                  <w:rFonts w:ascii="Times New Roman;sans-serif" w:hAnsi="Times New Roman;sans-serif"/>
                  <w:b w:val="false"/>
                  <w:color w:val="0000FF"/>
                  <w:sz w:val="20"/>
                  <w:u w:val="single"/>
                </w:rPr>
                <w:t>2</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Stockholders’ Equity for the Three Months Ended March 31, 2025 and 2024 (Unaudited)</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199">
              <w:r>
                <w:rPr>
                  <w:rStyle w:val="InternetLink"/>
                  <w:rFonts w:ascii="Times New Roman;sans-serif" w:hAnsi="Times New Roman;sans-serif"/>
                  <w:b w:val="false"/>
                  <w:color w:val="0000FF"/>
                  <w:sz w:val="20"/>
                  <w:u w:val="single"/>
                </w:rPr>
                <w:t>3</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for the Three Months Ended March 31, 2025 and 2024 (Unaudited)</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211">
              <w:r>
                <w:rPr>
                  <w:rStyle w:val="InternetLink"/>
                  <w:rFonts w:ascii="Times New Roman;sans-serif" w:hAnsi="Times New Roman;sans-serif"/>
                  <w:b w:val="false"/>
                  <w:color w:val="0000FF"/>
                  <w:sz w:val="20"/>
                  <w:u w:val="single"/>
                </w:rPr>
                <w:t>4</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Unaudited Condensed Consolidated Financial Statements</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214">
              <w:r>
                <w:rPr>
                  <w:rStyle w:val="InternetLink"/>
                  <w:rFonts w:ascii="Times New Roman;sans-serif" w:hAnsi="Times New Roman;sans-serif"/>
                  <w:b w:val="false"/>
                  <w:color w:val="0000FF"/>
                  <w:sz w:val="20"/>
                  <w:u w:val="single"/>
                </w:rPr>
                <w:t>5</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109">
              <w:r>
                <w:rPr>
                  <w:rStyle w:val="InternetLink"/>
                  <w:rFonts w:ascii="Times New Roman;sans-serif" w:hAnsi="Times New Roman;sans-serif"/>
                  <w:b w:val="false"/>
                  <w:color w:val="0000FF"/>
                  <w:sz w:val="20"/>
                  <w:u w:val="single"/>
                </w:rPr>
                <w:t>23</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466">
              <w:r>
                <w:rPr>
                  <w:rStyle w:val="InternetLink"/>
                  <w:rFonts w:ascii="Times New Roman;sans-serif" w:hAnsi="Times New Roman;sans-serif"/>
                  <w:b w:val="false"/>
                  <w:color w:val="0000FF"/>
                  <w:sz w:val="20"/>
                  <w:u w:val="single"/>
                </w:rPr>
                <w:t>32</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472">
              <w:r>
                <w:rPr>
                  <w:rStyle w:val="InternetLink"/>
                  <w:rFonts w:ascii="Times New Roman;sans-serif" w:hAnsi="Times New Roman;sans-serif"/>
                  <w:b w:val="false"/>
                  <w:color w:val="0000FF"/>
                  <w:sz w:val="20"/>
                  <w:u w:val="single"/>
                </w:rPr>
                <w:t>32</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493">
              <w:r>
                <w:rPr>
                  <w:rStyle w:val="InternetLink"/>
                  <w:rFonts w:ascii="Times New Roman;sans-serif" w:hAnsi="Times New Roman;sans-serif"/>
                  <w:b w:val="false"/>
                  <w:color w:val="0000FF"/>
                  <w:sz w:val="20"/>
                  <w:u w:val="single"/>
                </w:rPr>
                <w:t>33</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496">
              <w:r>
                <w:rPr>
                  <w:rStyle w:val="InternetLink"/>
                  <w:rFonts w:ascii="Times New Roman;sans-serif" w:hAnsi="Times New Roman;sans-serif"/>
                  <w:b w:val="false"/>
                  <w:color w:val="0000FF"/>
                  <w:sz w:val="20"/>
                  <w:u w:val="single"/>
                </w:rPr>
                <w:t>33</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499">
              <w:r>
                <w:rPr>
                  <w:rStyle w:val="InternetLink"/>
                  <w:rFonts w:ascii="Times New Roman;sans-serif" w:hAnsi="Times New Roman;sans-serif"/>
                  <w:b w:val="false"/>
                  <w:color w:val="0000FF"/>
                  <w:sz w:val="20"/>
                  <w:u w:val="single"/>
                </w:rPr>
                <w:t>33</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502">
              <w:r>
                <w:rPr>
                  <w:rStyle w:val="InternetLink"/>
                  <w:rFonts w:ascii="Times New Roman;sans-serif" w:hAnsi="Times New Roman;sans-serif"/>
                  <w:b w:val="false"/>
                  <w:color w:val="0000FF"/>
                  <w:sz w:val="20"/>
                  <w:u w:val="single"/>
                </w:rPr>
                <w:t>70</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9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505">
              <w:r>
                <w:rPr>
                  <w:rStyle w:val="InternetLink"/>
                  <w:rFonts w:ascii="Times New Roman;sans-serif" w:hAnsi="Times New Roman;sans-serif"/>
                  <w:b w:val="false"/>
                  <w:color w:val="0000FF"/>
                  <w:sz w:val="20"/>
                  <w:u w:val="single"/>
                </w:rPr>
                <w:t>70</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4eb1dbe004482f9f8a2dc44de0600f_511">
              <w:r>
                <w:rPr>
                  <w:rStyle w:val="InternetLink"/>
                  <w:rFonts w:ascii="Times New Roman;sans-serif" w:hAnsi="Times New Roman;sans-serif"/>
                  <w:b w:val="false"/>
                  <w:color w:val="0000FF"/>
                  <w:sz w:val="20"/>
                  <w:u w:val="single"/>
                </w:rPr>
                <w:t>71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w:t>
      </w:r>
    </w:p>
    <w:tbl>
      <w:tblPr>
        <w:tblW w:w="10205" w:type="dxa"/>
        <w:jc w:val="center"/>
        <w:tblInd w:w="0" w:type="dxa"/>
        <w:tblLayout w:type="fixed"/>
        <w:tblCellMar>
          <w:top w:w="28" w:type="dxa"/>
          <w:left w:w="28" w:type="dxa"/>
          <w:bottom w:w="28" w:type="dxa"/>
          <w:right w:w="28" w:type="dxa"/>
        </w:tblCellMar>
      </w:tblPr>
      <w:tblGrid>
        <w:gridCol w:w="2880"/>
        <w:gridCol w:w="2235"/>
        <w:gridCol w:w="2193"/>
        <w:gridCol w:w="109"/>
        <w:gridCol w:w="109"/>
        <w:gridCol w:w="211"/>
        <w:gridCol w:w="831"/>
        <w:gridCol w:w="109"/>
        <w:gridCol w:w="109"/>
        <w:gridCol w:w="109"/>
        <w:gridCol w:w="109"/>
        <w:gridCol w:w="211"/>
        <w:gridCol w:w="831"/>
        <w:gridCol w:w="159"/>
      </w:tblGrid>
      <w:tr>
        <w:trPr/>
        <w:tc>
          <w:tcPr>
            <w:tcW w:w="2880"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 1)</w:t>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convertible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704,560 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200,000 shares authorized, 66,568 and 66,264 shares issued and outstanding at March 31, 2025 and December 31, 2024,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(1,047,825)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967,658 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9767" w:type="dxa"/>
        <w:jc w:val="center"/>
        <w:tblInd w:w="0" w:type="dxa"/>
        <w:tblLayout w:type="fixed"/>
        <w:tblCellMar>
          <w:top w:w="28" w:type="dxa"/>
          <w:left w:w="28" w:type="dxa"/>
          <w:bottom w:w="28" w:type="dxa"/>
          <w:right w:w="28" w:type="dxa"/>
        </w:tblCellMar>
      </w:tblPr>
      <w:tblGrid>
        <w:gridCol w:w="2313"/>
        <w:gridCol w:w="2025"/>
        <w:gridCol w:w="2036"/>
        <w:gridCol w:w="211"/>
        <w:gridCol w:w="901"/>
        <w:gridCol w:w="109"/>
        <w:gridCol w:w="109"/>
        <w:gridCol w:w="109"/>
        <w:gridCol w:w="109"/>
        <w:gridCol w:w="211"/>
        <w:gridCol w:w="826"/>
        <w:gridCol w:w="109"/>
        <w:gridCol w:w="109"/>
        <w:gridCol w:w="109"/>
        <w:gridCol w:w="109"/>
        <w:gridCol w:w="109"/>
        <w:gridCol w:w="109"/>
        <w:gridCol w:w="154"/>
      </w:tblGrid>
      <w:tr>
        <w:trPr/>
        <w:tc>
          <w:tcPr>
            <w:tcW w:w="231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gains (losses)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and diluted net loss per share</w:t>
            </w:r>
          </w:p>
        </w:tc>
        <w:tc>
          <w:tcPr>
            <w:tcW w:w="11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240" w:after="283"/>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March 31, 2025</w:t>
      </w:r>
    </w:p>
    <w:tbl>
      <w:tblPr>
        <w:tblW w:w="10205" w:type="dxa"/>
        <w:jc w:val="center"/>
        <w:tblInd w:w="0" w:type="dxa"/>
        <w:tblLayout w:type="fixed"/>
        <w:tblCellMar>
          <w:top w:w="28" w:type="dxa"/>
          <w:left w:w="28" w:type="dxa"/>
          <w:bottom w:w="28" w:type="dxa"/>
          <w:right w:w="28" w:type="dxa"/>
        </w:tblCellMar>
      </w:tblPr>
      <w:tblGrid>
        <w:gridCol w:w="926"/>
        <w:gridCol w:w="666"/>
        <w:gridCol w:w="669"/>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5"/>
        <w:gridCol w:w="801"/>
        <w:gridCol w:w="153"/>
        <w:gridCol w:w="109"/>
        <w:gridCol w:w="109"/>
        <w:gridCol w:w="109"/>
        <w:gridCol w:w="196"/>
        <w:gridCol w:w="906"/>
        <w:gridCol w:w="109"/>
        <w:gridCol w:w="109"/>
        <w:gridCol w:w="109"/>
        <w:gridCol w:w="109"/>
        <w:gridCol w:w="207"/>
        <w:gridCol w:w="783"/>
        <w:gridCol w:w="170"/>
      </w:tblGrid>
      <w:tr>
        <w:trPr/>
        <w:tc>
          <w:tcPr>
            <w:tcW w:w="92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 xml:space="preserve">Equity </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66,264 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1,312,804 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w:t>
            </w:r>
          </w:p>
        </w:tc>
        <w:tc>
          <w:tcPr>
            <w:tcW w:w="1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(1,047,825)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263,098 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short-term investments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gains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(130,556)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66,568 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(1,178,381)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155,292 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March 31, 2024</w:t>
      </w:r>
    </w:p>
    <w:tbl>
      <w:tblPr>
        <w:tblW w:w="10205" w:type="dxa"/>
        <w:jc w:val="center"/>
        <w:tblInd w:w="0" w:type="dxa"/>
        <w:tblLayout w:type="fixed"/>
        <w:tblCellMar>
          <w:top w:w="28" w:type="dxa"/>
          <w:left w:w="28" w:type="dxa"/>
          <w:bottom w:w="28" w:type="dxa"/>
          <w:right w:w="28" w:type="dxa"/>
        </w:tblCellMar>
      </w:tblPr>
      <w:tblGrid>
        <w:gridCol w:w="984"/>
        <w:gridCol w:w="719"/>
        <w:gridCol w:w="722"/>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6"/>
        <w:gridCol w:w="785"/>
        <w:gridCol w:w="155"/>
        <w:gridCol w:w="109"/>
        <w:gridCol w:w="109"/>
        <w:gridCol w:w="109"/>
        <w:gridCol w:w="196"/>
        <w:gridCol w:w="771"/>
        <w:gridCol w:w="109"/>
        <w:gridCol w:w="109"/>
        <w:gridCol w:w="109"/>
        <w:gridCol w:w="109"/>
        <w:gridCol w:w="205"/>
        <w:gridCol w:w="773"/>
        <w:gridCol w:w="166"/>
      </w:tblGrid>
      <w:tr>
        <w:trPr/>
        <w:tc>
          <w:tcPr>
            <w:tcW w:w="98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313,632 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 and retirement of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 options related to convertible notes due 2029</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Unwind of capped call options related to convertible notes due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losses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64,563 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(994,515)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243,064 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800"/>
        <w:gridCol w:w="2343"/>
        <w:gridCol w:w="2362"/>
        <w:gridCol w:w="196"/>
        <w:gridCol w:w="794"/>
        <w:gridCol w:w="109"/>
        <w:gridCol w:w="109"/>
        <w:gridCol w:w="109"/>
        <w:gridCol w:w="109"/>
        <w:gridCol w:w="196"/>
        <w:gridCol w:w="704"/>
        <w:gridCol w:w="109"/>
        <w:gridCol w:w="109"/>
        <w:gridCol w:w="156"/>
      </w:tblGrid>
      <w:tr>
        <w:trPr/>
        <w:tc>
          <w:tcPr>
            <w:tcW w:w="2800"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5" w:type="dxa"/>
            <w:gridSpan w:val="2"/>
            <w:tcBorders/>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expected credit losses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and other impairment charges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Accretion (amortization) of discount or premium on short-term investments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from equity method investments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in-process research and development expenses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Employee-related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 and other current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and redemptions of short-term investments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in-process research and development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convertible senior notes due 2029, net of $9,400 debt issuance costs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$246,740 principal amount of convertible senior notes due 2025</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capped call transactions related to convertible senior notes due 2029</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used to settle withholding taxes on vested restricted stock, net of proceeds from issuance of common stock under Company stock plans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schedule of non-cash investing and financing activities</w:t>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obtained in exchange for operating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included in accounts payable</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240" w:after="283"/>
        <w:jc w:val="left"/>
        <w:rPr/>
      </w:pPr>
      <w:r>
        <w:rPr/>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a global insulin delivery and diabetes technology company, manufactures and sells advanced automated insulin delivery systems that reduce the burden of diabetes management, while creating new possibilities for patients, their loved ones and healthcare providers. Tandem Diabetes Care, Inc. is incorporated in the state of Delaware. Unless the context requires otherwise, the terms the “Company” or “Tandem” refer to Tandem Diabetes Care, Inc., together with its wholly-owned subsidiaries.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sells, and supports insulin pump products that are designed to address the evolving needs and preferences of differentiated segments of the insulin-dependent diabetes market. The Company offers an insulin pump portfolio, which includes both the t:slim X2 and the Tandem Mobi. Both pumps feature Control-IQ technology, which is the Company’s advanced algorithm for managing insulin delivery, using information received from integrated continuous glucose monitoring (CGM) sensors. New software for the insulin pumps may be updated remotely by the individual users as new advancements become available and are compatible with other complementary digital health offerings, such as the Company’s mobile application and cloud-based diabetes management applications. The Company’s insulin pump products are generally considered durable medical equipment and have an expected lifespan of at least four years. In addition to insulin pumps, the Company sells single-use components that are used together with the pumps and are replaced every few days, including cartridges for storing and delivering insulin, and infusion sets that connect the insulin pump to a user’s body.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and considered necessary for a fair presentation of the financial information contained herein, have been included.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2024 (Annual Report), from which the condensed consolidated balance sheet presented as of December 31, 2024 herein was derived. The condensed consolidated financial statements include the accounts of Tandem Diabetes Care, Inc. and its wholly-owned subsidiaries. All significant intercompany balances and transactions have been eliminated in consolidation.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significant accounting policies during the three months ended March 31, 2025, as compared to those disclosed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judgments that affect the reported amounts of assets, liabilities, revenues and expenses and the disclosure of contingent assets and liabilities in the Company’s condensed consolidated financial statements and accompanying notes as of the date of the condensed consolidated financial statements. Some of those judgments can be subjective and complex, and therefore, actual results could differ materially from those estimates under different assumptions or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 Right-of-Use Assets and Liabilities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that contain lease and non-lease components, the Company accounts for both of those components as a single lease component.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condensed consolidated balance sheets. Landlord improvement allowances and other similar lease incentives are recorded as a reduction of the right-of-use leased assets, and are amortized on a straight-line basis as a reduction to operating lease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Subject to Amortization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Finite-lived intangible assets are recorded at cost, net of accumulated amortization and, if applicable, impairment charges. Amortization of finite-lived intangible assets is recognized over their estimated useful lives on a straight-line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and equipment, right-of-use lease assets, and acquired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unobservable (Level 3) inputs, including discounted cash flow models, future estimated sublease income, and third-party independent appraisals, as considered necessary. There is uncertainty in the projected undiscounted future cash flows used in the Company’s impairment review analysis, which requires the use of estimates and assumptions. If actual performance does not meet or exceed projected performance, or if the assumptions used in the model change in the future, the Company may be required to recognize additional impairment charges in future periods. Other than the impairment of operating lease right-of-use assets recognized in the first quarter of 2025 (see Note 6, “Leases”), there were no other impairments of long-lived assets, including acquired intangible assets, during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equity method investments of $71.0 million and $74.5 million at March 31, 2025 and December 31, 2024, respectively. The Company uses the equity method to account for investments in companies if it owns more than 20% of the investee company’s outstanding equity or the investment provides the Company with the ability to exercise significant influence but not control over the operating and financial policies of the investee. The Company assesses whether it has significant influence by considering various factors, including the nature and magnitude of the investment, voting rights held and participation in the governance of the investee, if any. The Company may also consider additional relevant factors, such as the presence of other business relationships.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net loss included its proportionate share of the net loss of its equity method investee, which was a loss of $3.5 million for the three months ended March 31, 2025. For the three months ended March 31, 2024, the Company did not hold any equity method investments and therefore did not recognize a share of net income or loss from any equity 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generated primarily from sales of insulin pumps, single-use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rebates, prompt payment discounts and a provision for product returns.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for Arrangements with Multiple Performance Obligations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individual deliverables in its product offerings to be separate performance obligations. The transaction price is determined based on the net consideration to which the Company expects to be entitled, based either on the stated value in contractual arrangements or the estimated cash to be collected in non-contracted arrangements. The Company includes an estimate of variable consideration in the calculation of the transaction price at the time of sale. Variable consideration includes, but is not limited to: rebates, prompt payment discounts and a provision for product returns. The Company classifies these items as a reduction of accounts receivable when it is not required to make a payment and as a liability when it is required to make a payment.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the Company’s data management and software update platforms,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variable consideration that is included in the transaction price is included in revenue only to the extent that it is probable that a significant reversal in the amount of the cumulative revenue recognized will not occur in a future period. The Company is subject to certain rebates on pricing programs with managed care organizations, such as pharmacy benefit managers and governmental and third-party commercial payors, and may vary by customer. The Company estimates provisions for rebates based on contractual arrangements, estimates of products sold subject to rebate, known market events or trends and channel inventory data. Estimated sales rebates included in other long-term liabilities have an estimated payment due date beyond twelve months from the balance sheet date. Accordingly, actual rebates paid may differ from estimated amounts recorded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for Tandem Choice Program</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September 2022 to December 31, 2024, the Company offered a technology access program referred to as Tandem Choice that provided eligible in-warranty t:slim X2 customers in the United States with the flexibility to obtain the Tandem Mobi, once commercially available. The Company determined that the program created a material right for which a portion of each t:slim X2 pump sales transaction price was allocated and deferred. The Company began selling Tandem Mobi insulin pumps in February 2024 and eligibility for the Tandem Choice program ended at that time. Consequently, the Company ceased allocating and deferring a portion of the transaction price for the material right for pumps sold after that date. Eligible customers who purchased a t:slim X2 insulin pump during the program period had until December 31, 2024 to exercise the option to switch to the Tandem Mobi for a stated fee.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the deferred sales when the obligations under the Tandem Choice program were satisfied. If a customer elected to participate in the program, the Company recognized upgrade fees received, and the associated cost of goods sold, at the time of fulfillment. The remaining deferrals were recognized at program expiration on December 31, 2024. For the three months ended March 31, 2024, the Company deferred $1.1 million of pump sales as the result of Tandem Choice. There was no comparative adjustment to pump sales in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Warranty Reserve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generally provides a four-year warranty on its insulin pumps to end-user customers and may replace any pumps that do not function as intended in accordance with the product specifications within the warranty period. In addition, the Company offers a six-month warranty on single-use insulin cartridges and infusion sets. Estimated warranty costs are recorded at the time of shipment, and the Company reevaluates the estimate of the warranty reserve obligation at each reporting period. Warranty costs are primarily estimated based on the current expected product replacement cost and expected replacement rates using historical experience. Returned insulin pumps may be refurbished and redeployed.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Experience has shown that initial data for any new pump version or pump platform may be insufficient. Therefore, the Company relies on long-term historical replacement data from existing platforms until sufficient data is available. As actual experience accumulates, the Company adjusts its warranty reserve estimate accordingly. In addition, the availability of replacement data may differ by country due to local compliance and privacy regulations, which may require the Company to estimate its warranty liability using available information or data from similar markets. The Company may make further adjustments to the warranty reserve when appropriate, considering revised expectations of product performance based on enhanced hardware, or new features and capabilities that may become available through Tandem Device Updater. Warranty expense is recorded as a component of cost of sales in the consolidated statements of operations.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changes in product warranty liabilities for the three months ended March 31, 2025 and 2024 (in thousands):</w:t>
      </w:r>
    </w:p>
    <w:tbl>
      <w:tblPr>
        <w:tblW w:w="7324" w:type="dxa"/>
        <w:jc w:val="left"/>
        <w:tblInd w:w="0" w:type="dxa"/>
        <w:tblLayout w:type="fixed"/>
        <w:tblCellMar>
          <w:top w:w="28" w:type="dxa"/>
          <w:left w:w="28" w:type="dxa"/>
          <w:bottom w:w="28" w:type="dxa"/>
          <w:right w:w="28" w:type="dxa"/>
        </w:tblCellMar>
      </w:tblPr>
      <w:tblGrid>
        <w:gridCol w:w="1467"/>
        <w:gridCol w:w="1289"/>
        <w:gridCol w:w="1293"/>
        <w:gridCol w:w="226"/>
        <w:gridCol w:w="772"/>
        <w:gridCol w:w="116"/>
        <w:gridCol w:w="116"/>
        <w:gridCol w:w="116"/>
        <w:gridCol w:w="116"/>
        <w:gridCol w:w="226"/>
        <w:gridCol w:w="772"/>
        <w:gridCol w:w="116"/>
        <w:gridCol w:w="109"/>
        <w:gridCol w:w="109"/>
        <w:gridCol w:w="109"/>
        <w:gridCol w:w="109"/>
        <w:gridCol w:w="109"/>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warranties issued during the period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 during the period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Increases (decreases) in warranty estimates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total product warranty reserves were included in the following consolidated balance sheet accounts (in thousands):</w:t>
      </w:r>
    </w:p>
    <w:tbl>
      <w:tblPr>
        <w:tblW w:w="5442" w:type="dxa"/>
        <w:jc w:val="left"/>
        <w:tblInd w:w="0" w:type="dxa"/>
        <w:tblLayout w:type="fixed"/>
        <w:tblCellMar>
          <w:top w:w="28" w:type="dxa"/>
          <w:left w:w="28" w:type="dxa"/>
          <w:bottom w:w="28" w:type="dxa"/>
          <w:right w:w="28" w:type="dxa"/>
        </w:tblCellMar>
      </w:tblPr>
      <w:tblGrid>
        <w:gridCol w:w="809"/>
        <w:gridCol w:w="712"/>
        <w:gridCol w:w="714"/>
        <w:gridCol w:w="261"/>
        <w:gridCol w:w="894"/>
        <w:gridCol w:w="135"/>
        <w:gridCol w:w="109"/>
        <w:gridCol w:w="109"/>
        <w:gridCol w:w="109"/>
        <w:gridCol w:w="309"/>
        <w:gridCol w:w="1056"/>
        <w:gridCol w:w="225"/>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warranty reserve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stock incentive plans, and the fair value of employee purchase rights under the Company’s Employee Stock Purchase Plan (ESPP) using the Black-Scholes option pricing model on the date of grant. The Black-Scholes option pricing model requires the use of assumptions about a number of variables, including stock price volatility, expected term, dividend yield and risk-free interest rate (see Note 8, “Stockholders’ Equity”). The fair value of restricted stock unit (RSU) awards issued under the Company’s stock incentive plans that vest solely based on service, is estimated based on the fair market value of the underlying stock on the date of grant. The fair value of RSU awards that vest based upon the Company’s actual performance relative to predefined performance metrics and the awardee’s continuing service through the measurement date is generally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the net loss by the weighted average number of common shares outstanding for the period, without consideration for common stock equivalents. Diluted net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incentive plans, potential awards to be granted pursuant to the ESPP, and common stock warrants, each calculated using the treasury stock method, and shares issuable upon conversion of the convertible senior notes calculated using the if-converted method.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there was no difference in the weighted average number of shares used to calculate basic and diluted net loss per share due to the Company’s net loss position in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outstanding and not included in the calculation of diluted net loss per share (because inclusion would be anti-dilutive) are as follows (in thousands, in common stock equivalent shares):</w:t>
      </w:r>
    </w:p>
    <w:tbl>
      <w:tblPr>
        <w:tblW w:w="6281" w:type="dxa"/>
        <w:jc w:val="left"/>
        <w:tblInd w:w="0" w:type="dxa"/>
        <w:tblLayout w:type="fixed"/>
        <w:tblCellMar>
          <w:top w:w="28" w:type="dxa"/>
          <w:left w:w="28" w:type="dxa"/>
          <w:bottom w:w="28" w:type="dxa"/>
          <w:right w:w="28" w:type="dxa"/>
        </w:tblCellMar>
      </w:tblPr>
      <w:tblGrid>
        <w:gridCol w:w="1182"/>
        <w:gridCol w:w="1042"/>
        <w:gridCol w:w="1046"/>
        <w:gridCol w:w="392"/>
        <w:gridCol w:w="329"/>
        <w:gridCol w:w="195"/>
        <w:gridCol w:w="195"/>
        <w:gridCol w:w="195"/>
        <w:gridCol w:w="195"/>
        <w:gridCol w:w="335"/>
        <w:gridCol w:w="281"/>
        <w:gridCol w:w="195"/>
        <w:gridCol w:w="109"/>
        <w:gridCol w:w="109"/>
        <w:gridCol w:w="109"/>
        <w:gridCol w:w="109"/>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under the 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(if-converted)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6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requires the Company to disclose disaggregated jurisdictional and categorical information for the tax rate reconciliation, income taxes paid and other income tax related amounts. The guidance is effective for annual periods beginning after December 15, 2024, with early adoption permitted. The Company is currently evaluating ASU 2023-09 to determine the impact it may have on its consolidated financial statements.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Accounting Pronouncements Issued and Not Yet Adopted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Disaggregation of Income Statement Expenses (ASU 2024-03), which requires entities to disclose information about purchases of inventory, employee compensation, and intangible asset amortization in each income statement line item that contains those expenses. ASU 2024-03 is effective for annual reporting periods beginning after December 15, 2026 and interim reporting periods beginning after December 15, 2027. Early adoption is permitted. The Company is currently evaluating ASU 2024-03 to determine the impact it may have on its consolidated financial statements.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Short-Term Investments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in marketable securities primarily consisting of debt instruments of the United States Government, United States Government-sponsored enterprises, and financial institutions and corporations with strong credit ratings. The following represents a summary of the estimated fair value of short-term investments at March 31, 2025 and December 31, 2024 (in thousands):</w:t>
      </w:r>
    </w:p>
    <w:tbl>
      <w:tblPr>
        <w:tblW w:w="10205" w:type="dxa"/>
        <w:jc w:val="left"/>
        <w:tblInd w:w="0" w:type="dxa"/>
        <w:tblLayout w:type="fixed"/>
        <w:tblCellMar>
          <w:top w:w="28" w:type="dxa"/>
          <w:left w:w="28" w:type="dxa"/>
          <w:bottom w:w="28" w:type="dxa"/>
          <w:right w:w="28" w:type="dxa"/>
        </w:tblCellMar>
      </w:tblPr>
      <w:tblGrid>
        <w:gridCol w:w="1376"/>
        <w:gridCol w:w="1191"/>
        <w:gridCol w:w="1180"/>
        <w:gridCol w:w="109"/>
        <w:gridCol w:w="109"/>
        <w:gridCol w:w="109"/>
        <w:gridCol w:w="109"/>
        <w:gridCol w:w="211"/>
        <w:gridCol w:w="826"/>
        <w:gridCol w:w="109"/>
        <w:gridCol w:w="109"/>
        <w:gridCol w:w="109"/>
        <w:gridCol w:w="109"/>
        <w:gridCol w:w="361"/>
        <w:gridCol w:w="799"/>
        <w:gridCol w:w="189"/>
        <w:gridCol w:w="109"/>
        <w:gridCol w:w="109"/>
        <w:gridCol w:w="109"/>
        <w:gridCol w:w="409"/>
        <w:gridCol w:w="728"/>
        <w:gridCol w:w="213"/>
        <w:gridCol w:w="109"/>
        <w:gridCol w:w="109"/>
        <w:gridCol w:w="109"/>
        <w:gridCol w:w="211"/>
        <w:gridCol w:w="826"/>
        <w:gridCol w:w="159"/>
      </w:tblGrid>
      <w:tr>
        <w:trPr/>
        <w:tc>
          <w:tcPr>
            <w:tcW w:w="137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315,051 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0"/>
        <w:gridCol w:w="1213"/>
        <w:gridCol w:w="1154"/>
        <w:gridCol w:w="109"/>
        <w:gridCol w:w="109"/>
        <w:gridCol w:w="109"/>
        <w:gridCol w:w="109"/>
        <w:gridCol w:w="211"/>
        <w:gridCol w:w="826"/>
        <w:gridCol w:w="109"/>
        <w:gridCol w:w="109"/>
        <w:gridCol w:w="109"/>
        <w:gridCol w:w="109"/>
        <w:gridCol w:w="361"/>
        <w:gridCol w:w="799"/>
        <w:gridCol w:w="189"/>
        <w:gridCol w:w="109"/>
        <w:gridCol w:w="109"/>
        <w:gridCol w:w="109"/>
        <w:gridCol w:w="355"/>
        <w:gridCol w:w="812"/>
        <w:gridCol w:w="184"/>
        <w:gridCol w:w="109"/>
        <w:gridCol w:w="109"/>
        <w:gridCol w:w="109"/>
        <w:gridCol w:w="211"/>
        <w:gridCol w:w="826"/>
        <w:gridCol w:w="158"/>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available-for-sale debt securities as of March 31, 2025, were as follows (in thousands):</w:t>
      </w:r>
    </w:p>
    <w:tbl>
      <w:tblPr>
        <w:tblW w:w="10205" w:type="dxa"/>
        <w:jc w:val="left"/>
        <w:tblInd w:w="0" w:type="dxa"/>
        <w:tblLayout w:type="fixed"/>
        <w:tblCellMar>
          <w:top w:w="28" w:type="dxa"/>
          <w:left w:w="28" w:type="dxa"/>
          <w:bottom w:w="28" w:type="dxa"/>
          <w:right w:w="28" w:type="dxa"/>
        </w:tblCellMar>
      </w:tblPr>
      <w:tblGrid>
        <w:gridCol w:w="1239"/>
        <w:gridCol w:w="1092"/>
        <w:gridCol w:w="1100"/>
        <w:gridCol w:w="246"/>
        <w:gridCol w:w="966"/>
        <w:gridCol w:w="127"/>
        <w:gridCol w:w="109"/>
        <w:gridCol w:w="109"/>
        <w:gridCol w:w="109"/>
        <w:gridCol w:w="256"/>
        <w:gridCol w:w="1003"/>
        <w:gridCol w:w="132"/>
        <w:gridCol w:w="109"/>
        <w:gridCol w:w="109"/>
        <w:gridCol w:w="109"/>
        <w:gridCol w:w="294"/>
        <w:gridCol w:w="1008"/>
        <w:gridCol w:w="152"/>
        <w:gridCol w:w="109"/>
        <w:gridCol w:w="109"/>
        <w:gridCol w:w="109"/>
        <w:gridCol w:w="284"/>
        <w:gridCol w:w="1113"/>
        <w:gridCol w:w="212"/>
      </w:tblGrid>
      <w:tr>
        <w:trPr/>
        <w:tc>
          <w:tcPr>
            <w:tcW w:w="123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March 31, 2025</w:t>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One to Two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Two to Three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Government-sponsored enterprises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Treasury securities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170,722 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134,287 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315,051 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classified all marketable securities, regardless of maturity, as short-term investments based upon the Company’s ability and intent to use any of those marketable securities to satisfy the Company’s liquidity requirements.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portfolio of available-for-sale debt securities quarterly to determine if any investment is impaired due to changes in credit risk or other potential valuation concerns. Unrealized losses on available-for-sale debt securities at March 31, 2025 were primarily due to an increase in market interest rates after certain debt securities were purchased, and the balance was not material to the Company’s quarterly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Composition of Certain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at March 31, 2025 and December 31, 2024 (in thousands):</w:t>
      </w:r>
    </w:p>
    <w:tbl>
      <w:tblPr>
        <w:tblW w:w="5379" w:type="dxa"/>
        <w:jc w:val="left"/>
        <w:tblInd w:w="0" w:type="dxa"/>
        <w:tblLayout w:type="fixed"/>
        <w:tblCellMar>
          <w:top w:w="28" w:type="dxa"/>
          <w:left w:w="28" w:type="dxa"/>
          <w:bottom w:w="28" w:type="dxa"/>
          <w:right w:w="28" w:type="dxa"/>
        </w:tblCellMar>
      </w:tblPr>
      <w:tblGrid>
        <w:gridCol w:w="984"/>
        <w:gridCol w:w="864"/>
        <w:gridCol w:w="867"/>
        <w:gridCol w:w="211"/>
        <w:gridCol w:w="826"/>
        <w:gridCol w:w="109"/>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changes in the allowance for estimated accounts receivable credit losses for the three months ended March 31, 2025 and 2024 (in thousands):</w:t>
      </w:r>
    </w:p>
    <w:tbl>
      <w:tblPr>
        <w:tblW w:w="6617" w:type="dxa"/>
        <w:jc w:val="left"/>
        <w:tblInd w:w="0" w:type="dxa"/>
        <w:tblLayout w:type="fixed"/>
        <w:tblCellMar>
          <w:top w:w="28" w:type="dxa"/>
          <w:left w:w="28" w:type="dxa"/>
          <w:bottom w:w="28" w:type="dxa"/>
          <w:right w:w="28" w:type="dxa"/>
        </w:tblCellMar>
      </w:tblPr>
      <w:tblGrid>
        <w:gridCol w:w="1347"/>
        <w:gridCol w:w="1184"/>
        <w:gridCol w:w="1188"/>
        <w:gridCol w:w="211"/>
        <w:gridCol w:w="616"/>
        <w:gridCol w:w="109"/>
        <w:gridCol w:w="109"/>
        <w:gridCol w:w="109"/>
        <w:gridCol w:w="109"/>
        <w:gridCol w:w="211"/>
        <w:gridCol w:w="616"/>
        <w:gridCol w:w="109"/>
        <w:gridCol w:w="109"/>
        <w:gridCol w:w="109"/>
        <w:gridCol w:w="109"/>
        <w:gridCol w:w="109"/>
        <w:gridCol w:w="109"/>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and adjustments,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at March 31, 2025 and December 31, 2024 (in thousands):</w:t>
      </w:r>
    </w:p>
    <w:tbl>
      <w:tblPr>
        <w:tblW w:w="4179" w:type="dxa"/>
        <w:jc w:val="left"/>
        <w:tblInd w:w="0" w:type="dxa"/>
        <w:tblLayout w:type="fixed"/>
        <w:tblCellMar>
          <w:top w:w="28" w:type="dxa"/>
          <w:left w:w="28" w:type="dxa"/>
          <w:bottom w:w="28" w:type="dxa"/>
          <w:right w:w="28" w:type="dxa"/>
        </w:tblCellMar>
      </w:tblPr>
      <w:tblGrid>
        <w:gridCol w:w="548"/>
        <w:gridCol w:w="481"/>
        <w:gridCol w:w="486"/>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76"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assets and liabilities measured at fair value on a recurring basis as of March 31, 2025 and December 31, 2024, and indicates the fair value hierarchy of the valuation techniques used by the Company to determine such fair value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240" w:after="283"/>
        <w:jc w:val="left"/>
        <w:rPr/>
      </w:pPr>
      <w:r>
        <w:rPr/>
      </w:r>
    </w:p>
    <w:tbl>
      <w:tblPr>
        <w:tblW w:w="9240" w:type="dxa"/>
        <w:jc w:val="left"/>
        <w:tblInd w:w="0" w:type="dxa"/>
        <w:tblLayout w:type="fixed"/>
        <w:tblCellMar>
          <w:top w:w="28" w:type="dxa"/>
          <w:left w:w="28" w:type="dxa"/>
          <w:bottom w:w="28" w:type="dxa"/>
          <w:right w:w="28" w:type="dxa"/>
        </w:tblCellMar>
      </w:tblPr>
      <w:tblGrid>
        <w:gridCol w:w="1460"/>
        <w:gridCol w:w="1285"/>
        <w:gridCol w:w="130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9240" w:type="dxa"/>
        <w:jc w:val="left"/>
        <w:tblInd w:w="0" w:type="dxa"/>
        <w:tblLayout w:type="fixed"/>
        <w:tblCellMar>
          <w:top w:w="28" w:type="dxa"/>
          <w:left w:w="28" w:type="dxa"/>
          <w:bottom w:w="28" w:type="dxa"/>
          <w:right w:w="28" w:type="dxa"/>
        </w:tblCellMar>
      </w:tblPr>
      <w:tblGrid>
        <w:gridCol w:w="1460"/>
        <w:gridCol w:w="1285"/>
        <w:gridCol w:w="130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(1)Generally, cash equivalents include money market funds and investments with a maturity of three months or less from the date of purchase.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Level 1 financial instruments, which are in active markets, are valued using unadjusted quoted market prices for identical instruments.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into or out of Level 3 assets during the three months ended March 31, 2025 and 2024, respectively.</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Company issued $316.3 million aggregate principal amount of the Company’s Convertible Senior Notes Due 2029, and repurchased $246.7 million of principal of the Company’s Convertible Senior Notes due 2025 (see Note 7, “Debt”).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Convertible Senior Notes are carried at amortized cost on the consolidated balance sheets (see Note 7, “Debt”). The Company estimated the fair value of its convertible senior notes based on Level 2 quoted market prices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240" w:after="283"/>
        <w:jc w:val="left"/>
        <w:rPr/>
      </w:pPr>
      <w:r>
        <w:rPr/>
      </w:r>
    </w:p>
    <w:tbl>
      <w:tblPr>
        <w:tblW w:w="7905" w:type="dxa"/>
        <w:jc w:val="left"/>
        <w:tblInd w:w="0" w:type="dxa"/>
        <w:tblLayout w:type="fixed"/>
        <w:tblCellMar>
          <w:top w:w="28" w:type="dxa"/>
          <w:left w:w="28" w:type="dxa"/>
          <w:bottom w:w="28" w:type="dxa"/>
          <w:right w:w="28" w:type="dxa"/>
        </w:tblCellMar>
      </w:tblPr>
      <w:tblGrid>
        <w:gridCol w:w="1663"/>
        <w:gridCol w:w="1461"/>
        <w:gridCol w:w="1466"/>
        <w:gridCol w:w="237"/>
        <w:gridCol w:w="930"/>
        <w:gridCol w:w="122"/>
        <w:gridCol w:w="109"/>
        <w:gridCol w:w="109"/>
        <w:gridCol w:w="109"/>
        <w:gridCol w:w="284"/>
        <w:gridCol w:w="1114"/>
        <w:gridCol w:w="147"/>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tc>
        <w:tc>
          <w:tcPr>
            <w:tcW w:w="154" w:type="dxa"/>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2025</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2029</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outstanding convertible senior notes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341,041 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446,882 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6. Leases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leases consist of operating leases for general office space, research and development, manufacturing and warehouse facilities, and equipment. These noncancellable operating leases have initial lease terms from two years to thirteen years. Certain leases include an option to renew, with renewal terms that can extend the lease term for additional periods at the Company’s sole discretion. The Company includes the renewal option period in the lease term for those leases reasonably expected to be extended at the time of lease commencement.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Headquarters Lease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entered into a lease agreement for 181,949 square feet of general administrative, laboratory, and research and development office space (the Premises) located on High Bluff Drive in San Diego, California (Headquarters Lease). Possession of the Premises was to be tendered to the Company in two phases, with Phase I consisting of 143,850 rentable square feet, which commenced in 2022, and Phase II consisting of 38,099 rentable square feet, which commenced in the first quarter of 2025. The Headquarters Lease term expires in April 2035. The Company has two options to extend the term of the lease, with each option providing for an additional period of five years. The Headquarters Lease term was determined assuming the renewal options would not be exercised.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entered into an agreement to sublease the Phase II portion of the leased premises under the Headquarters Lease, from January 2025 through March 2029, for which accounting commenced in January 2025. Future minimum payments for base rent due under Phase II of the Headquarters Lease, net of sublease rent, are estimated to be $3.0 million in total for 2025 through 2028, and $22.2 million in total for 2029 through 2035.</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The Company recognizes the sublease income on a straight-line basis over the term of the sublease which is classified in the Company’s condensed consolidated statements of operations and comprehensive loss</w:t>
      </w:r>
      <w:r>
        <w:rPr>
          <w:color w:val="000000"/>
        </w:rPr>
        <w:t xml:space="preserve"> </w:t>
      </w:r>
      <w:r>
        <w:rPr>
          <w:rFonts w:ascii="Times New Roman;sans-serif" w:hAnsi="Times New Roman;sans-serif"/>
          <w:b w:val="false"/>
          <w:color w:val="000000"/>
          <w:sz w:val="20"/>
        </w:rPr>
        <w:t>as a reduction of rent expense in selling, general and administrative expense (SG&amp;A). The difference between sublease income recognized and cash received from the subtenant accrues as a deferred rent receivable.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 Impairment Charges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evaluation of the sublease agreement related to the Headquarters Lease, the Company compared the estimated undiscounted sublease income to the net book value of the underlying right of use asset. Because the expected sublease income was less than the net book value of the sublease assets, the Company recorded a $3.6 million impairment charge in operating expenses in the first quarter of 2025 by reducing the net book value of the subleased assets to their estimated fair value, which is determined by discounting the estimated sublease income using the estimated incremental borrowing rate of the subtenant.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during the first quarter of 2025, the Company relocated certain development activities from Lausanne, Switzerland to the United States. The Company reviewed the relocation activities and impact of losses on certain fixed assets associated with the lease. The Company also reviewed its assumptions for estimated future sublease income for its Vista Sorrento lease. As a result, the Company recorded a $3.1 million impairment charge in operating expenses, comprised of operating lease impairment charges and write off of fixed assets consisting primarily of leasehold improvements.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Supplemental Lease Disclosure Information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 costs recorded in the consolidated statements of operations were as follows (in thousands):</w:t>
      </w:r>
    </w:p>
    <w:p>
      <w:pPr>
        <w:pStyle w:val="TextBody"/>
        <w:bidi w:val="0"/>
        <w:spacing w:before="0" w:after="0"/>
        <w:ind w:left="0" w:right="0" w:firstLine="900"/>
        <w:jc w:val="left"/>
        <w:rPr/>
      </w:pPr>
      <w:r>
        <w:rPr/>
      </w:r>
    </w:p>
    <w:tbl>
      <w:tblPr>
        <w:tblW w:w="8873" w:type="dxa"/>
        <w:jc w:val="left"/>
        <w:tblInd w:w="0" w:type="dxa"/>
        <w:tblLayout w:type="fixed"/>
        <w:tblCellMar>
          <w:top w:w="28" w:type="dxa"/>
          <w:left w:w="28" w:type="dxa"/>
          <w:bottom w:w="28" w:type="dxa"/>
          <w:right w:w="28" w:type="dxa"/>
        </w:tblCellMar>
      </w:tblPr>
      <w:tblGrid>
        <w:gridCol w:w="2024"/>
        <w:gridCol w:w="1780"/>
        <w:gridCol w:w="1791"/>
        <w:gridCol w:w="236"/>
        <w:gridCol w:w="807"/>
        <w:gridCol w:w="122"/>
        <w:gridCol w:w="122"/>
        <w:gridCol w:w="122"/>
        <w:gridCol w:w="122"/>
        <w:gridCol w:w="236"/>
        <w:gridCol w:w="690"/>
        <w:gridCol w:w="122"/>
        <w:gridCol w:w="109"/>
        <w:gridCol w:w="109"/>
        <w:gridCol w:w="109"/>
        <w:gridCol w:w="109"/>
        <w:gridCol w:w="109"/>
        <w:gridCol w:w="154"/>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 (excluding sublease income)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lease termination and right-of-use asset impairment charges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 gross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at March 31, 2025 were as follows (in thousands):</w:t>
      </w:r>
    </w:p>
    <w:tbl>
      <w:tblPr>
        <w:tblW w:w="5301" w:type="dxa"/>
        <w:jc w:val="left"/>
        <w:tblInd w:w="0" w:type="dxa"/>
        <w:tblLayout w:type="fixed"/>
        <w:tblCellMar>
          <w:top w:w="28" w:type="dxa"/>
          <w:left w:w="28" w:type="dxa"/>
          <w:bottom w:w="28" w:type="dxa"/>
          <w:right w:w="28" w:type="dxa"/>
        </w:tblCellMar>
      </w:tblPr>
      <w:tblGrid>
        <w:gridCol w:w="1489"/>
        <w:gridCol w:w="1308"/>
        <w:gridCol w:w="1313"/>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long-term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212529"/>
          <w:sz w:val="20"/>
        </w:rPr>
      </w:pPr>
      <w:r>
        <w:rPr>
          <w:rFonts w:ascii="Times New Roman;sans-serif" w:hAnsi="Times New Roman;sans-serif"/>
          <w:b w:val="false"/>
          <w:color w:val="212529"/>
          <w:sz w:val="20"/>
        </w:rPr>
        <w:t>The weighted-average remaining lease term and weighted-average discount rate for operating leases were as follows:</w:t>
      </w:r>
    </w:p>
    <w:tbl>
      <w:tblPr>
        <w:tblW w:w="9491" w:type="dxa"/>
        <w:jc w:val="left"/>
        <w:tblInd w:w="0" w:type="dxa"/>
        <w:tblLayout w:type="fixed"/>
        <w:tblCellMar>
          <w:top w:w="28" w:type="dxa"/>
          <w:left w:w="28" w:type="dxa"/>
          <w:bottom w:w="28" w:type="dxa"/>
          <w:right w:w="28" w:type="dxa"/>
        </w:tblCellMar>
      </w:tblPr>
      <w:tblGrid>
        <w:gridCol w:w="2278"/>
        <w:gridCol w:w="1999"/>
        <w:gridCol w:w="2007"/>
        <w:gridCol w:w="287"/>
        <w:gridCol w:w="287"/>
        <w:gridCol w:w="716"/>
        <w:gridCol w:w="109"/>
        <w:gridCol w:w="109"/>
        <w:gridCol w:w="109"/>
        <w:gridCol w:w="323"/>
        <w:gridCol w:w="323"/>
        <w:gridCol w:w="944"/>
      </w:tblGrid>
      <w:tr>
        <w:trPr/>
        <w:tc>
          <w:tcPr>
            <w:tcW w:w="227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used to determine operating lease liabilities</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Senior Notes Due 2029</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the Company completed an offering of $316.3 million aggregate principal amount of 1.50% Convertible Senior Notes due 2029 (the 2029 Notes). The proceeds from the issuance of the 2029 Notes were $306.8 million, net of debt issuance costs. The Company used approximately $246.1 million of the net proceeds to repurchase approximately $246.7 million in aggregate principal amount of its Convertible Senior Notes Due 2025 (the 2025 Notes) concurrently with the pricing of the 2029 Notes in privately negotiated transactions.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paid $1.3 million of accrued interest due at time of the note repurchase. As a result of the repurchase, the Company recognized a $1.3 million loss on extinguishment of debt in the condensed consolidated statement of operations for the three months ended March 31, 2024. The loss on extinguishment of debt included the unamortized debt issuance costs related to the portion of the 2025 Notes repurchased.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$30.0 million of the net proceeds to repurchase shares of the Company’s common stock from certain purchasers of the 2029 Notes at a purchase price equal to the last reported sale price per share of the Company’s common stock on March 5, 2024, which was $27.105 per share. In addition, the Company used $15.8 million of the net proceeds to pay the cost of the capped call transactions (2029 Capped Call Transactions)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2029 Notes are the Company’s senior unsecured obligations. Interest is payable in cash semi-annually in arrears on March 15 and September 15 of each year beginning on September 15, 2024, at a rate of 1.50% per year. The 2029 Notes mature on March 15, 2029 unless repurchased, redeemed, or converted in accordance with their terms prior to the maturity date.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conversion rate for the 2029 Notes is 28.9361 shares of common stock per $1,000 principal amount of the 2029 Notes, which is equivalent to an initial conversion price of approximately $34.56 per share of the Company’s common stock (2029 Notes Conversion Price). The conversion rate is subject to customary adjustments for certain events as described in the indenture governing the 2029 Notes.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not redeem the 2029 Notes before March 22, 2027. The Company has the option to redeem for cash all or any portion of the 2029 Notes on or after March 22, 2027 if the last reported sale price of the Company’s common stock has been at least 130% of the 2029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2029 Notes to be redeemed, plus accrued and unpaid interest. No sinking fund is provided for the 2029 Notes.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2029 Notes may convert all or a portion of their 2029 Notes at their option before December 15, 2028, in multiples of $1,000 principal amounts, only under the following circumstances: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 xml:space="preserve">during any calendar quarter commencing after the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2029 Notes Conversion Price on each applicable trading day; </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during the five business day period after any ten consecutive trading day period (the measurement period) in which the trading price per $1,000 principal amount of the 2029 Notes for each trading day of the measurement period was less than 98% of the product of the last reported sale price of the Company’s common stock and the applicable conversion rate of the 2029 Notes on such trading day;</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if the Company calls such 2029 Notes for redemption, at any time before the close of business on the scheduled trading day immediately preceding the redemption date, but only with respect to the 2029 Notes called (or deemed called) for redemption; or</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on the occurrence of specified corporate events.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December 15, 2028, until the close of business on the second scheduled trading day immediately preceding the maturity date, holders may convert their 2029 Notes, in integral multiples of $1,000 principal amount,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2029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Senior Notes Due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the Company completed an offering of $287.5 million aggregate principal amount of 1.50% Convertible Senior Notes due 2025 (the 2025 Notes). The proceeds from the issuance of the Notes were $244.6 million, net of debt issuance costs and cash used to pay the cost of the capped call transactions (Capped Call Transactions) discussed below.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repurchased for cash $246.7 million aggregate principal amount of the 2025 Notes, concurrently with the pricing of the 2029 Notes in privately negotiated transactions.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2025 Notes are the Company’s senior unsecured obligations. Interest is payable in cash semi-annually in arrears beginning on November 1, 2020, at a rate of 1.50% per year. The 2025 Notes mature on May 1, 2025, unless repurchased, redeemed, or converted in accordance with their terms before the maturity date. As of March 31, 2025, the outstanding balance of the 2025 Notes was classified in current liabilities on the Company’s condensed consolidated balance sheet.</w:t>
      </w:r>
    </w:p>
    <w:p>
      <w:pPr>
        <w:pStyle w:val="TextBody"/>
        <w:bidi w:val="0"/>
        <w:spacing w:before="0" w:after="0"/>
        <w:ind w:left="0" w:right="0" w:firstLine="9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Notes are convertible into cash, shares of the Company’s common stock, or a combination of cash and shares of the Company’s common stock, at the Company’s election, at an initial conversion rate of 8.8836 shares of common stock per $1,000 principal amount of the 2025 Notes, which is equivalent to an initial conversion price of $112.57 (2025 Notes Conversion Price) per share of the Company’s common stock. The conversion rate is subject to customary adjustments for certain events as described in the indenture governing the 2025 Notes. </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option to redeem for cash all or any portion of the 2025 Notes on or after May 6, 2023 if the last reported sale price of the Company’s common stock has been at least 130% of the 2025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2025 Notes to be redeemed, plus accrued and unpaid interest. No sinking fund is provided for the 2025 Notes.</w:t>
      </w:r>
    </w:p>
    <w:p>
      <w:pPr>
        <w:pStyle w:val="TextBody"/>
        <w:bidi w:val="0"/>
        <w:spacing w:lineRule="auto" w:line="276"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Company will pay or deliver, as the case may be, cash, shares of common stock or a combination of cash and shares of common stock, at the Company’s election, in the manner and subject to the terms and conditions provided in the indenture governing the 2025 Notes.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Company’s convertible senior notes on the condensed consolidated balance sheets consisted of the following (in thousands):</w:t>
      </w:r>
    </w:p>
    <w:tbl>
      <w:tblPr>
        <w:tblW w:w="6295" w:type="dxa"/>
        <w:jc w:val="left"/>
        <w:tblInd w:w="0" w:type="dxa"/>
        <w:tblLayout w:type="fixed"/>
        <w:tblCellMar>
          <w:top w:w="28" w:type="dxa"/>
          <w:left w:w="28" w:type="dxa"/>
          <w:bottom w:w="28" w:type="dxa"/>
          <w:right w:w="28" w:type="dxa"/>
        </w:tblCellMar>
      </w:tblPr>
      <w:tblGrid>
        <w:gridCol w:w="1119"/>
        <w:gridCol w:w="982"/>
        <w:gridCol w:w="989"/>
        <w:gridCol w:w="237"/>
        <w:gridCol w:w="930"/>
        <w:gridCol w:w="122"/>
        <w:gridCol w:w="109"/>
        <w:gridCol w:w="109"/>
        <w:gridCol w:w="109"/>
        <w:gridCol w:w="281"/>
        <w:gridCol w:w="1103"/>
        <w:gridCol w:w="205"/>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128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2025</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2029</w:t>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316,250 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316,250 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amount</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357,010 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357,010 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349,441 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348,936 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(40,736)</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Long-term senior convertible notes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308,705 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308,266 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if-converted value of the 2025 Notes did not exceed the principal amount. As of March 31, 2025, the if-converted value of the 2029 Notes did not exceed the principal amount. As of December 31, 2024, the if-converted value of the 2029 Notes exceeded the principal amount by $13.4 million.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effective interest rates for each of our convertible senior notes for the periods shown:</w:t>
      </w:r>
    </w:p>
    <w:tbl>
      <w:tblPr>
        <w:tblW w:w="6397" w:type="dxa"/>
        <w:jc w:val="left"/>
        <w:tblInd w:w="0" w:type="dxa"/>
        <w:tblLayout w:type="fixed"/>
        <w:tblCellMar>
          <w:top w:w="28" w:type="dxa"/>
          <w:left w:w="28" w:type="dxa"/>
          <w:bottom w:w="28" w:type="dxa"/>
          <w:right w:w="28" w:type="dxa"/>
        </w:tblCellMar>
      </w:tblPr>
      <w:tblGrid>
        <w:gridCol w:w="1092"/>
        <w:gridCol w:w="957"/>
        <w:gridCol w:w="965"/>
        <w:gridCol w:w="215"/>
        <w:gridCol w:w="215"/>
        <w:gridCol w:w="535"/>
        <w:gridCol w:w="215"/>
        <w:gridCol w:w="215"/>
        <w:gridCol w:w="215"/>
        <w:gridCol w:w="215"/>
        <w:gridCol w:w="215"/>
        <w:gridCol w:w="535"/>
        <w:gridCol w:w="109"/>
        <w:gridCol w:w="109"/>
        <w:gridCol w:w="109"/>
        <w:gridCol w:w="109"/>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2025</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2029</w:t>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interest expense related to the Notes recognized for the three months ended March 31, 2025, and 2024 (in thousands):</w:t>
      </w:r>
    </w:p>
    <w:tbl>
      <w:tblPr>
        <w:tblW w:w="6273" w:type="dxa"/>
        <w:jc w:val="left"/>
        <w:tblInd w:w="0" w:type="dxa"/>
        <w:tblLayout w:type="fixed"/>
        <w:tblCellMar>
          <w:top w:w="28" w:type="dxa"/>
          <w:left w:w="28" w:type="dxa"/>
          <w:bottom w:w="28" w:type="dxa"/>
          <w:right w:w="28" w:type="dxa"/>
        </w:tblCellMar>
      </w:tblPr>
      <w:tblGrid>
        <w:gridCol w:w="1085"/>
        <w:gridCol w:w="954"/>
        <w:gridCol w:w="960"/>
        <w:gridCol w:w="247"/>
        <w:gridCol w:w="723"/>
        <w:gridCol w:w="127"/>
        <w:gridCol w:w="127"/>
        <w:gridCol w:w="127"/>
        <w:gridCol w:w="127"/>
        <w:gridCol w:w="247"/>
        <w:gridCol w:w="723"/>
        <w:gridCol w:w="127"/>
        <w:gridCol w:w="109"/>
        <w:gridCol w:w="109"/>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2029 Capped Call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2029 Notes, the Company entered into Capped Call Transactions in March 2024 with certain counterparties at a net cost of $15.8 million (2029 Capped Call Transactions). The 2029 Capped Call Transactions are expected generally to reduce potential dilution to the Common Stock upon any conversion of the 2029 Notes and/or offset any cash payments the Company is required to make in excess of the principal amount of converted 2029 Notes, as the case may be, with such reduction and/or offset subject to a cap based on a cap price initially equal to $42.0128 per share, and is subject to certain adjustments under the terms of the 2029 Capped Call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2025 Capped Call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2025 Notes, the Company entered into Capped Call Transactions in May 2020 with certain counterparties at a net cost of $34.1 million (2025 Capped Call Transactions). The 2025 Capped Call Transactions are expected generally to reduce potential dilution to the Common Stock upon any conversion of the 2025 Notes and/or offset any cash payments the Company is required to make in excess of the principal amount of converted 2025 Notes, as the case may be, with such reduction or offset subject to a cap. The cap price of the 2025 Capped Call Transactions is initially $173.18 per share of the Company’s common stock and is subject to certain adjustments under the terms of the 2025 Capped Call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repurchase of certain 2025 Notes, the Company entered into unwind agreements with the existing option counterparties on March 5, 2024 to terminate a portion of the existing 2025 Capped Call Transactions in a notional amount corresponding to the amount of 2025 Notes repurchased (the Unwind Transactions). In connection with the Unwind Transactions, the Company received $0.2 million in cash as a termination payment with respect to the portion of the existing 2025 Capped Call Transactions that were unwound. The amount received was based generally on the termination values of the unwound portions of the existing 2025 Capped Call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accounting purposes, each of the capped call transactions described above are separate transactions, and not part of the terms of the 2029 Notes or the 2025 Notes. As these transactions met certain criteria under the applicable accounting guidance, each of the capped call transactions were recorded in stockholders’ equity and were not accounted for as derivatives. The cost of the transactions was recorded as a reduction of the Company’s additional paid-in capital in the Company’s condensed consolidated balance sheet and will not be remeasured.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Promissory Note Payable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Capillary Biomedical, Inc. in 2022, the Company assumed a $4.7 million promissory note payable. The promissory note accrues interest at the rate of 5.0% per year, and becomes due and payable upon the first sale or license of the commercialized product. At March 31, 2025 and December 31, 2024, the loan balance, including accrued interest, was $4.9 million and $4.8 million, respectively, and was included as a component of other long-term liabilities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shares of the Company's common stock were reserved for future issuance at March 31, 2025 (in thousands):</w:t>
      </w:r>
    </w:p>
    <w:tbl>
      <w:tblPr>
        <w:tblW w:w="6965" w:type="dxa"/>
        <w:jc w:val="left"/>
        <w:tblInd w:w="0" w:type="dxa"/>
        <w:tblLayout w:type="fixed"/>
        <w:tblCellMar>
          <w:top w:w="28" w:type="dxa"/>
          <w:left w:w="28" w:type="dxa"/>
          <w:bottom w:w="28" w:type="dxa"/>
          <w:right w:w="28" w:type="dxa"/>
        </w:tblCellMar>
      </w:tblPr>
      <w:tblGrid>
        <w:gridCol w:w="2206"/>
        <w:gridCol w:w="1939"/>
        <w:gridCol w:w="1945"/>
        <w:gridCol w:w="360"/>
        <w:gridCol w:w="361"/>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issuance upon conversion of Convertible Senior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outstanding warrants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outstanding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 for issuance pursuant to awards granted under the 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 for future equity award grants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 to purchase shares of the Company's common stock as of March 31, 2025 were as follows:</w:t>
      </w:r>
    </w:p>
    <w:tbl>
      <w:tblPr>
        <w:tblW w:w="9631" w:type="dxa"/>
        <w:jc w:val="left"/>
        <w:tblInd w:w="0" w:type="dxa"/>
        <w:tblLayout w:type="fixed"/>
        <w:tblCellMar>
          <w:top w:w="28" w:type="dxa"/>
          <w:left w:w="28" w:type="dxa"/>
          <w:bottom w:w="28" w:type="dxa"/>
          <w:right w:w="28" w:type="dxa"/>
        </w:tblCellMar>
      </w:tblPr>
      <w:tblGrid>
        <w:gridCol w:w="401"/>
        <w:gridCol w:w="352"/>
        <w:gridCol w:w="357"/>
        <w:gridCol w:w="109"/>
        <w:gridCol w:w="109"/>
        <w:gridCol w:w="109"/>
        <w:gridCol w:w="649"/>
        <w:gridCol w:w="649"/>
        <w:gridCol w:w="652"/>
        <w:gridCol w:w="109"/>
        <w:gridCol w:w="109"/>
        <w:gridCol w:w="109"/>
        <w:gridCol w:w="624"/>
        <w:gridCol w:w="624"/>
        <w:gridCol w:w="626"/>
        <w:gridCol w:w="109"/>
        <w:gridCol w:w="109"/>
        <w:gridCol w:w="109"/>
        <w:gridCol w:w="109"/>
        <w:gridCol w:w="109"/>
        <w:gridCol w:w="109"/>
        <w:gridCol w:w="990"/>
        <w:gridCol w:w="990"/>
        <w:gridCol w:w="1409"/>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Date of Warrants Outstanding</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193,788 </w:t>
            </w:r>
          </w:p>
        </w:tc>
        <w:tc>
          <w:tcPr>
            <w:tcW w:w="6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2027</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warrant allows the holder to purchase one share of common stock at the per share exercise price of the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stock-based compensation expense included in the condensed consolidated statements of operations for all stock-based compensation arrangements (in thousands):</w:t>
      </w:r>
    </w:p>
    <w:tbl>
      <w:tblPr>
        <w:tblW w:w="6725" w:type="dxa"/>
        <w:jc w:val="left"/>
        <w:tblInd w:w="0" w:type="dxa"/>
        <w:tblLayout w:type="fixed"/>
        <w:tblCellMar>
          <w:top w:w="28" w:type="dxa"/>
          <w:left w:w="28" w:type="dxa"/>
          <w:bottom w:w="28" w:type="dxa"/>
          <w:right w:w="28" w:type="dxa"/>
        </w:tblCellMar>
      </w:tblPr>
      <w:tblGrid>
        <w:gridCol w:w="1248"/>
        <w:gridCol w:w="1093"/>
        <w:gridCol w:w="1109"/>
        <w:gridCol w:w="226"/>
        <w:gridCol w:w="772"/>
        <w:gridCol w:w="116"/>
        <w:gridCol w:w="116"/>
        <w:gridCol w:w="116"/>
        <w:gridCol w:w="116"/>
        <w:gridCol w:w="226"/>
        <w:gridCol w:w="772"/>
        <w:gridCol w:w="116"/>
        <w:gridCol w:w="109"/>
        <w:gridCol w:w="109"/>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stock-based compensation expense capitalized as part of the cost of the Company’s inventories was $1.7 million at March 31, 2025, and $1.8 million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units (RSUs) have a grant value equal to the closing price of the Company’s common stock on the award date.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number of RSUs granted and the respective weighted average grant date fair value were as follows:</w:t>
      </w:r>
    </w:p>
    <w:tbl>
      <w:tblPr>
        <w:tblW w:w="7414" w:type="dxa"/>
        <w:jc w:val="left"/>
        <w:tblInd w:w="0" w:type="dxa"/>
        <w:tblLayout w:type="fixed"/>
        <w:tblCellMar>
          <w:top w:w="28" w:type="dxa"/>
          <w:left w:w="28" w:type="dxa"/>
          <w:bottom w:w="28" w:type="dxa"/>
          <w:right w:w="28" w:type="dxa"/>
        </w:tblCellMar>
      </w:tblPr>
      <w:tblGrid>
        <w:gridCol w:w="1496"/>
        <w:gridCol w:w="1317"/>
        <w:gridCol w:w="1327"/>
        <w:gridCol w:w="247"/>
        <w:gridCol w:w="723"/>
        <w:gridCol w:w="127"/>
        <w:gridCol w:w="127"/>
        <w:gridCol w:w="127"/>
        <w:gridCol w:w="127"/>
        <w:gridCol w:w="247"/>
        <w:gridCol w:w="723"/>
        <w:gridCol w:w="127"/>
        <w:gridCol w:w="109"/>
        <w:gridCol w:w="109"/>
        <w:gridCol w:w="109"/>
        <w:gridCol w:w="109"/>
        <w:gridCol w:w="109"/>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2177" w:type="dxa"/>
            <w:gridSpan w:val="1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Employee Benefits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Defined Contribution Plans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defined contribution plans for certain of its employees. The Company’s largest defined contribution plan is the 401(k) plan for employees in the United States who are at least 18 years of age. Eligible employees may participate in the plan beginning on the first day of the calendar month following their date of hire. Unless they affirmatively elect otherwise, eligible employees are automatically enrolled in the plan following 30 days from their date of hire. Under the terms of the plan, eligible employees may make voluntary contributions as a percent of compensation and the Company may elect to match a discretionary percentage of employee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Company recognized income tax expense of $8.5 million on a pre-tax loss of $122.1 million. The Company calculated the provision for income taxes for the three months ended March 31, 2025 by applying an estimate of the annual effective tax rate for the full year to ordinary loss adjusted by the tax impact of discrete items. Income tax expense for the three months ended March 31, 2025 was primarily attributable to federal, state and foreign income tax expense as a result of current taxable income in certain jurisdictions.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the Company recognized income tax expense of $3.2 million on a pre-tax loss of $39.5 million. Income tax expense for the three months ended March 31, 2024 was primarily attributable to federal, state and foreign income tax expense as a result of current taxable income in certain jurisdictions. The Company calculated the provision for three months ended March 31, 2024 by applying an estimate of the annual effective tax rate for the full year to ordinary income (loss) adjusted by the tax impact of discrete items.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maintain a full valuation allowance against its net deferred tax assets as of March 31, 2025, based on the current assessment that it is not more likely than not these future benefits will be realized before expiration.</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Business Segment and Geographic Information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single-use insulin cartridges and infusion sets for the storage and delivery of insulin. The Company views its operations and manages its business as one reporting segment because key operating decisions and resource allocations are made by the CODM using consolidated financial data. Accordingly, the Company is organized as a single operating segment and therefore a single reportable segment: Insulin Pumps and Supplies.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CODM is the Chief Executive Officer (CEO), who evaluates segment performance based on segment net income (loss) on a consolidated basis. Segment net income (loss) was consistent with the net loss amounts reported in the Company’s condensed consolidated statement of operations and comprehensive loss for the three months ended March 31, 2025 and 2024. There were no significant segment expenses that are regularly provided to the CODM other than those reported in the Company’s condensed consolidated statement of operations and comprehensive loss for the three months ended March 31, 2025 and 2024.</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CODM is provided segment assets information on a consolidated basis for the evaluation of Company performance. Total segment assets were consistent with total assets reported in the Company’s condensed consolidated balance sheets for March 31, 2025 and December 31, 2024.</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 were consistent with revenue reported in the Company’s condensed consolidated statement of operations and comprehensive loss for the three months ended March 31, 2025 and 2024. 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major sales channel and product as management believes these categories best depict how the nature, amount and timing of revenues and cash flows are affected by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Revenues by Geographic Region and Customer Sales Channel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tbl>
      <w:tblPr>
        <w:tblW w:w="5493" w:type="dxa"/>
        <w:jc w:val="left"/>
        <w:tblInd w:w="0" w:type="dxa"/>
        <w:tblLayout w:type="fixed"/>
        <w:tblCellMar>
          <w:top w:w="28" w:type="dxa"/>
          <w:left w:w="28" w:type="dxa"/>
          <w:bottom w:w="28" w:type="dxa"/>
          <w:right w:w="28" w:type="dxa"/>
        </w:tblCellMar>
      </w:tblPr>
      <w:tblGrid>
        <w:gridCol w:w="789"/>
        <w:gridCol w:w="691"/>
        <w:gridCol w:w="695"/>
        <w:gridCol w:w="211"/>
        <w:gridCol w:w="826"/>
        <w:gridCol w:w="109"/>
        <w:gridCol w:w="109"/>
        <w:gridCol w:w="109"/>
        <w:gridCol w:w="109"/>
        <w:gridCol w:w="211"/>
        <w:gridCol w:w="826"/>
        <w:gridCol w:w="109"/>
        <w:gridCol w:w="109"/>
        <w:gridCol w:w="109"/>
        <w:gridCol w:w="109"/>
        <w:gridCol w:w="109"/>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Revenues by Product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sales by product were as follows (in thousands):</w:t>
      </w:r>
    </w:p>
    <w:tbl>
      <w:tblPr>
        <w:tblW w:w="7442" w:type="dxa"/>
        <w:jc w:val="left"/>
        <w:tblInd w:w="0" w:type="dxa"/>
        <w:tblLayout w:type="fixed"/>
        <w:tblCellMar>
          <w:top w:w="28" w:type="dxa"/>
          <w:left w:w="28" w:type="dxa"/>
          <w:bottom w:w="28" w:type="dxa"/>
          <w:right w:w="28" w:type="dxa"/>
        </w:tblCellMar>
      </w:tblPr>
      <w:tblGrid>
        <w:gridCol w:w="1489"/>
        <w:gridCol w:w="1307"/>
        <w:gridCol w:w="1328"/>
        <w:gridCol w:w="211"/>
        <w:gridCol w:w="826"/>
        <w:gridCol w:w="109"/>
        <w:gridCol w:w="109"/>
        <w:gridCol w:w="109"/>
        <w:gridCol w:w="109"/>
        <w:gridCol w:w="211"/>
        <w:gridCol w:w="826"/>
        <w:gridCol w:w="109"/>
        <w:gridCol w:w="109"/>
        <w:gridCol w:w="109"/>
        <w:gridCol w:w="109"/>
        <w:gridCol w:w="109"/>
        <w:gridCol w:w="109"/>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deferred for Tandem Choice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to distributors accounted for 60% and 61% of the Company’s United States sales for the three months ended March 31, 2025 and March 31, 2024, respectively. Sales to distributors accounted for the vast majority of the Company’s sales outside the United States for the three-month periods ended March 31, 2025 and 2024.</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entered into a share purchase agreement to acquire all of the registered shares of AMF Medical (Original Transaction). AMF Medical is the original developer of the Sigi Patch Pump, which continued to be under development and was not yet commercially available as of March 31, 2024.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completed the acquisition of AMF Medical. The total aggregate consideration for the Original Transaction included a previous strategic investment of Swiss Francs (CHF) 8.0 million made in the third quarter of 2022, a cash payment of CHF 62.4 million paid at the closing of the Transaction, and additional contingent earnout payments of up to CHF 129.6 million. The contingent consideration was to be recognized as certain defined contingencies were resolved and the respective consideration was paid or became payable.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an asset acquisition as substantially all the value of the gross assets was concentrated in a single asset. The Company recorded a $78.8 million charge in 2023 representing the value of acquired in-process research and development assets with no alternative future use, including acquisition-related expenses, on its condensed consolidated statements of operations in acquired in-process research and development expenses (IPR&amp;D).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the Company entered into a revised agreement that removed contingent liabilities previously included in the Original Transaction. Under the revised term, the Company agreed to pay CHF 68 million, consisting of a CHF 40 million payment made in January 2025 and a final payment of CHF 28 million due in October 2025. All other payment obligations in the Original Transaction were removed. The total amount of CHF 68 million was recognized as acquired IPR&amp;D in the Company’s condensed consolidated statement of operations and comprehensive loss. As of March 31, 2025, the remaining CHF 28 million was recorded as a short-term accrued liability for $31.1 million on the Company’s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Legal and Regulatory Matters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at the Unified Patent Court (UPC), Paris Central Division (UPC Paris), we filed a revocation action and an action for a declaration of non-infringement of EP Patent No. 2 196 231 B1 (the ’231 patent) against Roche Diabetes Care GmbH. While Roche contends that Tandem’s t:slim X2 pump infringes the ‘231 patent, we contend that our t:slim X2 pump does not infringe the ‘231 patent. Furthermore, we contend that the claims of the ‘231 patent are invalid over the prior art and should be revoked. In February 2024, Roche filed an infringement action against Tandem and its distributor in Germany at the UPC, Hamburg Local Division (UPC Hamburg) contending that Tandem’s t:slim X2 pump, and the offering, marketing, using, importing, possessing, and supplying of such devices infringes certain claims of the ‘231 patent. Roche seeks, among other things, damages and other monetary relief, costs and expenses of the legal proceedings, and an order to cease and desist the allegedly infringing activities. At the UPC Hamburg, Tandem has asserted that the t:slim X2 pump does not infringe the claims of the ‘231 patent and Tandem’s distributor has asserted that the t:slim X2 pump does not infringe the claims of the ‘231 patent and that the claims of the ‘231 patent are invalid and should be revoked. On November 6, 2024, the UPC Paris held a hearing on Tandem’s action to revoke the claims of the ‘231 patent. On December 18, 2024, the UPC Paris upheld the patent. The hearing in Hamburg on invalidity and non-infringement is scheduled for June 12,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F. Hoffman-La Roche AG and Roche Diabetes Care GmbH (collectively, Roche), filed an infringement action at the UPC, Dusseldorf Division (UPC Dusseldorf) against Tandem Diabetes Care, Inc. and Tandem Diabetes Care Europe B.V. and Tandem’s distributors in Germany, France, the Netherlands and Denmark. Roche alleges our t:slim X2 insulin pump, and the offering, marketing, using, importing, possessing, and supplying of such devices infringe EP Patent No. 1 970 677 B1 (the ‘677 patent). While Roche contends that Tandem’s t:slim X2 pump infringes the ‘677 patent, we contend that our t:slim X2 pump does not infringe the ‘677 patent. Furthermore, we contend that the claims of the ‘677 patent are invalid over the prior art and should be revoked. Roche seeks, among other things, damages and other monetary relief, costs and expenses of the legal proceedings, and an order to cease and desist the allegedly infringing activities. On April 9, 2025, the UPC Dusseldorf held a hearing on Roche’s action asserting infringement of the ‘677 patent, Tandem and its distributors’ counterclaims that the t:slim X2 pump does not infringe the ‘677 patent, and Tandem and its distributors’ actions to revoke the claims of the ‘677 patent. The action seeks unspecified monetary damages and other relief. The UPC Dusseldorf is expected to issue a ruling on May 22,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intends to vigorously defend against these claims, there is no guarantee that the Company will prevail. Accordingly, the Company is unable to determine the ultimate outcome of this lawsuit or determine the amount or range of potential losses associated with the lawsuit.</w:t>
      </w:r>
    </w:p>
    <w:p>
      <w:pPr>
        <w:pStyle w:val="TextBody"/>
        <w:bidi w:val="0"/>
        <w:spacing w:lineRule="auto" w:line="26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other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March 31, 2025 the Company believes it is not currently a party to any other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in connection with one of the Company’s operating leases (see Note 6, “Leases”), the Company had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together with our financial statements and related notes in Part I, Item 1 of this Quarterly Report on Form 10-Q for the quarter ended March 31, 2025 (Quarterly Report).</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product pipelines, development timelines, manufacturing plans, strategic plans and objectives, capital needs and financing plans, product launches, geographic expansion, distribution plans, production capacity, clinical trials, regulatory approvals, competitive position and the impact of changes in the competitive environment,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this Quarterly Report, as well as in the other public filings we make with the Securities and Exchange Commission. You should read this Quarterly Report with the understanding that our actual future financial condition and results may be materially different from and worse than what we expect.</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global insulin delivery and diabetes technology company focused on the design, development and commercialization of technology solutions that reduce the burden of diabetes management. We consider our primary addressable market to be people who live with type 1 diabetes. We recently expanded our addressable market in the United States following U.S. Food and Drug Administration (FDA) clearance of our products for people living with type 2 diabetes, ages 18 and older who require intensive insulin therapy. Diabetes management can vary greatly from person-to-person, creating multiple market segments based on clinical needs and personal preferences. Our goal is to address the individual needs of people with insulin-dependent diabetes and their care team, by offering flexibility and choice in intelligent insulin delivery systems, through an accessible portfolio of market-leading pumps, applications, and insights.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in 2012 through 2018, we derived nearly all of our sales from the shipment of insulin pumps and associated supplies to customers in the United States. Starting in the third quarter of 2018, we began selling in select geographies outside the United States and our technology solutions are now available in 25 countries worldwide.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portfolio approach, we offer people living with diabetes a choice in their therapy management system based on their individual needs and preferences. In support of this strategy, our portfolio includes both the t:slim X2 and the Tandem Mobi insulin pumps. The Tandem Mobi insulin pump is the world’s smallest durable automated insulin delivery (AID) system. At approximately half the size of our t:slim X2 pump, Tandem Mobi is designed for people who seek even greater discretion and flexibility, and includes features such as expanded pump-control from our iOS mobile application, inductive charging, and an on-pump button that can be used for bolusing and other actions. Beginning in early 2024, we scaled the commercial release of Tandem Mobi in the United States, first offering CGM integration with the Dexcom G6 sensor beginning in February 2024 followed by the Dexcom G7 beginning in June 2024.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vast majority of our customers use their insulin pump with CGM integration. This allows their insulin pump to receive CGM sensor readings, which can then be used in our AID algorithms, including our Control-IQ technology. Control-IQ is an advanced hybrid-closed loop feature designed to help increase a user’s time in their targeted glycemic range. Multiple studies, including four publications in the </w:t>
      </w:r>
      <w:r>
        <w:rPr>
          <w:rFonts w:ascii="Times New Roman;sans-serif" w:hAnsi="Times New Roman;sans-serif"/>
          <w:b w:val="false"/>
          <w:i/>
          <w:color w:val="000000"/>
          <w:sz w:val="20"/>
        </w:rPr>
        <w:t xml:space="preserve">New England Journal of Medicine </w:t>
      </w:r>
      <w:r>
        <w:rPr>
          <w:rFonts w:ascii="Times New Roman;sans-serif" w:hAnsi="Times New Roman;sans-serif"/>
          <w:b w:val="false"/>
          <w:color w:val="000000"/>
          <w:sz w:val="20"/>
        </w:rPr>
        <w:t>with the most recent in March 2025</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have demonstrated that use of Control-IQ technology provides people across all demographics with improved clinical outcomes that are both immediate and sustained.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t:slim X2 was the first pump in the industry on which remote software updates were made commercially available in the United States and is now also available in the countries we serve worldwide. This feature allows our t:slim X2 and Tandem Mobi customers to update their pump software independently. We believe this offering is a competitive advantage that allows us to bring our customers clinical and lifestyle enhancements within their warranty cycle without having to purchase a new pump. These enhancements include new developments in our AID technology, CGM integrations and mobile app features. For example, we recently offered a pump software update to allow Tandem pump users access to the latest generation of our algorithm, Control-IQ+ technology, offering greater levels of personalization and flexibility within our algorithm.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more than a decade we have offered our customers, their caregivers and healthcare providers a data management application to provide a fast, easy and visual way to display diabetes therapy management data from our pumps and integrated CGMs. In the second quarter of 2023, we expanded our digital technology solutions with the launch of Tandem Source in the United States. In the second quarter of 2024, we began a scaled launch of Tandem Source outside the United States. In addition to displaying diabetes therapy management data, Tandem Source is also designed to serve as a portal for supplies reordering and pump software updates.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Strategy &amp; Future Technology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Diabetes management can vary greatly from person-to-person, creating multiple market segments based on clinical needs and personal preferences. Our goal is to redefine global leadership in insulin delivery with an accessible portfolio of transformational devices, applications and services that reduce the daily burden of living with diabetes.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support of this strategy, our portfolio of future technologies includes enhancing the features and capabilities of our t:slim X2 and Tandem Mobi insulin pump platforms, including adding a tubeless infusion site option for Tandem Mobi users. Our development efforts also include Sigi, our ergonomic and rechargeable patch pump, in addition to extended wear infusion technology and algorithm advancement in pursuit of offering fully closed loop technology.</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Pump Reimbursement Cycle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Insulin pumps in the markets we serve worldwide are generally subject to a four-year reimbursement cycle, imposed by the third-party insurance carrier, government plan or healthcare system that serves as the primary payor. At the end of the typical four-year reimbursement cycle, customers may be eligible to purchase a new insulin pump, subject to the rules and requirements of their primary insurance payor. While warranties generally expire four years from the original pump shipment date, those customers that renew take on average up to one year from date of warranty expiration to purchase a subsequent pump. While the majority of our insulin pump sales from initial commercialization through the current period have been generated by sales to new customers, the opportunity to make subsequent sales of renewal insulin pumps to existing customers increases each period as an escalating number of customer warranties expire. With programs dedicated to customer retention efforts, we expect such renewal purchases to represent an increasing portion of our pump shipments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over 480,000 users in our in-warranty installed base, approximately one-third of whom live outside the United States.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ordering patterns of, and levels of inventory carried by, our distributors outside the United States for pumps and supplies have historically been highly variable from period to period due to a number of factors, including summer vacations, the timing of product launches, expansion into new geographies and variability due to supply chain logistics, particularly during the global pandemic. This also influences the timing in which renewal eligibility begins for existing customers, which may not initially be consistent with trends in the United States market. We recently began completing full four-year reimbursement cycles in an increasing number of our markets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Trends and Uncertainties Impacting Financial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condition and operating results have historically fluctuated on a quarterly or annual basis. We expect these periodic fluctuations will continue to be impacted by a number of trends and uncertainties, including the following: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Approvals and Actions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revenue and results of operations.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Any adverse event involving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Markets, Seasonality, Competition, and Product Launches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expect our business to be impacted by the introduction of new diabetes devices and treatments by us or our competitors. The success of our products is variable and we believe it correlates to market acceptance, anticipated product launches and commercial availability.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second half of the year due to the nature of the reimbursement environment. Other factors that may impact sales across the year include the timing of winter, summer and other seasonal holidays, particularly in our markets outside the United States.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Regulatory approval and/or upcoming launches of other new Tandem or competing products could also adversely impact timing of purchasing decisions.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 periods following new product launches, particularly with new hardware platforms, our cost of sales may increase on a per unit basis until the new products achieve manufacturing scale and operating expenses may be elevated by increased sales and marketing spend to support the product launches.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insulin pump products are generally considered durable medical equipment (DME) and have an expected lifespan of at least four years. In addition to insulin pumps, we sell single-use products that are used together with our pumps and are replaced every few days, including cartridges for storing and delivering insulin, and infusion sets that connect the insulin pump to a user’s body. Because of the DME classification, our pumps and supplies are typically reimbursed through a medical benefit. As our portfolio expands, we are implementing a multi-channel managed care strategy and have begun serving Mobi customers through the pharmacy channel on a scaled basis in 2025.</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We generally have had broad insurance coverage for our current products from third-party payors. Our revenue and results of operations may be impacted by the failure to secure or retain adequate coverage, changes in reimbursement structures or availability of affordable options for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Macroeconomic Factors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Global economic and market uncertainty, such as recessionary concerns, changes in discretionary spending and increased interest rates have impacted our customers’ purchasing decisions and the buying patterns of our distributors.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High inflation, fluctuations in foreign currency valuations, uncertainty regarding tariffs and trade relations, and the effects of other macroeconomic factors and concerns have disrupted and may continue to disrupt our relationships with suppliers, third-party manufacturers, healthcare providers, distributors and our existing or potential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products for people with insulin-dependent diabetes, including a portfolio of hardware platforms, single-use insulin cartridges and infusion sets, data management platforms and mobile applications. Our primary customers are the end users of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typically reported in the first quarter of each calendar year and the highest percentage is typically reported in the fourth quarter. See also “Trends and Uncertainties Impacting Financial Results — Markets, Seasonality, Competition, and Product Launches” above.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September 2022 through February 2024, we offered the Tandem Choice program to eligible t:slim X2 customers to provide a pathway to ownership of Tandem Mobi for a fee once available. Eligible customers who purchased a t:slim X2 insulin pump during the program period had until December 31, 2024 to exercise the option to switch to the Tandem Mobi for a stated fee. The accounting treatment for Tandem Choice was complex (see Note 2, “Summary of Significant Accounting Policies”). The program required the deferral of some portion of sales for shipments of eligible pumps between the third quarter of 2022 and the first quarter of 2024. No election was made by the customer at the time of the initial sale, nor did the right offered to the customer impact the economics associated with how or when the initial pump sale was reimbursed. When a customer elected to participate in Tandem Choice, we recognized the existing sales deferral, incremental fees received and the associated costs of goods sold for the new insulin pump, Tandem Mobi, at the time of fulfillment. Qualifying customers were able to elect participation in Tandem Choice starting near the end of the second quarter of 2024. The remaining deferral balance was recognized as revenue when the program ended on December 31, 2024.</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on a per unit basis. Therefore, the percentage of pump sales relative to total sales could have a significant impact on our overall gross margin percentage.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Our sales territories in the United States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trials, payments under our licensing, development and commercialization agreements and other indirect costs.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Acquired In-process Research and Development (IPR&amp;D)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 reflects costs of external research and development projects acquired directly in a transaction other than a business combination, which do not have an alternative future use.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Income and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and expense primarily consist of interest earned on our cash equivalents and short-term investments, income or loss from equity method investments, foreign currency transaction gains and losses and interest expense which includes the amortization of debt issuance costs related to our convertible senior notes.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Company maintains a full valuation allowance against its net deferred tax assets, income tax expense is expected to primarily consist of current federal, state and foreign cash tax expense as a result of taxable income anticipated or incurred in those jurisdictions.</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tbl>
      <w:tblPr>
        <w:tblW w:w="8396" w:type="dxa"/>
        <w:jc w:val="left"/>
        <w:tblInd w:w="0" w:type="dxa"/>
        <w:tblLayout w:type="fixed"/>
        <w:tblCellMar>
          <w:top w:w="28" w:type="dxa"/>
          <w:left w:w="28" w:type="dxa"/>
          <w:bottom w:w="28" w:type="dxa"/>
          <w:right w:w="28" w:type="dxa"/>
        </w:tblCellMar>
      </w:tblPr>
      <w:tblGrid>
        <w:gridCol w:w="1692"/>
        <w:gridCol w:w="1492"/>
        <w:gridCol w:w="1495"/>
        <w:gridCol w:w="211"/>
        <w:gridCol w:w="901"/>
        <w:gridCol w:w="271"/>
        <w:gridCol w:w="109"/>
        <w:gridCol w:w="109"/>
        <w:gridCol w:w="109"/>
        <w:gridCol w:w="211"/>
        <w:gridCol w:w="826"/>
        <w:gridCol w:w="271"/>
        <w:gridCol w:w="109"/>
        <w:gridCol w:w="109"/>
        <w:gridCol w:w="109"/>
        <w:gridCol w:w="109"/>
        <w:gridCol w:w="109"/>
        <w:gridCol w:w="154"/>
      </w:tblGrid>
      <w:tr>
        <w:trPr/>
        <w:tc>
          <w:tcPr>
            <w:tcW w:w="16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38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234,422 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expenses</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(120,878)</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(41,678)</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investments</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(130,556)</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(42,715)</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2025 and 2024</w:t>
      </w:r>
    </w:p>
    <w:p>
      <w:pPr>
        <w:pStyle w:val="TextBody"/>
        <w:bidi w:val="0"/>
        <w:spacing w:lineRule="auto" w:line="288" w:before="24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we shipped nearly 29,000 pumps worldwide. Sales were $234.4 million, which included $83.8 million of sales outside the United States. Sales were $191.7 million for the three months ended March 31, 2024, which included $61.9 million of sales outside the United States. For the three months ended March 31, 2024, we deferred $1.1 million of pump sales as the result of Tandem Choice. </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by product in the United States were as follows (in thousands):</w:t>
      </w:r>
    </w:p>
    <w:tbl>
      <w:tblPr>
        <w:tblW w:w="7006" w:type="dxa"/>
        <w:jc w:val="left"/>
        <w:tblInd w:w="0" w:type="dxa"/>
        <w:tblLayout w:type="fixed"/>
        <w:tblCellMar>
          <w:top w:w="28" w:type="dxa"/>
          <w:left w:w="28" w:type="dxa"/>
          <w:bottom w:w="28" w:type="dxa"/>
          <w:right w:w="28" w:type="dxa"/>
        </w:tblCellMar>
      </w:tblPr>
      <w:tblGrid>
        <w:gridCol w:w="1489"/>
        <w:gridCol w:w="1307"/>
        <w:gridCol w:w="1328"/>
        <w:gridCol w:w="211"/>
        <w:gridCol w:w="826"/>
        <w:gridCol w:w="109"/>
        <w:gridCol w:w="109"/>
        <w:gridCol w:w="109"/>
        <w:gridCol w:w="109"/>
        <w:gridCol w:w="211"/>
        <w:gridCol w:w="826"/>
        <w:gridCol w:w="109"/>
        <w:gridCol w:w="109"/>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deferred for Tandem Choice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in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Pump sales in the United States increased primarily due to growth in pump shipments to over 17,000 in the first quarter of 2025, compared to 15,000 in the first quarter of 2024. Sales of pump-related supplies increased as a result of volume growth, as well as an increase in average selling prices. Sales in the first quarter of 2024 were reduced by $1.1 million from sales deferrals related to Tandem Choice, for which there were no comparable adjustments in 2025.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by product outside the United States were as follows (in thousands):</w:t>
      </w:r>
    </w:p>
    <w:tbl>
      <w:tblPr>
        <w:tblW w:w="5791" w:type="dxa"/>
        <w:jc w:val="left"/>
        <w:tblInd w:w="0" w:type="dxa"/>
        <w:tblLayout w:type="fixed"/>
        <w:tblCellMar>
          <w:top w:w="28" w:type="dxa"/>
          <w:left w:w="28" w:type="dxa"/>
          <w:bottom w:w="28" w:type="dxa"/>
          <w:right w:w="28" w:type="dxa"/>
        </w:tblCellMar>
      </w:tblPr>
      <w:tblGrid>
        <w:gridCol w:w="1126"/>
        <w:gridCol w:w="989"/>
        <w:gridCol w:w="1004"/>
        <w:gridCol w:w="211"/>
        <w:gridCol w:w="721"/>
        <w:gridCol w:w="109"/>
        <w:gridCol w:w="109"/>
        <w:gridCol w:w="109"/>
        <w:gridCol w:w="109"/>
        <w:gridCol w:w="211"/>
        <w:gridCol w:w="721"/>
        <w:gridCol w:w="109"/>
        <w:gridCol w:w="109"/>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Outside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first quarter of 2025, both pumps and pump-related supply sales increased due to a year-over-year increase in volumes, with pump shipments growing to over 11,000 pumps for the first quarter of 2025, compared to 10,000 in the first quarter of 2024. </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Cost of Sales and Gross Profit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Our cost of sales for the three months</w:t>
      </w:r>
      <w:r>
        <w:rPr>
          <w:color w:val="000000"/>
        </w:rPr>
        <w:t xml:space="preserve"> </w:t>
      </w:r>
      <w:r>
        <w:rPr>
          <w:rFonts w:ascii="Times New Roman;sans-serif" w:hAnsi="Times New Roman;sans-serif"/>
          <w:b w:val="false"/>
          <w:color w:val="000000"/>
          <w:sz w:val="20"/>
        </w:rPr>
        <w:t>ended March 31, 2025</w:t>
      </w:r>
      <w:r>
        <w:rPr>
          <w:color w:val="000000"/>
        </w:rPr>
        <w:t xml:space="preserve"> </w:t>
      </w:r>
      <w:r>
        <w:rPr>
          <w:rFonts w:ascii="Times New Roman;sans-serif" w:hAnsi="Times New Roman;sans-serif"/>
          <w:b w:val="false"/>
          <w:color w:val="000000"/>
          <w:sz w:val="20"/>
        </w:rPr>
        <w:t>was $116.0 million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resulting in gross profit of $118.4 million, compared to cost of sales of $97.0 million and gross profit of $94.7 million for the same period in 2024. The gross margins for the three-month periods</w:t>
      </w:r>
      <w:r>
        <w:rPr>
          <w:color w:val="000000"/>
        </w:rPr>
        <w:t xml:space="preserve"> </w:t>
      </w:r>
      <w:r>
        <w:rPr>
          <w:rFonts w:ascii="Times New Roman;sans-serif" w:hAnsi="Times New Roman;sans-serif"/>
          <w:b w:val="false"/>
          <w:color w:val="000000"/>
          <w:sz w:val="20"/>
        </w:rPr>
        <w:t>ended March 31, 2025 and 2024 were 51% and 49%, respectively. This increase in gross margin was primarily driven by an improvement in pump manufacturing and non-manufacturing costs per unit.</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for the three months ended March 31, 2025 were $239.3 million, compared to $136.4 million for the three months ended March 31, 2024. The $102.9 million increase was primarily driven by a $75.2 million charge to IPR&amp;D in connection with the revised AMF purchase agreement (see Note 12, “Acquisitions”), as well as costs related to operating lease impairment and restructuring charges related to relocation of certain research and development activities and sales force expansion.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SG&amp;A expenses, including one-time charges for non-recurring facility impairment costs of $6.7 million and restructuring costs of $2.2 million, were $113.9 million for the three months ended March 31, 2025, compared to $90.1 million for the same period in 2024. After one-time costs, the remaining increase was largely driven by higher employee-related expenses of $11.0 million due to increased headcount and sales force expansion.</w:t>
      </w:r>
    </w:p>
    <w:tbl>
      <w:tblPr>
        <w:tblW w:w="5873" w:type="dxa"/>
        <w:jc w:val="left"/>
        <w:tblInd w:w="0" w:type="dxa"/>
        <w:tblLayout w:type="fixed"/>
        <w:tblCellMar>
          <w:top w:w="28" w:type="dxa"/>
          <w:left w:w="28" w:type="dxa"/>
          <w:bottom w:w="28" w:type="dxa"/>
          <w:right w:w="28" w:type="dxa"/>
        </w:tblCellMar>
      </w:tblPr>
      <w:tblGrid>
        <w:gridCol w:w="1201"/>
        <w:gridCol w:w="1055"/>
        <w:gridCol w:w="1058"/>
        <w:gridCol w:w="211"/>
        <w:gridCol w:w="826"/>
        <w:gridCol w:w="109"/>
        <w:gridCol w:w="109"/>
        <w:gridCol w:w="109"/>
        <w:gridCol w:w="109"/>
        <w:gridCol w:w="211"/>
        <w:gridCol w:w="72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facility impairment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SG&amp;A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R&amp;D expenses, including one-time charges for non-recurring restructuring costs of $2.3 million, increased to $50.2 million for the three months ended March 31, 2025, from $46.2 million for the same period in 2024. After one-time costs, the remaining increase in R&amp;D expenses was primarily the result of other employee expenses.</w:t>
      </w:r>
    </w:p>
    <w:tbl>
      <w:tblPr>
        <w:tblW w:w="4763"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R&amp;D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 xml:space="preserve">Acquired In-Process Research and Development (IPR&amp;D) Expenses. </w:t>
      </w:r>
      <w:r>
        <w:rPr>
          <w:rFonts w:ascii="Times New Roman;sans-serif" w:hAnsi="Times New Roman;sans-serif"/>
          <w:b w:val="false"/>
          <w:color w:val="000000"/>
          <w:sz w:val="20"/>
        </w:rPr>
        <w:t>Acquired</w:t>
      </w:r>
      <w:r>
        <w:rPr>
          <w:color w:val="000000"/>
        </w:rPr>
        <w:t xml:space="preserve"> </w:t>
      </w:r>
      <w:r>
        <w:rPr>
          <w:rFonts w:ascii="Times New Roman;sans-serif" w:hAnsi="Times New Roman;sans-serif"/>
          <w:b w:val="false"/>
          <w:color w:val="000000"/>
          <w:sz w:val="20"/>
        </w:rPr>
        <w:t>IPR&amp;D expenses were $75.2 million for the three months ended March 31, 2025, which represented costs associated with the revised AMF purchase agreement (see Note 12, “Acquisitions”). We did not incur any IPR&amp;D expenses for the three months ended March 31, 2024.</w:t>
      </w:r>
    </w:p>
    <w:p>
      <w:pPr>
        <w:pStyle w:val="TextBody"/>
        <w:bidi w:val="0"/>
        <w:spacing w:lineRule="auto" w:line="288" w:before="200" w:after="283"/>
        <w:ind w:left="0" w:right="0" w:firstLine="360"/>
        <w:jc w:val="left"/>
        <w:rPr/>
      </w:pPr>
      <w:r>
        <w:rPr>
          <w:rFonts w:ascii="Times New Roman;sans-serif" w:hAnsi="Times New Roman;sans-serif"/>
          <w:b/>
          <w:color w:val="000000"/>
          <w:sz w:val="20"/>
        </w:rPr>
        <w:t>Other Income (Expense), Net</w:t>
      </w:r>
      <w:r>
        <w:rPr>
          <w:color w:val="000000"/>
        </w:rPr>
        <w:t xml:space="preser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for the three months ended March 31, 2025 was a $1.2 million loss, compared to $2.1 million of income for the same period in 2024. Other expense, net for the three months ended March 31, 2025 primarily consisted of $3.5 million loss on equity investment and $1.9 million of interest expense which included the amortization of debt issuance costs related to our convertible senior notes due 2025 and 2029 (the 2025 Notes and the 2029 Notes, respectively), offset by $4.3 million of interest income earned on our cash equivalents and short-term investments. Other income, net for the three months ended March 31, 2024 primarily consisted of $5.3 million of interest income earned on our cash equivalents and short-term investments, partially offset by $1.9 million of interest expense which included the amortization of debt issuance costs related to the 2025 Notes and the 2029 Notes. We also incurred a loss on debt extinguishment of $1.3 million during the three months ended March 31, 2024.</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income tax expense of $8.5 million on a pre-tax loss of $122.1 million for the three months ended March 31, 2025, compared to income tax expense of $3.2 million on a pre-tax loss of $39.5 million for the three months ended March 31, 2024. Income tax expense for the three months ended March 31, 2025 and 2024 was primarily attributable to federal, state and foreign income tax expense as a result of current taxable income in certain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we had $368.6 million in cash and cash equivalents and short-term investments. We believe that our cash and cash equivalents, short-term investments, and future cash flows from operations will be sufficient to fund our ongoing core business activities for at least the next 12 months.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asset acquisitions, capital expenditures and debt service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principal sources of cash have included cash collected from product sales, private and public offerings of equity securities, exercises of employee stock awards and debt financing. We expect to rely on these sources of cash, primarily from product sales, to fund our material cash requirements in both the short and long term.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our cash flows for the three months ended March 31, 2025, and 2024 (in thousands):</w:t>
      </w:r>
    </w:p>
    <w:tbl>
      <w:tblPr>
        <w:tblW w:w="7158" w:type="dxa"/>
        <w:jc w:val="left"/>
        <w:tblInd w:w="0" w:type="dxa"/>
        <w:tblLayout w:type="fixed"/>
        <w:tblCellMar>
          <w:top w:w="28" w:type="dxa"/>
          <w:left w:w="28" w:type="dxa"/>
          <w:bottom w:w="28" w:type="dxa"/>
          <w:right w:w="28" w:type="dxa"/>
        </w:tblCellMar>
      </w:tblPr>
      <w:tblGrid>
        <w:gridCol w:w="1564"/>
        <w:gridCol w:w="1372"/>
        <w:gridCol w:w="1384"/>
        <w:gridCol w:w="221"/>
        <w:gridCol w:w="837"/>
        <w:gridCol w:w="114"/>
        <w:gridCol w:w="114"/>
        <w:gridCol w:w="114"/>
        <w:gridCol w:w="114"/>
        <w:gridCol w:w="221"/>
        <w:gridCol w:w="726"/>
        <w:gridCol w:w="114"/>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7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9,186 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w:t>
            </w:r>
          </w:p>
        </w:tc>
        <w:tc>
          <w:tcPr>
            <w:tcW w:w="10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(15,660)</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Operating Activities</w:t>
      </w:r>
      <w:r>
        <w:rPr>
          <w:rFonts w:ascii="Times New Roman;sans-serif" w:hAnsi="Times New Roman;sans-serif"/>
          <w:b w:val="false"/>
          <w:color w:val="000000"/>
          <w:sz w:val="20"/>
        </w:rPr>
        <w:t>. Net cash used in operating activities was $18.3 million for the three months ended March 31, 2025, compared to $8.0 million used in the same period in 2024. For the three months ended March 31, 2025, net loss was $130.6 million, net non-cash adjustments were $118.1 million, and changes in working capital balances was a decrease of $5.8 million. For the three months ended March 31, 2024, net loss was $42.7 million, net non-cash adjustments were $29.8 million and change in working capital balances was an increase of $4.9 million.</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Investing Activities</w:t>
      </w:r>
      <w:r>
        <w:rPr>
          <w:rFonts w:ascii="Times New Roman;sans-serif" w:hAnsi="Times New Roman;sans-serif"/>
          <w:b w:val="false"/>
          <w:color w:val="000000"/>
          <w:sz w:val="20"/>
        </w:rPr>
        <w:t>. Net cash provided by investing activities was $9.2 million for the three months ended March 31, 2025,</w:t>
      </w:r>
      <w:r>
        <w:rPr>
          <w:color w:val="000000"/>
        </w:rPr>
        <w:t xml:space="preserve"> </w:t>
      </w:r>
      <w:r>
        <w:rPr>
          <w:rFonts w:ascii="Times New Roman;sans-serif" w:hAnsi="Times New Roman;sans-serif"/>
          <w:b w:val="false"/>
          <w:color w:val="000000"/>
          <w:sz w:val="20"/>
        </w:rPr>
        <w:t>which primarily consisted of $65.1 million in proceeds from maturities and redemptions of short-term investments, offset by $43.5 million paid for IPR&amp;D, $9.5 million in purchases of short-term investments, and $3.0 million in purchases of property and equipment. Net cash used in investing activities was $5.1 million for the three months ended March 31, 2024, which primarily consisted of $84.2 million in purchases of short-term investments, and $4.5 million in purchases of property and equipment, offset by $83.7 million in proceeds from maturities and redemptions of short-term investments.</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 xml:space="preserve">Financing Activities. </w:t>
      </w:r>
      <w:r>
        <w:rPr>
          <w:rFonts w:ascii="Times New Roman;sans-serif" w:hAnsi="Times New Roman;sans-serif"/>
          <w:b w:val="false"/>
          <w:color w:val="000000"/>
          <w:sz w:val="20"/>
        </w:rPr>
        <w:t>Net cash used in financing activities was</w:t>
      </w:r>
      <w:r>
        <w:rPr>
          <w:color w:val="000000"/>
        </w:rPr>
        <w:t xml:space="preserve"> </w:t>
      </w:r>
      <w:r>
        <w:rPr>
          <w:rFonts w:ascii="Times New Roman;sans-serif" w:hAnsi="Times New Roman;sans-serif"/>
          <w:b w:val="false"/>
          <w:color w:val="000000"/>
          <w:sz w:val="20"/>
        </w:rPr>
        <w:t>$4.7</w:t>
      </w:r>
      <w:r>
        <w:rPr>
          <w:color w:val="000000"/>
        </w:rPr>
        <w:t xml:space="preserve"> </w:t>
      </w:r>
      <w:r>
        <w:rPr>
          <w:rFonts w:ascii="Times New Roman;sans-serif" w:hAnsi="Times New Roman;sans-serif"/>
          <w:b w:val="false"/>
          <w:color w:val="000000"/>
          <w:sz w:val="20"/>
        </w:rPr>
        <w:t>million for the three months ended March 31, 2025, which consisted of payments for tax withholdings related to the issuance of common stock under our stock plans, partially offset by proceeds received from common stock issuances for the period. Net cash provided by financing activities was $13.6 million for the three months ended March 31, 2024, which primarily consisted of net proceeds of $306.9 million from the issuance of the 2029 Notes, offset by $246.1 million used in the repurchase of the 2025 Notes, $30.0 million used to repurchase and retire common stock and $15.8 million used to purchase Capped Call Options related to the 2029 Notes. In addition, $1.5 million was used in payments for tax withholdings related to the issuance of common stock under our stock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position and capital requirements are subject to fluctuation based on a number of factors. In particular, our cash inflows and outflows are principally impacted by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generate sales, the timing of those sales, the mix of products sold and the collection of receivables from period to period;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contractual debt obligations, including periodic interest payments;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timing of any additional financings, and the net proceeds raised from such financings;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amount of proceeds from the issuance of equity awards pursuant to employee stock plans;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fluctuations in costs, gross and operating margins;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working capital, including changes in accounts receivable, inventories, accounts payable, employee-related liabilities, and operating lease liabilities.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Both our primary short-term and long-term capital needs are expected to include expenditures related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support of our commercialization efforts related to our current and future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expansion of our commercial resources for our growing installed customer base;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research and product development efforts, including clinical trial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acquisitions, including strategic investments, equity method investments and future contingent payments associated with acquisitions;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leasing or licensing of equipment, technology, intellectual property and other assets;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additional facilities leases and related tenant improvements;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investments for the development, improvement and acquisition of manufacturing, testing and packaging equipment to support business growth and increase capacity;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payments under licensing, development and commercialization agreements;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integration costs related to acquisitions of businesses, products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judgments that affect the reported amounts of assets, liabilities, revenues and expenses and the disclosure of contingent assets and liabilities in our condensed consolidated financial statements and accompanying notes as of the date of the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Some of those judgments can be subjective and complex, and therefore, actual results could differ materially from those estimates under different assumptions or conditions.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quantitative and qualitative disclosures about market risk during the three months ended March 31, 2025. See Part II, Item 7A of our Annual Report on Form 10-K for the fiscal year ended December 31, 2024 for a detailed discussion of our market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March 31,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provide reasonable assurance of achieving their objectives as specified above. However, management does not expect that our disclosure controls and procedures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of the Exchange Act) during the quarter ended March 31,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set forth above under the caption “Commitments and Contingencies - Legal and Regulatory Matters” in Part I, Notes to Unaudited Condensed Consolidated Financial Statements, Note 13 of this Quarterly Report, as of March 31, 2025, we do not believe there are any material pending legal proceedings to which we or any of our subsidiaries are a party or of which any of our property is subject. See also “Patent litigation in the medical device industry is common, and we may be subject to litigation that could cause us to incur substantial costs and divert the attention of management from our business” in Part II, Item 1A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76"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immediately after this summary, and should be carefully considered, together with other information in this Quarterly Report and the Annual Report, before making investment decisions regarding our securities.</w:t>
      </w:r>
    </w:p>
    <w:p>
      <w:pPr>
        <w:pStyle w:val="TextBody"/>
        <w:bidi w:val="0"/>
        <w:spacing w:lineRule="auto" w:line="276"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have incurred significant operating losses since inception and cannot assure you that we will</w:t>
      </w:r>
      <w:r>
        <w:rPr>
          <w:color w:val="000000"/>
        </w:rPr>
        <w:t xml:space="preserve"> </w:t>
      </w:r>
      <w:r>
        <w:rPr>
          <w:rFonts w:ascii="Times New Roman;sans-serif" w:hAnsi="Times New Roman;sans-serif"/>
          <w:b w:val="false"/>
          <w:color w:val="000000"/>
          <w:sz w:val="20"/>
        </w:rPr>
        <w:t>achieve sustained profitability.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currently rely on sales of insulin pump products to generate a significant portion of our revenue, and any factors that negatively impact sales of these products may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maintain and grow our revenue depends in part on retaining a high percentage of our customer base.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Failure to secure or retain adequate coverage or reimbursement for our current and future products by third-party payors could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Competing products, therapeutic techniques or other technological developments and breakthroughs for the monitoring, treatment or prevention of diabetes may render our products obsolete or less desirable or reduce the size of our potential market.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sales and marketing efforts in the United States are largely dependent on independent distributors who are free to market products that compete with our products. If we are unable to maintain or expand our network of independent distributors, our sales may be negatively affected.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are dependent on clinical investigators and clinical sites to enroll participants in our current and anticipated clinical trials and human factors studies, and the failure to successfully complete clinical trials and studies could prevent us from obtaining regulatory clearances, certifications, or approvals for or commercializing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Any concerns regarding the safety or efficacy of our products could limit sales and cause unforeseen negative effects to our business prospects and financial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International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Commercializing our products outside of the United States may result in a variety of risks associated with international operations that could materially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Failure to obtain any required regulatory authorization, clearance or certification in foreign jurisdictions will prevent us from marketing our products in international markets.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Servicing our senior convertible notes (the Notes) will require a significant amount of cash, and we may not have sufficient cash flow from our business to repay the Notes.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Future Financings and Financial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need to raise additional funds in the future and if we are unable to raise additional funds when necessary or desirable, we may not be able to achieve our strategic objectives.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operating results may fluctuate significantly from quarter to quarter.</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Macroeconomic Conditions and External Factors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International trade policies, including tariffs, sanctions and trade barriers may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Uncertainty in current global economic and political conditions could adversely affect our ability to predict product demand and impact our financial results and make it more likely that our actual results could differ materially from expectations.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Public health threats, epidemics, or pandemics could have a material adverse effect on our operations, the operations of our business partners, and the global economy as a whole.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Climate change or other extreme weather conditions and related regulations may have a long-term impact on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Privacy and Security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be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Legal and Intellectual Property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comprehensively protect our intellectual property and proprietary technology is uncertain.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Patent litigation in the medical device industry is common, and we may be subject to litigation that could cause us to incur substantial costs and divert the attention of management from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be subject to damages resulting from claims that we, or our employees, have wrongfully used or disclosed trade secrets or other proprietary information of our competitors.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Regulatory Environment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New products or modifications to our existing products may require new 510(k) clearances, PMAs or certifications, or may require us to cease marketing or recall the modified products until clearances, certifications or approvals are obtained.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recall or suspension of our products, or the discovery of serious safety issues with our products, could have a significant negative impact on us.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Other Risks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price of our common stock may continue to fluctuate significantly.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use our net operating loss carryforwards and certain other tax attributes may be limited.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the cautionary note regarding forward-looking statements at the beginning of Part I, Item 2, Management’s Discussion and Analysis of Financial Condition and Results of Operations of this Quarterly Report.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risk factors set forth below marked with an asterisk (*) next to the title did not appear as separate risk factors in, or contain changes to the similarly titled risk factor included in, Part I, Item 1A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operating losses since inception and cannot assure you that we will achieve sustained profitability.*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in January 2006, we have incurred a significant net loss. As of March 31, 2025, we had an accumulated deficit of $1.2 billion. To date, we have funded our operations primarily through cash collected from product sales, private and public offerings of our equity securities, and debt financings. We have devoted substantially all of our resources to the design, development and commercialization of our products, the scaling of our manufacturing and business operations, and the research and development of our current products and products under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the first quarter of 2013, we have been able to manufacture and sell our insulin pump products at a cost and in volumes sufficient to allow us to achieve a positive overall gross margin. Although we have achieved a positive overall gross margin during the years ended December 31, 2024, 2023 and 2022, we had net losses from operations in those years, and we may continue to incur net losses from operations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research and development (R&amp;D) activities, create additional efficiencies in our manufacturing processes while adding to our capacity, and obtain regulatory clearance, certification or approval to commercialize our products currently under development both in the United States and the 24 countries outside the United States in which our insulin pumps are available. We expect our expenses will continue to increase as we pursue these objectives and make investments in our business. Additional increases in our expenses without commensurate increases in sales could significantly increase our operating losses.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extent of our future operating losses and the timing of our profitability are highly uncertain in light of a number of factors, including the timing of the launch of new products and product features by us and our competitors, market acceptance of our products and competing products by people with insulin-dependent diabetes, their caregivers and healthcare providers, the timing of regulatory clearance, certification, or approval of our products and the products of our competitors, the actual efficiencies gained in our manufacturing processes, and general economic conditions. Any additional operating losses will have an adverse effect on our stockholders’ equity, and we cannot assure you that we will be able to achieve and sustain profitability.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currently rely on sales of insulin pump products to generate a significant portion of our revenue, and any factors that negatively impact sales of these products may adversely affect our business, financial condition and operating results.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nearly all of our revenue from the sale of our insulin pumps and the related insulin cartridges and infusion sets, including our recently launched Tandem Mobi insulin pump. Sales of these products may be negatively impacted by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market acceptance of the insulin pumps and related products manufactured and sold by our key competitors, including Insulet, Medtronic, Ypsomed and Beta Bionics;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that breakthroughs for the monitoring, treatment or prevention of diabetes may render our insulin pumps obsolete or less desirable or reduce the size of our potential market;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regulatory or legal actions relating to our products, or similar products or technologies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of our Tandem Device Updater to accurately and timely provide customers with remote access to new product features and functionality as anticipated, or our failure to obtain regulatory clearance, certification, or approval for any such updates;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reimbursement rates or policies relating to insulin pumps or similar products or technologies by third-party payors;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competitive pricing and attrition rates of consumers who cease using our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enter into contracts with third-party payors on a timely basis and on acceptable terms;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problems arising from the expansion of our manufacturing capabilities and commercial operations, or destruction, loss, or temporary shutdown of our manufacturing facilities;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concerns regarding the perceived safety, reliability or cybersecurity of any of our products, or any component thereof, particularly in connection with the launch of additional mobile app features and functionality and other software products;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claims that any of our products, or any component thereof, infringes on patent rights or other intellectual property rights of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sales of any of our current or future insulin pump products with continuous glucose monitoring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currently rely on sales of our insulin pumps, and related products to generate a significant majority of our revenue, any factors that negatively impact sales of these products (or negatively impact the products or components integrated with these products) could adversely affect our business, financial condition and operating results.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maintain and grow our revenue depends in part on retaining a high percentage of our customer base.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key to maintaining and growing our revenue is the retention of a high percentage of our customers due to the potentially significant revenue generated from ongoing purchases of single-use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aimed at our customers, their caregivers and healthcare providers, which include discounts,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competing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certification, or approvals for products or product features in a timely manner or at all, product development or commercialization delays, the impacts and disruption from health epidemics or pandemics, international conflicts, or for other reasons.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retain a high percentage of our customers and increase sales to these customers consistent with our forecasts would have a material adverse effect on our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Failure to secure or retain adequate coverage or reimbursement for our current and future products by third-party payors could adversely affect our business,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coverage structure and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pursuing a multi-channel managed care strategy and have begun offering certain products through the pharmacy channel. However, the commercial opportunity in the pharmacy channel will be limited unless a substantial portion of the sales price for these products is covered by third-party payors, including private insurance companies, health maintenance organizations, preferred provider organizations, federal and state government healthcare agencies, intermediaries, Medicare, Medicaid and other managed care providers. Medicare Part D plan sponsors may provide coverage for certain products under the Medicare Part D prescription drug program, which requires negotiating with third-party payors to provide these products through the pharmacy channel in the United States. If our efforts to enter into additional contracts with intermediaries and third-party payors are not successful, our ability to offer Mobi or any future products through the pharmacy channel will be limited.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there will continue to be proposals by legislators at both the federal and state levels, regulators and third-party payors to reduce costs while expanding individual healthcare benefits, particularly in light of the change of administration. The current administration is pursuing policies to reduce regulations and expenditures across government including at the U.S. Department of Health and Human Services (HHS), the FDA, CMS and related agencies. It is possible that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contracts establishing reimbursement for our insulin pump products with a number of national and regional third-party payors in the United States. While we may enter into additional contracts both in the United States and the countries outside the United States in which our insulin pumps are available through third-party payors, and add coverage for future products under our current agreements, we cannot guarantee that we will succeed in doing so or that the reimbursement contracts that we are able to negotiate will enable us to sell our products on a profitable basis or in certain channels, including the pharmacy channel. In particular, we have limited experience securing reimbursement in international markets. Government involvement in funding healthcare may limit access to or reimbursement for our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operate in a very competitive industry and if we fail to compete successfully against our existing or future competitors, or if the competitive environment harms our business partners, our financial condition and operating results may be negatively affected.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intensely competitive, subject to rapid change and highly sensitive to the introduction of new products, treatment techniques or technologies, as well as other activities of industry participants. To continue to compete effectively, we must continue to create, invest in or acquire advanced technology, incorporate this technology into our proprietary products, obtain regulatory clearance, certification, or approvals in a timely manner, and manufacture and successfully market our products. Given these factors, we cannot guarantee that we will be able to compete effectively or continue our level of success.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competitors are major medical device companies, primarily Insulet, Medtronic, Ypsomed and Beta Bionics. There are also a number of other companies developing and marketing their own insulin delivery systems and/or related software applications, including insulin pumps and Bluetooth-enabled insulin pens to support MDI therapy. Our primary competitors enjoy several competitive advantages over us,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financial and human resources for sales and marketing, product development, customer service and clinical resources;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ability to respond to competitive pressures, regulatory uncertainty, or challenges within the financial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established relationships with healthcare providers, third-party payors and regulatory agencies;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established reputation and name recognition among healthcare providers and other key opinion leaders in the medical industry generally and the diabetes industry in particular;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larger and more established distribution networks;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ability to cross-sell products or provide incentives to healthcare providers to use their products;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more experience in conducting R&amp;D, manufacturing, clinical trials, and obtaining regulatory approval or clearance.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with non-exclusive licenses to integrate various generations of Dexcom CGM technology with our insulin pump products. Abbott also offers glucose sensors which compete with Dexcom CGMs. We have also entered into agreements with Abbott to develop and commercialize integrated diabetes solutions using Abbott’s glucose sensors. There can be no assurance that our collaborations with Dexcom and Abbott will be successful or that we will not experience delays, business disputes, or other unanticipated challenges. Competitive pressures within our industry could negatively impact the financial condition of our business partners and impact their ability to fulfill contractual obligations to us, which could negatively impact our product sales, result in delays in obtaining regulatory clearances, certifications, or approvals for new products, harm our reputation, and result in harm to our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these and other reasons, we may not be able to compete successfully against our current or potential future competitors, which could have a material adverse impact on our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Competing products, therapeutic techniques or other technological developments and breakthroughs for the monitoring, treatment or prevention of diabetes may render our products obsolete or less desirable or reduce the size of our potential market.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therapeutic techniques,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and could result in delayed purchases or a decline in market share. For example, in 2023 and 2024, ongoing adoption of the GLP-1 class of drugs in diabetes and news surrounding the expansion of use of GLP-1 drugs in obesity likely had a negative impact on the insulin therapy market.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insulin-dependent diabetes market is large and growing, we anticipate companies will continue to dedicate significant resources to developing competing products and technologies. The introduction by competitors of products that are or claim to be superior to our products may create market confusion that may make it difficult to differentiate the benefits of our products over competing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we have designed our hardware products to resemble modern consumer electronic devices to address certain wearability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face unexpected challenges in marketing and selling our products, and training new customers on the use of our products, which could harm our ability to achieve our sales forecasts.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experience marketing and selling our newer products as well as training new customers on their use, particularly in markets outside of United States. In addition, the vast majority of our existing customers are individuals with type 1 diabetes, and we have limited experience marketing and selling our products to customers with type 2 diabetes.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are restricted in their ability to interact with healthcare professionals and customers, our sales could decrease or may not increase at levels that are in line with our forecasts.</w:t>
      </w:r>
    </w:p>
    <w:p>
      <w:pPr>
        <w:pStyle w:val="TextBody"/>
        <w:bidi w:val="0"/>
        <w:spacing w:before="20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sales and marketing efforts in the United States are largely dependent on independent distributors who are free to market products that compete with our products. If we are unable to maintain or expand our network of independent distributors, our sales may be negatively affected.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a majority of our sales within the United States will continue to be to independent distributors for the foreseeable future, and it is possible that the percentage of our sales to independent distributors could increase.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If we are unable to maintain or expand our network of independent distributors, our sales may be negatively affected.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independent distributors in the United States have been required to sell our products exclusively and each of them may freely sell the products of our competitors. As a result, our independent distributors may not devote a sufficient level of resources and the support required to generate awareness of our products and grow or maintain product sales at the levels we expect, which may negatively affect our 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the third parties on which we increasingly rely to assist us with our current and anticipated pre-clinical development or clinical trials do not perform as expected, we may not be able to obtain regulatory clearance, certification, or approval or commercialize our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certification, or approval for, or successfully commercialize, our products on a timely basis, if at all, and our business, operating results and prospects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dependent on clinical investigators and clinical sites to enroll participants in our current and anticipated clinical trials and human factors studies, and the failure to successfully complete those trials and studies could prevent us from obtaining regulatory clearances, certifications, or approvals for or commercializing our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clearances, certifications, or approvals for our products and commercializing our products, which would have an adverse impact on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important assumptions about the potential market for our products are inaccurate, or if we have failed to understand what people with insulin-dependent diabetes are seeking in an insulin pump, our business and operating results may be adversely affected.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World Health Organization data indicates that the incidence of diabetes in the United States and worldwide is increasing. Further,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competing products, could differ materially from our projections. In addition, our strategy of focusing exclusively on the insulin-dependent diabetes market may limit our ability to increase sales or achieve profitability.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Another key element of our business strategy is using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with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Any concerns regarding the safety and efficacy of our products could limit sales and cause unforeseen negative effects to our business prospects and financial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competing products. Such results could slow the adoption of our products and significantly reduce our sales, which could prevent us from achieving our forecasted sales targets or achieving or sustaining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clearance, certification, or approval from regulatory authorities or Notified Bodies, product recalls or seizure, operating restrictions, interruption of production, fines, civil penalties and criminal prosecution which could result in significant legal liability, harm to our reputation, and a decline in our product 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achieve profitability will depend, in part, on our ability to reduce the per-unit cost of our products while also increasing production volume.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the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Manufacturing risks may adversely affect our ability to manufacture products, which could negatively impact our sales and operating margins.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quality or reliability defects in product components that we source from third-party suppliers;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secure product components in a timely manner due to shipping delays at ports of entry or exit, the impact of natural disasters, global conflicts, health pandemics or other issues, in sufficient quantities and on commercially reasonable terms;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difficulty identifying and qualifying alternative suppliers for components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implementing and maintaining acceptable quality systems while experiencing rapid growth;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failure to increase production of products to meet demand;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modify production lines and expand manufacturing facilities to enable us to efficiently produce future products or implement changes in current products in response to consumer demand or regulatory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our inability to manufacture multiple products simultaneously while utilizing common manufacturing equipment;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government-mandated or voluntary closures of, or operational limitations impacting, our manufacturing facilities;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damage to or destruction of our manufacturing equipment or manufacturing facilities.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clearances, certifications, or approvals, or developing new manufacturing technologies. Ultimately, it may not be possible for us to manufacture these products at a cost or in quantities sufficient to make these products commercially viable.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and our suppliers fail to increase our production capacity to meet consumer demand while also maintaining product quality standards, obtaining and maintaining regulatory clearances, certifications, or approvals, and efficiently managing costs, our sales and operating margins could be negatively impacted, which would have an adverse impact on our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and expect to continue to rely, on third-party suppliers to supply components of our current products and our potential future products, including our single-use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If we fail to obtain sufficient quantities of high-quality components to meet demand on a timely basis, we could lose customer orders, our reputation may be harmed, and our business could suffer.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consistently evaluate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have difficulty obtaining components from other suppliers that are acceptable to the FDA or other comparable foreign regulatory authorities, or Notified Bodies, and the failure of our suppliers to comply with regulatory requirements could expose us to regulatory action including warning letters, product recalls, termination or interruption of distribution, operating restrictions, product seizures, delays in obtaining approval or clearance of future products, suspension or withdrawal of approvals, clearances, or certification, fines, civil penalties, or criminal prosecution. Such a failure by our suppliers could also require us to cease using the components, seek alternative components or technologies, and modify our products to incorporate alternative components or technologies, which could necessitate additional regulatory clearances, certifications, or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Any disruption at one of our facilities could adversely affect our business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not experience the anticipated operating efficiencies of our manufacturing and warehousing operations.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scale our business operations and add manufacturing requirements for products currently under development. We have outsourced the majority of our t:slim cartridge manufacturing demand to an experienced third-party contract manufacturer and consistently evaluating the outsourcing of other aspects of our operations.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enter into collaborations, licensing arrangements, joint ventures, strategic alliances or partnerships with third parties that may not result in the development of commercially viable products or the generation of significant future revenues.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beyond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Modifications to our business strategy or restructuring of our operations could lead to higher costs or otherwise impact the profitability of our business or the value of our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changes occur in our business environment, we have adjusted, and may continue to adjust, our business strategies. We may also decide to further restructure our operations, specific business functions, or assets. However, any new structure and strategies may not deliver the expected benefits, such as supporting our growth objectives or enhancing shareholder value and could prove less effective than our previous approach. Additionally, external factors, including evolving technology, shifting consumer behaviors, acceptance of our products, and macroeconomic changes, could negatively impact the value of our assets. These changes or events may lead to costs associated with adjusting our business strategy and potentially necessitate writing down asset values.</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International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Commercializing our products outside of the United States may result in a variety of risks associated with international operations that could materially adversely affect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sales in the approximately 24 countries in which our products are offered outside the United States, which accounted for approximately 28% of our total sales during 2024, are accompanied by certain financial and other risks related to international business markets, including:</w:t>
      </w:r>
    </w:p>
    <w:p>
      <w:pPr>
        <w:pStyle w:val="TextBody"/>
        <w:bidi w:val="0"/>
        <w:spacing w:before="0" w:after="0"/>
        <w:ind w:left="0" w:right="0" w:firstLine="90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local product preferences and differing regulatory requirements for product clearances, certifications, or approvals;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differing U.S. and foreign medical device import and export rules;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more restrictive privacy and security laws relating to personal information of end-users and employees, including GDPR and other E.U. Member State national legislation;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reduced protection for our intellectual property rights in certain countries outside the United States compared to the protection that exists in the United States;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tariffs, trade barriers and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240" w:after="283"/>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weakness, including inflation and workforce instability, and political instability in foreign economies and markets;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compliance with tax, employment, immigration and labor laws, such as the Foreign Corrupt Practices Act and comparable foreign legislation;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associated with foreign legal systems, including increased costs associated with enforcing contractual obligations in foreign jurisdictions;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political instability and actual or anticipated military or political conflicts;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in managing international relationships, including any relationships that we establish with foreign partners, distributors, or sales or marketing agents;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foreign taxes, including withholding and payroll taxes;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different reimbursement systems;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effectively transition to direct sales in certain European countries, manage the complexity of our global operations successfully or if we incur unanticipated expenses, we may not achieve the expected benefits of this expansion and our financial condition and results of operations could be materially and adversely impacted.</w:t>
      </w:r>
    </w:p>
    <w:p>
      <w:pPr>
        <w:pStyle w:val="TextBody"/>
        <w:bidi w:val="0"/>
        <w:spacing w:before="0" w:after="0"/>
        <w:ind w:left="0" w:right="0" w:firstLine="72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Failure to obtain any required regulatory authorization, clearance or certification in foreign jurisdictions will prevent us from marketing our products in international markets.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in certain countries outside the United States and may seek to begin commercial sales of our products in additional geographies in the future. As we continue to expand our operations outside of the United States and launch new products, we are increasingly subject to additional regulatory and legal requirements in the international markets.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the U.S. Foreign Corrupt Practices Act and similar worldwide anti-bribery laws could materially adversely affect our business and result in civil and/or criminal sanctions.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FCPA, the U.K. Bribery Act, and similar anti-bribery laws enacted in other jurisdictions generally prohibit companies and their intermediaries from making improper payments to foreign officials for the purpose of obtaining or retaining business. Because of the predominance of government-sponsored healthcare systems around the world, most of our customer relationships outside of the United States are with governmental entities and are therefore subject to such anti-bribery laws. Because we do business in the U.K., the U.K. Bribery Act also extends to our interaction with public and private sector entities and persons outside the U.K., including in the United States. Our policies mandate compliance with these anti-bribery laws. We operate in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anti-bribery laws, or allegations of such violations, could disrupt our business and have a material adverse effect on our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Indebtedness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financed our liquidity needs under various credit arrangements and we may borrow additional funds in the future. For example, in May 2020, we completed the offering of $287.5 million aggregate principal amount of 1.50% Convertible Senior Notes due 2025 (the 2025 Notes), which are governed by the terms of an indenture (the 2025 indenture). In March 2024, we completed the offering of $316.3 million aggregate principal amount of 1.50% Convertible Senior Notes due 2029 (the 2029 Notes and, together with the 2025 Notes, the Notes), which are governed by the terms of an indenture (the 2029 indenture and, together with the 2025 Notes, the indentures). In March 2024, we used the proceeds from the offering of the 2029 Notes to repurchase approximately $246.7 million aggregate principal amount of the 2025 Notes in privately negotiated transactions with holders of the 2025 Notes and as of March 31, 2025, we had approximately $40.8 million aggregate principal amount of the 2025 Notes outstanding. The Notes are our senior unsecured obligations, and interest on the Notes is payable in cash semi-annually at a rate of 1.50% per year.</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certain obligations under the Notes, or inability to make required debt service payments, could result in an event of default under the relevant indenture. A default, if not cured or waived, could result in acceleration of the indebtedness, which could have a material adverse effect on our business, financial condition and liquidity. Further, if our indebtedness is accelerated, we cannot be certain that cash will be available to pay the indebtedness and we may not have the ability to refinance the indebtedness on terms satisfactory to us or at all.</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current or future level of indebtedness could affect our business, operations and strategy in several important ways, including the following: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we may be required to dedicate a portion of our current liquidity or cash flow from operations to interest payments, limiting the availability of cash for other purposes;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covenants contained in future agreements governing indebtedness may limit our ability to borrow additional funds, refinance indebtedness or make certain investments;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debt covenants may affect our flexibility in planning for, and reacting to, changes in the economy and our industry;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 high level of indebtedness may increase our vulnerability to adverse economic and competitive conditions;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 high level of indebtedness may limit our ability to obtain additional financing in the future or negatively impact the terms on which additional financing may be obtained.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Servicing the Notes will require a significant amount of cash, and we may not have sufficient cash flow from our business to repay the Notes.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and interest on the Notes, or to refinance the Notes depends on our future business operations and liquidity, which are subject, to numerous risks and uncertainties, including, market acceptance of our products, regulatory clearance, certification, or approval for our products, and the competitive environment in which we operate. Our business may not generate or sustain a level of cash flow from operations sufficient to service the Notes and any future indebtedness we may incur. If we are unable to generate sufficient cash flow, we may be required to adopt one or more alternatives, such as reducing or delaying capital expenditures, selling or licensing assets, refinancing indebtedness, or obtaining additional equity capital.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under the Notes, or our future indebtedness.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from time to time seek to retire or purchase our outstanding debt, including the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not have sufficient cash or be able to obtain financing to repurchase the Notes upon a fundamental change, or to settle conversions of the Notes.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Notes have the right to require us to repurchase their Notes upon the occurrence of a fundamental change (as defined in the applicable indenture governing the Notes)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settle all or a portion of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obligation through the payment of cash, which could adversely affect our liquidity. However, we may not have enough available cash or be able to obtain financing at the time we are required to make repurchases of the Notes or settle conversions of the Notes. In addition, our ability to repurchase the Notes or to pay cash upon conversions of the Notes may be limited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 default under an indenture, or the fundamental change itself, could also lead to a default under agreements governing our existing or future indebtedness, including the other indenture.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Conversion of the Notes will, to the extent we deliver shares upon conversion of such Notes, dilute the ownership interest of existing stockholders and may otherwise have a negative impact on the trading price of our common stock.</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conversion of some or all of the Notes will dilute the ownership interests of existing stockholders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Certain provisions in the indentures governing the Notes may delay or prevent an otherwise beneficial takeover attempt.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Certain provisions in the indenture governing the Notes may make it more difficult or expensive for a third party to acquire us. For example, the terms of the Notes require us to offer to repurchase the Notes in the event of a fundamental change and, in certain circumstances, to increase the conversion rate for a holder that converts its Notes in connection with a make-whole fundamental change (as defined in the indenture governing the Notes). A takeover of the Company may trigger the requirement that we offer to repurchase the Notes and/or increase the conversion rate of the Notes for a holder that elects to convert its Notes, which could make it more costly for a potential acquirer to engage in such takeover. These and other provisions set forth in the indenture may have the effect of delaying or preventing a takeover of the Company that would otherwise be beneficial to investors.</w:t>
      </w:r>
    </w:p>
    <w:p>
      <w:pPr>
        <w:pStyle w:val="TextBody"/>
        <w:bidi w:val="0"/>
        <w:spacing w:lineRule="auto" w:line="288" w:before="200" w:after="240"/>
        <w:jc w:val="left"/>
        <w:rPr>
          <w:rFonts w:ascii="Times New Roman;sans-serif" w:hAnsi="Times New Roman;sans-serif"/>
          <w:b/>
          <w:i/>
          <w:color w:val="231F20"/>
          <w:sz w:val="20"/>
        </w:rPr>
      </w:pPr>
      <w:r>
        <w:rPr>
          <w:rFonts w:ascii="Times New Roman;sans-serif" w:hAnsi="Times New Roman;sans-serif"/>
          <w:b/>
          <w:i/>
          <w:color w:val="231F20"/>
          <w:sz w:val="20"/>
        </w:rPr>
        <w:t>The Capped Call Transactions may affect the value of the Notes and our common stock.</w:t>
      </w:r>
    </w:p>
    <w:p>
      <w:pPr>
        <w:pStyle w:val="TextBody"/>
        <w:bidi w:val="0"/>
        <w:spacing w:lineRule="auto" w:line="288" w:before="200" w:after="283"/>
        <w:ind w:left="0" w:right="0" w:firstLine="900"/>
        <w:jc w:val="left"/>
        <w:rPr>
          <w:rFonts w:ascii="Times New Roman;sans-serif" w:hAnsi="Times New Roman;sans-serif"/>
          <w:b w:val="false"/>
          <w:color w:val="231F20"/>
          <w:sz w:val="20"/>
        </w:rPr>
      </w:pPr>
      <w:r>
        <w:rPr>
          <w:rFonts w:ascii="Times New Roman;sans-serif" w:hAnsi="Times New Roman;sans-serif"/>
          <w:b w:val="false"/>
          <w:color w:val="231F20"/>
          <w:sz w:val="20"/>
        </w:rPr>
        <w:t>In connection with the issuance of the 2025 Notes, we entered into capped call transactions (the 2025 Capped Call Transactions) with certain financial institutions (the option counterparties) and in connection with the issuance of the 2029 Notes, we entered into capped call transactions (the 2029 Capped Call Transactions and, together with the 2025 Capped Call Transactions, the Capped Call Transactions) with certain financial institutions (the 2029 option counterparties and, together with the 2025 option counterparties,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pStyle w:val="TextBody"/>
        <w:bidi w:val="0"/>
        <w:spacing w:lineRule="auto" w:line="288" w:before="200" w:after="283"/>
        <w:ind w:left="0" w:right="0" w:firstLine="90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option counterparties or their respective affiliates may modify their hedge positions by entering into or unwinding various derivatives with respect to our common stock and/or purchasing or selling our common stock or other securities of ours in secondary market transactions before the applicable maturity of the Notes. This activity could also cause or avoid an increase or a decrease in the market price of our common stock or the Notes, which could affect a Note holder’s ability to convert the Notes. </w:t>
      </w:r>
    </w:p>
    <w:p>
      <w:pPr>
        <w:pStyle w:val="TextBody"/>
        <w:bidi w:val="0"/>
        <w:spacing w:lineRule="auto" w:line="288" w:before="200" w:after="283"/>
        <w:ind w:left="0" w:right="0" w:firstLine="900"/>
        <w:jc w:val="left"/>
        <w:rPr/>
      </w:pPr>
      <w:r>
        <w:rPr>
          <w:rFonts w:ascii="Times New Roman;sans-serif" w:hAnsi="Times New Roman;sans-serif"/>
          <w:b w:val="false"/>
          <w:color w:val="231F20"/>
          <w:sz w:val="20"/>
        </w:rPr>
        <w:t xml:space="preserve">The potential effect, </w:t>
      </w:r>
      <w:r>
        <w:rPr>
          <w:rFonts w:ascii="Times New Roman;sans-serif" w:hAnsi="Times New Roman;sans-serif"/>
          <w:b w:val="false"/>
          <w:color w:val="000000"/>
          <w:sz w:val="20"/>
        </w:rPr>
        <w:t>if</w:t>
      </w:r>
      <w:r>
        <w:rPr>
          <w:color w:val="231F20"/>
        </w:rPr>
        <w:t xml:space="preserve"> </w:t>
      </w:r>
      <w:r>
        <w:rPr>
          <w:rFonts w:ascii="Times New Roman;sans-serif" w:hAnsi="Times New Roman;sans-serif"/>
          <w:b w:val="false"/>
          <w:color w:val="231F20"/>
          <w:sz w:val="20"/>
        </w:rPr>
        <w:t>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pPr>
      <w:r>
        <w:rPr>
          <w:rFonts w:ascii="Times New Roman;sans-serif" w:hAnsi="Times New Roman;sans-serif"/>
          <w:b/>
          <w:i/>
          <w:color w:val="000000"/>
          <w:sz w:val="20"/>
        </w:rPr>
        <w:t xml:space="preserve">We are subject to counterparty risk with </w:t>
      </w:r>
      <w:r>
        <w:rPr>
          <w:rFonts w:ascii="Times New Roman;sans-serif" w:hAnsi="Times New Roman;sans-serif"/>
          <w:b/>
          <w:i/>
          <w:color w:val="231F20"/>
          <w:sz w:val="20"/>
        </w:rPr>
        <w:t>respect</w:t>
      </w:r>
      <w:r>
        <w:rPr>
          <w:color w:val="000000"/>
        </w:rPr>
        <w:t xml:space="preserve"> </w:t>
      </w:r>
      <w:r>
        <w:rPr>
          <w:rFonts w:ascii="Times New Roman;sans-serif" w:hAnsi="Times New Roman;sans-serif"/>
          <w:b/>
          <w:i/>
          <w:color w:val="000000"/>
          <w:sz w:val="20"/>
        </w:rPr>
        <w:t>to the Capped Call Transactions.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The option counterparties </w:t>
      </w:r>
      <w:r>
        <w:rPr>
          <w:rFonts w:ascii="Times New Roman;sans-serif" w:hAnsi="Times New Roman;sans-serif"/>
          <w:b w:val="false"/>
          <w:color w:val="231F20"/>
          <w:sz w:val="20"/>
        </w:rPr>
        <w:t>are</w:t>
      </w:r>
      <w:r>
        <w:rPr>
          <w:color w:val="000000"/>
        </w:rPr>
        <w:t xml:space="preserve"> </w:t>
      </w:r>
      <w:r>
        <w:rPr>
          <w:rFonts w:ascii="Times New Roman;sans-serif" w:hAnsi="Times New Roman;sans-serif"/>
          <w:b w:val="false"/>
          <w:color w:val="000000"/>
          <w:sz w:val="20"/>
        </w:rPr>
        <w:t xml:space="preserve">financial institutions, and we will be subject to the risk that any or all of them may default under the Capped Call Transactions.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Future Financings and Financial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need or otherwise determine to raise additional funds in the future and if we are unable to raise additional funds when necessary or desirable, we may not be able to achieve our strategic objectives.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$368.6 million in cash, cash equivalents and short-term investments. Our management expects the continued growth of our business, including the expansion of our customer service infrastructure to support our growing base of customers, our plans to continue expanding commercial sales of our products outside of the United States, the growth of our manufacturing and warehousing operations, and the increase of our facility footprint to accommodate additional headcount and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revenue generated by sales of our products, as well as the gross profits and gross margin we realize from such sales;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costs associated with maintaining and expanding an appropriate sales, marketing, clinical and customer service infrastructure;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expenses associated with developing and commercializing our proposed products or technologies, including capital expenditures we make to maintain or enhance our manufacturing operations and distribution capabilities;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cost of obtaining and maintaining regulatory clearance, certification, or approval for our products and our manufacturing facilities, and of ongoing compliance with other legal and regulatory requirements;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expenses we incur in connection with current or future litigation or governmental investigations;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expenses we may incur or other financial commitments we may make in connection with current and potential new acquisitions, investments, business or commercial collaborations, development agreements or licensing arrangements;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general and administrative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we may in the future seek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from quarter to quarter.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and may continue to be meaningful variability in our operating results from quarter to quarter, as well as within each quarter, especially around the time of anticipated new product launches or regulatory clearances, certifications, or approvals by us or our competitors, and as a result of the commercial launch of our products in geographies outside of the United States. Our operating results, and the variability of these operating results, will be affected by numerous factors,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commercialize and sell our current and future products and our ability to increase sales and gross profit from our products, including insulin pumps and the related insulin cartridges and infusion sets;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number and mix of our products sold in each quarter;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acceptance of our products by people with insulin-dependent diabetes, their caregivers, healthcare providers and third-party payors;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pricing of our products and competing products, including the use of discounts, rebates or other financial incentives by us or our competitors;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effect of third-party coverage and reimbursement policies;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maintain our existing infrastructure;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amount of, and the timing of the payment for, insurance deductibles required to be paid by our customers and potential customers under their existing insurance plans;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interruption in the manufacturing or distribution of our products, including as a result of our anticipated initiation of direct sales in select European countries beginning in 2026;</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simultaneously manufacture multiple products that meet quality, reliability and regulatory requirements;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seasonality and other factors affecting the timing of purchases of our products;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timing of new product offerings, acquisitions, licenses or other significant events by us or our competitors;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results of clinical research and trials on our existing and future products;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ability of our suppliers to timely provide us with an adequate supply of components that meet our requirements for product quality and reliability;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regulatory clearances, certifications, or approvals, or adverse regulatory or legal actions, affecting our products or those of our competitors;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timing of revenue and expense recognition associated with our product sales pursuant to applicable accounting standards.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Macroeconomic Conditions and External Factors</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International trade policies, including tariffs, sanctions and trade barriers may adversely affect our business,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global economy, and our business depends on a global supply chain for the development, manufacturing, and distribution of our products, and for the advancement of our preclinical and clinical development programs. Based on the complex relationships between the United States and certain foreign countries, there is inherent risk that political, diplomatic and national security influences might lead to trade disputes, trade restrictions, tariffs and impacts and/or disruptions to our operations. There is currently significant uncertainty about the future relationship between the United States and China, Mexico, Canada, the European Union and other foreign countries, including uncertainty with respect to trade policies, treaties, tariffs, taxes, and other limitations on cross-border operations. We import various components, subcomponents and finished products from both Mexico and China and tariffs, trade barriers, and other regulatory requirements could have an adverse effect on our business, financial condition and operating results, the extent of which cannot be predicted with certainty at this time. While we currently rely on existing tariff exemptions, our pumps require FDA clearance, CE marking, and other regulatory approvals that specify our manufacturing processes and component suppliers, making changes to processes and/or suppliers that are less affected by tariffs, trade barriers or other regulatory requirements, difficult and costly. Changes to suppliers or manufacturing locations may require regulatory resubmissions and new approvals, a process that takes significant time and costs. These regulatory constraints significantly limit our ability to quickly adapt our supply chain in response to tariff changes. Moreover, the dynamic and unpredictable tariff and trade landscape creates substantial uncertainty and significant planning challenges for our operations. Changes in tariff classifications, exemptions, country-of-origin requirements, or customs procedures can occur with limited notice. This uncertainty complicates our long-term investment decisions regarding manufacturing facilities, supply chain optimization, and research and development locations.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or future tariffs could also result in increased research and development expenses, including with respect to increased costs associated with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financial condition and operating results.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growth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growth prospects. In addition, tariff and trade developments have and may continue to heighten the risks related to the other risk factors described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Uncertainty in current global economic and political conditions could adversely affect our ability to predict product demand and impact our financial results and make it more likely that our actual results could differ materially from expectations.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United States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Public health threats, epidemics, or pandemics could have a material adverse effect on our operations, the operations of our business partners, and the global economy as a whole.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Public health threats and other highly communicable diseases and outbreaks could adversely impact our operations, the operations of our customers, suppliers, distributors and other business partners, as well as the healthcare system in general. For example, certain development activities, such as human factors studies associated with our product development efforts and activities supporting the manufacturing scale-up for new products and the recruitment of participants in ongoing clinical studies, may be modified or delayed due to impacts of public health threats, which could our development timelines and regulatory strategies. These delays could have a negative impact on our product commercialization efforts and the future demand for our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foregoing impacts, disruptions from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incidence of disease could have a material adverse impact on the operations of our suppliers, which could prevent them from timely delivering products to us or supporting our requirements for manufacturing-related equipment. The full extent of the impact of potential future public health threats on our business and operations is subject to change and will continue to depend on a number of factors, including the scope and duration of the pandemic and any resulting changes to general economic conditions in the countries in which we operate and sell our products.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Activities outside the United States accounted for approximately 28% of our total sales during 2024. Foreign currency fluctuations could result in volatility of our revenue. In addition, we are exposed to transaction risk because we incur some of our sales and expenses in currencies other than the U.S. dollar. Our most significant currency exposures are to the Canadian dollar, the Euro and Swiss franc, and the exchange rates between these currencies and the U.S. dollar may fluctuate substantially. We do not actively hedge our exposure to currency rate fluctuations. The strengthening of the U.S. dollar would likely negatively impact our results. We price some of our products in U.S. dollars, and thus changes in exchange rates can make our products more expensive in some offshore markets and reduce our sales. Inflation could also make our products more expensive and increase the credit risks to which we are exposed. Future foreign currency fluctuations could favorably or unfavorably impact and increase the volatility of our revenue, profitability, and stock price. These and other risks may have a material adverse effect on our business, financial condition and results of operations as a whole.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effects of inflation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Inflation has the potential to negatively impact our liquidity, business, financial condition, and results of operations by increasing our overall cost structure. The presence of inflation in the economy has led to, and may continue to lead to, higher interest rates, increased capital costs, supply shortages, and rising labor, component, manufacturing, and shipping costs, along with weaker exchange rates and other similar effects. As a result, we have experienced, and may continue to experience, higher costs. While we may implement measures to mitigate inflation's impact, if these measures prove ineffective, our business, financial condition, results of operations, and liquidity could be significantly harmed. Even if these measures are successful, there may be a delay between the implementation of these actions and their effect on our operations, compared to when the inflationary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Privacy and Security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process personal data. Our data processing activities may subject us to numerous data privacy and security obligations, such as various laws, regulations, guidance, industry standards, external and internal data privacy and security policies, and contractual requirements.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U.S. laws govern the privacy and security of personal data, including data breach notification laws, data privacy laws, consumer protection laws (e.g., Section 5 of the Federal Trade Commission Act), and other laws at the federal and state levels (e.g., wiretapping laws). For example, the United States Health Insurance Portability and Accountability Act of 1996 (HIPAA) as amended by the Health Information Technology for Economic and Clinical Health Act (HITECH), imposes specific requirements relating to the privacy of protected health information.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another example, the Controlling the Assault of Non-Solicited Pornography and Marketing Act of 2003 (CAN-SPAM) and the Telephone Consumer Protection Act of 1991 (TCPA) impose specific requirements on communications with customers.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Numerous U.S. states have enacted comprehensive data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These state laws also allow for statutory fines for noncompliance. For example, under the California Consumer Privacy Act of 2018 (CCPA), as amended by the California Privacy Rights Act of 2020 (CPRA) (collectively, CCPA), noncompliance may carry fines of up to $7,500 per intentional violation; the CCPA also allows private litigants affected by certain data breaches to recover significant statutory damages. Similar laws are being considered in several other states, as well as at the federal and local levels, and we expect more states to pass similar laws in the future.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and Canada’s Personal Information Protection and Electronic Documents Act (PIPEDA) or the applicable provincial alternatives, impose strict requirements for processing personal data.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under the GDPR, companies may face temporary or definitive bans on personal data processing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regulators are increasingly scrutinizing companies that process children’s data. Numerous laws, regulations, and legally binding codes, such as the Children’s Online Privacy Protection Act (COPPA), California’s Age Appropriate Design Code, the CCPA, and the GDPR govern the processing of children data, including requiring certain consents to process such data and extending certain rights to children and their parents with respect to that personal data.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employees and personnel may use Artificial Intelligence (AI) technologies (including generative AI) to perform their work. The use and disclosure of personal data in AI technologies is subject to various data privacy laws and other data privacy obligations. Governments have passed and are likely to pass additional laws regulating generative AI. Our use of this technology could result in additional compliance costs, regulatory investigations and actions, and lawsuits. If we are unable to use AI, it could make our business less efficient and result in competitive disadvantages.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may transfer personal data from Europe and other jurisdictions to the United States or other countries. Europe and other jurisdictions have enacted laws requiring certain data to be localized or limiting the transfer of personal data to other countries. In particular, the European Economic Area (EEA) and the UK have significantly restricted the transfer of personal data to the United States and other countries whose data privacy laws it deems inadequate. Other jurisdictions may adopt or have already adopted similarly stringent data localization and cross-border data transfer laws. Although there are currently various mechanisms that may be used to transfer personal data, these mechanisms are subject to legal challenges. If these legal challenges change or invalidate these transfer mechanisms, there is no assurance that we can satisfy or rely on these measures to lawfully transfer personal data to the United States. If there is no lawful mechanism for us to transfer personal data, or if the requirements for a legally compliant transfer are too onerous, we could face significant adverse consequences. Additionally, companies that transfer personal data out of the EEA and UK to other jurisdictions, particularly to the United States, are subject to increased scrutiny from regulators, individual litigants, and activist groups.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data privacy laws, we are contractually subject to industry standards adopted by industry groups. For example, we are subject to the Payment Card Industry Data Security Standard (PCI DSS). We are also bound by other contractual obligations related to data privacy, including those imposed by our payors and business partners, including obligations to comply with applicable data privacy laws. Our failure to comply with our contractual obligations may result in a loss of revenue, loss of existing and future business opportunities, and payment of financial damages to the other parties involved. We publish privacy policies,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related to data privacy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with whom we work. In addition, these obligations may require us to change our business model. We may at times fail (or be perceived to have failed) in our efforts to comply with our data privacy obligations. Moreover, despite our efforts, our employees and personnel or third parties with whom we work, may fail to comply with such obligations, which could negatively impact our business operations.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or the third parties with whom we work fail, or are perceived to have failed to address or comply with applicable data privacy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of personal data; orders to destroy or not use personal data;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personal data and the number of violations.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efficient operation of our business depends on our information technology and communication systems, as well as those of third parties with whom we work. We and the third parties with whom we work process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systems, those of the third parties with whom we work, and the underlying data are vulnerable to damage or interruption from a variety of threats, including without limitation earthquakes, fires, floods, other natural disasters, terrorist attacks, social-engineering attacks (including phishing and deep fakes, which may be increasingly more difficult to identify as fake), malicious code (such as viruses and worms), malware (including as a result of advanced persistent threat intrusions), denial-of-service attacks, credential stuffing, credential harvesting, supply chain attacks, personnel misconduct or error, ransomware attacks, software bugs, server malfunctions, software or hardware failures, loss of data or other information technology assets, adware, attacks enhanced or facilitated by AI, and other similar threats. Notably, severe ransomware attacks are becoming increasingly prevalent. Extortion payments may alleviate the negative impact of a ransomware attack, but we may be unwilling or unable to make such payments due to, for example, applicable laws or regulations prohibiting such payments.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insulin pumps and other products rely on software and hardware, some of which is developed by third parties with whom we work, that could contain vulnerabilities. We take steps designed to detect, mitigate and remediate vulnerabilities in our information systems (such as our hardware and/or software, including that of third parties with whom we work) and products, but we may not be able to detect, mitigate, and remediate such vulnerabilities, including on a timely basis. Further, we may experience delays in developing and deploying remedial measures and patches designed to address identified vulnerabilities. Our risks may increase significantly due to the use of mobile and cloud-based applications in our medical devices. For example, while our Tandem Device Updater is designed to give us the ability to quickly recover from certain risks and/or vulnerabilities, the use of mobile applications enables third parties to store their information on mobile devices that we do not control. The Tandem Device Updater may also not operate as intended if the software being transmitted contains errors, vulnerabilities or viruses. Vulnerabilities in our products and information systems could be exploited and result in a security incident. In addition to vulnerabilities, the reliance of our insulin pumps and other products on software and hardware exposes us and our customers to risks that may impact the performance of our products. For example, in March 2024, we issued a recall of our Apple iOS t:connect mobile app in the United States relating to an issue that could cause rapid depletion of a user’s t:slim X2 insulin pump battery (the March 2024 Recall). On August 20, 2024, we released an updated version of the impacted app to correct the issue described in the March 2024 recall.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and risks could in the future, as they have in the past, cause a security incident or other interruption that could result in the unauthorized, unlawful or accidental disclosure, access, acquisition, modification, destruction, loss, alteration, or encryption of our sensitive information or our information technology systems or those of the third parties with whom we work. A security incident or other interruption could disrupt our ability (and that of third parties with whom we work) to provide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many of the third parties with whom we work are subject to similar risks. 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information security practices of these third parties is limited, and these third parties may not have adequate information security measures in place. If the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an award. In addition, supply chain attacks have increased in frequency and severity, and we cannot guarantee that infrastructure belonging to these third parties in our supply chain, or the supply chains of third parties with whom we work have not been compromised.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remote work has increased risks to our information technology systems and data.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expend significant resources or modify our business activities to try to protect against security incidents. Certain data privacy and security obligations may require us to implement and maintain reasonable or specific security measures or industry standards to protect our information technology systems and sensitive information.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data privacy and security obligations may require us, or we may voluntarily choose, to notify relevant stakeholders of security incidents, or to take other actions. Such disclosures and related actions can be costly, and the disclosure or the failure to comply with applicable requirements could lead to adverse consequences.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a third party with whom we work experience a security incident such as the phishing attack we experienced in 2020, or are perceived to have experienced a security incident, we may experience adverse consequences, such as government enforcement actions (e.g., investigations, fines, penalties, audits, and inspections); additional reporting requirements and/or oversight; restrictions on processing sensitive information including personal data, litigation including class claims and mass arbitration demands; indemnification obligations; negative publicity; reputational harm; loss of investor, partner or customer confidence in the effectiveness of our cybersecurity measures; monetary fund diversions; diversion of management attention; interruptions in our operations including availability of data; financial loss; and other similar harms. Security incidents and attendant consequences may cause customers to stop using our products, prevent customers from using our products, deter new customers from using our products, and negatively impact our ability to grow and operate our business.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sensitive information could be leaked, disclosed, or revealed as a result of or in connection with our employees’, personnel’s, or third parties with whom we work use of generative artificial intelligence (AI) or machine learning (ML) technologies (collectively, AI/ML technologies). Any sensitive information, including confidential, competitive, proprietary, or personal data, that we input into a third-party generative AI platform could be leaked or disclosed to others, including if sensitive information is used to train the third parties’ AI model.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Cyberattacks aimed at our devices, products, services, or related systems, with the intent to alter or misuse them in ways that are inconsistent with our FDA clearances and approvals, could pose risks to users.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Medical devices are increasingly connected to the internet, personal technology devices, hospital networks, and other medical devices to enhance healthcare features, improve treatment capabilities for healthcare providers, and help patients manage their conditions. However, these same advancements can also heighten cybersecurity risks, including the potential for unauthorized access and misuse by third parties. As a result, cyberattacks that infiltrate, disrupt, or compromise our devices, products, services, or related systems could affect the quality-of-care patients receive or compromise the confidentiality of patient information. Additionally, any alteration or misuse of these devices, products, or services in ways that are inconsistent with our FDA clearances and approvals could create risks for users and expose the company to potential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Legal and Intellectual Property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comprehensively protect our intellectual property and proprietary technology is uncertain.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primarily on patent, trademark and trade secret laws, as well as confidentiality and non-disclosure agreements, to protect our proprietary technologies. However, such methods may not be adequate to protect us or permit us to gain or maintain a competitive advantage. 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pStyle w:val="TextBody"/>
        <w:bidi w:val="0"/>
        <w:spacing w:lineRule="auto" w:line="288" w:before="200" w:after="283"/>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To protect our proprietary rights, we may in the future need to assert claims of infringement against third parties, which may be difficult, expensive and time consuming. The outcome of litigation to enforce our intellectual property rights in patents, copyrights, trade secrets or trademarks is subject to rapid change and constant evolution and, consequently, intellectual property protection in our industry can be uncertain. We may not prevail in any lawsuits that we initiate and the damages or other remedies awarded, if any, may not be commercially valuable. In the event of an adverse judgment, a court could hold that some or all of our asserted intellectual property rights are not infringed, or are invalid or unenforceable, and could award attorneys’ fees. The occurrence of any of these events may have a material adverse effect on our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Our success will depend in part on not infringing the patents or violating the other proprietary rights of third parties. While we review third party patents in advance of product launches to try to identify and avoid any infringement concerns, the large number of patents, the rapid rate of new patent issuances, and the complexity of the technology involved mean that there can be no assurance that all potentially relevant patents are identified or that our products do not infringe existing patents or patents that may be granted in the future.</w:t>
      </w:r>
      <w:r>
        <w:rPr>
          <w:color w:val="000000"/>
        </w:rPr>
        <w:t xml:space="preserve"> </w:t>
      </w:r>
      <w:r>
        <w:rPr>
          <w:rFonts w:ascii="Times New Roman;sans-serif" w:hAnsi="Times New Roman;sans-serif"/>
          <w:b w:val="false"/>
          <w:color w:val="000000"/>
          <w:sz w:val="20"/>
        </w:rPr>
        <w:t>As such, there is a risk that third parties may assert patent infringement claims against us. Despite our efforts to avoid infringement and to resolve any claims that may arise, litigation may be necessary to defend against these claims, which could result in substantial costs and diversion of resources and may have a material adverse effect on our business, financial condition, and results of operations. Our competitors in both the United States and markets outside of United States may have applied for or obtained or may in the future apply for and obtain, patents that will prevent, limit or otherwise interfere with our ability to make and sell our current products or products under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receive communications from third parties alleging our infringement of their intellectual property rights or offering a license to their intellectual property relating to products that we are currently developing could require us to do one or more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stop selling current products, developing new products or using technology that allegedly infringes on third-party intellectual property;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try to obtain a license to intellectual property from the third parties, which may not be available on reasonable terms or at all;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try to re-design our products around third-party intellectual property;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incur significant royalty payments and legal expenses;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pay substantial damages to the party whose intellectual property rights we are allegedly infringing.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November 2023, at the Unified Patent Court (UPC), Paris Central Division (UPC Paris), we filed a revocation action and an action for a declaration of non-infringement of EP Patent No. 2 196 231 B1 (the ’231 patent) against Roche Diabetes Care GmbH. While Roche contends that Tandem’s t:slim X2 pump infringes the ‘231 patent, we contend that our t:slim X2 pump does not infringe the ‘231 patent. Furthermore, we contend that the claims of the ‘231 patent are invalid over the prior art and should be revoked. In February 2024, Roche filed an infringement action against Tandem and its distributor in Germany at the UPC, Hamburg Local Division (UPC Hamburg) contending that Tandem’s t:slim X2 pump, and the offering, marketing, using, importing, possessing, and supplying of such devices infringes certain claims of the ‘231 patent. Roche seeks, among other things, damages and other monetary relief, costs and expenses of the legal proceedings, and an order to cease and desist the allegedly infringing activities. At the UPC Hamburg, Tandem has asserted that the t:slim X2 pump does not infringe the claims of the ‘231 patent and Tandem’s distributor has asserted that the t:slim X2 pump does not infringe the claims of the ‘231 patent and that the claims of the ‘231 patent are invalid and should be revoked. On November 6, 2024, the UPC Paris held a hearing on Tandem’s action to revoke the claims of the ‘231 patent. On December 18, 2024, the UPC Paris upheld the patent. The hearing in Hamburg on invalidity and non-infringement is scheduled for June 12,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F. Hoffman-La Roche AG and Roche Diabetes Care GmbH (collectively, Roche), filed an infringement action at the UPC, Dusseldorf Division (UPC Dusseldorf) against Tandem Diabetes Care, Inc. and Tandem Diabetes Care Europe B.V. and Tandem’s distributors in Germany, France, the Netherlands and Denmark. Roche alleges our t:slim X2 insulin pump, and the offering, marketing, using, importing, possessing, and supplying of such devices infringe EP Patent No. 1 970 677 B1 (the ‘677 patent). While Roche contends that Tandem’s t:slim X2 pump infringes the ‘677 patent, we contend that our t:slim X2 pump does not infringe the ‘677 patent. Furthermore, we contend that the claims of the ‘677 patent are invalid over the prior art and should be revoked. Roche seeks, among other things, damages and other monetary relief, costs and expenses of the legal proceedings, and an order to cease and desist the allegedly infringing activities. On April 9, 2025, the UPC Dusseldorf held a hearing on Roche’s action asserting infringement of the ‘677 patent, Tandem and its distributors’ counterclaims that the t:slim X2 pump does not infringe the ‘677 patent, and Tandem and its distributors’ actions to revoke the claims of the ‘677 patent. The UPC Dusseldorf is expected to issue a ruling on May 22,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UPC is a new court system that came into effect in 2023, enforcement and litigation under the UPC is new and we cannot accurately predict the outcome of such proceedings.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products are found to infringe Roche’s patents and Roche’s patents are also found to be valid, we could be required to redesign our technology or obtain a license from Roche to continue importing, marketing and selling our dosing devices in certain countries in Europe. However, we may not be successful in the redesign of our technology or able to obtain any such license on commercially reasonable terms or at all. We also could be forced, including by court order, to cease importing, marketing and selling certain of our products in certain countries in Europe that are found to be infringing until the patents expire. Even if we were ultimately to prevail, litigation with Roche could require us to divert substantial financial and management resources that we would otherwise be able to devote to our business. We cannot reasonably estimate the final outcome, including any potential liability or any range of potential future charges associated with litigation.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maintain insurance to cover the expense or any liability that may arise from an intellectual property dispute. Any litigation or claim against us may cause us to incur substantial costs, divert the attention of management from our business and harm our reputation. Further, as we launch new products, increase our sales and expand the geographic regions in which we commercialize our products we believe the likelihood of our involvement in intellectual property disputes will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or our employees, have wrongfully used or disclosed trade secrets or other proprietary information of our competitors.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were previously employed at other medical device companies, including those that are our competitors or could become our competitors. We may be subject to claims that we, or our employees, have used or disclosed trade secrets or other proprietary information. In addition, we may be subject to allegations that we caused an employee to breach the terms of his or her non-competition or non-solicitation agreement. Even if we successfully defend against these claims, any resulting litigation could cause us to incur substantial costs, divert the attention of management from our business and harm our reputation. If our defense of those allegations fails, in addition to paying monetary damages, we may lose valuable intellectual property rights or key personnel. A loss of key personnel or intellectual property rights could limit our ability to commercialize products, which could have an adverse effect on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incur product liability losses, and insurance coverage may be inadequate or unavailable to cover these losses.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potential product liability claims that are inherent in the medical device industry. We are subject to product liability lawsuits alleging that component failures, manufacturing defects, design defects, or inadequate disclosure of product-related risks or information resulted in an unsafe condition, injury or death to customers. The risk of product liability claims may be even greater after we launch new products with new features or enter new markets where we have no prior experience selling our products. In addition, the misuse of our products or the failure of customers to adhere to operating guidelines could cause significant harm to customers, which could result in product liability claims. Product liability lawsuits and claims, safety alerts or product recalls could cause us to incur substantial costs, divert the attention of management from our business, harm our reputation and adversely affect our ability to attract and retain customers.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third-party product liability insurance coverage, it is possible that claims against us may exceed the coverage limits of our insurance policies. Even if any product liability loss is covered by an insurance policy, these policies have substantial deductibles. In addition, we expect the cost of our product liability insurance will increase as our sales increase.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and make it more difficult to obtain insurance coverage in the future.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Adhering to regulations concerning public company corporate governance and reporting requirements may place a strain on our resources and distract management from other priorities.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Numerous laws and regulations, particularly those enacted under the Sarbanes-Oxley Act of 2002, the Dodd-Frank Wall Street Reform and Consumer Protection Act, new SEC rules, and Nasdaq Stock Market listing requirements, impose obligations on public companies like ours. These have expanded the scope, complexity, and cost of corporate governance, reporting, and disclosure practices. Complying with these laws, including new disclosure requirements, has required and will continue to require substantial management time and oversight, as well as significant accounting and legal expenses. Additionally, changes to accounting rules or standards, such as a potential mandate for U.S. companies to prepare financial statements using International Financial Reporting Standards, could negatively impact our financial results and business, potentially leading to higher accounting fees. These laws and regulations, often vague in their details, are subject to interpretation, and their application may evolve as new guidance emerges from regulatory bodies. This uncertainty could lead to higher costs due to ongoing updates in governance and disclosure practices. We plan to continue investing resources to comply with these evolving laws and regulations, which may increase general and administrative expenses and divert management’s attention from revenue-generating activities to compliance efforts. If our compliance efforts differ from regulatory expectations due to ambiguities in the laws, authorities may initiate legal action, which could negatively impact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Regulatory Environment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regulated extensively by governmental authorities, principally the FDA and corresponding state regulatory agencies in the United States, foreign regulatory authorities, and Notified Bodies in the EU.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United States governmental agencies and comparable foreign regulatory authorities and Notified Bodies regulate numerous elements of our business,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product design and development;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pre-clinical and clinical testing and trials;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product safety;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establishment registration and product listing;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labeling, packaging and storage;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marketing, manufacturing, sales and distribution;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import and export;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pre-market clearance, certification, or approval;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servicing and post-market surveillance;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advertising and promotion;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recalls and field safety corrective actions.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market or sell a new regulated product or a significant modification to an existing product in the United States, we must obtain either clearance under Section 510(k) of the Food, Drug and Cosmetic Act (510(k) or approval of a pre-market approval (PMA) application from the FDA, unless an exemption from pre-market review applies. The process of obtaining regulatory clearances, certification, or approvals to market a medical device can be costly and time-consuming, which may be exacerbated if the FDA or other comparable regulatory authorities or Notified Bodies in the EU changes their clearance, certification, and approval policies, and we may not be able to obtain these clearances, certification for our proposed products or approvals on a timely basis or at all, including as a result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inability to demonstrate that our products are safe and effective for their intended users;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the data from our pre-clinical studies or clinical trials may be insufficient to support clearance, certification, or approval; or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failure of the manufacturing process or facilities we use to meet applicable requirements.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delay in, or failure to receive or maintain, clearance, certification, or approval for our products under development could prevent us from generating revenue from these products or achieving profitability. Further, regulatory enforcement or inquiries, or other increased scrutiny on us, could dissuade some customers from using our products and adversely affect our reputation and the perceived safety and efficacy of our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been audited or inspected by various regulatory authorities and Notified Bodies on numerous occasions. We also regularly respond to routine inquiries from regulatory authorities and Notified Bodies.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Our failure to appropriately respond to these findings and take corrective action, or to comply with applicable regulations for any other reason, could jeopardize our ability to sell our products and result in enforcement actions such as fines, civil or criminal penalties, injunctions, warning letters, product recalls, operating restrictions, interruption of production, delays in the introduction of products into the market, refusal of the FDA or other comparable foreign regulatory authorities or Notified Bodies to grant future clearances, certification, or approvals, and the suspension or withdrawal of existing clearances, certifications, or approvals by the FDA, other comparable foreign regulatory authorities or Notified Bodies.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New products or modifications to our existing products may require new 510(k) clearances, PMAs or certifications, or may require us to cease marketing or recall the modified products until clearances, certifications or approvals are obtained.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those medical devices sold in the EU and for which we have obtained a CE Certificate of Conformity by a Notified Body, we must notify the Notified Body that carried out the conformity assessment of the medical devices we market or sell in the EEA of any planned significant changes to the products or if there are substantial changes to our quality assurance systems affecting those products. The Notified Body will then assess the changes and determine whether additional audits or actions are required prior to their implementation.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 Moreover, any substantial changes that take place in the coming years may impact the continuing validity of our CE Certificates of Conformity that were issued on the basis of the Medical Device Directive.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 recall or suspension of our products, or the discovery of serious safety issues with our products, could have a significant negative impact on us.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under the FDA’s Medical Device Reporting regulations and equivalent regulations and requirements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required to conduct costly post-market testing and surveillance to monitor the safety or effectiveness of our products in the EU.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CE Certificates of Conformity, product seizures, injunctions or the imposition of civil or criminal penalties that would adversely affect our business, operating results and prospects. In addition, we have in the past relied on our distributors for assistance with market surveillance in Europe and we may face additional challenges in responding to a voluntary or mandatory recall, requirement to repair or similar corrective action during and after our planned transition to direct sales in select European countries beginning in 2026.</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comply with United States federal and state fraud and abuse laws, including anti-kickback laws and other United States federal and state anti-referral laws, or comparable foreign legislation, could have a material, adverse impact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has numerous federal and state laws pertaining to healthcare fraud and abuse. Violations of these laws are punishable by criminal and civil sanctions, including, imprisonment, significant monetary penalties and exclusion from participation in federal funded programs such as Medicare and Medicaid.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fraud and abuse regulations are complex and evolving. Minor irregularities can potentially give rise to claims. The laws that may affect our ability to operate include: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federal and state Anti-Kickback Statutes, which prohibit,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and state false claims laws which prohibit, among other things, persons from knowingly presenting, or causing to be presented, false or fraudulent claims for payment to Medicare, state Medicaid programs, or other third-party payors;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and state physician self-referral laws, such as the Stark Law, which prohibit a physician from referring Medicare or Medicaid patients to an entity providing “designated health services,” including a company that furnishes durable medical equipment, with which the physician or their immediate family member has a financial relationship unless that financial relationship meets an exception under the applicable law;</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criminal laws enacted as part of HIPAA that prohibit, among other things, executing a scheme to defraud any healthcare benefit program or making false statements relating to healthcare matters;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and state disclosure laws, such as the Physician Payments Sunshine Act, which require certain manufacturers, including medical device manufacturers, to submit annual data pertaining to payments or other transfers of value to covered recipients, including physicians and certain other healthcare providers, and teaching hospitals, as well as information regarding ownership and investment interests held by physicians and their immediate family members;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and state laws governing the use, disclosure and security of personal information, including protected health information, such as HIPAA and the HITECH;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foreign and United States state law equivalents of each of the above federal laws which may apply to items or services reimbursed by any third-party payor, including commercial insurers.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interactions between medical device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relationships with healthcare providers and other third parties are subject to scrutiny under these laws. Violations of any of these laws and other applicable healthcare fraud and abuse laws may be punishable by criminal and civil sanctions, including significant fines and civil monetary penalties, the possibility of exclusion from federal healthcare programs (including Medicare and Medicaid), disgorgement and corporate integrity agreements, which impose, among other things, rigorous operational and monitoring requirements on companies. Any action against us for violation of these laws, even if we successfully defend against it, could result in a material adverse effect on our reputation, business, financial condition and operating results. Federal government agencies continue to issue proposed and final rules implementing additional process, controls and guidelines for compliance under these laws with which we will be required to comply. We cannot predict the impact of any changes in these laws and whether they might be retroactive. Further, the United States Department of Justice (DOJ) in conjunction with other federal agencies, has increased its scrutiny of interactions between healthcare companies and healthcare providers. Adjusting to new regulatory guidelines and responding to investigations can be time and resource-consuming and can divert management’s attention from our core business. Additionally, if we settle an investigation, we may be forced to agree to additional onerous compliance and reporting requirements as part of a consent decree or corporate integrity agreement. All of the foregoing could increase our costs or otherwise have an adverse effect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Legislative or regulatory healthcare reforms, or other regulatory reforms, may result in downward pressure on the price of and decrease reimbursement for our products, and uncertainty regarding the healthcare regulatory environment could have a material adverse effect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Patient Protection and Affordable Care Act, as amended by the Health Care and Education Reconciliation Act (collectively, the Affordable Care Act)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 Further, on August 16, 2022, President Biden signed the Inflation Reduction Act of 2022 (the IRA 2022) into law, which among other things, extends enhanced subsidies for individuals purchasing health insurance coverage in the Affordable Care Act marketplaces through plan year 2025. The IRA 2022 also eliminates the “donut hole” under the Medicare Part D program beginning in 2025 by significantly lowering the beneficiary maximum out-of-pocket cost and through a newly established manufacturer discount program.</w:t>
      </w:r>
    </w:p>
    <w:p>
      <w:pPr>
        <w:pStyle w:val="TextBody"/>
        <w:bidi w:val="0"/>
        <w:spacing w:lineRule="auto" w:line="256"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(and in Northern Ireland), the MDR became applicable on May 26, 2021, repealing and replacing both the MDD and Directive 90/385/EEC on active implantable medical devices. The MDR establishes transitional provisions. However,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Fulfillment of the obligations imposed by the MDR may cause us to incur substantial costs. We may be unable to fulfil these obligations, or our Notified Body may consider that we have not adequately demonstrated compliance with our related obligations to merit a CE Certificate of Conformity on the basis of the MDR.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and has applied as of January 2025, is intended to boost cooperation among EU Member States in assessing health technologies, including new medical devices,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the conclusions of these assessments are negative, or compare our products unfavorably with competing products, this may impact our pricing and reimbursement status.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exit of the UK from the EU, commonly referred to as “Brexit” could lead to further regulatory divergence between the EU and the UK. On May 26, 2021, the MDR became applicable in the EU. However, the MDR is not applicable in Great Britain (i.e., England, Wales and Scotland), but does apply in Northern Ireland. In Great Britain, medical devices are governed by the Medical Devices Regulations 2002 (SI 2002 No 618, as amended) (UK MDR 2002) which, for the time being, retains a regulatory framework similar to the framework set out by the MDD. The UK’s regulator, the Medicines &amp; Healthcare products Regulatory Agency, or MHRA, has published a roadmap to new regulations for medical devices. The first of the regulations, which strengthen post-market surveillance requirements is scheduled to come into force on June 17, 2025. Further updated regulations are scheduled to follow in 2025 and 2026.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Governments outside the United States tend to impose strict price controls, reimbursement approval and rebate policies, which may adversely affect our ability to generate revenue.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countries, particularly EU countries and EFTA member states, the pricing, reimbursement and rebates of health products is subject to governmental control, and in such countries, there can be considerable pressure by governments and other stakeholders on prices, as well as reimbursement and rebates. If reimbursement of our products is unavailable or limited in scope or amount or if pricing or rebates are set at unsatisfactory levels in any such country, our prospects for generating revenue outside of the United States, if any, could be adversely affected and our business could be harmed.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advertising and promotion may include claims about our product in comparison to competing products, which could expose us to heightened regulatory scrutiny, enforcement risks, and the potential for litigation.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FDA applies a heightened level of scrutiny to comparative claims in advertising and promotion, ensuring that promotional labeling is truthful and not misleading. There may be differing interpretations of whether certain communications align with a product's FDA-required labeling, and the FDA assesses these communications on a case-by-case basis. Additionally, making comparative claims may raise concerns among our competitors. If a company claims in its advertising that its product is superior to a competitor's or that the competitor’s product is inferior, it could face the risk of a lawsuit from the competitor under federal and state false advertising, unfair trade practices, or potentially state libel laws. Such lawsuits could seek injunctive relief to stop further advertising, a court order for corrective advertising, and compensatory or punitive damages, where allowed by law.</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Direct-to-consumer marketing and social media initiatives may subject us to increased regulatory scrutiny.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efforts to promote our products through direct-to-consumer marketing and social media initiatives may lead to increased scrutiny of how we communicate risk information, benefits, or claims, under the oversight of the FDA, FTC, HHS-OCR, or other regulatory bodies.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Environmental, Social and Governance Matters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Environmental, social, and governance (ESG) regulations, initiatives, directives, policies, and requirements could expose us to various risks.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Some regulators, customers, investors, employees, and other stakeholders are focused on ESG issues and related disclosures. These evolving regulations and shifting stakeholder expectations have led, and may continue to lead, to higher general and administrative costs, as well as increased management time and attention spent on compliance. For instance, collecting, measuring, and reporting ESG-related data is becoming more complex due to changing reporting standards, including from international regulatory bodies. In 2023, California passed three separate climate bills addressing greenhouse gas emissions data, climate-related financial risks, and emissions-related claims and carbon offsets. These ESG requirements and initiatives are subject to change, can be unpredictable, and may be challenging and costly for us to meet due to the complexity of our supply chain and the outsourced manufacturing of certain components. If we fail to comply or are unable to ensure our suppliers' compliance with these policies, customers may stop purchasing from us or pursue legal action, potentially damaging our reputation, revenue, and financial performance.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changing expectations and challenges associated with implementing ESG initiatives, establishing ESG-related goals, gathering ESG data, and disclosing ESG-related information.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may disclose certain ESG-related initiatives and goals in our SEC filings or other public communications. However, implementing these initiatives and goals could be challenging and costly, with the technologies required potentially being inefficient or slow to develop. Additionally, we may face criticism regarding the accuracy, adequacy, or completeness of our disclosures. Statements about our ESG initiatives, goals, and progress may rely on evolving measurement standards, developing internal controls and processes, and assumptions that could change over time. Furthermore, we may be criticized for the scope or nature of these initiatives or goals, or for any revisions made to them. If our ESG data, processes, or reporting are incomplete or inaccurate, or if we fail to make timely progress toward our ESG goals, our reputation, business, financial performance, and growth may suffer.</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Climate change or other extreme weather conditions and related regulations may have a long-term impact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Climate-related events, including the increasing frequency of extreme weather events and their impact on the United States, Mexico, Canada, and other major regions’ critical infrastructure along with potential related regulations, have the potential to disrupt our business, our third-party suppliers, and/or the business of our customers. For example, our third-party contract manufacturers are located in regions subject to natural disasters, including earthquakes, hurricanes, floods, wildfires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it is difficult to predict and adequately prepare to meet the challenges to our business posed by climate change, if new laws or regulations are more stringent than current legal or regulatory requirements, we may experience increased compliance burdens and costs to meet the regulatory obligations as well as adverse impacts on raw material sourcing, manufacturing operations and the distribution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Other Risks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may continue to fluctuate significantly.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been and will continue to be volatile in response to a variety of factors, including the following: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actual or anticipated fluctuations in our financial and operating results from period to period;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market acceptance of our current products and products under development, and the recognition of our brand;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introduction of proposed products, technologies or treatment techniques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announcements of significant contracts, acquisitions, divestitures or partnerships by us, our competitors or our collaboration partners;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regulatory clearance, certification, or approval of our products or the products of our competitors or collaboration partners, or the failure to obtain such clearances, certifications, or approvals on the projected timeline or at all;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announcement of a product recall, suspension or other safety notice associated with our products or the products of our competitors, or other similar regulatory enforcement actions;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financial and operating results relative to the expectations of securities analysts and other market participants and the issuance of securities analysts’ reports or recommendations;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threatened or actual litigation, regulatory proceedings, or government investigations;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general political or economic conditions.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trading price of our common stock may fluctuate substantially due to other factors, including the numerous risks and uncertainties described in this section. Fluctuations in our stock price may negatively affect the liquidity of our common stock, which could further impact our stock price. Further, our common stock may be susceptible to significant price and volume fluctuations as a result of stock market dynamics, which may impact our common stock without regard to our financial condition or operating performance. Given the competitiveness of the life sciences and medical device industry, the prices at which our common stock trades may fluctuate more significantly than might otherwise be typical, even with other market conditions, including general volatility, held constant. This volatility could negatively impact our ability to raise additional capital or utilize equity as consideration in any acquisition transactions we may pursue, and could make it more difficult for existing stockholders to sell their shares of the common stock at a price they consider acceptable or at all.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motivate and retain our current management and key employees, and to attract, motivate and retain qualified personnel in the future. In our industry, it is common to attract, motivate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equity incentives, and benefits to attract and retain our personnel, which would increase our expenses. It may be difficult to continue to incentivize employees with meaningful equity incentives while limiting the use of the share reserve under our current long-term incentive plans.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Anti-takeover provisions in our organizational documents and Delaware law may delay or prevent a change of control, which could reduce our stock price and prevent our stockholders from removing our current board of directors.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authorize the issuance of preferred stock with powers, preferences and rights that may be senior to our common stock, which can be created and issued by the board of directors without prior stockholder approval;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provide for the removal of a director only with cause and then by the affirmative vote of the holders of a majority of the outstanding shares;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prohibit stockholders from calling special stockholder meetings;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prohibit stockholders from acting by written consent without holding a meeting of stockholders;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require the vote of at least two-thirds of the outstanding shares to approve certain amendments to the certificate of incorporation and bylaws;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require advance written notice of stockholder proposals and director nominations.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problems assimilating, maintaining or operating the acquired products or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issues maintaining uniform standards, procedures, controls and policies;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unanticipated costs, liabilities, impairment charges or write-offs associated with acquisitions or investments;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management’s attention from our existing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risks associated with entering new markets in which we have limited or no experience;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increased legal and accounting costs relating to the acquisitions or to comply with regulatory requirements or other compliance matters.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current law, federal net operating losses (NOLs) incurred in tax years beginning after December 31, 2017, may be carried forward indefinitely, but the deductibility of such federal NOL carryforwards in a taxable year is limited to 80% of taxable income in such year. As of December 31, 2024, we had accumulated federal and state NOL carryforwards of approximately $96.5 million, and $248.0 million, respectively. Of the total federal NOL carryforwards, approximately $13.2 million were generated after January 1, 2018, and therefore do not expire under current law but can only be utilized to offset 80% of future taxable income. The remaining federal NOL carryforwards of $83.2 million will begin to expire in 2033, and state tax loss carryforwards continue to expire.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Similar rules may apply under state tax laws. In addition, there may be other limitations under state law on our ability to utilize NOL carryforwards, including temporary suspensions or other limitations on the use of NOL carryforwards to offset taxable income.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Uncertainties in the interpretation and application of existing, new and proposed tax laws and regulations could materially affect our tax obligations and effective tax rate.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United States presidential administration, Congress, or taxing authorities in other jurisdictions, including jurisdictions outside of the United States, or by bodies such as the European Commission or the Organization for Economic Co-operation and Development (OECD),could materially affect our tax obligations (including the costs of compliance) and effective tax rate. To the extent that such changes have a negative impact on us, including as a result of related uncertainty, these changes may adversely impact our business, financial condition, results of operations, and cash flows.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Although there have been legislative proposals to repeal or defer the capitalization requirement to later years, there can be no assurance that the provision will be repealed or otherwise modified. Future guidance from the Internal Revenue Service and other tax authorities with respect to such legislation may affect us, and certain aspects of such legislation could be repealed or modified in future legislation.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tax obligations and effective tax rate in the jurisdictions in which we conduct business could increase, including as a result of the base erosion and profit shifting (BEPS) project led by the OECD and other initiatives led by the OECD or the European Commission. In particular, the OECD is leading work on an iteration of the project based on two “pillars,” involving the reallocation of taxing rights with respect to certain multinational enterprises above a fixed profit margin to the jurisdictions in which they carry on business (subject to certain revenue threshold rules which we do not currently meet but may meet in the future) (Pillar One) and imposing a minimum effective corporate tax rate on certain multinational enterprises (Pillar Two). A number of countries in which we conduct business, including through our subsidiaries, such as the Netherlands and Switzerland, have enacted, or are in the process of enacting, core elements of the Pillar Two rules. Based on the minimum revenue thresholds contained in the Pillar Two rules, we expect that we are likely to fall within their scope in the short-to-medium term, subject to the application of any relevant transition or safe harbor rules. We are monitoring developments and evaluating the potential impacts of these new rules, including on our effective tax rates and associated compliance costs, and considering our eligibility to qualify for any relevant transition or safe harbor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adequate controls, or difficulties encountered in their implementation could cause us to fail to meet our reporting obligations, or to prevent the circumvention of our controls or fraud.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SEC rules and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may require prospective or retroactive changes to our consolidated financial statements, or may identify other areas for further attention or improvement. Any failure to implement appropriate internal controls could also cause investors to lose confidence in our reported financial information, which could harm our business and result in a decline in the trading price of our common stock.</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
        <w:gridCol w:w="317"/>
        <w:gridCol w:w="318"/>
        <w:gridCol w:w="1713"/>
        <w:gridCol w:w="1497"/>
        <w:gridCol w:w="1501"/>
        <w:gridCol w:w="261"/>
        <w:gridCol w:w="209"/>
        <w:gridCol w:w="170"/>
        <w:gridCol w:w="281"/>
        <w:gridCol w:w="262"/>
        <w:gridCol w:w="191"/>
        <w:gridCol w:w="398"/>
        <w:gridCol w:w="308"/>
        <w:gridCol w:w="267"/>
        <w:gridCol w:w="327"/>
        <w:gridCol w:w="327"/>
        <w:gridCol w:w="328"/>
        <w:gridCol w:w="339"/>
        <w:gridCol w:w="339"/>
        <w:gridCol w:w="491"/>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Provided Herewith</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4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First Filing</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47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47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47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00"/>
                  <w:sz w:val="20"/>
                  <w:u w:val="single"/>
                </w:rPr>
                <w:t>Amended and Restated Certificate of Incorporation of the Registrant (as amended and currently in effect).</w:t>
              </w:r>
            </w:hyperlink>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00"/>
                  <w:sz w:val="20"/>
                  <w:u w:val="single"/>
                </w:rPr>
                <w:t>Amended and Restated Bylaws of the Registrant (as amended and currently in effect).</w:t>
              </w:r>
            </w:hyperlink>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non-employeedire.htm">
              <w:r>
                <w:rPr>
                  <w:rStyle w:val="InternetLink"/>
                  <w:rFonts w:ascii="Times New Roman;sans-serif" w:hAnsi="Times New Roman;sans-serif"/>
                  <w:b w:val="false"/>
                  <w:color w:val="000000"/>
                  <w:sz w:val="20"/>
                  <w:u w:val="single"/>
                </w:rPr>
                <w:t>Non-Employee Director Compensation Policy</w:t>
              </w:r>
            </w:hyperlink>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tndm-20250331.htm">
              <w:r>
                <w:rPr>
                  <w:rStyle w:val="InternetLink"/>
                  <w:rFonts w:ascii="Times New Roman;sans-serif" w:hAnsi="Times New Roman;sans-serif"/>
                  <w:b w:val="false"/>
                  <w:color w:val="000000"/>
                  <w:sz w:val="20"/>
                  <w:u w:val="single"/>
                </w:rPr>
                <w:t>Certification of John F. Sheridan, Chief Executive Officer, pursuant to Section 302 of the Sarbanes-Oxley Act of 2002.</w:t>
              </w:r>
            </w:hyperlink>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tndm-20250331.htm">
              <w:r>
                <w:rPr>
                  <w:rStyle w:val="InternetLink"/>
                  <w:rFonts w:ascii="Times New Roman;sans-serif" w:hAnsi="Times New Roman;sans-serif"/>
                  <w:b w:val="false"/>
                  <w:color w:val="000000"/>
                  <w:sz w:val="20"/>
                  <w:u w:val="single"/>
                </w:rPr>
                <w:t>Certification of Leigh A. Vosseller, Chief Financial Officer, pursuant to Section 302 of the Sarbanes-Oxley Act of 2002.</w:t>
              </w:r>
            </w:hyperlink>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tndm-20250331.htm">
              <w:r>
                <w:rPr>
                  <w:rStyle w:val="InternetLink"/>
                  <w:rFonts w:ascii="Times New Roman;sans-serif" w:hAnsi="Times New Roman;sans-serif"/>
                  <w:b w:val="false"/>
                  <w:color w:val="000000"/>
                  <w:sz w:val="20"/>
                  <w:u w:val="single"/>
                </w:rPr>
                <w:t>Certification of John F. Sheridan, Chief Executive Officer, pursuant to U.S.C. Section 1350, as adopted pursuant to Section 906 of the Sarbanes-Oxley Act of 2002.</w:t>
              </w:r>
            </w:hyperlink>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tndm-20250331.htm">
              <w:r>
                <w:rPr>
                  <w:rStyle w:val="InternetLink"/>
                  <w:rFonts w:ascii="Times New Roman;sans-serif" w:hAnsi="Times New Roman;sans-serif"/>
                  <w:b w:val="false"/>
                  <w:color w:val="000000"/>
                  <w:sz w:val="20"/>
                  <w:u w:val="single"/>
                </w:rPr>
                <w:t>Certification of Leigh A. Vosseller, Chief Financial Officer, pursuant to U.S.C. Section 1350, as adopted pursuant to Section 906 of the Sarbanes-Oxley Act of 2002.</w:t>
              </w:r>
            </w:hyperlink>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599" w:type="dxa"/>
        <w:jc w:val="left"/>
        <w:tblInd w:w="0" w:type="dxa"/>
        <w:tblLayout w:type="fixed"/>
        <w:tblCellMar>
          <w:top w:w="28" w:type="dxa"/>
          <w:left w:w="28" w:type="dxa"/>
          <w:bottom w:w="28" w:type="dxa"/>
          <w:right w:w="28" w:type="dxa"/>
        </w:tblCellMar>
      </w:tblPr>
      <w:tblGrid>
        <w:gridCol w:w="683"/>
        <w:gridCol w:w="600"/>
        <w:gridCol w:w="606"/>
        <w:gridCol w:w="109"/>
        <w:gridCol w:w="109"/>
        <w:gridCol w:w="109"/>
        <w:gridCol w:w="368"/>
        <w:gridCol w:w="368"/>
        <w:gridCol w:w="368"/>
        <w:gridCol w:w="1535"/>
        <w:gridCol w:w="1535"/>
        <w:gridCol w:w="220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and Chief Executive Officer</w:t>
              <w:br/>
              <w:t>(on behalf of the registrant and as the registrant’s</w:t>
              <w:br/>
              <w:t>Principal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10.1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NON-EMPLOYEE DIRECTOR COMPENSATION POLICY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and approved February 19,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Tandem Diabetes Care,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believes that the granting of equity and cash compensation to its members of the Board of Directors (the “</w:t>
      </w:r>
      <w:r>
        <w:rPr>
          <w:rFonts w:ascii="Times New Roman;sans-serif" w:hAnsi="Times New Roman;sans-serif"/>
          <w:b/>
          <w:color w:val="000000"/>
          <w:sz w:val="20"/>
        </w:rPr>
        <w:t>Board</w:t>
      </w:r>
      <w:r>
        <w:rPr>
          <w:rFonts w:ascii="Times New Roman;sans-serif" w:hAnsi="Times New Roman;sans-serif"/>
          <w:b w:val="false"/>
          <w:color w:val="000000"/>
          <w:sz w:val="20"/>
        </w:rPr>
        <w:t>,” and members of the Board, the “</w:t>
      </w:r>
      <w:r>
        <w:rPr>
          <w:rFonts w:ascii="Times New Roman;sans-serif" w:hAnsi="Times New Roman;sans-serif"/>
          <w:b/>
          <w:color w:val="000000"/>
          <w:sz w:val="20"/>
        </w:rPr>
        <w:t>Directors</w:t>
      </w:r>
      <w:r>
        <w:rPr>
          <w:color w:val="000000"/>
        </w:rPr>
        <w:t>”</w:t>
      </w:r>
      <w:r>
        <w:rPr>
          <w:rFonts w:ascii="Times New Roman;sans-serif" w:hAnsi="Times New Roman;sans-serif"/>
          <w:b w:val="false"/>
          <w:color w:val="000000"/>
          <w:sz w:val="20"/>
        </w:rPr>
        <w:t>) represents an effective tool to attract, retain and reward Directors who are not employees of the Company (the “</w:t>
      </w:r>
      <w:r>
        <w:rPr>
          <w:rFonts w:ascii="Times New Roman;sans-serif" w:hAnsi="Times New Roman;sans-serif"/>
          <w:b/>
          <w:color w:val="000000"/>
          <w:sz w:val="20"/>
        </w:rPr>
        <w:t>Non-Employee Directors</w:t>
      </w:r>
      <w:r>
        <w:rPr>
          <w:color w:val="000000"/>
        </w:rPr>
        <w:t>”</w:t>
      </w:r>
      <w:r>
        <w:rPr>
          <w:rFonts w:ascii="Times New Roman;sans-serif" w:hAnsi="Times New Roman;sans-serif"/>
          <w:b w:val="false"/>
          <w:color w:val="000000"/>
          <w:sz w:val="20"/>
        </w:rPr>
        <w:t>). This Non-Employee Director Compensation Policy (the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is intended to formalize the Company’s policy regarding cash compensation and grants of equity to its Non-Employee Directors. Unless otherwise defined herein, capitalized terms used in this Policy will have the meaning given such term in the Company’s 2023 Long-Term Incentive Plan (the “</w:t>
      </w:r>
      <w:r>
        <w:rPr>
          <w:rFonts w:ascii="Times New Roman;sans-serif" w:hAnsi="Times New Roman;sans-serif"/>
          <w:b/>
          <w:color w:val="000000"/>
          <w:sz w:val="20"/>
        </w:rPr>
        <w:t>Plan</w:t>
      </w:r>
      <w:r>
        <w:rPr>
          <w:color w:val="000000"/>
        </w:rPr>
        <w:t>”</w:t>
      </w:r>
      <w:r>
        <w:rPr>
          <w:rFonts w:ascii="Times New Roman;sans-serif" w:hAnsi="Times New Roman;sans-serif"/>
          <w:b w:val="false"/>
          <w:color w:val="000000"/>
          <w:sz w:val="20"/>
        </w:rPr>
        <w:t>). Each Non-Employee Director will be solely responsible for any tax obligations incurred by such Non-Employee Director as a result of the equity and cash payments such Non-Employee Director receives under this Policy.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color w:val="000000"/>
          <w:sz w:val="20"/>
        </w:rPr>
        <w:t>1.</w:t>
      </w:r>
      <w:r>
        <w:rPr>
          <w:rFonts w:ascii="Times New Roman;sans-serif" w:hAnsi="Times New Roman;sans-serif"/>
          <w:b/>
          <w:color w:val="000000"/>
          <w:sz w:val="20"/>
          <w:u w:val="single"/>
        </w:rPr>
        <w:t>Cash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Annual Cash Retainer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will be paid an annual cash retainer. There are no per</w:t>
        <w:noBreakHyphen/>
        <w:t xml:space="preserve">meeting attendance fees for attending Board meetings.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Lead Independent Director Cash Retainer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Non-Employee Director, if any, who serves as Lead Independent Director of the Board will be eligible to an additional annual fee of $25,000 for such service.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Non-Employee Director and Committee Annual Cash Retainer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Non-Employee Director earns a cash retainer for service on the Board and an additional amount for service on each committee of which the Non-Employee Director is a member and the chair of each committee earns an additional annual retainer for such service as follows: </w:t>
      </w:r>
    </w:p>
    <w:p>
      <w:pPr>
        <w:pStyle w:val="TextBody"/>
        <w:bidi w:val="0"/>
        <w:spacing w:before="0" w:after="0"/>
        <w:jc w:val="left"/>
        <w:rPr/>
      </w:pPr>
      <w:r>
        <w:rPr/>
      </w:r>
    </w:p>
    <w:tbl>
      <w:tblPr>
        <w:tblW w:w="8400" w:type="dxa"/>
        <w:jc w:val="left"/>
        <w:tblInd w:w="0" w:type="dxa"/>
        <w:tblLayout w:type="fixed"/>
        <w:tblCellMar>
          <w:top w:w="28" w:type="dxa"/>
          <w:left w:w="28" w:type="dxa"/>
          <w:bottom w:w="28" w:type="dxa"/>
          <w:right w:w="28" w:type="dxa"/>
        </w:tblCellMar>
      </w:tblPr>
      <w:tblGrid>
        <w:gridCol w:w="1542"/>
        <w:gridCol w:w="1354"/>
        <w:gridCol w:w="1364"/>
        <w:gridCol w:w="719"/>
        <w:gridCol w:w="719"/>
        <w:gridCol w:w="722"/>
        <w:gridCol w:w="579"/>
        <w:gridCol w:w="579"/>
        <w:gridCol w:w="822"/>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left w:val="single" w:sz="8"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Member Annual Retainer</w:t>
            </w:r>
          </w:p>
        </w:tc>
        <w:tc>
          <w:tcPr>
            <w:tcW w:w="1980"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Annual Retainer</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$60,000</w:t>
            </w:r>
          </w:p>
        </w:tc>
        <w:tc>
          <w:tcPr>
            <w:tcW w:w="1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$60,000</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$11,000</w:t>
            </w:r>
          </w:p>
        </w:tc>
        <w:tc>
          <w:tcPr>
            <w:tcW w:w="1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1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$11,000</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w:t>
            </w:r>
          </w:p>
        </w:tc>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1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42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and Data Privacy Subcommittee</w:t>
            </w:r>
          </w:p>
        </w:tc>
        <w:tc>
          <w:tcPr>
            <w:tcW w:w="21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9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annual cash retainer will be paid quarterly in arrears on a prorated basis.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color w:val="000000"/>
          <w:sz w:val="20"/>
        </w:rPr>
        <w:t>2.</w:t>
      </w:r>
      <w:r>
        <w:rPr>
          <w:rFonts w:ascii="Times New Roman;sans-serif" w:hAnsi="Times New Roman;sans-serif"/>
          <w:b/>
          <w:color w:val="000000"/>
          <w:sz w:val="20"/>
          <w:u w:val="single"/>
        </w:rPr>
        <w:t>Equity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Directors will be entitled to receive all types of Awards (except Incentive Stock Options) under the Plan (or the applicable equity plan in place at the time of grant), including discretionary Awards not covered under this Policy. All grants of Awards to Non-Employee Directors pursuant to Section 2 of this Policy will be automatic and nondiscretionary, except as otherwise provided herein, and will be made in accordance with the following provisions, subject to the Non-Employee Director remaining a Non-Employee Director through the applicable grant date:</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10.1</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No Discretion</w:t>
      </w:r>
      <w:r>
        <w:rPr>
          <w:rFonts w:ascii="Times New Roman;sans-serif" w:hAnsi="Times New Roman;sans-serif"/>
          <w:b w:val="false"/>
          <w:color w:val="000000"/>
          <w:sz w:val="20"/>
        </w:rPr>
        <w:t>. No person will have any discretion to select which Non-Employee Directors will be granted any Awards under this Policy or to determine the number of Shares to be covered by such Awards.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Initial Awards</w:t>
      </w:r>
      <w:r>
        <w:rPr>
          <w:rFonts w:ascii="Times New Roman;sans-serif" w:hAnsi="Times New Roman;sans-serif"/>
          <w:b w:val="false"/>
          <w:color w:val="000000"/>
          <w:sz w:val="20"/>
        </w:rPr>
        <w:t>. Each individual who first becomes an Non-Employee Director following the effective date of the Policy, whether through election by the stockholders of the Company or appointment by the Board to fill a vacancy, will be granted an award of Restricted Stock Units (an “</w:t>
      </w:r>
      <w:r>
        <w:rPr>
          <w:rFonts w:ascii="Times New Roman;sans-serif" w:hAnsi="Times New Roman;sans-serif"/>
          <w:b/>
          <w:color w:val="000000"/>
          <w:sz w:val="20"/>
        </w:rPr>
        <w:t>Initial Award</w:t>
      </w:r>
      <w:r>
        <w:rPr>
          <w:color w:val="000000"/>
        </w:rPr>
        <w:t xml:space="preserve">” </w:t>
      </w:r>
      <w:r>
        <w:rPr>
          <w:rFonts w:ascii="Times New Roman;sans-serif" w:hAnsi="Times New Roman;sans-serif"/>
          <w:b w:val="false"/>
          <w:color w:val="000000"/>
          <w:sz w:val="20"/>
        </w:rPr>
        <w:t>with a Value of approximately $300,000 (the “</w:t>
      </w:r>
      <w:r>
        <w:rPr>
          <w:rFonts w:ascii="Times New Roman;sans-serif" w:hAnsi="Times New Roman;sans-serif"/>
          <w:b/>
          <w:color w:val="000000"/>
          <w:sz w:val="20"/>
        </w:rPr>
        <w:t>Initial Value</w:t>
      </w:r>
      <w:r>
        <w:rPr>
          <w:color w:val="000000"/>
        </w:rPr>
        <w:t>”</w:t>
      </w:r>
      <w:r>
        <w:rPr>
          <w:rFonts w:ascii="Times New Roman;sans-serif" w:hAnsi="Times New Roman;sans-serif"/>
          <w:b w:val="false"/>
          <w:color w:val="000000"/>
          <w:sz w:val="20"/>
        </w:rPr>
        <w:t>), provided that the quantity of shares (rounded down to the nearest whole number of shares) is determined by dividing the Initial Value by the average closing price of the Company’s common stock for the 15-trading day period ending on the 5th trading day prior to the date on which such individual first becomes an Non-Employee Director, or such other methodology the Board or Compensation Committee may determine prior to the grant of the full value Award becoming effective. Each Initial Award will be granted automatically on such date without the need for additional action by the Board or Compensation Committee.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Annual Award</w:t>
      </w:r>
      <w:r>
        <w:rPr>
          <w:rFonts w:ascii="Times New Roman;sans-serif" w:hAnsi="Times New Roman;sans-serif"/>
          <w:b w:val="false"/>
          <w:color w:val="000000"/>
          <w:sz w:val="20"/>
        </w:rPr>
        <w:t>. Each Non-Employee Director will be automatically granted an award of Restricted Stock Units (an “</w:t>
      </w:r>
      <w:r>
        <w:rPr>
          <w:rFonts w:ascii="Times New Roman;sans-serif" w:hAnsi="Times New Roman;sans-serif"/>
          <w:b/>
          <w:color w:val="000000"/>
          <w:sz w:val="20"/>
        </w:rPr>
        <w:t>Annual Award</w:t>
      </w:r>
      <w:r>
        <w:rPr>
          <w:color w:val="000000"/>
        </w:rPr>
        <w:t>”</w:t>
      </w:r>
      <w:r>
        <w:rPr>
          <w:rFonts w:ascii="Times New Roman;sans-serif" w:hAnsi="Times New Roman;sans-serif"/>
          <w:b w:val="false"/>
          <w:color w:val="000000"/>
          <w:sz w:val="20"/>
        </w:rPr>
        <w:t>) with a value of approximately $180,000 (the “</w:t>
      </w:r>
      <w:r>
        <w:rPr>
          <w:rFonts w:ascii="Times New Roman;sans-serif" w:hAnsi="Times New Roman;sans-serif"/>
          <w:b/>
          <w:color w:val="000000"/>
          <w:sz w:val="20"/>
        </w:rPr>
        <w:t>Annual Value</w:t>
      </w:r>
      <w:r>
        <w:rPr>
          <w:color w:val="000000"/>
        </w:rPr>
        <w:t>”</w:t>
      </w:r>
      <w:r>
        <w:rPr>
          <w:rFonts w:ascii="Times New Roman;sans-serif" w:hAnsi="Times New Roman;sans-serif"/>
          <w:b w:val="false"/>
          <w:color w:val="000000"/>
          <w:sz w:val="20"/>
        </w:rPr>
        <w:t>), provided that the quantity of shares (rounded down to the nearest whole number of shares) is determined by dividing the Annual Value by the average closing price of the Company’s common stock for the 15-trading day period ending on the 5th trading day prior to the date of the annual meeting of the Company’s stockholders, or such other methodology the Board or Compensation Committee may determine prior to the grant of the Annual Award becoming effective. Each Annual Award will be granted automatically on such date without the need for additional action by the Board or Compensation Committee.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Terms</w:t>
      </w:r>
      <w:r>
        <w:rPr>
          <w:rFonts w:ascii="Times New Roman;sans-serif" w:hAnsi="Times New Roman;sans-serif"/>
          <w:b w:val="false"/>
          <w:color w:val="000000"/>
          <w:sz w:val="20"/>
        </w:rPr>
        <w:t>. The terms and conditions of each Initial Award and Annual Award will be as follows: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i.Each Initial Award will be scheduled to vest as to one third (1/3) of the Shares subject to such Initial Award on each annual anniversary of the commencement of the Non-Employee Director’s service as a Non-Employee Director, if on such dates the Non-Employee Director has remained in continuous service as a Director.</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ii.Each Annual Award will be scheduled to vest as to all of the Shares subject to such Annual Award on the first anniversary of the date of grant of such Annual Award, if on such date the Non-Employee Director has remained in continuous service as a Director.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iii.Each Initial Award and Annual Award will fully vest and, if applicable, become exercisable if the Company experiences a Change in Control; provided that the Non-Employee Director continues to serve as a Director through the effective date of such event.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ans-serif" w:hAnsi="Times New Roman;sans-serif"/>
          <w:b/>
          <w:color w:val="000000"/>
          <w:sz w:val="20"/>
        </w:rPr>
        <w:t>3.</w:t>
      </w:r>
      <w:r>
        <w:rPr>
          <w:rFonts w:ascii="Times New Roman;sans-serif" w:hAnsi="Times New Roman;sans-serif"/>
          <w:b/>
          <w:color w:val="000000"/>
          <w:sz w:val="20"/>
          <w:u w:val="single"/>
        </w:rPr>
        <w:t>Travel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Director’s reasonable, customary and documented travel expenses to attend Board or Committee meetings will be reimbursed by the Company.</w:t>
      </w:r>
    </w:p>
    <w:p>
      <w:pPr>
        <w:pStyle w:val="TextBody"/>
        <w:bidi w:val="0"/>
        <w:ind w:left="0" w:right="0" w:firstLine="720"/>
        <w:jc w:val="both"/>
        <w:rPr/>
      </w:pPr>
      <w:r>
        <w:rPr/>
      </w: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10.1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color w:val="000000"/>
          <w:sz w:val="20"/>
        </w:rPr>
        <w:t>4.</w:t>
      </w:r>
      <w:r>
        <w:rPr>
          <w:rFonts w:ascii="Times New Roman;sans-serif" w:hAnsi="Times New Roman;sans-serif"/>
          <w:b/>
          <w:color w:val="000000"/>
          <w:sz w:val="20"/>
          <w:u w:val="single"/>
        </w:rPr>
        <w:t>Section 409A</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0"/>
        </w:rPr>
        <w:t>In no event will cash compensation or expense reimbursement payments under this Policy be paid after the later of (a) the fifteenth (15</w:t>
      </w:r>
      <w:r>
        <w:rPr>
          <w:rFonts w:ascii="Times New Roman;sans-serif" w:hAnsi="Times New Roman;sans-serif"/>
          <w:b w:val="false"/>
          <w:color w:val="000000"/>
          <w:sz w:val="13"/>
        </w:rPr>
        <w:t>th</w:t>
      </w:r>
      <w:r>
        <w:rPr>
          <w:rFonts w:ascii="Times New Roman;sans-serif" w:hAnsi="Times New Roman;sans-serif"/>
          <w:b w:val="false"/>
          <w:color w:val="000000"/>
          <w:sz w:val="20"/>
        </w:rPr>
        <w:t>) day of the third (3</w:t>
      </w:r>
      <w:r>
        <w:rPr>
          <w:rFonts w:ascii="Times New Roman;sans-serif" w:hAnsi="Times New Roman;sans-serif"/>
          <w:b w:val="false"/>
          <w:color w:val="000000"/>
          <w:sz w:val="13"/>
        </w:rPr>
        <w:t>rd</w:t>
      </w:r>
      <w:r>
        <w:rPr>
          <w:rFonts w:ascii="Times New Roman;sans-serif" w:hAnsi="Times New Roman;sans-serif"/>
          <w:b w:val="false"/>
          <w:color w:val="000000"/>
          <w:sz w:val="20"/>
        </w:rPr>
        <w:t>) month following the end of the Company’s fiscal year in which the compensation is earned or expenses are incurred, as applicable, or (b) the fifteenth (15</w:t>
      </w:r>
      <w:r>
        <w:rPr>
          <w:rFonts w:ascii="Times New Roman;sans-serif" w:hAnsi="Times New Roman;sans-serif"/>
          <w:b w:val="false"/>
          <w:color w:val="000000"/>
          <w:sz w:val="13"/>
        </w:rPr>
        <w:t>th</w:t>
      </w:r>
      <w:r>
        <w:rPr>
          <w:rFonts w:ascii="Times New Roman;sans-serif" w:hAnsi="Times New Roman;sans-serif"/>
          <w:b w:val="false"/>
          <w:color w:val="000000"/>
          <w:sz w:val="20"/>
        </w:rPr>
        <w:t>) day of the third (3</w:t>
      </w:r>
      <w:r>
        <w:rPr>
          <w:rFonts w:ascii="Times New Roman;sans-serif" w:hAnsi="Times New Roman;sans-serif"/>
          <w:b w:val="false"/>
          <w:color w:val="000000"/>
          <w:sz w:val="13"/>
        </w:rPr>
        <w:t>rd</w:t>
      </w:r>
      <w:r>
        <w:rPr>
          <w:rFonts w:ascii="Times New Roman;sans-serif" w:hAnsi="Times New Roman;sans-serif"/>
          <w:b w:val="false"/>
          <w:color w:val="000000"/>
          <w:sz w:val="20"/>
        </w:rPr>
        <w:t>)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sans-serif" w:hAnsi="Times New Roman;sans-serif"/>
          <w:b/>
          <w:color w:val="000000"/>
          <w:sz w:val="20"/>
        </w:rPr>
        <w:t>Section 409A</w:t>
      </w:r>
      <w:r>
        <w:rPr>
          <w:color w:val="000000"/>
        </w:rPr>
        <w:t>”</w:t>
      </w:r>
      <w:r>
        <w:rPr>
          <w:rFonts w:ascii="Times New Roman;sans-serif" w:hAnsi="Times New Roman;sans-serif"/>
          <w:b w:val="false"/>
          <w:color w:val="000000"/>
          <w:sz w:val="20"/>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Non-Employee Director for any taxes imposed or other costs incurred as a result of Section 409A.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F. Sheridan, certify that: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Tandem Diabetes Care, Inc.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228" w:type="dxa"/>
        <w:jc w:val="left"/>
        <w:tblInd w:w="0" w:type="dxa"/>
        <w:tblLayout w:type="fixed"/>
        <w:tblCellMar>
          <w:top w:w="28" w:type="dxa"/>
          <w:left w:w="28" w:type="dxa"/>
          <w:bottom w:w="28" w:type="dxa"/>
          <w:right w:w="28" w:type="dxa"/>
        </w:tblCellMar>
      </w:tblPr>
      <w:tblGrid>
        <w:gridCol w:w="683"/>
        <w:gridCol w:w="600"/>
        <w:gridCol w:w="606"/>
        <w:gridCol w:w="387"/>
        <w:gridCol w:w="387"/>
        <w:gridCol w:w="387"/>
        <w:gridCol w:w="1301"/>
        <w:gridCol w:w="1301"/>
        <w:gridCol w:w="1313"/>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Chief Executive Officer and 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30, 2025</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Leigh A. Vosseller, certify that: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Tandem Diabetes Care, Inc.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8547" w:type="dxa"/>
        <w:jc w:val="left"/>
        <w:tblInd w:w="0" w:type="dxa"/>
        <w:tblLayout w:type="fixed"/>
        <w:tblCellMar>
          <w:top w:w="28" w:type="dxa"/>
          <w:left w:w="28" w:type="dxa"/>
          <w:bottom w:w="28" w:type="dxa"/>
          <w:right w:w="28" w:type="dxa"/>
        </w:tblCellMar>
      </w:tblPr>
      <w:tblGrid>
        <w:gridCol w:w="683"/>
        <w:gridCol w:w="600"/>
        <w:gridCol w:w="606"/>
        <w:gridCol w:w="387"/>
        <w:gridCol w:w="387"/>
        <w:gridCol w:w="387"/>
        <w:gridCol w:w="1740"/>
        <w:gridCol w:w="1740"/>
        <w:gridCol w:w="1754"/>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30, 2025</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Tandem Diabetes Care, Inc. (the “Company”) for the period ended March 31, 2025,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as of the dates and for the periods presented.</w:t>
      </w:r>
    </w:p>
    <w:tbl>
      <w:tblPr>
        <w:tblW w:w="6071"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159"/>
        <w:gridCol w:w="1159"/>
        <w:gridCol w:w="164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Chief Executive Officer and Director</w:t>
            </w:r>
          </w:p>
        </w:tc>
      </w:tr>
    </w:tbl>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Tandem Diabetes Care, Inc. (the “Company”) for the period ended March 31, 2025,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as of the dates and for the periods presented.</w:t>
      </w:r>
    </w:p>
    <w:tbl>
      <w:tblPr>
        <w:tblW w:w="7390"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547"/>
        <w:gridCol w:w="1547"/>
        <w:gridCol w:w="218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r>
          </w:p>
        </w:tc>
      </w:tr>
    </w:tbl>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8133/000143813323000153/exhibit31amendedandrestate.htm" TargetMode="External"/><Relationship Id="rId3" Type="http://schemas.openxmlformats.org/officeDocument/2006/relationships/hyperlink" Target="https://www.sec.gov/Archives/edgar/data/1438133/000143813323000153/exhibit32amendedandrestat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47188</Words>
  <Characters>267757</Characters>
  <CharactersWithSpaces>313466</CharactersWithSpaces>
  <Paragraphs>2280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