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_________________________________________________________________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_________________________________________________________________</w:t>
      </w:r>
    </w:p>
    <w:p>
      <w:pPr>
        <w:spacing w:after="0" w:line="2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For the transition period from</w:t>
            </w:r>
          </w:p>
        </w:tc>
        <w:tc>
          <w:tcPr>
            <w:tcW w:w="720" w:type="dxa"/>
            <w:vAlign w:val="bottom"/>
            <w:tcBorders>
              <w:bottom w:val="single" w:sz="8" w:color="auto"/>
            </w:tcBorders>
            <w:gridSpan w:val="3"/>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90"/>
              </w:rPr>
              <w:t>to</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Pr>
          <w:p>
            <w:pPr>
              <w:spacing w:after="0"/>
              <w:rPr>
                <w:sz w:val="14"/>
                <w:szCs w:val="14"/>
                <w:color w:val="auto"/>
              </w:rPr>
            </w:pPr>
          </w:p>
        </w:tc>
      </w:tr>
      <w:tr>
        <w:trPr>
          <w:trHeight w:val="155"/>
        </w:trPr>
        <w:tc>
          <w:tcPr>
            <w:tcW w:w="1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60" w:type="dxa"/>
            <w:vAlign w:val="bottom"/>
            <w:gridSpan w:val="8"/>
          </w:tcPr>
          <w:p>
            <w:pPr>
              <w:jc w:val="center"/>
              <w:ind w:left="364"/>
              <w:spacing w:after="0" w:line="155" w:lineRule="exact"/>
              <w:rPr>
                <w:sz w:val="20"/>
                <w:szCs w:val="20"/>
                <w:color w:val="auto"/>
              </w:rPr>
            </w:pPr>
            <w:r>
              <w:rPr>
                <w:rFonts w:ascii="Arial" w:cs="Arial" w:eastAsia="Arial" w:hAnsi="Arial"/>
                <w:sz w:val="14"/>
                <w:szCs w:val="14"/>
                <w:b w:val="1"/>
                <w:bCs w:val="1"/>
                <w:color w:val="auto"/>
                <w:w w:val="93"/>
              </w:rPr>
              <w:t>Commission File Number 001-36189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108"/>
        </w:trPr>
        <w:tc>
          <w:tcPr>
            <w:tcW w:w="1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60" w:type="dxa"/>
            <w:vAlign w:val="bottom"/>
            <w:gridSpan w:val="10"/>
          </w:tcPr>
          <w:p>
            <w:pPr>
              <w:jc w:val="center"/>
              <w:ind w:left="64"/>
              <w:spacing w:after="0" w:line="109" w:lineRule="exact"/>
              <w:rPr>
                <w:sz w:val="20"/>
                <w:szCs w:val="20"/>
                <w:color w:val="auto"/>
              </w:rPr>
            </w:pPr>
            <w:r>
              <w:rPr>
                <w:rFonts w:ascii="Arial" w:cs="Arial" w:eastAsia="Arial" w:hAnsi="Arial"/>
                <w:sz w:val="11"/>
                <w:szCs w:val="11"/>
                <w:b w:val="1"/>
                <w:bCs w:val="1"/>
                <w:color w:val="auto"/>
                <w:w w:val="88"/>
              </w:rPr>
              <w:t>_________________________________________________________________</w:t>
            </w:r>
          </w:p>
        </w:tc>
        <w:tc>
          <w:tcPr>
            <w:tcW w:w="2660" w:type="dxa"/>
            <w:vAlign w:val="bottom"/>
          </w:tcPr>
          <w:p>
            <w:pPr>
              <w:spacing w:after="0"/>
              <w:rPr>
                <w:sz w:val="9"/>
                <w:szCs w:val="9"/>
                <w:color w:val="auto"/>
              </w:rPr>
            </w:pPr>
          </w:p>
        </w:tc>
      </w:tr>
      <w:tr>
        <w:trPr>
          <w:trHeight w:val="351"/>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gridSpan w:val="10"/>
          </w:tcPr>
          <w:p>
            <w:pPr>
              <w:jc w:val="center"/>
              <w:ind w:left="84"/>
              <w:spacing w:after="0"/>
              <w:rPr>
                <w:sz w:val="20"/>
                <w:szCs w:val="20"/>
                <w:color w:val="auto"/>
              </w:rPr>
            </w:pPr>
            <w:r>
              <w:rPr>
                <w:rFonts w:ascii="Arial" w:cs="Arial" w:eastAsia="Arial" w:hAnsi="Arial"/>
                <w:sz w:val="29"/>
                <w:szCs w:val="29"/>
                <w:b w:val="1"/>
                <w:bCs w:val="1"/>
                <w:color w:val="auto"/>
                <w:w w:val="90"/>
              </w:rPr>
              <w:t>Tandem Diabetes Care, Inc.</w:t>
            </w:r>
          </w:p>
        </w:tc>
        <w:tc>
          <w:tcPr>
            <w:tcW w:w="2660" w:type="dxa"/>
            <w:vAlign w:val="bottom"/>
          </w:tcPr>
          <w:p>
            <w:pPr>
              <w:spacing w:after="0"/>
              <w:rPr>
                <w:sz w:val="24"/>
                <w:szCs w:val="24"/>
                <w:color w:val="auto"/>
              </w:rPr>
            </w:pPr>
          </w:p>
        </w:tc>
      </w:tr>
      <w:tr>
        <w:trPr>
          <w:trHeight w:val="189"/>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320" w:type="dxa"/>
            <w:vAlign w:val="bottom"/>
            <w:gridSpan w:val="11"/>
          </w:tcPr>
          <w:p>
            <w:pPr>
              <w:jc w:val="center"/>
              <w:ind w:right="242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40"/>
        </w:trPr>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1"/>
                <w:szCs w:val="11"/>
                <w:b w:val="1"/>
                <w:bCs w:val="1"/>
                <w:color w:val="auto"/>
                <w:w w:val="88"/>
              </w:rPr>
              <w:t>_________________________________________________________________</w:t>
            </w:r>
          </w:p>
        </w:tc>
        <w:tc>
          <w:tcPr>
            <w:tcW w:w="2660" w:type="dxa"/>
            <w:vAlign w:val="bottom"/>
          </w:tcPr>
          <w:p>
            <w:pPr>
              <w:spacing w:after="0"/>
              <w:rPr>
                <w:sz w:val="12"/>
                <w:szCs w:val="12"/>
                <w:color w:val="auto"/>
              </w:rPr>
            </w:pPr>
          </w:p>
        </w:tc>
      </w:tr>
      <w:tr>
        <w:trPr>
          <w:trHeight w:val="293"/>
        </w:trPr>
        <w:tc>
          <w:tcPr>
            <w:tcW w:w="1720" w:type="dxa"/>
            <w:vAlign w:val="bottom"/>
          </w:tcPr>
          <w:p>
            <w:pPr>
              <w:spacing w:after="0"/>
              <w:rPr>
                <w:sz w:val="24"/>
                <w:szCs w:val="2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Delaware</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jc w:val="right"/>
              <w:ind w:right="1288"/>
              <w:spacing w:after="0"/>
              <w:rPr>
                <w:sz w:val="20"/>
                <w:szCs w:val="20"/>
                <w:color w:val="auto"/>
              </w:rPr>
            </w:pPr>
            <w:r>
              <w:rPr>
                <w:rFonts w:ascii="Arial" w:cs="Arial" w:eastAsia="Arial" w:hAnsi="Arial"/>
                <w:sz w:val="14"/>
                <w:szCs w:val="14"/>
                <w:b w:val="1"/>
                <w:bCs w:val="1"/>
                <w:color w:val="auto"/>
              </w:rPr>
              <w:t>20-4327508</w:t>
            </w:r>
          </w:p>
        </w:tc>
      </w:tr>
      <w:tr>
        <w:trPr>
          <w:trHeight w:val="192"/>
        </w:trPr>
        <w:tc>
          <w:tcPr>
            <w:tcW w:w="172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(State or other jurisdiction of</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jc w:val="center"/>
              <w:ind w:right="66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72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incorporation or organization)</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jc w:val="center"/>
              <w:ind w:right="688"/>
              <w:spacing w:after="0"/>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17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11075 Roselle Street</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jc w:val="right"/>
              <w:ind w:right="1448"/>
              <w:spacing w:after="0"/>
              <w:rPr>
                <w:sz w:val="20"/>
                <w:szCs w:val="20"/>
                <w:color w:val="auto"/>
              </w:rPr>
            </w:pPr>
            <w:r>
              <w:rPr>
                <w:rFonts w:ascii="Arial" w:cs="Arial" w:eastAsia="Arial" w:hAnsi="Arial"/>
                <w:sz w:val="14"/>
                <w:szCs w:val="14"/>
                <w:b w:val="1"/>
                <w:bCs w:val="1"/>
                <w:color w:val="auto"/>
              </w:rPr>
              <w:t>92121</w:t>
            </w:r>
          </w:p>
        </w:tc>
      </w:tr>
      <w:tr>
        <w:trPr>
          <w:trHeight w:val="216"/>
        </w:trPr>
        <w:tc>
          <w:tcPr>
            <w:tcW w:w="1720" w:type="dxa"/>
            <w:vAlign w:val="bottom"/>
          </w:tcPr>
          <w:p>
            <w:pPr>
              <w:spacing w:after="0"/>
              <w:rPr>
                <w:sz w:val="18"/>
                <w:szCs w:val="18"/>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San Diego California</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jc w:val="center"/>
              <w:ind w:right="688"/>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6480" w:type="dxa"/>
            <w:vAlign w:val="bottom"/>
            <w:gridSpan w:val="9"/>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59"/>
        </w:trPr>
        <w:tc>
          <w:tcPr>
            <w:tcW w:w="1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gridSpan w:val="6"/>
          </w:tcPr>
          <w:p>
            <w:pPr>
              <w:jc w:val="center"/>
              <w:ind w:left="984"/>
              <w:spacing w:after="0"/>
              <w:rPr>
                <w:sz w:val="20"/>
                <w:szCs w:val="20"/>
                <w:color w:val="auto"/>
              </w:rPr>
            </w:pPr>
            <w:r>
              <w:rPr>
                <w:rFonts w:ascii="Arial" w:cs="Arial" w:eastAsia="Arial" w:hAnsi="Arial"/>
                <w:sz w:val="14"/>
                <w:szCs w:val="14"/>
                <w:b w:val="1"/>
                <w:bCs w:val="1"/>
                <w:color w:val="auto"/>
                <w:w w:val="93"/>
              </w:rPr>
              <w:t>(858) 366-6900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162"/>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60" w:type="dxa"/>
            <w:vAlign w:val="bottom"/>
          </w:tcPr>
          <w:p>
            <w:pPr>
              <w:spacing w:after="0"/>
              <w:rPr>
                <w:sz w:val="14"/>
                <w:szCs w:val="14"/>
                <w:color w:val="auto"/>
              </w:rPr>
            </w:pPr>
          </w:p>
        </w:tc>
      </w:tr>
      <w:tr>
        <w:trPr>
          <w:trHeight w:val="186"/>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660" w:type="dxa"/>
            <w:vAlign w:val="bottom"/>
          </w:tcPr>
          <w:p>
            <w:pPr>
              <w:spacing w:after="0"/>
              <w:rPr>
                <w:sz w:val="16"/>
                <w:szCs w:val="16"/>
                <w:color w:val="auto"/>
              </w:rPr>
            </w:pPr>
          </w:p>
        </w:tc>
      </w:tr>
      <w:tr>
        <w:trPr>
          <w:trHeight w:val="282"/>
        </w:trPr>
        <w:tc>
          <w:tcPr>
            <w:tcW w:w="17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25"/>
        </w:trPr>
        <w:tc>
          <w:tcPr>
            <w:tcW w:w="372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1060" w:type="dxa"/>
            <w:vAlign w:val="bottom"/>
          </w:tcPr>
          <w:p>
            <w:pPr>
              <w:spacing w:after="0"/>
              <w:rPr>
                <w:sz w:val="19"/>
                <w:szCs w:val="19"/>
                <w:color w:val="auto"/>
              </w:rPr>
            </w:pPr>
          </w:p>
        </w:tc>
        <w:tc>
          <w:tcPr>
            <w:tcW w:w="17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TNDM</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Nasdaq Global Market</w:t>
            </w:r>
          </w:p>
        </w:tc>
      </w:tr>
      <w:tr>
        <w:trPr>
          <w:trHeight w:val="246"/>
        </w:trPr>
        <w:tc>
          <w:tcPr>
            <w:tcW w:w="1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660" w:type="dxa"/>
            <w:vAlign w:val="bottom"/>
          </w:tcPr>
          <w:p>
            <w:pPr>
              <w:spacing w:after="0"/>
              <w:rPr>
                <w:sz w:val="21"/>
                <w:szCs w:val="21"/>
                <w:color w:val="auto"/>
              </w:rPr>
            </w:pPr>
          </w:p>
        </w:tc>
      </w:tr>
      <w:tr>
        <w:trPr>
          <w:trHeight w:val="158"/>
        </w:trPr>
        <w:tc>
          <w:tcPr>
            <w:tcW w:w="1720" w:type="dxa"/>
            <w:vAlign w:val="bottom"/>
          </w:tcPr>
          <w:p>
            <w:pPr>
              <w:spacing w:after="0"/>
              <w:rPr>
                <w:sz w:val="13"/>
                <w:szCs w:val="13"/>
                <w:color w:val="auto"/>
              </w:rPr>
            </w:pPr>
          </w:p>
        </w:tc>
        <w:tc>
          <w:tcPr>
            <w:tcW w:w="8320" w:type="dxa"/>
            <w:vAlign w:val="bottom"/>
            <w:gridSpan w:val="13"/>
          </w:tcPr>
          <w:p>
            <w:pPr>
              <w:jc w:val="center"/>
              <w:ind w:right="428"/>
              <w:spacing w:after="0" w:line="158" w:lineRule="exact"/>
              <w:rPr>
                <w:sz w:val="20"/>
                <w:szCs w:val="20"/>
                <w:color w:val="auto"/>
              </w:rPr>
            </w:pPr>
            <w:r>
              <w:rPr>
                <w:rFonts w:ascii="Arial" w:cs="Arial" w:eastAsia="Arial" w:hAnsi="Arial"/>
                <w:sz w:val="14"/>
                <w:szCs w:val="14"/>
                <w:b w:val="1"/>
                <w:bCs w:val="1"/>
                <w:color w:val="auto"/>
                <w:w w:val="92"/>
              </w:rPr>
              <w:t>____________________________________________________None__________________________________________________</w:t>
            </w:r>
          </w:p>
        </w:tc>
      </w:tr>
      <w:tr>
        <w:trPr>
          <w:trHeight w:val="129"/>
        </w:trPr>
        <w:tc>
          <w:tcPr>
            <w:tcW w:w="5540" w:type="dxa"/>
            <w:vAlign w:val="bottom"/>
            <w:gridSpan w:val="5"/>
          </w:tcPr>
          <w:p>
            <w:pPr>
              <w:spacing w:after="0" w:line="129" w:lineRule="exact"/>
              <w:rPr>
                <w:sz w:val="20"/>
                <w:szCs w:val="20"/>
                <w:color w:val="auto"/>
              </w:rPr>
            </w:pPr>
            <w:r>
              <w:rPr>
                <w:rFonts w:ascii="Arial" w:cs="Arial" w:eastAsia="Arial" w:hAnsi="Arial"/>
                <w:sz w:val="14"/>
                <w:szCs w:val="14"/>
                <w:color w:val="auto"/>
                <w:w w:val="93"/>
              </w:rPr>
              <w:t>Indicate by check mark if the registrant is a well-known seasoned issuer, as defined in Rule 405</w:t>
            </w:r>
          </w:p>
        </w:tc>
        <w:tc>
          <w:tcPr>
            <w:tcW w:w="3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85"/>
              </w:rPr>
              <w:t>of the</w:t>
            </w:r>
          </w:p>
        </w:tc>
        <w:tc>
          <w:tcPr>
            <w:tcW w:w="1220" w:type="dxa"/>
            <w:vAlign w:val="bottom"/>
            <w:gridSpan w:val="4"/>
          </w:tcPr>
          <w:p>
            <w:pPr>
              <w:jc w:val="right"/>
              <w:ind w:right="40"/>
              <w:spacing w:after="0" w:line="129" w:lineRule="exact"/>
              <w:rPr>
                <w:sz w:val="20"/>
                <w:szCs w:val="20"/>
                <w:color w:val="auto"/>
              </w:rPr>
            </w:pPr>
            <w:r>
              <w:rPr>
                <w:rFonts w:ascii="Arial" w:cs="Arial" w:eastAsia="Arial" w:hAnsi="Arial"/>
                <w:sz w:val="14"/>
                <w:szCs w:val="14"/>
                <w:color w:val="auto"/>
                <w:w w:val="98"/>
              </w:rPr>
              <w:t>Securities Act. Yes</w:t>
            </w:r>
          </w:p>
        </w:tc>
        <w:tc>
          <w:tcPr>
            <w:tcW w:w="300" w:type="dxa"/>
            <w:vAlign w:val="bottom"/>
            <w:gridSpan w:val="2"/>
          </w:tcPr>
          <w:p>
            <w:pPr>
              <w:ind w:left="20"/>
              <w:spacing w:after="0" w:line="129" w:lineRule="exact"/>
              <w:rPr>
                <w:sz w:val="20"/>
                <w:szCs w:val="20"/>
                <w:color w:val="auto"/>
              </w:rPr>
            </w:pPr>
            <w:r>
              <w:rPr>
                <w:rFonts w:ascii="MS PGothic" w:cs="MS PGothic" w:eastAsia="MS PGothic" w:hAnsi="MS PGothic"/>
                <w:sz w:val="14"/>
                <w:szCs w:val="14"/>
                <w:color w:val="auto"/>
              </w:rPr>
              <w:t>☒</w:t>
            </w:r>
          </w:p>
        </w:tc>
        <w:tc>
          <w:tcPr>
            <w:tcW w:w="2660" w:type="dxa"/>
            <w:vAlign w:val="bottom"/>
          </w:tcPr>
          <w:p>
            <w:pPr>
              <w:spacing w:after="0" w:line="129"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196"/>
        </w:trPr>
        <w:tc>
          <w:tcPr>
            <w:tcW w:w="7080" w:type="dxa"/>
            <w:vAlign w:val="bottom"/>
            <w:gridSpan w:val="11"/>
          </w:tcPr>
          <w:p>
            <w:pPr>
              <w:jc w:val="right"/>
              <w:ind w:right="40"/>
              <w:spacing w:after="0" w:line="161" w:lineRule="exact"/>
              <w:rPr>
                <w:sz w:val="20"/>
                <w:szCs w:val="20"/>
                <w:color w:val="auto"/>
              </w:rPr>
            </w:pPr>
            <w:r>
              <w:rPr>
                <w:rFonts w:ascii="Arial" w:cs="Arial" w:eastAsia="Arial" w:hAnsi="Arial"/>
                <w:sz w:val="14"/>
                <w:szCs w:val="14"/>
                <w:color w:val="auto"/>
                <w:w w:val="94"/>
              </w:rPr>
              <w:t xml:space="preserve">Indicate by check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No</w:t>
            </w:r>
          </w:p>
        </w:tc>
        <w:tc>
          <w:tcPr>
            <w:tcW w:w="26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ind w:right="20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660"/>
              <w:spacing w:after="0"/>
              <w:rPr>
                <w:sz w:val="20"/>
                <w:szCs w:val="20"/>
                <w:color w:val="auto"/>
              </w:rPr>
            </w:pPr>
            <w:r>
              <w:rPr>
                <w:rFonts w:ascii="Arial" w:cs="Arial" w:eastAsia="Arial" w:hAnsi="Arial"/>
                <w:sz w:val="14"/>
                <w:szCs w:val="14"/>
                <w:color w:val="auto"/>
              </w:rPr>
              <w:t>x</w:t>
            </w:r>
          </w:p>
        </w:tc>
        <w:tc>
          <w:tcPr>
            <w:tcW w:w="4860" w:type="dxa"/>
            <w:vAlign w:val="bottom"/>
          </w:tcPr>
          <w:p>
            <w:pPr>
              <w:ind w:left="27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860" w:type="dxa"/>
            <w:vAlign w:val="bottom"/>
          </w:tcPr>
          <w:p>
            <w:pPr>
              <w:ind w:left="27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right="54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w:t>
      </w:r>
    </w:p>
    <w:p>
      <w:pPr>
        <w:spacing w:after="0" w:line="4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161" w:lineRule="exact"/>
        <w:tabs>
          <w:tab w:leader="none" w:pos="65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46" w:lineRule="auto"/>
        <w:rPr>
          <w:sz w:val="20"/>
          <w:szCs w:val="20"/>
          <w:color w:val="auto"/>
        </w:rPr>
      </w:pPr>
      <w:r>
        <w:rPr>
          <w:rFonts w:ascii="Arial" w:cs="Arial" w:eastAsia="Arial" w:hAnsi="Arial"/>
          <w:sz w:val="14"/>
          <w:szCs w:val="14"/>
          <w:color w:val="auto"/>
        </w:rPr>
        <w:t>As of June 30, 2021, the aggregate market value of the registrant’s common stock held by non-affiliates was approximately $5.4 billion based on the closing price for the common stock of $97.40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 As of February 17, 2022, there were 63,872,310 shares of the registrant’s common stock outstanding.</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1" w:lineRule="exact"/>
        <w:rPr>
          <w:sz w:val="24"/>
          <w:szCs w:val="24"/>
          <w:color w:val="auto"/>
        </w:rPr>
      </w:pPr>
    </w:p>
    <w:p>
      <w:pPr>
        <w:ind w:right="240"/>
        <w:spacing w:after="0" w:line="248" w:lineRule="auto"/>
        <w:rPr>
          <w:sz w:val="20"/>
          <w:szCs w:val="20"/>
          <w:color w:val="auto"/>
        </w:rPr>
      </w:pPr>
      <w:r>
        <w:rPr>
          <w:rFonts w:ascii="Arial" w:cs="Arial" w:eastAsia="Arial" w:hAnsi="Arial"/>
          <w:sz w:val="14"/>
          <w:szCs w:val="14"/>
          <w:color w:val="auto"/>
        </w:rPr>
        <w:t>Portions of the registrant’s definitive Proxy Statement for the 2022 Annual Meeting of Stockholders, to be filed with the Securities and Exchange Commission pursuant to Regulation 14A not later than 120 days after the end of the fiscal year covered by this Form 10-K, are incorporated by reference in Part III, Items 10-14 of this Form 10-K. Except for the portions of the Proxy Statement specifically incorporated by reference in this Form 10-K, the Proxy Statement shall not be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20" w:type="dxa"/>
            <w:vAlign w:val="bottom"/>
            <w:gridSpan w:val="9"/>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0"/>
                <w:szCs w:val="20"/>
                <w:color w:val="auto"/>
              </w:rPr>
            </w:pPr>
          </w:p>
        </w:tc>
      </w:tr>
      <w:tr>
        <w:trPr>
          <w:trHeight w:val="122"/>
        </w:trPr>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100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3"/>
        </w:trPr>
        <w:tc>
          <w:tcPr>
            <w:tcW w:w="1000" w:type="dxa"/>
            <w:vAlign w:val="bottom"/>
          </w:tcPr>
          <w:p>
            <w:pPr>
              <w:ind w:left="20"/>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200" w:type="dxa"/>
            <w:vAlign w:val="bottom"/>
          </w:tcPr>
          <w:p>
            <w:pPr>
              <w:jc w:val="right"/>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03"/>
        </w:trPr>
        <w:tc>
          <w:tcPr>
            <w:tcW w:w="1000" w:type="dxa"/>
            <w:vAlign w:val="bottom"/>
            <w:shd w:val="clear" w:color="auto" w:fill="CCEEFF"/>
          </w:tcPr>
          <w:p>
            <w:pPr>
              <w:ind w:left="20"/>
              <w:spacing w:after="0" w:line="202" w:lineRule="exact"/>
              <w:rPr>
                <w:rFonts w:ascii="Arial" w:cs="Arial" w:eastAsia="Arial" w:hAnsi="Arial"/>
                <w:sz w:val="18"/>
                <w:szCs w:val="18"/>
                <w:color w:val="auto"/>
              </w:rPr>
            </w:pPr>
            <w:hyperlink w:anchor="page26">
              <w:r>
                <w:rPr>
                  <w:rFonts w:ascii="Arial" w:cs="Arial" w:eastAsia="Arial" w:hAnsi="Arial"/>
                  <w:sz w:val="18"/>
                  <w:szCs w:val="18"/>
                  <w:color w:val="auto"/>
                </w:rPr>
                <w:t>Item 1A</w:t>
              </w:r>
            </w:hyperlink>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03"/>
        </w:trPr>
        <w:tc>
          <w:tcPr>
            <w:tcW w:w="1000" w:type="dxa"/>
            <w:vAlign w:val="bottom"/>
          </w:tcPr>
          <w:p>
            <w:pPr>
              <w:ind w:left="20"/>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Item 1B</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Unresolved Staff Comments</w:t>
              </w:r>
            </w:hyperlink>
          </w:p>
        </w:tc>
        <w:tc>
          <w:tcPr>
            <w:tcW w:w="1200" w:type="dxa"/>
            <w:vAlign w:val="bottom"/>
          </w:tcPr>
          <w:p>
            <w:pPr>
              <w:jc w:val="right"/>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03"/>
        </w:trPr>
        <w:tc>
          <w:tcPr>
            <w:tcW w:w="1000" w:type="dxa"/>
            <w:vAlign w:val="bottom"/>
            <w:shd w:val="clear" w:color="auto" w:fill="CCEEFF"/>
          </w:tcPr>
          <w:p>
            <w:pPr>
              <w:ind w:left="20"/>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Item 2</w:t>
              </w:r>
            </w:hyperlink>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Properties</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03"/>
        </w:trPr>
        <w:tc>
          <w:tcPr>
            <w:tcW w:w="1000" w:type="dxa"/>
            <w:vAlign w:val="bottom"/>
          </w:tcPr>
          <w:p>
            <w:pPr>
              <w:ind w:left="20"/>
              <w:spacing w:after="0" w:line="202" w:lineRule="exact"/>
              <w:rPr>
                <w:rFonts w:ascii="Arial" w:cs="Arial" w:eastAsia="Arial" w:hAnsi="Arial"/>
                <w:sz w:val="18"/>
                <w:szCs w:val="18"/>
                <w:color w:val="auto"/>
              </w:rPr>
            </w:pPr>
            <w:hyperlink w:anchor="page64">
              <w:r>
                <w:rPr>
                  <w:rFonts w:ascii="Arial" w:cs="Arial" w:eastAsia="Arial" w:hAnsi="Arial"/>
                  <w:sz w:val="18"/>
                  <w:szCs w:val="18"/>
                  <w:color w:val="auto"/>
                </w:rPr>
                <w:t>Item 3</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Legal Proceedings</w:t>
              </w:r>
            </w:hyperlink>
          </w:p>
        </w:tc>
        <w:tc>
          <w:tcPr>
            <w:tcW w:w="1200" w:type="dxa"/>
            <w:vAlign w:val="bottom"/>
          </w:tcPr>
          <w:p>
            <w:pPr>
              <w:jc w:val="right"/>
              <w:spacing w:after="0" w:line="202" w:lineRule="exact"/>
              <w:rPr>
                <w:rFonts w:ascii="Arial" w:cs="Arial" w:eastAsia="Arial" w:hAnsi="Arial"/>
                <w:sz w:val="18"/>
                <w:szCs w:val="18"/>
                <w:color w:val="auto"/>
              </w:rPr>
            </w:pPr>
            <w:hyperlink w:anchor="page64">
              <w:r>
                <w:rPr>
                  <w:rFonts w:ascii="Arial" w:cs="Arial" w:eastAsia="Arial" w:hAnsi="Arial"/>
                  <w:sz w:val="18"/>
                  <w:szCs w:val="18"/>
                  <w:color w:val="auto"/>
                </w:rPr>
                <w:t>63</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rFonts w:ascii="Arial" w:cs="Arial" w:eastAsia="Arial" w:hAnsi="Arial"/>
                <w:sz w:val="18"/>
                <w:szCs w:val="18"/>
                <w:color w:val="auto"/>
              </w:rPr>
            </w:pPr>
            <w:hyperlink w:anchor="page64">
              <w:r>
                <w:rPr>
                  <w:rFonts w:ascii="Arial" w:cs="Arial" w:eastAsia="Arial" w:hAnsi="Arial"/>
                  <w:sz w:val="18"/>
                  <w:szCs w:val="18"/>
                  <w:color w:val="auto"/>
                </w:rPr>
                <w:t>Item 4</w:t>
              </w:r>
            </w:hyperlink>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Mine Safety Disclosures</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64">
              <w:r>
                <w:rPr>
                  <w:rFonts w:ascii="Arial" w:cs="Arial" w:eastAsia="Arial" w:hAnsi="Arial"/>
                  <w:sz w:val="18"/>
                  <w:szCs w:val="18"/>
                  <w:color w:val="auto"/>
                </w:rPr>
                <w:t>63</w:t>
              </w:r>
            </w:hyperlink>
          </w:p>
        </w:tc>
      </w:tr>
      <w:tr>
        <w:trPr>
          <w:trHeight w:val="243"/>
        </w:trPr>
        <w:tc>
          <w:tcPr>
            <w:tcW w:w="1000" w:type="dxa"/>
            <w:vAlign w:val="bottom"/>
            <w:tcBorders>
              <w:top w:val="single" w:sz="8" w:color="CCEEFF"/>
            </w:tcBorders>
          </w:tcPr>
          <w:p>
            <w:pPr>
              <w:ind w:left="20"/>
              <w:spacing w:after="0"/>
              <w:rPr>
                <w:rFonts w:ascii="Arial" w:cs="Arial" w:eastAsia="Arial" w:hAnsi="Arial"/>
                <w:sz w:val="18"/>
                <w:szCs w:val="18"/>
                <w:b w:val="1"/>
                <w:bCs w:val="1"/>
                <w:color w:val="auto"/>
              </w:rPr>
            </w:pPr>
            <w:hyperlink w:anchor="page64">
              <w:r>
                <w:rPr>
                  <w:rFonts w:ascii="Arial" w:cs="Arial" w:eastAsia="Arial" w:hAnsi="Arial"/>
                  <w:sz w:val="18"/>
                  <w:szCs w:val="18"/>
                  <w:b w:val="1"/>
                  <w:bCs w:val="1"/>
                  <w:color w:val="auto"/>
                </w:rPr>
                <w:t>Part II</w:t>
              </w:r>
            </w:hyperlink>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spacing w:after="0"/>
              <w:rPr>
                <w:sz w:val="21"/>
                <w:szCs w:val="21"/>
                <w:color w:val="auto"/>
              </w:rPr>
            </w:pPr>
          </w:p>
        </w:tc>
      </w:tr>
      <w:tr>
        <w:trPr>
          <w:trHeight w:val="27"/>
        </w:trPr>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2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Item 5</w:t>
              </w:r>
            </w:hyperlink>
          </w:p>
        </w:tc>
        <w:tc>
          <w:tcPr>
            <w:tcW w:w="808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Market for Registrant’s Common Equity, Related Stockholder Matters and Issuer Purchases of Equity Securities</w:t>
              </w:r>
            </w:hyperlink>
          </w:p>
        </w:tc>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203"/>
        </w:trPr>
        <w:tc>
          <w:tcPr>
            <w:tcW w:w="1000" w:type="dxa"/>
            <w:vAlign w:val="bottom"/>
          </w:tcPr>
          <w:p>
            <w:pPr>
              <w:ind w:left="2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Item 6</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[Reserved]</w:t>
              </w:r>
            </w:hyperlink>
          </w:p>
        </w:tc>
        <w:tc>
          <w:tcPr>
            <w:tcW w:w="1200" w:type="dxa"/>
            <w:vAlign w:val="bottom"/>
          </w:tcPr>
          <w:p>
            <w:pPr>
              <w:jc w:val="right"/>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000" w:type="dxa"/>
            <w:vAlign w:val="bottom"/>
            <w:tcBorders>
              <w:bottom w:val="single" w:sz="8" w:color="CCEEFF"/>
            </w:tcBorders>
            <w:shd w:val="clear" w:color="auto" w:fill="CCEEFF"/>
          </w:tcPr>
          <w:p>
            <w:pPr>
              <w:ind w:left="2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Item 7</w:t>
              </w:r>
            </w:hyperlink>
          </w:p>
        </w:tc>
        <w:tc>
          <w:tcPr>
            <w:tcW w:w="646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Management’s Discussion and Analysis of Financial Condition and Results of Operations</w:t>
              </w:r>
            </w:hyperlink>
          </w:p>
        </w:tc>
        <w:tc>
          <w:tcPr>
            <w:tcW w:w="2520" w:type="dxa"/>
            <w:vAlign w:val="bottom"/>
            <w:tcBorders>
              <w:bottom w:val="single" w:sz="8" w:color="CCEEFF"/>
            </w:tcBorders>
            <w:gridSpan w:val="4"/>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203"/>
        </w:trPr>
        <w:tc>
          <w:tcPr>
            <w:tcW w:w="1000" w:type="dxa"/>
            <w:vAlign w:val="bottom"/>
          </w:tcPr>
          <w:p>
            <w:pPr>
              <w:ind w:left="20"/>
              <w:spacing w:after="0" w:line="202" w:lineRule="exact"/>
              <w:rPr>
                <w:rFonts w:ascii="Arial" w:cs="Arial" w:eastAsia="Arial" w:hAnsi="Arial"/>
                <w:sz w:val="18"/>
                <w:szCs w:val="18"/>
                <w:color w:val="auto"/>
              </w:rPr>
            </w:pPr>
            <w:hyperlink w:anchor="page84">
              <w:r>
                <w:rPr>
                  <w:rFonts w:ascii="Arial" w:cs="Arial" w:eastAsia="Arial" w:hAnsi="Arial"/>
                  <w:sz w:val="18"/>
                  <w:szCs w:val="18"/>
                  <w:color w:val="auto"/>
                </w:rPr>
                <w:t>Item 7A</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Quantitative and Qualitative Disclosure About Market Risk</w:t>
              </w:r>
            </w:hyperlink>
          </w:p>
        </w:tc>
        <w:tc>
          <w:tcPr>
            <w:tcW w:w="1200" w:type="dxa"/>
            <w:vAlign w:val="bottom"/>
          </w:tcPr>
          <w:p>
            <w:pPr>
              <w:jc w:val="right"/>
              <w:spacing w:after="0" w:line="202" w:lineRule="exact"/>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03"/>
        </w:trPr>
        <w:tc>
          <w:tcPr>
            <w:tcW w:w="1000" w:type="dxa"/>
            <w:vAlign w:val="bottom"/>
            <w:shd w:val="clear" w:color="auto" w:fill="CCEEFF"/>
          </w:tcPr>
          <w:p>
            <w:pPr>
              <w:ind w:left="20"/>
              <w:spacing w:after="0" w:line="202" w:lineRule="exact"/>
              <w:rPr>
                <w:rFonts w:ascii="Arial" w:cs="Arial" w:eastAsia="Arial" w:hAnsi="Arial"/>
                <w:sz w:val="18"/>
                <w:szCs w:val="18"/>
                <w:color w:val="auto"/>
              </w:rPr>
            </w:pPr>
            <w:hyperlink w:anchor="page85">
              <w:r>
                <w:rPr>
                  <w:rFonts w:ascii="Arial" w:cs="Arial" w:eastAsia="Arial" w:hAnsi="Arial"/>
                  <w:sz w:val="18"/>
                  <w:szCs w:val="18"/>
                  <w:color w:val="auto"/>
                </w:rPr>
                <w:t>Item 8</w:t>
              </w:r>
            </w:hyperlink>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Consolidated Financial Statements and Supplementary Data</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85">
              <w:r>
                <w:rPr>
                  <w:rFonts w:ascii="Arial" w:cs="Arial" w:eastAsia="Arial" w:hAnsi="Arial"/>
                  <w:sz w:val="18"/>
                  <w:szCs w:val="18"/>
                  <w:color w:val="auto"/>
                </w:rPr>
                <w:t>85</w:t>
              </w:r>
            </w:hyperlink>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03"/>
        </w:trPr>
        <w:tc>
          <w:tcPr>
            <w:tcW w:w="1000" w:type="dxa"/>
            <w:vAlign w:val="bottom"/>
          </w:tcPr>
          <w:p>
            <w:pPr>
              <w:ind w:left="20"/>
              <w:spacing w:after="0" w:line="202" w:lineRule="exact"/>
              <w:rPr>
                <w:rFonts w:ascii="Arial" w:cs="Arial" w:eastAsia="Arial" w:hAnsi="Arial"/>
                <w:sz w:val="18"/>
                <w:szCs w:val="18"/>
                <w:color w:val="auto"/>
              </w:rPr>
            </w:pPr>
            <w:hyperlink w:anchor="page118">
              <w:r>
                <w:rPr>
                  <w:rFonts w:ascii="Arial" w:cs="Arial" w:eastAsia="Arial" w:hAnsi="Arial"/>
                  <w:sz w:val="18"/>
                  <w:szCs w:val="18"/>
                  <w:color w:val="auto"/>
                </w:rPr>
                <w:t>Item 9</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118">
              <w:r>
                <w:rPr>
                  <w:rFonts w:ascii="Arial" w:cs="Arial" w:eastAsia="Arial" w:hAnsi="Arial"/>
                  <w:sz w:val="18"/>
                  <w:szCs w:val="18"/>
                  <w:color w:val="0000FF"/>
                </w:rPr>
                <w:t>Changes in and Disagreements With Accountants on Accounting and Financial Disclosure</w:t>
              </w:r>
            </w:hyperlink>
          </w:p>
        </w:tc>
        <w:tc>
          <w:tcPr>
            <w:tcW w:w="1200" w:type="dxa"/>
            <w:vAlign w:val="bottom"/>
          </w:tcPr>
          <w:p>
            <w:pPr>
              <w:jc w:val="right"/>
              <w:spacing w:after="0" w:line="202" w:lineRule="exact"/>
              <w:rPr>
                <w:rFonts w:ascii="Arial" w:cs="Arial" w:eastAsia="Arial" w:hAnsi="Arial"/>
                <w:sz w:val="18"/>
                <w:szCs w:val="18"/>
                <w:color w:val="auto"/>
              </w:rPr>
            </w:pPr>
            <w:hyperlink w:anchor="page118">
              <w:r>
                <w:rPr>
                  <w:rFonts w:ascii="Arial" w:cs="Arial" w:eastAsia="Arial" w:hAnsi="Arial"/>
                  <w:sz w:val="18"/>
                  <w:szCs w:val="18"/>
                  <w:color w:val="auto"/>
                </w:rPr>
                <w:t>117</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rFonts w:ascii="Arial" w:cs="Arial" w:eastAsia="Arial" w:hAnsi="Arial"/>
                <w:sz w:val="18"/>
                <w:szCs w:val="18"/>
                <w:color w:val="auto"/>
              </w:rPr>
            </w:pPr>
            <w:hyperlink w:anchor="page118">
              <w:r>
                <w:rPr>
                  <w:rFonts w:ascii="Arial" w:cs="Arial" w:eastAsia="Arial" w:hAnsi="Arial"/>
                  <w:sz w:val="18"/>
                  <w:szCs w:val="18"/>
                  <w:color w:val="auto"/>
                </w:rPr>
                <w:t>Item 9A</w:t>
              </w:r>
            </w:hyperlink>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118">
              <w:r>
                <w:rPr>
                  <w:rFonts w:ascii="Arial" w:cs="Arial" w:eastAsia="Arial" w:hAnsi="Arial"/>
                  <w:sz w:val="18"/>
                  <w:szCs w:val="18"/>
                  <w:color w:val="0000FF"/>
                </w:rPr>
                <w:t>Controls and Procedures</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118">
              <w:r>
                <w:rPr>
                  <w:rFonts w:ascii="Arial" w:cs="Arial" w:eastAsia="Arial" w:hAnsi="Arial"/>
                  <w:sz w:val="18"/>
                  <w:szCs w:val="18"/>
                  <w:color w:val="auto"/>
                </w:rPr>
                <w:t>117</w:t>
              </w:r>
            </w:hyperlink>
          </w:p>
        </w:tc>
      </w:tr>
      <w:tr>
        <w:trPr>
          <w:trHeight w:val="203"/>
        </w:trPr>
        <w:tc>
          <w:tcPr>
            <w:tcW w:w="1000" w:type="dxa"/>
            <w:vAlign w:val="bottom"/>
            <w:tcBorders>
              <w:top w:val="single" w:sz="8" w:color="CCEEFF"/>
            </w:tcBorders>
          </w:tcPr>
          <w:p>
            <w:pPr>
              <w:ind w:left="20"/>
              <w:spacing w:after="0" w:line="202" w:lineRule="exact"/>
              <w:rPr>
                <w:rFonts w:ascii="Arial" w:cs="Arial" w:eastAsia="Arial" w:hAnsi="Arial"/>
                <w:sz w:val="18"/>
                <w:szCs w:val="18"/>
                <w:color w:val="auto"/>
              </w:rPr>
            </w:pPr>
            <w:hyperlink w:anchor="page120">
              <w:r>
                <w:rPr>
                  <w:rFonts w:ascii="Arial" w:cs="Arial" w:eastAsia="Arial" w:hAnsi="Arial"/>
                  <w:sz w:val="18"/>
                  <w:szCs w:val="18"/>
                  <w:color w:val="auto"/>
                </w:rPr>
                <w:t>Item 9B</w:t>
              </w:r>
            </w:hyperlink>
          </w:p>
        </w:tc>
        <w:tc>
          <w:tcPr>
            <w:tcW w:w="1760" w:type="dxa"/>
            <w:vAlign w:val="bottom"/>
            <w:tcBorders>
              <w:top w:val="single" w:sz="8" w:color="0000FF"/>
            </w:tcBorders>
            <w:gridSpan w:val="9"/>
          </w:tcPr>
          <w:p>
            <w:pPr>
              <w:spacing w:after="0" w:line="202" w:lineRule="exact"/>
              <w:rPr>
                <w:rFonts w:ascii="Arial" w:cs="Arial" w:eastAsia="Arial" w:hAnsi="Arial"/>
                <w:sz w:val="18"/>
                <w:szCs w:val="18"/>
                <w:color w:val="0000FF"/>
              </w:rPr>
            </w:pPr>
            <w:hyperlink w:anchor="page120">
              <w:r>
                <w:rPr>
                  <w:rFonts w:ascii="Arial" w:cs="Arial" w:eastAsia="Arial" w:hAnsi="Arial"/>
                  <w:sz w:val="18"/>
                  <w:szCs w:val="18"/>
                  <w:color w:val="0000FF"/>
                </w:rPr>
                <w:t>Other Information</w:t>
              </w:r>
            </w:hyperlink>
          </w:p>
        </w:tc>
        <w:tc>
          <w:tcPr>
            <w:tcW w:w="7220" w:type="dxa"/>
            <w:vAlign w:val="bottom"/>
            <w:tcBorders>
              <w:top w:val="single" w:sz="8" w:color="CCEEFF"/>
            </w:tcBorders>
            <w:gridSpan w:val="13"/>
          </w:tcPr>
          <w:p>
            <w:pPr>
              <w:spacing w:after="0"/>
              <w:rPr>
                <w:sz w:val="17"/>
                <w:szCs w:val="17"/>
                <w:color w:val="auto"/>
              </w:rPr>
            </w:pPr>
          </w:p>
        </w:tc>
        <w:tc>
          <w:tcPr>
            <w:tcW w:w="120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120">
              <w:r>
                <w:rPr>
                  <w:rFonts w:ascii="Arial" w:cs="Arial" w:eastAsia="Arial" w:hAnsi="Arial"/>
                  <w:sz w:val="18"/>
                  <w:szCs w:val="18"/>
                  <w:color w:val="auto"/>
                </w:rPr>
                <w:t>120</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00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121">
              <w:r>
                <w:rPr>
                  <w:rFonts w:ascii="Arial" w:cs="Arial" w:eastAsia="Arial" w:hAnsi="Arial"/>
                  <w:sz w:val="18"/>
                  <w:szCs w:val="18"/>
                  <w:b w:val="1"/>
                  <w:bCs w:val="1"/>
                  <w:color w:val="auto"/>
                </w:rPr>
                <w:t>Part III</w:t>
              </w:r>
            </w:hyperlink>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2"/>
        </w:trPr>
        <w:tc>
          <w:tcPr>
            <w:tcW w:w="1000" w:type="dxa"/>
            <w:vAlign w:val="bottom"/>
          </w:tcPr>
          <w:p>
            <w:pPr>
              <w:ind w:left="20"/>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Item 10</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122">
              <w:r>
                <w:rPr>
                  <w:rFonts w:ascii="Arial" w:cs="Arial" w:eastAsia="Arial" w:hAnsi="Arial"/>
                  <w:sz w:val="18"/>
                  <w:szCs w:val="18"/>
                  <w:color w:val="0000FF"/>
                </w:rPr>
                <w:t>Directors, Executive Officers and Corporate Governance</w:t>
              </w:r>
            </w:hyperlink>
          </w:p>
        </w:tc>
        <w:tc>
          <w:tcPr>
            <w:tcW w:w="1200" w:type="dxa"/>
            <w:vAlign w:val="bottom"/>
          </w:tcPr>
          <w:p>
            <w:pPr>
              <w:jc w:val="right"/>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121</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02"/>
        </w:trPr>
        <w:tc>
          <w:tcPr>
            <w:tcW w:w="1000" w:type="dxa"/>
            <w:vAlign w:val="bottom"/>
            <w:shd w:val="clear" w:color="auto" w:fill="CCEEFF"/>
          </w:tcPr>
          <w:p>
            <w:pPr>
              <w:ind w:left="20"/>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Item 11</w:t>
              </w:r>
            </w:hyperlink>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122">
              <w:r>
                <w:rPr>
                  <w:rFonts w:ascii="Arial" w:cs="Arial" w:eastAsia="Arial" w:hAnsi="Arial"/>
                  <w:sz w:val="18"/>
                  <w:szCs w:val="18"/>
                  <w:color w:val="0000FF"/>
                </w:rPr>
                <w:t>Executive Compensation</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121</w:t>
              </w:r>
            </w:hyperlink>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02"/>
        </w:trPr>
        <w:tc>
          <w:tcPr>
            <w:tcW w:w="1000" w:type="dxa"/>
            <w:vAlign w:val="bottom"/>
          </w:tcPr>
          <w:p>
            <w:pPr>
              <w:ind w:left="20"/>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Item 12</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122">
              <w:r>
                <w:rPr>
                  <w:rFonts w:ascii="Arial" w:cs="Arial" w:eastAsia="Arial" w:hAnsi="Arial"/>
                  <w:sz w:val="18"/>
                  <w:szCs w:val="18"/>
                  <w:color w:val="0000FF"/>
                </w:rPr>
                <w:t>Security Ownership of Certain Beneficial Owners and Management and Related Stockholder Matters</w:t>
              </w:r>
            </w:hyperlink>
          </w:p>
        </w:tc>
        <w:tc>
          <w:tcPr>
            <w:tcW w:w="1200" w:type="dxa"/>
            <w:vAlign w:val="bottom"/>
          </w:tcPr>
          <w:p>
            <w:pPr>
              <w:jc w:val="right"/>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121</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Item 13</w:t>
              </w:r>
            </w:hyperlink>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122">
              <w:r>
                <w:rPr>
                  <w:rFonts w:ascii="Arial" w:cs="Arial" w:eastAsia="Arial" w:hAnsi="Arial"/>
                  <w:sz w:val="18"/>
                  <w:szCs w:val="18"/>
                  <w:color w:val="0000FF"/>
                </w:rPr>
                <w:t>Certain Relationships and Related Transactions, and Director Independence</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121</w:t>
              </w:r>
            </w:hyperlink>
          </w:p>
        </w:tc>
      </w:tr>
      <w:tr>
        <w:trPr>
          <w:trHeight w:val="203"/>
        </w:trPr>
        <w:tc>
          <w:tcPr>
            <w:tcW w:w="1000" w:type="dxa"/>
            <w:vAlign w:val="bottom"/>
            <w:tcBorders>
              <w:top w:val="single" w:sz="8" w:color="CCEEFF"/>
            </w:tcBorders>
          </w:tcPr>
          <w:p>
            <w:pPr>
              <w:ind w:left="20"/>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Item 14</w:t>
              </w:r>
            </w:hyperlink>
          </w:p>
        </w:tc>
        <w:tc>
          <w:tcPr>
            <w:tcW w:w="5440" w:type="dxa"/>
            <w:vAlign w:val="bottom"/>
            <w:tcBorders>
              <w:top w:val="single" w:sz="8" w:color="0000FF"/>
            </w:tcBorders>
            <w:gridSpan w:val="17"/>
          </w:tcPr>
          <w:p>
            <w:pPr>
              <w:spacing w:after="0" w:line="202" w:lineRule="exact"/>
              <w:rPr>
                <w:rFonts w:ascii="Arial" w:cs="Arial" w:eastAsia="Arial" w:hAnsi="Arial"/>
                <w:sz w:val="18"/>
                <w:szCs w:val="18"/>
                <w:color w:val="0000FF"/>
              </w:rPr>
            </w:pPr>
            <w:hyperlink w:anchor="page122">
              <w:r>
                <w:rPr>
                  <w:rFonts w:ascii="Arial" w:cs="Arial" w:eastAsia="Arial" w:hAnsi="Arial"/>
                  <w:sz w:val="18"/>
                  <w:szCs w:val="18"/>
                  <w:color w:val="0000FF"/>
                </w:rPr>
                <w:t xml:space="preserve">Principal </w:t>
              </w:r>
            </w:hyperlink>
            <w:r>
              <w:rPr>
                <w:rFonts w:ascii="Arial" w:cs="Arial" w:eastAsia="Arial" w:hAnsi="Arial"/>
                <w:sz w:val="18"/>
                <w:szCs w:val="18"/>
                <w:color w:val="0000FF"/>
              </w:rPr>
              <w:t xml:space="preserve">Accountant </w:t>
            </w:r>
            <w:hyperlink w:anchor="page122">
              <w:r>
                <w:rPr>
                  <w:rFonts w:ascii="Arial" w:cs="Arial" w:eastAsia="Arial" w:hAnsi="Arial"/>
                  <w:sz w:val="18"/>
                  <w:szCs w:val="18"/>
                  <w:color w:val="0000FF"/>
                </w:rPr>
                <w:t>Fees and Services</w:t>
              </w:r>
            </w:hyperlink>
          </w:p>
        </w:tc>
        <w:tc>
          <w:tcPr>
            <w:tcW w:w="3540" w:type="dxa"/>
            <w:vAlign w:val="bottom"/>
            <w:tcBorders>
              <w:top w:val="single" w:sz="8" w:color="CCEEFF"/>
            </w:tcBorders>
            <w:gridSpan w:val="5"/>
          </w:tcPr>
          <w:p>
            <w:pPr>
              <w:spacing w:after="0"/>
              <w:rPr>
                <w:sz w:val="17"/>
                <w:szCs w:val="17"/>
                <w:color w:val="auto"/>
              </w:rPr>
            </w:pPr>
          </w:p>
        </w:tc>
        <w:tc>
          <w:tcPr>
            <w:tcW w:w="120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122">
              <w:r>
                <w:rPr>
                  <w:rFonts w:ascii="Arial" w:cs="Arial" w:eastAsia="Arial" w:hAnsi="Arial"/>
                  <w:sz w:val="18"/>
                  <w:szCs w:val="18"/>
                  <w:color w:val="auto"/>
                </w:rPr>
                <w:t>121</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00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122">
              <w:r>
                <w:rPr>
                  <w:rFonts w:ascii="Arial" w:cs="Arial" w:eastAsia="Arial" w:hAnsi="Arial"/>
                  <w:sz w:val="18"/>
                  <w:szCs w:val="18"/>
                  <w:b w:val="1"/>
                  <w:bCs w:val="1"/>
                  <w:color w:val="auto"/>
                </w:rPr>
                <w:t>Part IV</w:t>
              </w:r>
            </w:hyperlink>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3"/>
        </w:trPr>
        <w:tc>
          <w:tcPr>
            <w:tcW w:w="1000" w:type="dxa"/>
            <w:vAlign w:val="bottom"/>
          </w:tcPr>
          <w:p>
            <w:pPr>
              <w:ind w:left="20"/>
              <w:spacing w:after="0" w:line="202" w:lineRule="exact"/>
              <w:rPr>
                <w:rFonts w:ascii="Arial" w:cs="Arial" w:eastAsia="Arial" w:hAnsi="Arial"/>
                <w:sz w:val="18"/>
                <w:szCs w:val="18"/>
                <w:color w:val="auto"/>
              </w:rPr>
            </w:pPr>
            <w:hyperlink w:anchor="page123">
              <w:r>
                <w:rPr>
                  <w:rFonts w:ascii="Arial" w:cs="Arial" w:eastAsia="Arial" w:hAnsi="Arial"/>
                  <w:sz w:val="18"/>
                  <w:szCs w:val="18"/>
                  <w:color w:val="auto"/>
                </w:rPr>
                <w:t>Item 15</w:t>
              </w:r>
            </w:hyperlink>
          </w:p>
        </w:tc>
        <w:tc>
          <w:tcPr>
            <w:tcW w:w="8980" w:type="dxa"/>
            <w:vAlign w:val="bottom"/>
            <w:gridSpan w:val="22"/>
          </w:tcPr>
          <w:p>
            <w:pPr>
              <w:spacing w:after="0" w:line="202" w:lineRule="exact"/>
              <w:rPr>
                <w:rFonts w:ascii="Arial" w:cs="Arial" w:eastAsia="Arial" w:hAnsi="Arial"/>
                <w:sz w:val="18"/>
                <w:szCs w:val="18"/>
                <w:color w:val="0000FF"/>
              </w:rPr>
            </w:pPr>
            <w:hyperlink w:anchor="page123">
              <w:r>
                <w:rPr>
                  <w:rFonts w:ascii="Arial" w:cs="Arial" w:eastAsia="Arial" w:hAnsi="Arial"/>
                  <w:sz w:val="18"/>
                  <w:szCs w:val="18"/>
                  <w:color w:val="0000FF"/>
                </w:rPr>
                <w:t>Exhibits and Financial Statement Schedules</w:t>
              </w:r>
            </w:hyperlink>
          </w:p>
        </w:tc>
        <w:tc>
          <w:tcPr>
            <w:tcW w:w="1200" w:type="dxa"/>
            <w:vAlign w:val="bottom"/>
          </w:tcPr>
          <w:p>
            <w:pPr>
              <w:jc w:val="right"/>
              <w:spacing w:after="0" w:line="202" w:lineRule="exact"/>
              <w:rPr>
                <w:rFonts w:ascii="Arial" w:cs="Arial" w:eastAsia="Arial" w:hAnsi="Arial"/>
                <w:sz w:val="18"/>
                <w:szCs w:val="18"/>
                <w:color w:val="auto"/>
              </w:rPr>
            </w:pPr>
            <w:hyperlink w:anchor="page123">
              <w:r>
                <w:rPr>
                  <w:rFonts w:ascii="Arial" w:cs="Arial" w:eastAsia="Arial" w:hAnsi="Arial"/>
                  <w:sz w:val="18"/>
                  <w:szCs w:val="18"/>
                  <w:color w:val="auto"/>
                </w:rPr>
                <w:t>122</w:t>
              </w:r>
            </w:hyperlink>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16</w:t>
            </w:r>
          </w:p>
        </w:tc>
        <w:tc>
          <w:tcPr>
            <w:tcW w:w="8980" w:type="dxa"/>
            <w:vAlign w:val="bottom"/>
            <w:gridSpan w:val="22"/>
            <w:shd w:val="clear" w:color="auto" w:fill="CCEEFF"/>
          </w:tcPr>
          <w:p>
            <w:pPr>
              <w:spacing w:after="0" w:line="202" w:lineRule="exact"/>
              <w:rPr>
                <w:rFonts w:ascii="Arial" w:cs="Arial" w:eastAsia="Arial" w:hAnsi="Arial"/>
                <w:sz w:val="18"/>
                <w:szCs w:val="18"/>
                <w:color w:val="0000FF"/>
              </w:rPr>
            </w:pPr>
            <w:hyperlink w:anchor="page127">
              <w:r>
                <w:rPr>
                  <w:rFonts w:ascii="Arial" w:cs="Arial" w:eastAsia="Arial" w:hAnsi="Arial"/>
                  <w:sz w:val="18"/>
                  <w:szCs w:val="18"/>
                  <w:color w:val="0000FF"/>
                </w:rPr>
                <w:t>Form 10-K Summary</w:t>
              </w:r>
            </w:hyperlink>
          </w:p>
        </w:tc>
        <w:tc>
          <w:tcPr>
            <w:tcW w:w="1200" w:type="dxa"/>
            <w:vAlign w:val="bottom"/>
            <w:shd w:val="clear" w:color="auto" w:fill="CCEEFF"/>
          </w:tcPr>
          <w:p>
            <w:pPr>
              <w:jc w:val="right"/>
              <w:spacing w:after="0" w:line="202" w:lineRule="exact"/>
              <w:rPr>
                <w:rFonts w:ascii="Arial" w:cs="Arial" w:eastAsia="Arial" w:hAnsi="Arial"/>
                <w:sz w:val="18"/>
                <w:szCs w:val="18"/>
                <w:color w:val="auto"/>
              </w:rPr>
            </w:pPr>
            <w:hyperlink w:anchor="page127">
              <w:r>
                <w:rPr>
                  <w:rFonts w:ascii="Arial" w:cs="Arial" w:eastAsia="Arial" w:hAnsi="Arial"/>
                  <w:sz w:val="18"/>
                  <w:szCs w:val="18"/>
                  <w:color w:val="auto"/>
                </w:rPr>
                <w:t>126</w:t>
              </w:r>
            </w:hyperlink>
          </w:p>
        </w:tc>
      </w:tr>
      <w:tr>
        <w:trPr>
          <w:trHeight w:val="203"/>
        </w:trPr>
        <w:tc>
          <w:tcPr>
            <w:tcW w:w="1000" w:type="dxa"/>
            <w:vAlign w:val="bottom"/>
            <w:tcBorders>
              <w:top w:val="single" w:sz="8" w:color="CCEEFF"/>
            </w:tcBorders>
          </w:tcPr>
          <w:p>
            <w:pPr>
              <w:spacing w:after="0"/>
              <w:rPr>
                <w:sz w:val="17"/>
                <w:szCs w:val="17"/>
                <w:color w:val="auto"/>
              </w:rPr>
            </w:pPr>
          </w:p>
        </w:tc>
        <w:tc>
          <w:tcPr>
            <w:tcW w:w="760" w:type="dxa"/>
            <w:vAlign w:val="bottom"/>
            <w:tcBorders>
              <w:top w:val="single" w:sz="8" w:color="0000FF"/>
              <w:bottom w:val="single" w:sz="8" w:color="0000FF"/>
            </w:tcBorders>
            <w:gridSpan w:val="3"/>
          </w:tcPr>
          <w:p>
            <w:pPr>
              <w:spacing w:after="0" w:line="202" w:lineRule="exact"/>
              <w:rPr>
                <w:rFonts w:ascii="Arial" w:cs="Arial" w:eastAsia="Arial" w:hAnsi="Arial"/>
                <w:sz w:val="18"/>
                <w:szCs w:val="18"/>
                <w:color w:val="0000FF"/>
                <w:w w:val="85"/>
              </w:rPr>
            </w:pPr>
            <w:hyperlink w:anchor="page127">
              <w:r>
                <w:rPr>
                  <w:rFonts w:ascii="Arial" w:cs="Arial" w:eastAsia="Arial" w:hAnsi="Arial"/>
                  <w:sz w:val="18"/>
                  <w:szCs w:val="18"/>
                  <w:color w:val="0000FF"/>
                  <w:w w:val="85"/>
                </w:rPr>
                <w:t>Signatures</w:t>
              </w:r>
            </w:hyperlink>
          </w:p>
        </w:tc>
        <w:tc>
          <w:tcPr>
            <w:tcW w:w="780" w:type="dxa"/>
            <w:vAlign w:val="bottom"/>
            <w:tcBorders>
              <w:top w:val="single" w:sz="8" w:color="0000FF"/>
            </w:tcBorders>
            <w:gridSpan w:val="5"/>
          </w:tcPr>
          <w:p>
            <w:pPr>
              <w:spacing w:after="0"/>
              <w:rPr>
                <w:sz w:val="17"/>
                <w:szCs w:val="17"/>
                <w:color w:val="auto"/>
              </w:rPr>
            </w:pPr>
          </w:p>
        </w:tc>
        <w:tc>
          <w:tcPr>
            <w:tcW w:w="7440" w:type="dxa"/>
            <w:vAlign w:val="bottom"/>
            <w:tcBorders>
              <w:top w:val="single" w:sz="8" w:color="CCEEFF"/>
            </w:tcBorders>
            <w:gridSpan w:val="14"/>
          </w:tcPr>
          <w:p>
            <w:pPr>
              <w:spacing w:after="0"/>
              <w:rPr>
                <w:sz w:val="17"/>
                <w:szCs w:val="17"/>
                <w:color w:val="auto"/>
              </w:rPr>
            </w:pPr>
          </w:p>
        </w:tc>
        <w:tc>
          <w:tcPr>
            <w:tcW w:w="120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127">
              <w:r>
                <w:rPr>
                  <w:rFonts w:ascii="Arial" w:cs="Arial" w:eastAsia="Arial" w:hAnsi="Arial"/>
                  <w:sz w:val="18"/>
                  <w:szCs w:val="18"/>
                  <w:color w:val="auto"/>
                </w:rPr>
                <w:t>127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i w:val="1"/>
          <w:iCs w:val="1"/>
          <w:color w:val="auto"/>
        </w:rPr>
        <w:t>This Annual Report on Form 10-K for the fiscal year ended December 31, 2021,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trends impacting our financial results, including the impacts of the COVID-19 global pandemic, business forecasts and plans, research and product development plans, manufacturing plans, strategic plans and objectives, capital needs and financing plans, product launches, regulatory approvals, the impact of changes in the competitive environment, and the application of accounting guidance. We caution you that the foregoing list may not include all of the forward-looking statements made in this Annual Report.</w:t>
      </w:r>
    </w:p>
    <w:p>
      <w:pPr>
        <w:spacing w:after="0" w:line="155"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spacing w:after="0" w:line="138" w:lineRule="exact"/>
        <w:rPr>
          <w:sz w:val="20"/>
          <w:szCs w:val="20"/>
          <w:color w:val="auto"/>
        </w:rPr>
      </w:pPr>
    </w:p>
    <w:p>
      <w:pPr>
        <w:ind w:right="20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25" w:lineRule="exact"/>
        <w:rPr>
          <w:sz w:val="20"/>
          <w:szCs w:val="20"/>
          <w:color w:val="auto"/>
        </w:rPr>
      </w:pPr>
    </w:p>
    <w:p>
      <w:pPr>
        <w:ind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60" w:firstLine="810"/>
        <w:spacing w:after="0" w:line="279" w:lineRule="auto"/>
        <w:rPr>
          <w:sz w:val="20"/>
          <w:szCs w:val="20"/>
          <w:color w:val="auto"/>
        </w:rPr>
      </w:pPr>
      <w:r>
        <w:rPr>
          <w:rFonts w:ascii="Arial" w:cs="Arial" w:eastAsia="Arial" w:hAnsi="Arial"/>
          <w:sz w:val="17"/>
          <w:szCs w:val="17"/>
          <w:color w:val="auto"/>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portfolio of delivery devices, software, and data insight solutions to people living with diabetes, as well as their caregivers and healthcare providers.</w:t>
      </w:r>
    </w:p>
    <w:p>
      <w:pPr>
        <w:spacing w:after="0" w:line="131"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Since our initial commercial launch, we have rapidly innovated and brought more products to market than our competitors. We have commercially launched seven insulin pump configurations in the United States since 2012 and three insulin pump configurations outside the United States since 2018. Today, our software-updatable t:slim X2 Insulin Delivery System (t:slim X2) hardware platform represents 100% of our new pump shipments. In the four-year period ended December 31, 2021, we shipped nearly 330,000 insulin pumps, which is representative of our estimated global installed customer base, assuming the typical four-year reimbursement cycle. Nearly 240,000 of these pumps were shipped to customers in the United States and nearly 90,000 were shipped to international markets.</w:t>
      </w:r>
    </w:p>
    <w:p>
      <w:pPr>
        <w:spacing w:after="0" w:line="16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We have commercially offered two different automated insulin dosing (AID) algorithms on t:slim X2, including our Control-IQ technology, which is an advanced hybrid-closed loop feature, designed to help increase a user's time in their targeted glycemic range. It was the first system cleared by the U.S. Food and Drug Administration (FDA) to deliver automatic correction boluses in addition to adjusting insulin to help prevent high and low blood sugar based on continuous glucose monitoring (CGM) readings. Approximately 200,000 t:slim X2 users have our Control-IQ technology, which launched in the United States in the first quarter of 2020, and is now available in more than 20 countries. Our Control-IQ technology uses information from Dexcom Inc.’s (Dexcom) G6 sensor, which is the third generation of Dexcom CGM that we have integrated with our pump technology.</w:t>
      </w:r>
    </w:p>
    <w:p>
      <w:pPr>
        <w:spacing w:after="0" w:line="125"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color w:val="auto"/>
        </w:rPr>
        <w:t>The t:slim X2 is unique in that it is the only pump on which remote software updates have been made commercially available in the United States. Now available in the countries we serve worldwide, our Tandem Device Updater (TDU), is a revolutionary tool that has allowed more than 130,000 people to update their t:slim X2 software from a personal computer. This offering is a competitive advantage as it allows us to bring new features, such as our AID technology and CGM integration, to our customers faster than the industry has been able to historically.</w:t>
      </w:r>
    </w:p>
    <w:p>
      <w:pPr>
        <w:spacing w:after="0" w:line="131"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Additionally, we sell accessories such as belt clips and cases for use with pumps which are designed to enhance usability.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spacing w:after="0" w:line="165"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auto"/>
        </w:rPr>
        <w:t>Our primary research and development and administrative headquarters are located in San Diego, California. We also operate a manufacturing facility and a warehousing facility in San Diego. In addition, we maintain offices in Boise, Idaho and in Markham, Ontario, Canada. We employed approximately 2,000 regular full-time employees as of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and the Insulin Therapy Management Market</w:t>
      </w:r>
    </w:p>
    <w:p>
      <w:pPr>
        <w:spacing w:after="0" w:line="189"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Diabetes is a chronic, life-threatening disease for which there is no known cure. The disease is categorized by improper function of the pancreas when it either does not produce enough insulin or the body cannot effectively use the insulin it produces. If not closely monitored and properly treated, diabetes can lead to serious medical complications, including damage to various tissues and organs, seizures, coma and death.</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Diabetes is typically classified as either type 1 or type 2:</w:t>
      </w:r>
    </w:p>
    <w:p>
      <w:pPr>
        <w:spacing w:after="0" w:line="185" w:lineRule="exact"/>
        <w:rPr>
          <w:sz w:val="20"/>
          <w:szCs w:val="20"/>
          <w:color w:val="auto"/>
        </w:rPr>
      </w:pPr>
    </w:p>
    <w:p>
      <w:pPr>
        <w:ind w:left="1300" w:right="220" w:hanging="320"/>
        <w:spacing w:after="0" w:line="308"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Type 1 diabetes is characterized by the body’s nearly complete inability to produce insulin. It is frequently diagnosed as an acute event during childhood or adolescence. Individuals with type 1 diabetes require intensive insulin therapy to survive.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ind w:left="1300" w:right="60" w:hanging="320"/>
        <w:spacing w:after="0" w:line="301"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Type 2 diabetes represents 90% to 95% of all individuals diagnosed with diabetes and is characterized by the body’s inability to either properly utilize insulin or produce enough insulin. Initially, many people with type 2 diabetes often attempt to manage their diabetes with improvements in diet and exercise, and with oral medications. However, as their diabetes advances, many patients progress to requiring injectable therapies, such as long-acting insulin, and a subset of this population require intensive insulin therapy.</w:t>
      </w:r>
    </w:p>
    <w:p>
      <w:pPr>
        <w:spacing w:after="0" w:line="130"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The International Diabetes Federation estimates that, in 2021, approximately 297 million adults age 20-79 years worldwide had diagnosed type 1 or 2 diabetes. In addition, approximately 1.2 million children and adolescents had type 1 diabetes, and nearly 150,000 people under age 20 are estimated to be diagnosed annually. In the United States, the Centers for Disease Control and Prevention estimates that in 2021 approximately 37.3 million people were living with diabetes of which approximately 28.5 million had diagnosed diabetes. We consider our addressable market to be people diagnosed with diabetes who are living with either type 1 diabetes, or with type 2 diabetes who require intensive insulin therapy. Throughout this Annual Report, we refer to these individuals as people with insulin-dependent diabetes.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760" w:type="dxa"/>
            <w:vAlign w:val="bottom"/>
          </w:tcPr>
          <w:p>
            <w:pPr>
              <w:spacing w:after="0"/>
              <w:rPr>
                <w:sz w:val="24"/>
                <w:szCs w:val="24"/>
                <w:color w:val="auto"/>
              </w:rPr>
            </w:pPr>
          </w:p>
        </w:tc>
        <w:tc>
          <w:tcPr>
            <w:tcW w:w="5640" w:type="dxa"/>
            <w:vAlign w:val="bottom"/>
            <w:gridSpan w:val="3"/>
          </w:tcPr>
          <w:p>
            <w:pPr>
              <w:ind w:left="1200"/>
              <w:spacing w:after="0"/>
              <w:rPr>
                <w:sz w:val="20"/>
                <w:szCs w:val="20"/>
                <w:color w:val="auto"/>
              </w:rPr>
            </w:pPr>
            <w:r>
              <w:rPr>
                <w:rFonts w:ascii="Arial" w:cs="Arial" w:eastAsia="Arial" w:hAnsi="Arial"/>
                <w:sz w:val="18"/>
                <w:szCs w:val="18"/>
                <w:b w:val="1"/>
                <w:bCs w:val="1"/>
                <w:color w:val="auto"/>
              </w:rPr>
              <w:t>Estimated Diagnosed Diabetes Prevalence</w:t>
            </w:r>
            <w:r>
              <w:rPr>
                <w:rFonts w:ascii="Arial" w:cs="Arial" w:eastAsia="Arial" w:hAnsi="Arial"/>
                <w:sz w:val="23"/>
                <w:szCs w:val="23"/>
                <w:b w:val="1"/>
                <w:bCs w:val="1"/>
                <w:color w:val="auto"/>
                <w:vertAlign w:val="superscript"/>
              </w:rPr>
              <w:t>(1)</w:t>
            </w:r>
          </w:p>
        </w:tc>
        <w:tc>
          <w:tcPr>
            <w:tcW w:w="2840" w:type="dxa"/>
            <w:vAlign w:val="bottom"/>
          </w:tcPr>
          <w:p>
            <w:pPr>
              <w:spacing w:after="0"/>
              <w:rPr>
                <w:sz w:val="24"/>
                <w:szCs w:val="24"/>
                <w:color w:val="auto"/>
              </w:rPr>
            </w:pPr>
          </w:p>
        </w:tc>
      </w:tr>
      <w:tr>
        <w:trPr>
          <w:trHeight w:val="323"/>
        </w:trPr>
        <w:tc>
          <w:tcPr>
            <w:tcW w:w="2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Worldwide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United States</w:t>
            </w:r>
          </w:p>
        </w:tc>
      </w:tr>
      <w:tr>
        <w:trPr>
          <w:trHeight w:val="223"/>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Type 1</w:t>
            </w:r>
          </w:p>
        </w:tc>
        <w:tc>
          <w:tcPr>
            <w:tcW w:w="27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30.9 million</w:t>
            </w:r>
          </w:p>
        </w:tc>
        <w:tc>
          <w:tcPr>
            <w:tcW w:w="10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1.8 million</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Type 2 (all therapies)</w:t>
            </w:r>
          </w:p>
        </w:tc>
        <w:tc>
          <w:tcPr>
            <w:tcW w:w="2720" w:type="dxa"/>
            <w:vAlign w:val="bottom"/>
          </w:tcPr>
          <w:p>
            <w:pPr>
              <w:spacing w:after="0"/>
              <w:rPr>
                <w:sz w:val="19"/>
                <w:szCs w:val="19"/>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267.3 million</w:t>
            </w:r>
          </w:p>
        </w:tc>
        <w:tc>
          <w:tcPr>
            <w:tcW w:w="2840" w:type="dxa"/>
            <w:vAlign w:val="bottom"/>
          </w:tcPr>
          <w:p>
            <w:pPr>
              <w:jc w:val="center"/>
              <w:spacing w:after="0"/>
              <w:rPr>
                <w:sz w:val="20"/>
                <w:szCs w:val="20"/>
                <w:color w:val="auto"/>
              </w:rPr>
            </w:pPr>
            <w:r>
              <w:rPr>
                <w:rFonts w:ascii="Arial" w:cs="Arial" w:eastAsia="Arial" w:hAnsi="Arial"/>
                <w:sz w:val="18"/>
                <w:szCs w:val="18"/>
                <w:color w:val="auto"/>
                <w:w w:val="96"/>
              </w:rPr>
              <w:t>26.9 million</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Type 2 (insulin only)</w:t>
            </w:r>
          </w:p>
        </w:tc>
        <w:tc>
          <w:tcPr>
            <w:tcW w:w="27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7"/>
              </w:rPr>
              <w:t>10 million</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6"/>
              </w:rPr>
              <w:t>2 million</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Internal estimates based on data from the International Diabetes Federation and the Centers for Disease Control and Prevention (CDC)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Diabetes Management Challenges</w:t>
      </w:r>
    </w:p>
    <w:p>
      <w:pPr>
        <w:spacing w:after="0" w:line="18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Diabetes can be difficult for patients to manage. Unlike most therapies, insulin requirements can vary greatly and can be affected by many factors, such as type or quantity of food eaten, illness, stress and exercise. People with diabetes have to be diligent in working to prevent their blood glucose from fluctuating outside of a targeted range. Hypoglycemia, or low blood glucose levels, can cause a variety of long-term effects or complications, including damage to various tissues and organs, seizures, coma or death. Hyperglycemia, or high blood glucose levels, can also cause a variety of long-term effects or complications, including cardiovascular disease and damage to various tissues and organs. Preventing and managing fluctuations in blood glucose levels, particularly when someone is outside their target blood glucose range is often time consuming and stressful to people with diabetes and their loved ones.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Insulin Therapy Management</w:t>
      </w:r>
    </w:p>
    <w:p>
      <w:pPr>
        <w:spacing w:after="0" w:line="18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There are two primary therapies used by people with insulin-dependent diabetes, insulin injections and insulin pumps. The use of insulin injections is often referred to as Multiple Daily Injection (MDI) therapy. Insulin pumps are intended to more closely resemble the physiologic function of a healthy pancreas and use rapid-acting insulin to fulfill both mealtime (bolus) and background (basal) requirements. Insulin pump systems are most commonly comprised of a programmable hardware device, a cartridge filled with insulin by the user, and an infusion set to administer insulin into the person’s body. This system is known as a durable pump. By comparison, patch insulin pumps are disposable and adhere to the body without an infusion set.</w:t>
      </w:r>
    </w:p>
    <w:p>
      <w:pPr>
        <w:spacing w:after="0" w:line="121" w:lineRule="exact"/>
        <w:rPr>
          <w:sz w:val="20"/>
          <w:szCs w:val="20"/>
          <w:color w:val="auto"/>
        </w:rPr>
      </w:pPr>
    </w:p>
    <w:p>
      <w:pPr>
        <w:ind w:right="200" w:firstLine="810"/>
        <w:spacing w:after="0" w:line="273" w:lineRule="auto"/>
        <w:rPr>
          <w:sz w:val="20"/>
          <w:szCs w:val="20"/>
          <w:color w:val="auto"/>
        </w:rPr>
      </w:pPr>
      <w:r>
        <w:rPr>
          <w:rFonts w:ascii="Arial" w:cs="Arial" w:eastAsia="Arial" w:hAnsi="Arial"/>
          <w:sz w:val="17"/>
          <w:szCs w:val="17"/>
          <w:color w:val="auto"/>
        </w:rPr>
        <w:t>Insulin pump therapy can provide benefit to a person with insulin-dependent diabetes when used independently or in conjunction with CGM, which is a therapy that provides users with real-time access to their glucose levels as well as trend information. In addition, insulin pumps may feature an AID algorithm that is designed to automatically adjust a person’s insulin delivery based on their CGM trends and other factors to help minimize the frequency and/or duration of hyperglycemic and/or hypoglycemic events. Insulin pumps may also feature connectivity with mobile apps and data management applications, which are used by the pump user, their caregivers and their healthcare providers, to quickly and easily identify meaningful insights and trends, allowing them to refine therapy and lifestyle choices for better management of their diabetes.</w:t>
      </w:r>
    </w:p>
    <w:p>
      <w:pPr>
        <w:spacing w:after="0" w:line="151" w:lineRule="exact"/>
        <w:rPr>
          <w:sz w:val="20"/>
          <w:szCs w:val="20"/>
          <w:color w:val="auto"/>
        </w:rPr>
      </w:pPr>
    </w:p>
    <w:p>
      <w:pPr>
        <w:jc w:val="both"/>
        <w:ind w:right="160" w:firstLine="810"/>
        <w:spacing w:after="0" w:line="301" w:lineRule="auto"/>
        <w:rPr>
          <w:sz w:val="20"/>
          <w:szCs w:val="20"/>
          <w:color w:val="auto"/>
        </w:rPr>
      </w:pPr>
      <w:r>
        <w:rPr>
          <w:rFonts w:ascii="Arial" w:cs="Arial" w:eastAsia="Arial" w:hAnsi="Arial"/>
          <w:sz w:val="16"/>
          <w:szCs w:val="16"/>
          <w:color w:val="auto"/>
        </w:rPr>
        <w:t>More than 1 million people worldwide are estimated to use an insulin pump to manage their diabetes. We estimate that 750,000 people in the United States use an insulin pump. In addition, we estimate that approximately 450,000 people use an insulin pump in the more than 20 countries outside the United States in which our insulin pump is available. There are a variety of insulin pump manufacturers worldwide, while in the United States, we are currently one of only two commercial durable insulin pump manufacturers and there is one programmable commercial patch insulin pump manufacturer.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 w:name="page6"/>
    <w:bookmarkEnd w:id="5"/>
    <w:p>
      <w:pPr>
        <w:jc w:val="both"/>
        <w:ind w:right="240" w:firstLine="810"/>
        <w:spacing w:after="0" w:line="259" w:lineRule="auto"/>
        <w:rPr>
          <w:sz w:val="20"/>
          <w:szCs w:val="20"/>
          <w:color w:val="auto"/>
        </w:rPr>
      </w:pPr>
      <w:r>
        <w:rPr>
          <w:rFonts w:ascii="Arial" w:cs="Arial" w:eastAsia="Arial" w:hAnsi="Arial"/>
          <w:sz w:val="18"/>
          <w:szCs w:val="18"/>
          <w:color w:val="auto"/>
        </w:rPr>
        <w:t>We believe that the distinct advantages and increased awareness of insulin pump therapy as compared to other available insulin therapies will continue to generate demand for insulin pump devices and pump-related supplies. We further believe that recent and ongoing developments in the use of CGM technology and AID algorithms in conjunction with insulin pump therapy will continue to provide people with insulin-dependent diabetes benefits that will make insulin pump therapy an even more attractive treatment alternative.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Improving the Lives of People with Diabetes</w:t>
      </w:r>
    </w:p>
    <w:p>
      <w:pPr>
        <w:spacing w:after="0" w:line="189"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We develop our insulin pump technology and related product offerings using a consumer-focused approach. We initially rely on the use of behavioral sciences, including extensive research to ascertain what people with insulin-dependent diabetes require and prefer from their diabetes therapy. We then look to modern consumer technology for inspiration and design our hardware and software solutions to meet the specific demands of people with diabetes. This multi-step approach has resulted in products that provide users with the distinct features and functionality they seek and in a manner that makes the features usable and intuitive.</w:t>
      </w:r>
    </w:p>
    <w:p>
      <w:pPr>
        <w:spacing w:after="0" w:line="147" w:lineRule="exact"/>
        <w:rPr>
          <w:sz w:val="20"/>
          <w:szCs w:val="20"/>
          <w:color w:val="auto"/>
        </w:rPr>
      </w:pPr>
    </w:p>
    <w:p>
      <w:pPr>
        <w:jc w:val="both"/>
        <w:ind w:right="260" w:firstLine="810"/>
        <w:spacing w:after="0" w:line="286" w:lineRule="auto"/>
        <w:rPr>
          <w:sz w:val="20"/>
          <w:szCs w:val="20"/>
          <w:color w:val="auto"/>
        </w:rPr>
      </w:pPr>
      <w:r>
        <w:rPr>
          <w:rFonts w:ascii="Arial" w:cs="Arial" w:eastAsia="Arial" w:hAnsi="Arial"/>
          <w:sz w:val="17"/>
          <w:szCs w:val="17"/>
          <w:color w:val="auto"/>
        </w:rPr>
        <w:t>Since our initial commercial launch, we have been able to rapidly innovate and bring more products to market than our competitors. We have commercially launched seven insulin pump configurations since inception, all of which have been developed using our proprietary technology platform. The following table provides information regarding the commercial availability of our insulin pump products: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U.S. Commercial Availability</w:t>
            </w: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Outside U.S. Commercial Availability</w:t>
            </w: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t:slim</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August 2012 - October 2016</w:t>
            </w:r>
          </w:p>
        </w:tc>
        <w:tc>
          <w:tcPr>
            <w:tcW w:w="10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t:flex</w:t>
            </w: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May 2015 - June 2018</w:t>
            </w:r>
          </w:p>
        </w:tc>
        <w:tc>
          <w:tcPr>
            <w:tcW w:w="32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t:slim G4</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2015 - August 2017</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t:slim X2</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2016 - September 2017</w:t>
            </w:r>
          </w:p>
        </w:tc>
        <w:tc>
          <w:tcPr>
            <w:tcW w:w="32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t:slim X2 with G5</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2017 - August 2018</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2018 - May 2021</w:t>
            </w: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t:slim X2 with Basal-IQ technology</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2018 - present</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September 2019* - present</w:t>
            </w: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t:slim X2 with Control-IQ technology</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2020 - present</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2020* - present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*Scaled launch based on the timing of regulatory approvals and other factors.</w:t>
      </w:r>
    </w:p>
    <w:p>
      <w:pPr>
        <w:spacing w:after="0" w:line="185" w:lineRule="exact"/>
        <w:rPr>
          <w:sz w:val="20"/>
          <w:szCs w:val="20"/>
          <w:color w:val="auto"/>
        </w:rPr>
      </w:pPr>
    </w:p>
    <w:p>
      <w:pPr>
        <w:ind w:right="220" w:firstLine="810"/>
        <w:spacing w:after="0" w:line="263" w:lineRule="auto"/>
        <w:rPr>
          <w:sz w:val="20"/>
          <w:szCs w:val="20"/>
          <w:color w:val="auto"/>
        </w:rPr>
      </w:pPr>
      <w:r>
        <w:rPr>
          <w:rFonts w:ascii="Arial" w:cs="Arial" w:eastAsia="Arial" w:hAnsi="Arial"/>
          <w:sz w:val="18"/>
          <w:szCs w:val="18"/>
          <w:color w:val="auto"/>
        </w:rPr>
        <w:t>Today, our commercial efforts exclusively focus on the manufacturing, sale and support of our flagship pump platform, the t:slim X2 insulin delivery system, but we continue to provide ongoing service and support to existing t:slim, t:slim G4 and t:flex customers. The t:slim X2 insulin delivery system is comprised of a t:slim X2 pump, its 300-unit disposable insulin cartridge and an infusion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236855</wp:posOffset>
            </wp:positionV>
            <wp:extent cx="3429000" cy="2288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t:slim X2 Insulin Pump Form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t:slim X2 Insulin Pump</w:t>
      </w:r>
    </w:p>
    <w:p>
      <w:pPr>
        <w:spacing w:after="0" w:line="198"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Our t:slim X2 was designed to offer greater ease of use and look more like other modern consumer technology, such as a smart phone, as compared to other traditional insulin pumps. Key features include:</w:t>
      </w:r>
    </w:p>
    <w:p>
      <w:pPr>
        <w:spacing w:after="0" w:line="130" w:lineRule="exact"/>
        <w:rPr>
          <w:sz w:val="20"/>
          <w:szCs w:val="20"/>
          <w:color w:val="auto"/>
        </w:rPr>
      </w:pPr>
    </w:p>
    <w:p>
      <w:pPr>
        <w:ind w:left="660" w:right="4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Color touchscreen - The large color touchscreen is easy to read, simple to learn, and intuitive to use for anyone familiar with a smartphone or tablet.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Small and discreet - The t:slim X2 pump is up to 38% smaller than other durable pumps, yet the device can hold up to 300-units of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90805</wp:posOffset>
            </wp:positionV>
            <wp:extent cx="216027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t:slim X2 Profile (Actual Size)</w:t>
      </w:r>
    </w:p>
    <w:p>
      <w:pPr>
        <w:spacing w:after="0" w:line="364" w:lineRule="exact"/>
        <w:rPr>
          <w:sz w:val="20"/>
          <w:szCs w:val="20"/>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Flexible technology - The device can be used with or without AID or CGM. When advanced features are turned off, the t:slim X2 pump removes the CGM chart from the screen and puts the Bolus and Option buttons front and center for easy access.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AID features - We have commercially launched two AID algorithms on our t:slim X2 platform: Basal-IQ technology and Control-IQ technology.</w:t>
      </w:r>
    </w:p>
    <w:p>
      <w:pPr>
        <w:spacing w:after="0" w:line="167" w:lineRule="exact"/>
        <w:rPr>
          <w:rFonts w:ascii="Arial" w:cs="Arial" w:eastAsia="Arial" w:hAnsi="Arial"/>
          <w:sz w:val="16"/>
          <w:szCs w:val="16"/>
          <w:color w:val="auto"/>
        </w:rPr>
      </w:pPr>
    </w:p>
    <w:p>
      <w:pPr>
        <w:jc w:val="both"/>
        <w:ind w:left="1300" w:right="80" w:hanging="320"/>
        <w:spacing w:after="0" w:line="263"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Basal-IQ technology: This predictive low glucose suspend feature is designed to temporarily suspend insulin delivery to help reduce the frequency and duration of hypoglycemic events. With Dexcom G6 CGM integration, this feature works with no fingersticks required for mealtime dosing or calibration.</w:t>
      </w:r>
    </w:p>
    <w:p>
      <w:pPr>
        <w:spacing w:after="0" w:line="75" w:lineRule="exact"/>
        <w:rPr>
          <w:rFonts w:ascii="Arial" w:cs="Arial" w:eastAsia="Arial" w:hAnsi="Arial"/>
          <w:sz w:val="18"/>
          <w:szCs w:val="18"/>
          <w:color w:val="auto"/>
        </w:rPr>
      </w:pPr>
    </w:p>
    <w:p>
      <w:pPr>
        <w:ind w:left="1300" w:right="140" w:hanging="320"/>
        <w:spacing w:after="0" w:line="254"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Control-IQ technology: This advanced hybrid-closed loop feature is designed to help increase a user's time in targeted glycemic range (70-180 mg/dL). Approximately 200,000 t:slim X2 users worldwide have our Control-IQ technology. Control-IQ was the first AID algorithm cleared by the FDA to deliver automatic correction boluses in addition to adjusting basal insulin to help prevent high and low blood sugar. Control-IQ technology is integrated with Dexcom’s G6 CGM and offers optional settings for sleep and exercise activities that adjust the algorithm parameters to better match the different physiological needs during these activities. Results from two independent pivotal studies using Control-IQ technology were published in the New England Journal of Medicine in October 2019 and August 2020.</w:t>
      </w:r>
    </w:p>
    <w:p>
      <w:pPr>
        <w:spacing w:after="0" w:line="86"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Connectivity - The t:slim X2 includes a Bluetooth radio for communicating with multiple external devices simultaneously and allows for uploading pump and CGM therapy data to the Tandem cloud via the t:connect mobile app. The t:slim X2 also includes a micro-USB port that supports charging the lithium-polymer battery, software updates and therapy data uploads.</w:t>
      </w:r>
    </w:p>
    <w:p>
      <w:pPr>
        <w:spacing w:after="0" w:line="116" w:lineRule="exact"/>
        <w:rPr>
          <w:rFonts w:ascii="Arial" w:cs="Arial" w:eastAsia="Arial" w:hAnsi="Arial"/>
          <w:sz w:val="18"/>
          <w:szCs w:val="18"/>
          <w:i w:val="1"/>
          <w:iCs w:val="1"/>
          <w:color w:val="auto"/>
        </w:rPr>
      </w:pPr>
    </w:p>
    <w:p>
      <w:pPr>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Mobile Control </w:t>
      </w:r>
      <w:r>
        <w:rPr>
          <w:rFonts w:ascii="Arial" w:cs="Arial" w:eastAsia="Arial" w:hAnsi="Arial"/>
          <w:sz w:val="18"/>
          <w:szCs w:val="18"/>
          <w:i w:val="1"/>
          <w:iCs w:val="1"/>
          <w:color w:val="auto"/>
        </w:rPr>
        <w:t>-</w:t>
      </w:r>
      <w:r>
        <w:rPr>
          <w:rFonts w:ascii="Arial" w:cs="Arial" w:eastAsia="Arial" w:hAnsi="Arial"/>
          <w:sz w:val="18"/>
          <w:szCs w:val="18"/>
          <w:color w:val="auto"/>
        </w:rPr>
        <w:t xml:space="preserve"> In the first quarter of 2022, we received FDA clearance for our mobile bolus feature that allows t:slim X2 users to control a bolus of insulin through our t:connect mobile app using their personal smartphone. It is the first-ever FDA-cleared smartphone application capable of initiating insulin delivery on both iOS and Android operating systems. Our mobile app provides users with convenient and discreet data display and alerts, and functions as a pipeline for getting pump data to the cloud.</w:t>
      </w:r>
    </w:p>
    <w:p>
      <w:pPr>
        <w:spacing w:after="0" w:line="14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Tandem Device Updater</w:t>
      </w:r>
    </w:p>
    <w:p>
      <w:pPr>
        <w:spacing w:after="0" w:line="19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A tool that allows pump users to update their pumps’ software quickly and easily from a personal computer. It is PC- and Mac- compatible and designed to work with the t:slim X2 in a manner similar to software updates on a smartphone. We have used this technology to offer in-warranty t:slim customers in the United States four different software updates for no-cost, most recently including our Control-IQ technology. Outside the United States we began offering no-cost software updates for Basal-IQ technology in the third quarter of 2019 and Control-IQ technology updates in the third quarter of 2020.</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i w:val="1"/>
          <w:iCs w:val="1"/>
          <w:color w:val="auto"/>
        </w:rPr>
        <w:t>t:connect</w:t>
      </w:r>
    </w:p>
    <w:p>
      <w:pPr>
        <w:spacing w:after="0" w:line="198"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web-based data management application provides users, their caregivers and their healthcare providers with a fast, easy and visual way to display diabetes therapy management data from our pumps, integrated CGMs and supported blood glucose meters. This application empowers people with diabetes, as well as their caregivers and healthcare providers, to quickly and easily identify meaningful insights and trends, allowing them to refine therapy and lifestyle choices for better management of their diabetes. It also provides us with valuable data that we can analyze computationally to reveal patterns, trends and associations that can be used in continuous product improvements and in the identification of clinical outcomes data. t:connect launched in the United States in the third quarter of 2013. In 2017, we launched t:connect HCP, which is an enhanced version of t:connect designed to simplify the ability of pump users to share t:connect data with their healthcare providers. In the third quarter of 2020, we launched the t:connect mobile application that features the wireless upload of pump data to t:connect, allows the user to receive notification of pump alerts and alarms, and provide a discrete, secondary display of glucose and insulin data. The t:connect mobile application is compatible with multiple versions of iOS and Android operating systems, and at the end of 2021, approximately 180,000 customers had downloaded our mobile app. We believe t:connect (web data management and mobile app) can serve as key components of additional health applications and services that are currently under development.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Sugarmate</w:t>
      </w:r>
    </w:p>
    <w:p>
      <w:pPr>
        <w:spacing w:after="0" w:line="185"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During the second quarter of 2020, we acquired Sugarmate, Inc. (Sugarmate), the developer of a popular mobile app for people with diabetes who use insulin. The Sugarmate app is designed to help people with diabetes visualize diabetes therapy data in innovative ways. It allows users to log glucose data and health and nutrition information, and can provide notifications and alerts to users, their family, and their caregivers. Sugarmate became a wholly owned subsidiary of Tandem, and is continuing to be led by its founder, who joined our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160" w:firstLine="810"/>
        <w:spacing w:after="0" w:line="255" w:lineRule="auto"/>
        <w:rPr>
          <w:sz w:val="20"/>
          <w:szCs w:val="20"/>
          <w:color w:val="auto"/>
        </w:rPr>
      </w:pPr>
      <w:r>
        <w:rPr>
          <w:rFonts w:ascii="Arial" w:cs="Arial" w:eastAsia="Arial" w:hAnsi="Arial"/>
          <w:sz w:val="18"/>
          <w:szCs w:val="18"/>
          <w:color w:val="auto"/>
        </w:rPr>
        <w:t>Diabetes management can vary greatly from person-to-person, creating multiple market segments based on clinical needs and personal preferences. Our goal is to lead in insulin therapy management by providing a portfolio of delivery devices, software, and data insight solutions to people living with diabetes, as well as their caregivers and healthcare providers. We believe that our positively different approach uniquely positions us to significantly expand and further penetrate the varying segments of the intensive insulin using diabetes market by focusing on the needs of our customers and their caregivers, and by supporting healthcare providers and payors with real world insights. To achieve our goal, we intend to pursue the following business strategies:</w:t>
      </w:r>
    </w:p>
    <w:p>
      <w:pPr>
        <w:spacing w:after="0" w:line="1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worldwide adoption of our products by offering the best insulin delivery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a portfolio of therapy management solutions designed to improve patient outcomes;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the value provided by our portfolio through an ecosystem approach to diabetes management;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deeper relationships with all stakeholders across multiple channels, including virtual and telehealth platforms;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manufacturing operations to achieve cost and production efficiencies;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data in new ways that deliver real-world insights and that promote better outcomes;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new offerings that support our mission to improve the lives of people with diabetes.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189"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Delivery Devices</w:t>
      </w:r>
    </w:p>
    <w:p>
      <w:pPr>
        <w:spacing w:after="0" w:line="185"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We are developing a family of delivery device solutions to meet the varying needs of people living with type 1 and type 2 diabetes by providing choice within our own portfolio. Preferences in the size, shape, and mode of operation that comprise an insulin pump’s hardware often impact a person’s pump purchasing decision and overall user experience.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Mobi</w:t>
      </w:r>
    </w:p>
    <w:p>
      <w:pPr>
        <w:spacing w:after="0" w:line="198"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Formerly referred to under its development name, t:sport, the Tandem Mobi is approximately half the size of our t:slim X2 pump, and is being designed for people who seek even greater discretion and flexibility with the use of their insulin pump. Its features include a 200-unit cartridge, an on-pump bolus button, inductive charging, an AID algorithm, and is waterproof. We anticipate that Mobi will be our first insulin pump to support full pump-control from our mobile application.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t:slim X3</w:t>
      </w:r>
    </w:p>
    <w:p>
      <w:pPr>
        <w:spacing w:after="0" w:line="185"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 Tubeless</w:t>
      </w:r>
    </w:p>
    <w:p>
      <w:pPr>
        <w:spacing w:after="0" w:line="185" w:lineRule="exact"/>
        <w:rPr>
          <w:sz w:val="20"/>
          <w:szCs w:val="20"/>
          <w:color w:val="auto"/>
        </w:rPr>
      </w:pPr>
    </w:p>
    <w:p>
      <w:pPr>
        <w:ind w:right="40" w:firstLine="810"/>
        <w:spacing w:after="0" w:line="342" w:lineRule="auto"/>
        <w:rPr>
          <w:sz w:val="20"/>
          <w:szCs w:val="20"/>
          <w:color w:val="auto"/>
        </w:rPr>
      </w:pPr>
      <w:r>
        <w:rPr>
          <w:rFonts w:ascii="Arial" w:cs="Arial" w:eastAsia="Arial" w:hAnsi="Arial"/>
          <w:sz w:val="16"/>
          <w:szCs w:val="16"/>
          <w:color w:val="auto"/>
        </w:rPr>
        <w:t>This offering is being developed to provide an alternative tubeless infusion site option for Mobi pump users. A goal of this design is to allow for people living with diabetes to customize the way they wear their pump with each cartridge change to best suit their personal preferences and lifestyle.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Patch</w:t>
      </w:r>
    </w:p>
    <w:p>
      <w:pPr>
        <w:spacing w:after="0" w:line="198" w:lineRule="exact"/>
        <w:rPr>
          <w:sz w:val="20"/>
          <w:szCs w:val="20"/>
          <w:color w:val="auto"/>
        </w:rPr>
      </w:pPr>
    </w:p>
    <w:p>
      <w:pPr>
        <w:ind w:left="660" w:right="360" w:firstLine="162"/>
        <w:spacing w:after="0" w:line="453" w:lineRule="auto"/>
        <w:rPr>
          <w:sz w:val="20"/>
          <w:szCs w:val="20"/>
          <w:color w:val="auto"/>
        </w:rPr>
      </w:pPr>
      <w:r>
        <w:rPr>
          <w:rFonts w:ascii="Arial" w:cs="Arial" w:eastAsia="Arial" w:hAnsi="Arial"/>
          <w:sz w:val="18"/>
          <w:szCs w:val="18"/>
          <w:color w:val="auto"/>
        </w:rPr>
        <w:t xml:space="preserve">Our patch pump design is in its early stages and is being developed for people living with diabetes who want a disposable tubeless solution. </w:t>
      </w:r>
      <w:r>
        <w:rPr>
          <w:rFonts w:ascii="Arial" w:cs="Arial" w:eastAsia="Arial" w:hAnsi="Arial"/>
          <w:sz w:val="18"/>
          <w:szCs w:val="18"/>
          <w:b w:val="1"/>
          <w:bCs w:val="1"/>
          <w:i w:val="1"/>
          <w:iCs w:val="1"/>
          <w:color w:val="auto"/>
        </w:rPr>
        <w:t>Device Software</w:t>
      </w:r>
    </w:p>
    <w:p>
      <w:pPr>
        <w:spacing w:after="0" w:line="2"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Control-IQ Technology Advancements</w:t>
      </w:r>
    </w:p>
    <w:p>
      <w:pPr>
        <w:spacing w:after="0" w:line="185"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We are driving innovation in our algorithms, emphasizing automation, personalization and simplification, all intended to continue to improve therapeutic outcomes and provide a positive patient experience characterized by simplicity and ease of use. Additionally, we have initiated clinical studies to expand the indications of our Control-IQ technology to include people with type 1 diabetes ages 2 to 5 years old, as well as people living with type 2 diabetes. We are also researching the use of different insulins with our Control-IQ technology.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Mobile Control</w:t>
      </w:r>
    </w:p>
    <w:p>
      <w:pPr>
        <w:spacing w:after="0" w:line="198"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We are working to expand our mobile control capability. In the future, our t:connect mobile app is planned to include additional pump control features, such as full operation of our Mobi pump.</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Integration</w:t>
      </w:r>
    </w:p>
    <w:p>
      <w:pPr>
        <w:spacing w:after="0" w:line="18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Building a robust ecosystem and portfolio around our flagship insulin pumps requires product development efforts to integrate, add and enhance complementary system components.</w:t>
      </w:r>
    </w:p>
    <w:p>
      <w:pPr>
        <w:spacing w:after="0" w:line="143" w:lineRule="exact"/>
        <w:rPr>
          <w:sz w:val="20"/>
          <w:szCs w:val="20"/>
          <w:color w:val="auto"/>
        </w:rPr>
      </w:pPr>
    </w:p>
    <w:p>
      <w:pPr>
        <w:jc w:val="both"/>
        <w:ind w:right="140" w:firstLine="810"/>
        <w:spacing w:after="0" w:line="263" w:lineRule="auto"/>
        <w:rPr>
          <w:sz w:val="20"/>
          <w:szCs w:val="20"/>
          <w:color w:val="auto"/>
        </w:rPr>
      </w:pPr>
      <w:r>
        <w:rPr>
          <w:rFonts w:ascii="Arial" w:cs="Arial" w:eastAsia="Arial" w:hAnsi="Arial"/>
          <w:sz w:val="18"/>
          <w:szCs w:val="18"/>
          <w:color w:val="auto"/>
        </w:rPr>
        <w:t>Dexcom CGM: In November 2020, we entered into an agreement with Dexcom to extend our current collaboration to include integration with their future G7 CGM technology. Following integrated product development work, and required regulatory clearances or approvals, this will be the fourth generation of Dexcom CGM that we intend to integrate with our devices.</w:t>
      </w:r>
    </w:p>
    <w:p>
      <w:pPr>
        <w:spacing w:after="0" w:line="143"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Abbott CGM: In June 2020, we announced an agreement with Abbott Laboratories (Abbott), to develop and commercialize integrated diabetes solutions that combine Abbott’s CGM technology 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i w:val="1"/>
          <w:iCs w:val="1"/>
          <w:color w:val="auto"/>
        </w:rPr>
        <w:t>Data and Insights</w:t>
      </w:r>
    </w:p>
    <w:p>
      <w:pPr>
        <w:spacing w:after="0" w:line="198"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Key areas of development include making these insights easy to understand, provided in a flexible format with mobile or web apps, and available real time. In addition, we are working to integrate health-related information from third-party sources and use our data to support current and future products under development.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Tandem Source</w:t>
      </w:r>
    </w:p>
    <w:p>
      <w:pPr>
        <w:spacing w:after="0" w:line="185" w:lineRule="exact"/>
        <w:rPr>
          <w:sz w:val="20"/>
          <w:szCs w:val="20"/>
          <w:color w:val="auto"/>
        </w:rPr>
      </w:pPr>
    </w:p>
    <w:p>
      <w:pPr>
        <w:ind w:right="40" w:firstLine="810"/>
        <w:spacing w:after="0" w:line="275" w:lineRule="auto"/>
        <w:rPr>
          <w:sz w:val="20"/>
          <w:szCs w:val="20"/>
          <w:color w:val="auto"/>
        </w:rPr>
      </w:pPr>
      <w:r>
        <w:rPr>
          <w:rFonts w:ascii="Arial" w:cs="Arial" w:eastAsia="Arial" w:hAnsi="Arial"/>
          <w:sz w:val="17"/>
          <w:szCs w:val="17"/>
          <w:color w:val="auto"/>
        </w:rPr>
        <w:t>Expanding the capabilities of our t:connect data management application available for customers in the United States, Tandem Source is our second-generation web-based data management application that is being designed to become our single, global platform. This application enhances clinical data visualization, provides added interface customization for users to personalize how they engage with their data and for healthcare providers to better manage their care. In the second quarter of 2021, we began limited testing of an initial version of Tandem Source in the United Kingdom. We continue to develop and test new features for Tandem Source in anticipation of a future commercial release of the product.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Settings Automation</w:t>
      </w:r>
    </w:p>
    <w:p>
      <w:pPr>
        <w:spacing w:after="0" w:line="18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Care</w:t>
      </w:r>
    </w:p>
    <w:p>
      <w:pPr>
        <w:spacing w:after="0" w:line="202"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In 2021, our U.S. sales organization was comprised of approximately 95 territories, which we began expanding to approximately 110 territories at the end of the year. The vast majority of these territories are supported by a sales representative and a clinical diabetes specialist who, as a team, call on endocrinologists, nurse practitioners, primary care physicians, certified diabetes educators and potential customers. Where appropriate, some territories are supported by multiple clinical diabetes specialists. Our U.S. sales team is augmented by individuals in our internal customer sales support organization, who follow up on leads generated through promotional activities and educate people on the benefits of our proprietary technology and products.</w:t>
      </w:r>
    </w:p>
    <w:p>
      <w:pPr>
        <w:spacing w:after="0" w:line="121"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Our internal customer sales support organization also contacts existing customers who are approaching their insurance renewal date to aid in the renewal process. Typically, customers are eligible for insurance reimbursement to purchase a new insulin pump once every four years; however, some plans may be limited to once every five years or have additional restrictions or requirements. Insurance reimbursement processes outside the United States vary by geography.</w:t>
      </w:r>
    </w:p>
    <w:p>
      <w:pPr>
        <w:spacing w:after="0" w:line="146"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In Canada, we established a small direct sales and clinical infrastructure in 2018, and since that time have secured reimbursement in the majority of Canadian provinces. We commenced marketing and sales efforts of the t:slim X2 with G5 integration in the fourth quarter of 2018, for the t:slim X2 with Basal-IQ technology in the fourth quarter of 2019, and for the t:slim X2 with Control-IQ technology in the first quarter of 2021.</w:t>
      </w:r>
    </w:p>
    <w:p>
      <w:pPr>
        <w:spacing w:after="0" w:line="138"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In more than 20 countries outside the United States, we have contracted with distributors who have substantial responsibility for sales, marketing and customer support efforts. We began our scaled launch outside the United States in the third quarter of 2018 after obtaining the right to affix the CE Mark to the t:slim X2 with G5 integration, followed by the scaled launches of our Basal-IQ technology and Control-IQ technology in the third quarter of 2019 and 2020,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ind w:firstLine="810"/>
        <w:spacing w:after="0" w:line="287" w:lineRule="auto"/>
        <w:rPr>
          <w:sz w:val="20"/>
          <w:szCs w:val="20"/>
          <w:color w:val="auto"/>
        </w:rPr>
      </w:pPr>
      <w:r>
        <w:rPr>
          <w:rFonts w:ascii="Arial" w:cs="Arial" w:eastAsia="Arial" w:hAnsi="Arial"/>
          <w:sz w:val="16"/>
          <w:szCs w:val="16"/>
          <w:b w:val="1"/>
          <w:bCs w:val="1"/>
          <w:i w:val="1"/>
          <w:iCs w:val="1"/>
          <w:color w:val="auto"/>
        </w:rPr>
        <w:t xml:space="preserve">Revenue Concentrations and Significant Customers. </w:t>
      </w:r>
      <w:r>
        <w:rPr>
          <w:rFonts w:ascii="Arial" w:cs="Arial" w:eastAsia="Arial" w:hAnsi="Arial"/>
          <w:sz w:val="16"/>
          <w:szCs w:val="16"/>
          <w:color w:val="auto"/>
        </w:rPr>
        <w:t>A small number of independent distributors in the United States have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a significant portion of our revenues. During the year ended December 31, 2021, we made sales to approximately 44 independent distributors in the United States, and 16 independent distributors internationally. During the year ended December 31, 2021, sales to our two largest distributors accounted for a combined 21.5% of consolidated sales. During the year ended December 31, 2020, sales to our two largest distributors accounted for a combined 28.8% of consolidated sales. None of our independent distributors in the United States are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in exceptional circumstances. We believe our domestic distributors carry minimal inventory at any given</w:t>
      </w:r>
    </w:p>
    <w:p>
      <w:pPr>
        <w:spacing w:after="0" w:line="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time. Internationally, there may be variability in inventory levels among our distributors, particularly when they first commence product sales or surrounding the launch of new products.</w:t>
      </w:r>
    </w:p>
    <w:p>
      <w:pPr>
        <w:spacing w:after="0" w:line="143" w:lineRule="exact"/>
        <w:rPr>
          <w:sz w:val="20"/>
          <w:szCs w:val="20"/>
          <w:color w:val="auto"/>
        </w:rPr>
      </w:pPr>
    </w:p>
    <w:p>
      <w:pPr>
        <w:ind w:right="320" w:firstLine="810"/>
        <w:spacing w:after="0" w:line="301" w:lineRule="auto"/>
        <w:rPr>
          <w:sz w:val="20"/>
          <w:szCs w:val="20"/>
          <w:color w:val="auto"/>
        </w:rPr>
      </w:pPr>
      <w:r>
        <w:rPr>
          <w:rFonts w:ascii="Arial" w:cs="Arial" w:eastAsia="Arial" w:hAnsi="Arial"/>
          <w:sz w:val="16"/>
          <w:szCs w:val="16"/>
          <w:b w:val="1"/>
          <w:bCs w:val="1"/>
          <w:i w:val="1"/>
          <w:iCs w:val="1"/>
          <w:color w:val="auto"/>
        </w:rPr>
        <w:t>Training and Customer Care</w:t>
      </w:r>
      <w:r>
        <w:rPr>
          <w:rFonts w:ascii="Arial" w:cs="Arial" w:eastAsia="Arial" w:hAnsi="Arial"/>
          <w:sz w:val="16"/>
          <w:szCs w:val="16"/>
          <w:color w:val="auto"/>
        </w:rPr>
        <w:t>. In the United States and Canada, our customer care infrastructure consists of specialists focused on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training, pump and supply order processing and 24/7/365 technical services. We also provide training and technical services to our distribution partners who fulfill their customer care responsibilities outside the United States. Our goal is to offer the highest level of customer support and services as these offerings are often viewed by people with diabetes and their healthcare providers as being equally as important as the products we offer.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189" w:lineRule="exact"/>
        <w:rPr>
          <w:sz w:val="20"/>
          <w:szCs w:val="20"/>
          <w:color w:val="auto"/>
        </w:rPr>
      </w:pPr>
    </w:p>
    <w:p>
      <w:pPr>
        <w:ind w:right="80" w:firstLine="810"/>
        <w:spacing w:after="0" w:line="286" w:lineRule="auto"/>
        <w:rPr>
          <w:sz w:val="20"/>
          <w:szCs w:val="20"/>
          <w:color w:val="auto"/>
        </w:rPr>
      </w:pPr>
      <w:r>
        <w:rPr>
          <w:rFonts w:ascii="Arial" w:cs="Arial" w:eastAsia="Arial" w:hAnsi="Arial"/>
          <w:sz w:val="17"/>
          <w:szCs w:val="17"/>
          <w:color w:val="auto"/>
        </w:rPr>
        <w:t>In the United States, customer orders are typically fulfilled by billing third-party payors on behalf of our customers, or by utilizing our network of distributors who then bill third-party payors on our customers’ behalf. Our fulfillment and reimbursement systems are fully integrated such that our products are shipped only after receipt of a valid physician’s order and verification of current health insurance information.</w:t>
      </w:r>
    </w:p>
    <w:p>
      <w:pPr>
        <w:spacing w:after="0" w:line="138"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We are accredited by the Community Health Accreditation Program and are an approved Medicare provider. Over the last ten years, Medicare reimbursement rates for insulin pumps and disposable insulin cartridges have increased modestly. In the United States, we primarily bill for our insulin pump products and associated supplies using existing Healthcare Common Procedure Coding System codes for which Medicare reimbursement is well established. However, pump eligibility criteria for people with type 2 diabetes can be different and may require additional documentation and laboratory testing to gain in-network insurance reimbursement benefits.</w:t>
      </w:r>
    </w:p>
    <w:p>
      <w:pPr>
        <w:spacing w:after="0" w:line="147"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We enter into contracts with national and regional third-party payors to establish reimbursement for our insulin pump products, disposable insulin cartridges and other related supplies. We employ a team of managed care managers who are responsible for negotiating and securing contracts with third-party payors throughout the United States. If we are not contracted with a prospective customer’s third-party payor and in-network status cannot be otherwise obtained, then to the extent possible we utilize distribution channels so our customers’ orders can be serviced. For the year ended December 31, 2021, approximately 34% of our sales in the United States were generated through our direct third-party payor contracts, compared to approximately 30% for the same period of 2020. As of December 31, 2021, our distribution channel was comprised of approximately 44 independent distributors.</w:t>
      </w:r>
    </w:p>
    <w:p>
      <w:pPr>
        <w:spacing w:after="0" w:line="124"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In most cases, but not all, our network of distributors allows us access to prospective customers who are covered by commercial payors with whom we are not contracted, at in-network rates that are generally more affordable for our customers. The most significant exception was in the period from July 2016 to June 2020. During that time, only a small subset of UnitedHealthcare’s members were able to obtain reimbursement for our products through our direct or distribution channels, primarily select pediatric and government plan members. In July 2020, we were named as a network provider by UnitedHealthcare.</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distribution partners outside the United States and Canada are responsible for all reimbursement, tender application and fulfillment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202"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Our pump products are currently assembled, tested and packaged at our facilities in San Diego, California. Prior to 2020, we manufactured and tested our disposable cartridge products at our Barnes Canyon facility in San Diego, California. Since that time, we have transferred a substantial portion of our cartridge manufacturing and testing to an experienced third-party contract manufacturer to provide us additional flexibility in scaling our business while creating additional leverage. We also utilize external third parties for sterilization of our finished cartridges. All finished cartridges are packaged for sale at our facilities in San Diego.</w:t>
      </w:r>
    </w:p>
    <w:p>
      <w:pPr>
        <w:spacing w:after="0" w:line="147"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Outside suppliers are the source for components and some sub-assemblies in the production of our insulin pumps and cartridges. In addition, we purchase all of our currently marketed infusion sets from a third party supplier, Unomedical A/S, a subsidiary of ConvaTec Group. Unomedical is responsible for all manufacturing, testing, sterilization and packaging of the infusion sets under our brands. Any sole and single source supplier is managed through our supplier management program that is focused on reducing supply chain risk. Our suppliers are evaluated, approved and monitored periodically by our quality department to ensure conformity with the specifications, policies and procedures applicable to our devices. Members of our quality department also inspect our devices at various steps during the manufacturing cycle to facilitate compliance with our devices’ stringent specifications.</w:t>
      </w:r>
    </w:p>
    <w:p>
      <w:pPr>
        <w:spacing w:after="0" w:line="110" w:lineRule="exact"/>
        <w:rPr>
          <w:sz w:val="20"/>
          <w:szCs w:val="20"/>
          <w:color w:val="auto"/>
        </w:rPr>
      </w:pPr>
    </w:p>
    <w:p>
      <w:pPr>
        <w:ind w:right="80" w:firstLine="810"/>
        <w:spacing w:after="0" w:line="227" w:lineRule="auto"/>
        <w:rPr>
          <w:sz w:val="20"/>
          <w:szCs w:val="20"/>
          <w:color w:val="auto"/>
        </w:rPr>
      </w:pPr>
      <w:r>
        <w:rPr>
          <w:rFonts w:ascii="Arial" w:cs="Arial" w:eastAsia="Arial" w:hAnsi="Arial"/>
          <w:sz w:val="18"/>
          <w:szCs w:val="18"/>
          <w:color w:val="auto"/>
        </w:rPr>
        <w:t>We follow and comply with a comprehensive set of quality certifications and standards. For example, in the product development process, we follow standards such as IEC 62304:2006, the international consensus for medical device software lifecycle processes, ISO 14971:2019 for the application of risk management to medical devices, and IEC 60601 which is a series of technical standards regarding the basic safety and essential performance of medical electrical equipment. In addition, we have built and maintain our quality management system to comply with the FDA’s Code of Federal Regulations Title 21 CFR Parts 820, 806, 803 and 11, ISO 13485 and 14971, as well as any other country-specific requirement where Tandem products are distributed.</w:t>
      </w:r>
    </w:p>
    <w:p>
      <w:pPr>
        <w:spacing w:after="0" w:line="148" w:lineRule="exact"/>
        <w:rPr>
          <w:sz w:val="20"/>
          <w:szCs w:val="20"/>
          <w:color w:val="auto"/>
        </w:rPr>
      </w:pPr>
    </w:p>
    <w:p>
      <w:pPr>
        <w:ind w:right="40" w:firstLine="810"/>
        <w:spacing w:after="0" w:line="231" w:lineRule="auto"/>
        <w:rPr>
          <w:sz w:val="20"/>
          <w:szCs w:val="20"/>
          <w:color w:val="auto"/>
        </w:rPr>
      </w:pPr>
      <w:r>
        <w:rPr>
          <w:rFonts w:ascii="Arial" w:cs="Arial" w:eastAsia="Arial" w:hAnsi="Arial"/>
          <w:sz w:val="18"/>
          <w:szCs w:val="18"/>
          <w:color w:val="auto"/>
        </w:rPr>
        <w:t>We have received certification from BSI Group, a Notified Body to the International Standards Organization (ISO), of our quality system.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right="140" w:firstLine="810"/>
        <w:spacing w:after="0" w:line="286" w:lineRule="auto"/>
        <w:rPr>
          <w:sz w:val="20"/>
          <w:szCs w:val="20"/>
          <w:color w:val="auto"/>
        </w:rPr>
      </w:pPr>
      <w:r>
        <w:rPr>
          <w:rFonts w:ascii="Arial" w:cs="Arial" w:eastAsia="Arial" w:hAnsi="Arial"/>
          <w:sz w:val="17"/>
          <w:szCs w:val="17"/>
          <w:color w:val="auto"/>
        </w:rPr>
        <w:t>Our research and development team includes employees with specialist experience across diverse engineering disciplines and user experience design, many of whom have considerable experience developing diabetes-related products. Our research and development team focuses on the continuous improvement and support of current product offerings, as well as our products under development.</w:t>
      </w:r>
    </w:p>
    <w:p>
      <w:pPr>
        <w:spacing w:after="0" w:line="138" w:lineRule="exact"/>
        <w:rPr>
          <w:sz w:val="20"/>
          <w:szCs w:val="20"/>
          <w:color w:val="auto"/>
        </w:rPr>
      </w:pPr>
    </w:p>
    <w:p>
      <w:pPr>
        <w:ind w:right="140" w:firstLine="810"/>
        <w:spacing w:after="0" w:line="289" w:lineRule="auto"/>
        <w:rPr>
          <w:sz w:val="20"/>
          <w:szCs w:val="20"/>
          <w:color w:val="auto"/>
        </w:rPr>
      </w:pPr>
      <w:r>
        <w:rPr>
          <w:rFonts w:ascii="Arial" w:cs="Arial" w:eastAsia="Arial" w:hAnsi="Arial"/>
          <w:sz w:val="16"/>
          <w:szCs w:val="16"/>
          <w:color w:val="auto"/>
        </w:rPr>
        <w:t>In June 2015, we entered into non-exclusive agreements with DexCom to allow the integration of our insulin pump products with the DexCom G5 and G6 CGM systems worldwide. In November 2020, we entered into non-exclusive agreements with DexCom to continue the development and collaboration activities that enable the integration of the Company’s insulin pump products with DexCom’s CGM devices, including current and future generation insulin pump products with DexCom’s G6 and G7 CGM devices. The 2015 agreements had an initial term of five years, and thereafter renew automatically for additional one-year terms unless either party provides advance notice to the other party that they do not wish to extend the agreements. The 2020 agreements have an initial term of five years and thereafter renew automatically for additional successive two-year periods unless either party provides advance notice of non-renewal. The agreements do not require any licensing fees, milestone payments or royalty obligations to DexCom. The agreements contain customary provisions for termination in the event of an uncured material breach or in the event of a dissolution of the other party, and prohibit our assignment of the agreements to a DexCom competitor without DexCom’s prior consent.</w:t>
      </w:r>
    </w:p>
    <w:p>
      <w:pPr>
        <w:spacing w:after="0" w:line="126" w:lineRule="exact"/>
        <w:rPr>
          <w:sz w:val="20"/>
          <w:szCs w:val="20"/>
          <w:color w:val="auto"/>
        </w:rPr>
      </w:pPr>
    </w:p>
    <w:p>
      <w:pPr>
        <w:ind w:right="200" w:firstLine="810"/>
        <w:spacing w:after="0" w:line="273" w:lineRule="auto"/>
        <w:rPr>
          <w:sz w:val="20"/>
          <w:szCs w:val="20"/>
          <w:color w:val="auto"/>
        </w:rPr>
      </w:pPr>
      <w:r>
        <w:rPr>
          <w:rFonts w:ascii="Arial" w:cs="Arial" w:eastAsia="Arial" w:hAnsi="Arial"/>
          <w:sz w:val="17"/>
          <w:szCs w:val="17"/>
          <w:color w:val="auto"/>
        </w:rPr>
        <w:t>In 2016, we entered into a worldwide, non-exclusive, royalty-bearing license agreement with TypeZero to allow the integration of our insulin pump products with TypeZero’s inControl AID technology. The agreement also provides us access to TypeZero’s future AID innovations for five years following the date of the agreement. In addition, the license agreement contemplated that our insulin pump products would be used alongside TypeZero’s AID technology in certain studies under the International Diabetes Closed Loop (IDCL) Trial, which are now completed. In August 2018, TypeZero was acquired by Dexcom. Nevertheless, the terms of our agreement with TypeZero remain effective until the patents covered by the agreement have expired, subject to customary provisions for termination in the event of an uncured material breach.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 w:name="page13"/>
    <w:bookmarkEnd w:id="12"/>
    <w:p>
      <w:pPr>
        <w:ind w:right="60" w:firstLine="810"/>
        <w:spacing w:after="0" w:line="259" w:lineRule="auto"/>
        <w:rPr>
          <w:sz w:val="20"/>
          <w:szCs w:val="20"/>
          <w:color w:val="auto"/>
        </w:rPr>
      </w:pPr>
      <w:r>
        <w:rPr>
          <w:rFonts w:ascii="Arial" w:cs="Arial" w:eastAsia="Arial" w:hAnsi="Arial"/>
          <w:sz w:val="18"/>
          <w:szCs w:val="18"/>
          <w:color w:val="auto"/>
        </w:rPr>
        <w:t>In June 2020 we announced an agreement with Abbott to develop and commercialize integrated diabetes solutions that combine Abbott’s CGM technology with our insulin delivery systems to provide more options for people to manage their diabetes. Following the completion of our integrated product development work, and after obtaining required regulatory clearances or approvals, we intend to focus our initial commercial activities on integrated products in the U.S. and Canada, and consider additional geographies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ind w:right="80" w:firstLine="810"/>
        <w:spacing w:after="0" w:line="308" w:lineRule="auto"/>
        <w:rPr>
          <w:sz w:val="20"/>
          <w:szCs w:val="20"/>
          <w:color w:val="auto"/>
        </w:rPr>
      </w:pPr>
      <w:r>
        <w:rPr>
          <w:rFonts w:ascii="Arial" w:cs="Arial" w:eastAsia="Arial" w:hAnsi="Arial"/>
          <w:sz w:val="17"/>
          <w:szCs w:val="17"/>
          <w:color w:val="auto"/>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06" w:lineRule="exact"/>
        <w:rPr>
          <w:sz w:val="20"/>
          <w:szCs w:val="20"/>
          <w:color w:val="auto"/>
        </w:rPr>
      </w:pPr>
    </w:p>
    <w:p>
      <w:pPr>
        <w:jc w:val="both"/>
        <w:ind w:right="80" w:firstLine="810"/>
        <w:spacing w:after="0" w:line="301" w:lineRule="auto"/>
        <w:rPr>
          <w:sz w:val="20"/>
          <w:szCs w:val="20"/>
          <w:color w:val="auto"/>
        </w:rPr>
      </w:pPr>
      <w:r>
        <w:rPr>
          <w:rFonts w:ascii="Arial" w:cs="Arial" w:eastAsia="Arial" w:hAnsi="Arial"/>
          <w:sz w:val="16"/>
          <w:szCs w:val="16"/>
          <w:color w:val="auto"/>
        </w:rPr>
        <w:t>As of December 31, 2021, our patent portfolio consisted of approximately 117 issued U.S. patents and 83 pending U.S. patent applications. Of these, our issued U.S. patents expire between approximately 2022 and 2040. Our foreign patent portfolio consisted of approximately 41 issued patents and 15 pending patent applications in other countries throughout the world. Of these, our issued foreign patents expire between approximately 2025 and 2036. In addition, we also have 94 trademark registrations, including 18 U.S. trademark registrations and 76 foreign trademark registrations.</w:t>
      </w:r>
    </w:p>
    <w:p>
      <w:pPr>
        <w:spacing w:after="0" w:line="130"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In July 2012, we entered into an agreement with Smiths Medical, Inc. pursuant to which we were granted, through certain assignments and certain non-exclusive and exclusive, worldwide, fully paid-up, royalty-free licenses, certain rights to patents and patent applications related to ambulatory infusion pumps and related software and accessories for the treatment of diabetes.</w:t>
      </w:r>
    </w:p>
    <w:p>
      <w:pPr>
        <w:spacing w:after="0" w:line="143"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In July 2020, we entered into a non-exclusive patent cross-license agreement for certain technologies in the field of diabetes with Medtronic plc (Medtronic). With certain exclusions, the agreement applies to the companies’ existing products, as well as new products for at least the next five years, and includes a provision that prohibits the parties from cloning one another’s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or other market activities of industry participants. We compete in markets worldwide with a number of companies that manufacture insulin delivery devices, such as Medtronic MiniMed, a division of Medtronic, and Insulet Corporation (Insulet). In addition, Eli Lilly &amp; Co. (Eli Lilly) announced a collaboration to commercialize a version of Ypsomed AG’s existing insulin pump as part of a to-be-developed system and Becton Dickinson and Company announced its intention to spin off its diabetes care business as a separate publicly-traded company. There are also a number of other companies developing and marketing their own insulin delivery systems and/or related software applications for launch in the U.S. market, including insulin pumps and Bluetooth-enabled insulin pens to support MDI therapy. Additionally, several other companies currently market insulin pump products in markets outside the U.S. 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additional information, see the section of this Annual Report under the caption “Risk Factors” in Part I, Item 1A.</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Our products are medical devices subject to extensive regulation by the FDA in the United States, corresponding state regulatory authorities and other regulatory bodies in other countries. The U.S. Federal Food, Drug, and Cosmetic Act, (FDCA) and the FDA’s implementing regulations govern:</w:t>
      </w:r>
    </w:p>
    <w:p>
      <w:pPr>
        <w:spacing w:after="0" w:line="97"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and clinical testing;</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manufacturing;</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and field safety corrective actions; and</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00" w:lineRule="exact"/>
        <w:rPr>
          <w:sz w:val="20"/>
          <w:szCs w:val="20"/>
          <w:color w:val="auto"/>
        </w:rPr>
      </w:pPr>
    </w:p>
    <w:p>
      <w:pPr>
        <w:spacing w:after="0" w:line="228"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b w:val="1"/>
          <w:bCs w:val="1"/>
          <w:i w:val="1"/>
          <w:iCs w:val="1"/>
          <w:color w:val="auto"/>
        </w:rPr>
        <w:t xml:space="preserve">FDA’s Pre-Market Clearance and Approval Requirements. </w:t>
      </w:r>
      <w:r>
        <w:rPr>
          <w:rFonts w:ascii="Arial" w:cs="Arial" w:eastAsia="Arial" w:hAnsi="Arial"/>
          <w:sz w:val="18"/>
          <w:szCs w:val="18"/>
          <w:color w:val="auto"/>
        </w:rPr>
        <w:t>Unless an exemption applies, each new or significantly modified medical device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seek to commercially distribute in the United States will require either a pre-market notification under Section 510(k) of the FDCA, also referred to as a 510(k) clearance, or approval from the FDA through the premarket approval (PMA), process. Both the 510(k) clearance and PMA processes can be expensive, lengthy and require payment of significant user fees, unless an exemption is available.</w:t>
      </w:r>
    </w:p>
    <w:p>
      <w:pPr>
        <w:spacing w:after="0" w:line="146"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The FDA classifies medical devices into one of three classes. Devices requiring fewer controls because they are deemed to pose lower risk are placed in Class I or II. Class I devices are subject to general controls such as labeling, pre-market notification and adherence to the FDA’s Quality System Regulation (QSR), which cover manufacturers’ methods and documentation of the design, testing, production, control quality assurance, labeling, packaging, sterilization, storage and shipping of products. Class II devices are subject to special controls such as performance standards, post-market surveillance, FDA guidelines, or particularized labeling, as well as general controls. Some Class I and Class II devices are exempted by regulation from the 510(k) clearance requirement, and the requirement of compliance with substantially all of the QSR. t:slim, t:flex, t:slim X2, t:slim X2 with Control-IQ technology and t:connect received FDA clearance as Class II devices. However, t:connect was subsequently down-classified to a Class I device. A PMA application is required for devices deemed by the FDA to pose the greatest risk, such as life-sustaining, life-supporting or certain implantable devices, or those that are “not substantially equivalent” either to a device previously cleared through the 510(k) process or to a “preamendment” Class III device in commercial distribution before May 28, 1976 when PMA applications were not required. t:slim G4, t:slim X2 with G5 integration and t:slim X2 with Basal-IQ technology received FDA approval as Class III devices.</w:t>
      </w:r>
    </w:p>
    <w:p>
      <w:pPr>
        <w:spacing w:after="0" w:line="15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There are three new Class II categories classified by the FDA for the interoperability of devices as a complete AID system that are intended to help support continued rapid innovation by streamlining the regulatory pathway for integrated products approved by the FDA. In June 2018, our t:slim X2 was the first insulin pump designated by the FDA as compatible with integrated continuous glucose monitoring (iCGM) devices. In February 2019, we received FDA approval of our de novo application to classify the t:slim X2 to a Class II device, under the new insulin pump classification referred to as Alternate Controller Enabled Infusion Pumps (ACE pumps). In December 2019, we received FDA approval of our de novo application to classify our Control-IQ technology as the first automated insulin dosing software in a new interoperable automated glycemic controller (iAGC) category that automatically adjusts insulin delivery to a person with diabetes by connecting to an ACE pump and iCGM. In connection with the de novo applications for both the ACE pump and the iAGC category, the FDA established certain special controls that we will need to continue to satisfy. In March 2020, our Basal-IQ technology was also cleared as an iAGC. If we are not able to satisfy those special controls, we would be required to seek approval for those products under the traditional PMA submission process.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14" w:name="page15"/>
    <w:bookmarkEnd w:id="14"/>
    <w:p>
      <w:pPr>
        <w:ind w:right="140" w:firstLine="810"/>
        <w:spacing w:after="0" w:line="290" w:lineRule="auto"/>
        <w:rPr>
          <w:sz w:val="20"/>
          <w:szCs w:val="20"/>
          <w:color w:val="auto"/>
        </w:rPr>
      </w:pPr>
      <w:r>
        <w:rPr>
          <w:rFonts w:ascii="Arial" w:cs="Arial" w:eastAsia="Arial" w:hAnsi="Arial"/>
          <w:sz w:val="16"/>
          <w:szCs w:val="16"/>
          <w:color w:val="auto"/>
        </w:rPr>
        <w:t>For Class III devices a PMA application must be supported by valid scientific evidence that typically includes extensive technical, pre-clinical, clinical, manufacturing and labeling data to demonstrate to the FDA’s satisfaction the safety and efficacy of the device.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the FDA begins an in-depth review of the submitted information.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38"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FDA review of a PMA application generally takes approximately one year but may take significantly longer. The FDA can delay, limit or deny approval of a PMA application for many reasons, including:</w:t>
      </w:r>
    </w:p>
    <w:p>
      <w:pPr>
        <w:spacing w:after="0" w:line="130"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systems may not be deemed safe or effective to the FDA’s satisfaction;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from pre-clinical studies and clinical trials may be deemed insufficient to support approval;</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185"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151" w:lineRule="exact"/>
        <w:rPr>
          <w:sz w:val="20"/>
          <w:szCs w:val="20"/>
          <w:color w:val="auto"/>
        </w:rPr>
      </w:pPr>
    </w:p>
    <w:p>
      <w:pPr>
        <w:ind w:right="140" w:firstLine="810"/>
        <w:spacing w:after="0" w:line="301" w:lineRule="auto"/>
        <w:rPr>
          <w:sz w:val="20"/>
          <w:szCs w:val="20"/>
          <w:color w:val="auto"/>
        </w:rPr>
      </w:pPr>
      <w:r>
        <w:rPr>
          <w:rFonts w:ascii="Arial" w:cs="Arial" w:eastAsia="Arial" w:hAnsi="Arial"/>
          <w:sz w:val="16"/>
          <w:szCs w:val="16"/>
          <w:color w:val="auto"/>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117"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Clinical trials are typically required to support a PMA application and are sometimes required for a 510(k) clearance. We anticipate that most of our future AID offerings will require supporting clinical data, either from clinical trials or potentially from evidence that we are able to collect through real-world use of our products. These trials generally require submission of an application for an Investigational Device Exemption (IDE), to the FDA.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The commencement or completion of any clinical trial may be delayed or halted, or be inadequate to support approval of a PMA application or a 510(k) notification, for numerous reasons, including, but not limited to, the following:</w:t>
      </w:r>
    </w:p>
    <w:p>
      <w:pPr>
        <w:spacing w:after="0" w:line="127"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5" w:name="page16"/>
    <w:bookmarkEnd w:id="15"/>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experience adverse side effects;</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part of our trial;</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184" w:lineRule="exact"/>
        <w:rPr>
          <w:rFonts w:ascii="Arial" w:cs="Arial" w:eastAsia="Arial" w:hAnsi="Arial"/>
          <w:sz w:val="18"/>
          <w:szCs w:val="18"/>
          <w:color w:val="auto"/>
        </w:rPr>
      </w:pPr>
    </w:p>
    <w:p>
      <w:pPr>
        <w:ind w:left="1140" w:right="220" w:hanging="484"/>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good clinical practices or other FDA requirements;</w:t>
      </w:r>
    </w:p>
    <w:p>
      <w:pPr>
        <w:spacing w:after="0" w:line="143" w:lineRule="exact"/>
        <w:rPr>
          <w:rFonts w:ascii="Arial" w:cs="Arial" w:eastAsia="Arial" w:hAnsi="Arial"/>
          <w:sz w:val="18"/>
          <w:szCs w:val="18"/>
          <w:color w:val="auto"/>
        </w:rPr>
      </w:pPr>
    </w:p>
    <w:p>
      <w:pPr>
        <w:ind w:left="1140" w:right="500" w:hanging="484"/>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in a manner consistent with the clinical trial protocol or investigational or statistical plans;</w:t>
      </w:r>
    </w:p>
    <w:p>
      <w:pPr>
        <w:spacing w:after="0" w:line="129" w:lineRule="exact"/>
        <w:rPr>
          <w:rFonts w:ascii="Arial" w:cs="Arial" w:eastAsia="Arial" w:hAnsi="Arial"/>
          <w:sz w:val="18"/>
          <w:szCs w:val="18"/>
          <w:color w:val="auto"/>
        </w:rPr>
      </w:pPr>
    </w:p>
    <w:p>
      <w:pPr>
        <w:ind w:left="1140" w:right="740" w:hanging="484"/>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that the FDA deems the study results unreliable, or the company or investigators fail to disclose such interests;</w:t>
      </w:r>
    </w:p>
    <w:p>
      <w:pPr>
        <w:spacing w:after="0" w:line="129" w:lineRule="exact"/>
        <w:rPr>
          <w:rFonts w:ascii="Arial" w:cs="Arial" w:eastAsia="Arial" w:hAnsi="Arial"/>
          <w:sz w:val="18"/>
          <w:szCs w:val="18"/>
          <w:color w:val="auto"/>
        </w:rPr>
      </w:pPr>
    </w:p>
    <w:p>
      <w:pPr>
        <w:ind w:left="1140" w:right="240" w:hanging="484"/>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43"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efficacy; and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concludes that our trial design is inadequate to demonstrate safety and efficacy.</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are currently sponsoring or supporting several clinical trials that are intended to support future enhancements to our AID products.</w:t>
      </w:r>
    </w:p>
    <w:p>
      <w:pPr>
        <w:spacing w:after="0" w:line="196" w:lineRule="exact"/>
        <w:rPr>
          <w:sz w:val="20"/>
          <w:szCs w:val="20"/>
          <w:color w:val="auto"/>
        </w:rPr>
      </w:pPr>
    </w:p>
    <w:p>
      <w:pPr>
        <w:ind w:right="620" w:firstLine="810"/>
        <w:spacing w:after="0" w:line="277" w:lineRule="auto"/>
        <w:rPr>
          <w:sz w:val="20"/>
          <w:szCs w:val="20"/>
          <w:color w:val="auto"/>
        </w:rPr>
      </w:pPr>
      <w:r>
        <w:rPr>
          <w:rFonts w:ascii="Arial" w:cs="Arial" w:eastAsia="Arial" w:hAnsi="Arial"/>
          <w:sz w:val="18"/>
          <w:szCs w:val="18"/>
          <w:b w:val="1"/>
          <w:bCs w:val="1"/>
          <w:i w:val="1"/>
          <w:iCs w:val="1"/>
          <w:color w:val="auto"/>
        </w:rPr>
        <w:t xml:space="preserve">Other Regulatory Requirements. </w:t>
      </w:r>
      <w:r>
        <w:rPr>
          <w:rFonts w:ascii="Arial" w:cs="Arial" w:eastAsia="Arial" w:hAnsi="Arial"/>
          <w:sz w:val="18"/>
          <w:szCs w:val="18"/>
          <w:color w:val="auto"/>
        </w:rPr>
        <w:t>Even after a device receives clearance or approval and is placed in commercial distribution, numerous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requirements apply. These include:</w:t>
      </w:r>
    </w:p>
    <w:p>
      <w:pPr>
        <w:spacing w:after="0" w:line="130"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198" w:lineRule="exact"/>
        <w:rPr>
          <w:rFonts w:ascii="Arial" w:cs="Arial" w:eastAsia="Arial" w:hAnsi="Arial"/>
          <w:sz w:val="18"/>
          <w:szCs w:val="18"/>
          <w:color w:val="auto"/>
        </w:rPr>
      </w:pPr>
    </w:p>
    <w:p>
      <w:pPr>
        <w:jc w:val="both"/>
        <w:ind w:left="1140" w:right="800" w:hanging="484"/>
        <w:spacing w:after="0" w:line="263"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143"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labeling regulations that prohibit the promotion of products for uncleared, unapproved or “off-label” uses, and impose other restrictions on labeling, advertising and promotion;</w:t>
      </w:r>
    </w:p>
    <w:p>
      <w:pPr>
        <w:spacing w:after="0" w:line="129" w:lineRule="exact"/>
        <w:rPr>
          <w:rFonts w:ascii="Arial" w:cs="Arial" w:eastAsia="Arial" w:hAnsi="Arial"/>
          <w:sz w:val="18"/>
          <w:szCs w:val="18"/>
          <w:color w:val="auto"/>
        </w:rPr>
      </w:pPr>
    </w:p>
    <w:p>
      <w:pPr>
        <w:ind w:left="1140" w:hanging="484"/>
        <w:spacing w:after="0" w:line="263"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FDA’s Medical Device Reporting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56"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voluntary and mandatory device recalls to address problems when a device is defective and could be a risk to health; and</w:t>
      </w:r>
    </w:p>
    <w:p>
      <w:pPr>
        <w:spacing w:after="0" w:line="184" w:lineRule="exact"/>
        <w:rPr>
          <w:rFonts w:ascii="Arial" w:cs="Arial" w:eastAsia="Arial" w:hAnsi="Arial"/>
          <w:sz w:val="18"/>
          <w:szCs w:val="18"/>
          <w:color w:val="auto"/>
        </w:rPr>
      </w:pPr>
    </w:p>
    <w:p>
      <w:pPr>
        <w:ind w:left="1140" w:hanging="484"/>
        <w:spacing w:after="0" w:line="342" w:lineRule="auto"/>
        <w:tabs>
          <w:tab w:leader="none" w:pos="11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83" w:lineRule="exact"/>
        <w:rPr>
          <w:sz w:val="20"/>
          <w:szCs w:val="20"/>
          <w:color w:val="auto"/>
        </w:rPr>
      </w:pPr>
    </w:p>
    <w:p>
      <w:pPr>
        <w:jc w:val="both"/>
        <w:ind w:right="60" w:firstLine="810"/>
        <w:spacing w:after="0" w:line="286" w:lineRule="auto"/>
        <w:rPr>
          <w:sz w:val="20"/>
          <w:szCs w:val="20"/>
          <w:color w:val="auto"/>
        </w:rPr>
      </w:pPr>
      <w:r>
        <w:rPr>
          <w:rFonts w:ascii="Arial" w:cs="Arial" w:eastAsia="Arial" w:hAnsi="Arial"/>
          <w:sz w:val="17"/>
          <w:szCs w:val="17"/>
          <w:color w:val="auto"/>
        </w:rPr>
        <w:t>Also, the FDA may require us to conduct post-market surveillance studies or establish and maintain a system for tracking our products through the chain of distribution to the patient level. We are currently conducting a post-market surveillance study for our t:slim X2 with Control-IQ technology for users with type 1 diabetes age six and above. We may elect to pursue additional post-market surveillance studies in the future.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6" w:name="page17"/>
    <w:bookmarkEnd w:id="16"/>
    <w:p>
      <w:pPr>
        <w:ind w:right="540" w:firstLine="810"/>
        <w:spacing w:after="0" w:line="342" w:lineRule="auto"/>
        <w:rPr>
          <w:sz w:val="20"/>
          <w:szCs w:val="20"/>
          <w:color w:val="auto"/>
        </w:rPr>
      </w:pPr>
      <w:r>
        <w:rPr>
          <w:rFonts w:ascii="Arial" w:cs="Arial" w:eastAsia="Arial" w:hAnsi="Arial"/>
          <w:sz w:val="16"/>
          <w:szCs w:val="16"/>
          <w:color w:val="auto"/>
        </w:rPr>
        <w:t>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97" w:lineRule="exact"/>
        <w:rPr>
          <w:sz w:val="20"/>
          <w:szCs w:val="20"/>
          <w:color w:val="auto"/>
        </w:rPr>
      </w:pPr>
    </w:p>
    <w:p>
      <w:pPr>
        <w:ind w:right="620" w:firstLine="810"/>
        <w:spacing w:after="0" w:line="277" w:lineRule="auto"/>
        <w:rPr>
          <w:sz w:val="20"/>
          <w:szCs w:val="20"/>
          <w:color w:val="auto"/>
        </w:rPr>
      </w:pPr>
      <w:r>
        <w:rPr>
          <w:rFonts w:ascii="Arial" w:cs="Arial" w:eastAsia="Arial" w:hAnsi="Arial"/>
          <w:sz w:val="18"/>
          <w:szCs w:val="18"/>
          <w:color w:val="auto"/>
        </w:rPr>
        <w:t>In general, failure to comply with applicable regulatory requirements can result in enforcement actions by the FDA and other regulatory agencies. These may include any of the following sanctions or consequences:</w:t>
      </w:r>
    </w:p>
    <w:p>
      <w:pPr>
        <w:spacing w:after="0" w:line="130"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or untitled letters that require corrective action;</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approving or refusal to approve future products;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FDA clearance or approval;</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84"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98" w:lineRule="exact"/>
        <w:rPr>
          <w:sz w:val="20"/>
          <w:szCs w:val="20"/>
          <w:color w:val="auto"/>
        </w:rPr>
      </w:pPr>
    </w:p>
    <w:p>
      <w:pPr>
        <w:ind w:right="40" w:firstLine="810"/>
        <w:spacing w:after="0" w:line="289" w:lineRule="auto"/>
        <w:rPr>
          <w:sz w:val="20"/>
          <w:szCs w:val="20"/>
          <w:color w:val="auto"/>
        </w:rPr>
      </w:pPr>
      <w:r>
        <w:rPr>
          <w:rFonts w:ascii="Arial" w:cs="Arial" w:eastAsia="Arial" w:hAnsi="Arial"/>
          <w:sz w:val="16"/>
          <w:szCs w:val="16"/>
          <w:color w:val="auto"/>
        </w:rPr>
        <w:t>We and our contract manufacturers, specification developers and some suppliers of components or device accessories, are required to manufacture our products in compliance with current Good Manufacturing Practice, (GMP),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our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26"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b w:val="1"/>
          <w:bCs w:val="1"/>
          <w:i w:val="1"/>
          <w:iCs w:val="1"/>
          <w:color w:val="auto"/>
        </w:rPr>
        <w:t xml:space="preserve">Licensure. </w:t>
      </w:r>
      <w:r>
        <w:rPr>
          <w:rFonts w:ascii="Arial" w:cs="Arial" w:eastAsia="Arial" w:hAnsi="Arial"/>
          <w:sz w:val="16"/>
          <w:szCs w:val="16"/>
          <w:color w:val="auto"/>
        </w:rPr>
        <w:t>In the United States, several states require that durable medical equipment (DME) providers be licensed in order to sell products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in that state. Some of these states require that DME providers maintain an in-state location or retain a licensed pharmacist, and in those states, we sell our products through a third-party distributor. Although we believe we are in material compliance with applicable state regulations regarding licensure requirements, if we were found to be noncompliant, we could be subject to fines and penalties or lose our licensure in that state, which could prohibit us from selling our current or future products to patients in that state. In addition, we are subject to certain state laws regarding professional licensure. We believe that our certified diabetes educators are in material compliance with such state laws. However, if our educators or we were to be found non-compliant in a given state, we may need to modify our approach to providing education, clinical support and customer service.</w:t>
      </w:r>
    </w:p>
    <w:p>
      <w:pPr>
        <w:spacing w:after="0" w:line="126"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b w:val="1"/>
          <w:bCs w:val="1"/>
          <w:i w:val="1"/>
          <w:iCs w:val="1"/>
          <w:color w:val="auto"/>
        </w:rPr>
        <w:t xml:space="preserve">Fraud and Abuse Laws. </w:t>
      </w:r>
      <w:r>
        <w:rPr>
          <w:rFonts w:ascii="Arial" w:cs="Arial" w:eastAsia="Arial" w:hAnsi="Arial"/>
          <w:sz w:val="17"/>
          <w:szCs w:val="17"/>
          <w:color w:val="auto"/>
        </w:rPr>
        <w:t>There are numerous U.S. federal and state laws pertaining to healthcare fraud and abuse, including the federal Anti-Kickback Statute and the Physician Self-Referral Law (the Stark Law), the federal civil False Claims Act, the federal criminal Health Care Fraud Statute, as well as various state laws regulating healthcare.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Health Administration programs.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ind w:right="60" w:firstLine="810"/>
        <w:spacing w:after="0" w:line="311" w:lineRule="auto"/>
        <w:rPr>
          <w:sz w:val="20"/>
          <w:szCs w:val="20"/>
          <w:color w:val="auto"/>
        </w:rPr>
      </w:pPr>
      <w:r>
        <w:rPr>
          <w:rFonts w:ascii="Arial" w:cs="Arial" w:eastAsia="Arial" w:hAnsi="Arial"/>
          <w:sz w:val="16"/>
          <w:szCs w:val="16"/>
          <w:b w:val="1"/>
          <w:bCs w:val="1"/>
          <w:i w:val="1"/>
          <w:iCs w:val="1"/>
          <w:color w:val="auto"/>
        </w:rPr>
        <w:t xml:space="preserve">Federal Anti-Kickback Statute. </w:t>
      </w:r>
      <w:r>
        <w:rPr>
          <w:rFonts w:ascii="Arial" w:cs="Arial" w:eastAsia="Arial" w:hAnsi="Arial"/>
          <w:sz w:val="16"/>
          <w:szCs w:val="16"/>
          <w:color w:val="auto"/>
        </w:rPr>
        <w:t>The federal Anti-Kickback Statute prohibits persons from knowingly and willfully soliciting, receiving,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or providing remuneration, directly or indirectly, in cash or in kind, to induce either the referral of an individual, or the furnishing, recommending, or arranging of a good or service, for which payment may be made under a federal healthcare program such as Medicare and Medicaid.</w:t>
      </w:r>
    </w:p>
    <w:p>
      <w:pPr>
        <w:spacing w:after="0" w:line="122" w:lineRule="exact"/>
        <w:rPr>
          <w:sz w:val="20"/>
          <w:szCs w:val="20"/>
          <w:color w:val="auto"/>
        </w:rPr>
      </w:pPr>
    </w:p>
    <w:p>
      <w:pPr>
        <w:ind w:right="140" w:firstLine="810"/>
        <w:spacing w:after="0" w:line="273" w:lineRule="auto"/>
        <w:rPr>
          <w:sz w:val="20"/>
          <w:szCs w:val="20"/>
          <w:color w:val="auto"/>
        </w:rPr>
      </w:pPr>
      <w:r>
        <w:rPr>
          <w:rFonts w:ascii="Arial" w:cs="Arial" w:eastAsia="Arial" w:hAnsi="Arial"/>
          <w:sz w:val="17"/>
          <w:szCs w:val="17"/>
          <w:color w:val="auto"/>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137"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b w:val="1"/>
          <w:bCs w:val="1"/>
          <w:i w:val="1"/>
          <w:iCs w:val="1"/>
          <w:color w:val="auto"/>
        </w:rPr>
        <w:t>Physician Self-Referral Law</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Stark Law prohibits a physician from referring Medicare or Medicaid patients to an entity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health services,” including a company that furnishes durable medical equipment, if the physician has a financial relationship with the company. In addition to statutory exceptions, the Centers for Medicare and Medicaid Services (CMS), has issued numerous regulatory exceptions to the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spacing w:after="0" w:line="124" w:lineRule="exact"/>
        <w:rPr>
          <w:sz w:val="20"/>
          <w:szCs w:val="20"/>
          <w:color w:val="auto"/>
        </w:rPr>
      </w:pPr>
    </w:p>
    <w:p>
      <w:pPr>
        <w:ind w:right="160" w:firstLine="810"/>
        <w:spacing w:after="0" w:line="273" w:lineRule="auto"/>
        <w:rPr>
          <w:sz w:val="20"/>
          <w:szCs w:val="20"/>
          <w:color w:val="auto"/>
        </w:rPr>
      </w:pPr>
      <w:r>
        <w:rPr>
          <w:rFonts w:ascii="Arial" w:cs="Arial" w:eastAsia="Arial" w:hAnsi="Arial"/>
          <w:sz w:val="17"/>
          <w:szCs w:val="17"/>
          <w:b w:val="1"/>
          <w:bCs w:val="1"/>
          <w:i w:val="1"/>
          <w:iCs w:val="1"/>
          <w:color w:val="auto"/>
        </w:rPr>
        <w:t xml:space="preserve">Federal False Claims Act. </w:t>
      </w:r>
      <w:r>
        <w:rPr>
          <w:rFonts w:ascii="Arial" w:cs="Arial" w:eastAsia="Arial" w:hAnsi="Arial"/>
          <w:sz w:val="17"/>
          <w:szCs w:val="17"/>
          <w:color w:val="auto"/>
        </w:rPr>
        <w:t>The federal False Claims Act provides, in part, that the federal government may bring a lawsuit against any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it believes has knowingly presented, or caused to be presented, a false or fraudulent request for payment from the federal government, or who has made a false statement or used a false record to get a claim approved. In addition, amendments in 1986 to the False Claims Act have made it easier for private parties to bring “qui tam” whistleblower lawsuits under the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15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material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spacing w:after="0" w:line="154"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b w:val="1"/>
          <w:bCs w:val="1"/>
          <w:i w:val="1"/>
          <w:iCs w:val="1"/>
          <w:color w:val="auto"/>
        </w:rPr>
        <w:t xml:space="preserve">Federal Health Care Fraud Statutes. </w:t>
      </w:r>
      <w:r>
        <w:rPr>
          <w:rFonts w:ascii="Arial" w:cs="Arial" w:eastAsia="Arial" w:hAnsi="Arial"/>
          <w:sz w:val="18"/>
          <w:szCs w:val="18"/>
          <w:color w:val="auto"/>
        </w:rPr>
        <w:t>We are also subject to a federal health care fraud statute that, among other things, imposes criminal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civil liability for executing a scheme to defraud any health care benefit program including non-governmental programs, and prohibits knowingly and willfully falsifying, concealing or covering up a material fact or making any materially false or fraudulent statement or representation, or making or using any false writing or document with knowledge that it contains a materially false or fraudulent statement in connection with the delivery of or payment for health care benefits, items or services.</w:t>
      </w:r>
    </w:p>
    <w:p>
      <w:pPr>
        <w:spacing w:after="0" w:line="147" w:lineRule="exact"/>
        <w:rPr>
          <w:sz w:val="20"/>
          <w:szCs w:val="20"/>
          <w:color w:val="auto"/>
        </w:rPr>
      </w:pPr>
    </w:p>
    <w:p>
      <w:pPr>
        <w:jc w:val="both"/>
        <w:ind w:right="100" w:firstLine="810"/>
        <w:spacing w:after="0" w:line="263" w:lineRule="auto"/>
        <w:rPr>
          <w:sz w:val="20"/>
          <w:szCs w:val="20"/>
          <w:color w:val="auto"/>
        </w:rPr>
      </w:pPr>
      <w:r>
        <w:rPr>
          <w:rFonts w:ascii="Arial" w:cs="Arial" w:eastAsia="Arial" w:hAnsi="Arial"/>
          <w:sz w:val="18"/>
          <w:szCs w:val="18"/>
          <w:b w:val="1"/>
          <w:bCs w:val="1"/>
          <w:i w:val="1"/>
          <w:iCs w:val="1"/>
          <w:color w:val="auto"/>
        </w:rPr>
        <w:t xml:space="preserve">State Fraud and Abuse Provisions. </w:t>
      </w:r>
      <w:r>
        <w:rPr>
          <w:rFonts w:ascii="Arial" w:cs="Arial" w:eastAsia="Arial" w:hAnsi="Arial"/>
          <w:sz w:val="18"/>
          <w:szCs w:val="18"/>
          <w:color w:val="auto"/>
        </w:rPr>
        <w:t>Many states have also adopted some form of anti-kickback and anti-referral laws and false claims acts.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that we are in material conformance to such laws. Nevertheless, a determination of liability under such laws could result in fines and penalties and restrictions on our ability to operate in these jurisdictions.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8" w:name="page19"/>
    <w:bookmarkEnd w:id="18"/>
    <w:p>
      <w:pPr>
        <w:ind w:right="140" w:firstLine="810"/>
        <w:spacing w:after="0" w:line="289" w:lineRule="auto"/>
        <w:rPr>
          <w:sz w:val="20"/>
          <w:szCs w:val="20"/>
          <w:color w:val="auto"/>
        </w:rPr>
      </w:pPr>
      <w:r>
        <w:rPr>
          <w:rFonts w:ascii="Arial" w:cs="Arial" w:eastAsia="Arial" w:hAnsi="Arial"/>
          <w:sz w:val="16"/>
          <w:szCs w:val="16"/>
          <w:b w:val="1"/>
          <w:bCs w:val="1"/>
          <w:i w:val="1"/>
          <w:iCs w:val="1"/>
          <w:color w:val="auto"/>
        </w:rPr>
        <w:t xml:space="preserve">Data Privacy and Information Security Laws and Regulations. </w:t>
      </w:r>
      <w:r>
        <w:rPr>
          <w:rFonts w:ascii="Arial" w:cs="Arial" w:eastAsia="Arial" w:hAnsi="Arial"/>
          <w:sz w:val="16"/>
          <w:szCs w:val="16"/>
          <w:color w:val="auto"/>
        </w:rPr>
        <w:t>t:connect data is hosted on secure servers and our use of t:connect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internal policies and procedures that are designed to comply with the federal U.S. Health Insurance Portability and Accountability Act of 1996 (HIPAA), as well as applicable U.S state privacy laws (including, but not limited to, the California Consumer Privacy Act). Although t:connect and t:connect HCP are not currently generally available to users or healthcare providers outside the United States, we are also mindful of requirements under Canada’s Personal Information Protection and Electronic Documents Act, referred to as PIPEDA, and similar provincial laws, and the E.U. General Data Protection Regulation, commonly known as GDPR, and similar E.U. member state laws. Collectively, these laws and regulations set standards for safeguarding the confidentiality, integrity, and availability of the personal information we collect and use from customers and healthcare providers. These laws also require, among other things, that we are transparent about how we collect and share personal data and that we give t:connect users the ability to know what data we are collecting about them, to obtain a copy of that data, to correct or amend that data, and to request we restrict use of that data.</w:t>
      </w:r>
    </w:p>
    <w:p>
      <w:pPr>
        <w:spacing w:after="0" w:line="135" w:lineRule="exact"/>
        <w:rPr>
          <w:sz w:val="20"/>
          <w:szCs w:val="20"/>
          <w:color w:val="auto"/>
        </w:rPr>
      </w:pPr>
    </w:p>
    <w:p>
      <w:pPr>
        <w:ind w:right="80" w:firstLine="810"/>
        <w:spacing w:after="0" w:line="294" w:lineRule="auto"/>
        <w:rPr>
          <w:sz w:val="20"/>
          <w:szCs w:val="20"/>
          <w:color w:val="auto"/>
        </w:rPr>
      </w:pPr>
      <w:r>
        <w:rPr>
          <w:rFonts w:ascii="Arial" w:cs="Arial" w:eastAsia="Arial" w:hAnsi="Arial"/>
          <w:sz w:val="16"/>
          <w:szCs w:val="16"/>
          <w:b w:val="1"/>
          <w:bCs w:val="1"/>
          <w:i w:val="1"/>
          <w:iCs w:val="1"/>
          <w:color w:val="auto"/>
        </w:rPr>
        <w:t>Healthcare Fraud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information security and data privacy obligations, HIPAA also created two new federal crimes: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spacing w:after="0" w:line="119" w:lineRule="exact"/>
        <w:rPr>
          <w:sz w:val="20"/>
          <w:szCs w:val="20"/>
          <w:color w:val="auto"/>
        </w:rPr>
      </w:pPr>
    </w:p>
    <w:p>
      <w:pPr>
        <w:ind w:firstLine="810"/>
        <w:spacing w:after="0" w:line="256" w:lineRule="auto"/>
        <w:rPr>
          <w:sz w:val="20"/>
          <w:szCs w:val="20"/>
          <w:color w:val="auto"/>
        </w:rPr>
      </w:pPr>
      <w:r>
        <w:rPr>
          <w:rFonts w:ascii="Arial" w:cs="Arial" w:eastAsia="Arial" w:hAnsi="Arial"/>
          <w:sz w:val="18"/>
          <w:szCs w:val="18"/>
          <w:b w:val="1"/>
          <w:bCs w:val="1"/>
          <w:i w:val="1"/>
          <w:iCs w:val="1"/>
          <w:color w:val="auto"/>
        </w:rPr>
        <w:t>Physician Payments Sunshine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Physician Payments Sunshine Act requires certain manufacturers, including medical device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manufacturers, to submit annual data pertaining to payments or other transfers of value to covered recipients, including physicians.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 to date. However, the reporting requirements were meaningfully expanded beginning in 2021 and we implemented additional processes and controls in order to comply with these new tracking and disclosure obligations.</w:t>
      </w:r>
    </w:p>
    <w:p>
      <w:pPr>
        <w:spacing w:after="0" w:line="151" w:lineRule="exact"/>
        <w:rPr>
          <w:sz w:val="20"/>
          <w:szCs w:val="20"/>
          <w:color w:val="auto"/>
        </w:rPr>
      </w:pPr>
    </w:p>
    <w:p>
      <w:pPr>
        <w:ind w:right="220" w:firstLine="810"/>
        <w:spacing w:after="0" w:line="301" w:lineRule="auto"/>
        <w:rPr>
          <w:sz w:val="20"/>
          <w:szCs w:val="20"/>
          <w:color w:val="auto"/>
        </w:rPr>
      </w:pPr>
      <w:r>
        <w:rPr>
          <w:rFonts w:ascii="Arial" w:cs="Arial" w:eastAsia="Arial" w:hAnsi="Arial"/>
          <w:sz w:val="16"/>
          <w:szCs w:val="16"/>
          <w:b w:val="1"/>
          <w:bCs w:val="1"/>
          <w:i w:val="1"/>
          <w:iCs w:val="1"/>
          <w:color w:val="auto"/>
        </w:rPr>
        <w:t xml:space="preserve">Anti-Bribery and Anti-Corruption Laws. </w:t>
      </w:r>
      <w:r>
        <w:rPr>
          <w:rFonts w:ascii="Arial" w:cs="Arial" w:eastAsia="Arial" w:hAnsi="Arial"/>
          <w:sz w:val="16"/>
          <w:szCs w:val="16"/>
          <w:color w:val="auto"/>
        </w:rPr>
        <w:t>The U.S. Foreign Corrupt Practices Act (FCPA), and similar laws in foreign jurisdictions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 U.S. corporations and their representatives from offering, promising, authorizing or making improper payments, gifts or transfers to any foreign government official in order to obtain or retain business. The scope of the FCPA would include interactions with certain healthcare professionals and hospital administrators in many countries. We believe we are in substantial compliance with the FCPA and similar foreign regulations.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189" w:lineRule="exact"/>
        <w:rPr>
          <w:sz w:val="20"/>
          <w:szCs w:val="20"/>
          <w:color w:val="auto"/>
        </w:rPr>
      </w:pPr>
    </w:p>
    <w:p>
      <w:pPr>
        <w:jc w:val="both"/>
        <w:ind w:right="180" w:firstLine="810"/>
        <w:spacing w:after="0" w:line="311" w:lineRule="auto"/>
        <w:rPr>
          <w:sz w:val="20"/>
          <w:szCs w:val="20"/>
          <w:color w:val="auto"/>
        </w:rPr>
      </w:pPr>
      <w:r>
        <w:rPr>
          <w:rFonts w:ascii="Arial" w:cs="Arial" w:eastAsia="Arial" w:hAnsi="Arial"/>
          <w:sz w:val="16"/>
          <w:szCs w:val="16"/>
          <w:color w:val="auto"/>
        </w:rPr>
        <w:t>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108"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The primary regulatory body in Europe is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 These directives are in the process of being replaced by the Medical Device Regulation. Devices that comply with the requirements of a relevant directive or regulation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9" w:name="page20"/>
    <w:bookmarkEnd w:id="19"/>
    <w:p>
      <w:pPr>
        <w:ind w:firstLine="810"/>
        <w:spacing w:after="0" w:line="255" w:lineRule="auto"/>
        <w:rPr>
          <w:sz w:val="20"/>
          <w:szCs w:val="20"/>
          <w:color w:val="auto"/>
        </w:rPr>
      </w:pPr>
      <w:r>
        <w:rPr>
          <w:rFonts w:ascii="Arial" w:cs="Arial" w:eastAsia="Arial" w:hAnsi="Arial"/>
          <w:sz w:val="18"/>
          <w:szCs w:val="18"/>
          <w:color w:val="auto"/>
        </w:rPr>
        <w:t>With the consummation of the United Kingdom’s (UK) exit from the European Economic Area, commonly referred to as Brexit, the UK is not scheduled to transition to the Medical Device Regulation but will continue to operate under existing directives. Although many classes of devices have grace periods, beginning on January 1, 2021, medical devices placed on the UK market are required to register with the Medicines and Healthcare Products Regulatory Agency. Registrations can only be submitted by UK manufacturers or by a UK Responsible Person who has a place of business in the UK. A UK Responsible Person is a person who acts on behalf of a manufacturer established outside the UK in relation to specified tasks with regard to the manufacturer’s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189"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We have implemented, and continually improved, an Information Security Program that was developed to secure our non-public information, systems, networks, databases, and workstations. This program is built on fundamental data security principles, which create the baseline suite of security controls that we have adopted to govern our current and future data security compliance mandates and practices. All of our employees are required to complete annual information security education training, which includes identifying suspicious emails, preventing virus and ransomware attacks, and avoiding other threats. We regularly review and modify our information security program to reflect changes in technology, laws, regulations, risks, industry practices, and other business needs. On an annual basis, we receive external audits of our information security posture, after which we remediate any findings. We hold cybersecurity insurance to mitigate against losses from a range of potential cyber incidents. Our management briefs our board of directors or a committee thereof on information security on a quarterly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Impact and Sustainability</w:t>
      </w:r>
    </w:p>
    <w:p>
      <w:pPr>
        <w:spacing w:after="0" w:line="202" w:lineRule="exact"/>
        <w:rPr>
          <w:sz w:val="20"/>
          <w:szCs w:val="20"/>
          <w:color w:val="auto"/>
        </w:rPr>
      </w:pPr>
    </w:p>
    <w:p>
      <w:pPr>
        <w:jc w:val="both"/>
        <w:ind w:right="140" w:firstLine="810"/>
        <w:spacing w:after="0" w:line="311" w:lineRule="auto"/>
        <w:rPr>
          <w:sz w:val="20"/>
          <w:szCs w:val="20"/>
          <w:color w:val="auto"/>
        </w:rPr>
      </w:pPr>
      <w:r>
        <w:rPr>
          <w:rFonts w:ascii="Arial" w:cs="Arial" w:eastAsia="Arial" w:hAnsi="Arial"/>
          <w:sz w:val="16"/>
          <w:szCs w:val="16"/>
          <w:color w:val="auto"/>
        </w:rPr>
        <w:t>We have a focused effort on understanding the environmental impact of our business, both the direct impact as an employer and manufacturer, as well as the impact resulting from consumer use of the products we offer. We have metrics and initiatives across the business in support of these efforts, and our company goals for 2022 include driving economic efficiencies and process improvement, with environmental impact in mind.</w:t>
      </w:r>
    </w:p>
    <w:p>
      <w:pPr>
        <w:spacing w:after="0" w:line="108"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As an employer and manufacturer, we are mindful of the impact our facilities and employee transportation have on the environment. In September 2021, we signed a new lease agreement for approximately 180,000 square feet of additional general administrative, laboratory, and research and development office space. This building is certified under the</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U.S. Green Building Council's Leadership in Energy and Environmental Design (LEED), and energy use and environmental impact were key factors in the selection of our new facility. We intend to use this facility, which features a solar generating power system, for our operations that are currently located at four separate buildings, which is anticipated to result in more efficient energy use and reduced consumption of resources. In addition, we have reduced our general administrative space requirements, as in 2021 we adopted a remote-hybrid work policy for a majority of employees following the recent periods in which they worked remotely due to the COVID-19 pandemic. This helps to reduce carbon emissions associated with employees commuting to our facility on a daily basis.</w:t>
      </w:r>
    </w:p>
    <w:p>
      <w:pPr>
        <w:spacing w:after="0" w:line="207" w:lineRule="exact"/>
        <w:rPr>
          <w:sz w:val="20"/>
          <w:szCs w:val="20"/>
          <w:color w:val="auto"/>
        </w:rPr>
      </w:pPr>
    </w:p>
    <w:p>
      <w:pPr>
        <w:ind w:right="20" w:firstLine="810"/>
        <w:spacing w:after="0" w:line="255" w:lineRule="auto"/>
        <w:rPr>
          <w:sz w:val="20"/>
          <w:szCs w:val="20"/>
          <w:color w:val="auto"/>
        </w:rPr>
      </w:pPr>
      <w:r>
        <w:rPr>
          <w:rFonts w:ascii="Arial" w:cs="Arial" w:eastAsia="Arial" w:hAnsi="Arial"/>
          <w:sz w:val="16"/>
          <w:szCs w:val="16"/>
          <w:color w:val="auto"/>
        </w:rPr>
        <w:t>We have metrics in place to monitor our environmental impact on a monthly basis, including electricity consumption, electricity cost, and weight of waste (non-hazardous, hazardous, biohazard, universal and recycling). In addition, we have initiatives in place in support of monitoring and reducing our environmental impact. For example, our standby diesel generators are monitored and regulated by California’s Air Pollution Control District and their runtime is limited and closely monitored. In addition, we have dedicated efforts toward the reduction of energy use in our lighting. We have actively pursued rebates from San Diego Gas &amp; Electric to fund energy improvement projects, and our facilities use LED lighting, motion sensors, or both, to reduce energy consumption. We are also working to reduce energy consumption for air conditioning and heating through occupancy scheduling. Our manufacturing processes are not water intensive, and we use hands-free automatic sink faucets and automatic toilet flush valves in all buildings. We are also working to reduce landfill waste by baling and recycling our cardboard, and we have a commingled recycling program in place.</w:t>
      </w:r>
    </w:p>
    <w:p>
      <w:pPr>
        <w:spacing w:after="0" w:line="137" w:lineRule="exact"/>
        <w:rPr>
          <w:sz w:val="20"/>
          <w:szCs w:val="20"/>
          <w:color w:val="auto"/>
        </w:rPr>
      </w:pPr>
    </w:p>
    <w:p>
      <w:pPr>
        <w:ind w:right="120" w:firstLine="810"/>
        <w:spacing w:after="0" w:line="277" w:lineRule="auto"/>
        <w:rPr>
          <w:sz w:val="20"/>
          <w:szCs w:val="20"/>
          <w:color w:val="auto"/>
        </w:rPr>
      </w:pPr>
      <w:r>
        <w:rPr>
          <w:rFonts w:ascii="Arial" w:cs="Arial" w:eastAsia="Arial" w:hAnsi="Arial"/>
          <w:sz w:val="18"/>
          <w:szCs w:val="18"/>
          <w:color w:val="auto"/>
        </w:rPr>
        <w:t>The environmental impact of consumer use of our product offerings is also a focus for our company. This starts with innovation in our product design. The t:slim X2 has two key environmental design features that are a competitive advantage:</w:t>
      </w:r>
    </w:p>
    <w:p>
      <w:pPr>
        <w:spacing w:after="0" w:line="143" w:lineRule="exact"/>
        <w:rPr>
          <w:sz w:val="20"/>
          <w:szCs w:val="20"/>
          <w:color w:val="auto"/>
        </w:rPr>
      </w:pPr>
    </w:p>
    <w:p>
      <w:pPr>
        <w:jc w:val="both"/>
        <w:ind w:left="1300" w:right="200" w:hanging="320"/>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t:slim X2 insulin pump utilizes a rechargeable battery via its micro-USB port, eliminating the need to use alkaline batteries, which are commonly used in our competitors’ insulin pumps. We estimate that our customers have kept approximately 13 million disposable batteries out of landfills since our pumps became available in 2012, and that over the life of their pumps, together these users will save over 26.4 million batteries.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20" w:name="page21"/>
    <w:bookmarkEnd w:id="20"/>
    <w:p>
      <w:pPr>
        <w:ind w:left="1300" w:hanging="320"/>
        <w:spacing w:after="0" w:line="263"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August 2017, more than 130,000 of our pumps have been remotely updated through our Tandem Device Updater, which means that fewer screens, batteries, and circuit boards needed to be replaced. The t:slim X2 is unique in that it is the only pump on which remote software updates have been made commercially available in the United States.</w:t>
      </w:r>
    </w:p>
    <w:p>
      <w:pPr>
        <w:spacing w:after="0" w:line="197" w:lineRule="exact"/>
        <w:rPr>
          <w:sz w:val="20"/>
          <w:szCs w:val="20"/>
          <w:color w:val="auto"/>
        </w:rPr>
      </w:pPr>
    </w:p>
    <w:p>
      <w:pPr>
        <w:ind w:right="100" w:firstLine="648"/>
        <w:spacing w:after="0" w:line="225" w:lineRule="auto"/>
        <w:rPr>
          <w:sz w:val="20"/>
          <w:szCs w:val="20"/>
          <w:color w:val="auto"/>
        </w:rPr>
      </w:pPr>
      <w:r>
        <w:rPr>
          <w:rFonts w:ascii="Arial" w:cs="Arial" w:eastAsia="Arial" w:hAnsi="Arial"/>
          <w:sz w:val="18"/>
          <w:szCs w:val="18"/>
          <w:color w:val="auto"/>
        </w:rPr>
        <w:t>In addition, we utilize a refurbishment program that allows for the use of key components thereby reducing electronic waste. We are also mindful of the environmental impact of our supply chain efforts. For example, we utilize sea freight for a majority of our international shipments, which has lower emissions than road or air. We also use electronic forklifts and repeat pallet use in our warehouse operations. Our third party logistics provider, Omni, signed the Climate Pledge in Q3 2021 committing to net zero carbon by 2040. In addition, our supplier agreements warrant that all products sold to us are manufactured in full compliance with all applicable national, provincial, state and local environmental, health and safety statutes, acts, ordinances, rules, codes, standards, laws and regulations and elimination of human trafficking, child labor, or modern slavery. We also receive annual conflict mineral disclosure from our suppliers.</w:t>
      </w:r>
    </w:p>
    <w:p>
      <w:pPr>
        <w:spacing w:after="0" w:line="16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continue to use innovative techniques to reduce environmental impact and deliver products that can change people’s lives. For example, our product pipeline includes Mobi Tubeless, which is being developed to provide a tubeless infusion site option for our Mobi pump that allows the pump portion to be reused rather than disposed of every three days. Our research and development efforts also include infusion set innovations that focus on extending the length of infusion set wear, thereby reducing the number of sets used per customer, and reducing waste.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Outreach and Impact</w:t>
      </w:r>
    </w:p>
    <w:p>
      <w:pPr>
        <w:spacing w:after="0" w:line="189"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strive to be a good corporate citizen in the communities in which our employees live and work. For many people with diabetes, peer support plays a key role in successful diabetes management. To help fulfill this need, we provide support to a broad spectrum of people and organizations providing peer support and education through diabetes programs such as JDRF, Beyond type 1, Connected in Motion, Riding on Insulin, College Diabetes Network, Diabetes Exercise and Camping Association, and Touched by Type 1, among others, as well as regional diabetes events such as Children with Diabetes, Taking Control of Your Diabetes, American Diabetes Association, and camps where our employees participate and volunteer.</w:t>
      </w:r>
    </w:p>
    <w:p>
      <w:pPr>
        <w:spacing w:after="0" w:line="134" w:lineRule="exact"/>
        <w:rPr>
          <w:sz w:val="20"/>
          <w:szCs w:val="20"/>
          <w:color w:val="auto"/>
        </w:rPr>
      </w:pPr>
    </w:p>
    <w:p>
      <w:pPr>
        <w:ind w:right="640" w:firstLine="810"/>
        <w:spacing w:after="0" w:line="277" w:lineRule="auto"/>
        <w:rPr>
          <w:sz w:val="20"/>
          <w:szCs w:val="20"/>
          <w:color w:val="auto"/>
        </w:rPr>
      </w:pPr>
      <w:r>
        <w:rPr>
          <w:rFonts w:ascii="Arial" w:cs="Arial" w:eastAsia="Arial" w:hAnsi="Arial"/>
          <w:sz w:val="18"/>
          <w:szCs w:val="18"/>
          <w:color w:val="auto"/>
        </w:rPr>
        <w:t>Our employee community outreach efforts include donations and volunteer work, serving on boards and advisory committees and other corporate and individual actions. Examples of our corporate giving efforts include:</w:t>
      </w:r>
    </w:p>
    <w:p>
      <w:pPr>
        <w:spacing w:after="0" w:line="130" w:lineRule="exact"/>
        <w:rPr>
          <w:sz w:val="20"/>
          <w:szCs w:val="20"/>
          <w:color w:val="auto"/>
        </w:rPr>
      </w:pPr>
    </w:p>
    <w:p>
      <w:pPr>
        <w:ind w:left="1460" w:right="340" w:hanging="318"/>
        <w:spacing w:after="0" w:line="277" w:lineRule="auto"/>
        <w:tabs>
          <w:tab w:leader="none" w:pos="1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Bright Funds Employee Giving &amp; Volunteering platform launch, which provides employees choice to where they direct giving and volunteering time for causes of significance to them.</w:t>
      </w:r>
    </w:p>
    <w:p>
      <w:pPr>
        <w:spacing w:after="0" w:line="129" w:lineRule="exact"/>
        <w:rPr>
          <w:rFonts w:ascii="Arial" w:cs="Arial" w:eastAsia="Arial" w:hAnsi="Arial"/>
          <w:sz w:val="18"/>
          <w:szCs w:val="18"/>
          <w:color w:val="auto"/>
        </w:rPr>
      </w:pPr>
    </w:p>
    <w:p>
      <w:pPr>
        <w:ind w:left="1460" w:hanging="31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JDRF annual employee fundraising campaign in support of diabetes research.</w:t>
      </w:r>
    </w:p>
    <w:p>
      <w:pPr>
        <w:spacing w:after="0" w:line="198" w:lineRule="exact"/>
        <w:rPr>
          <w:rFonts w:ascii="Arial" w:cs="Arial" w:eastAsia="Arial" w:hAnsi="Arial"/>
          <w:sz w:val="18"/>
          <w:szCs w:val="18"/>
          <w:color w:val="auto"/>
        </w:rPr>
      </w:pPr>
    </w:p>
    <w:p>
      <w:pPr>
        <w:ind w:left="1460" w:right="540" w:hanging="318"/>
        <w:spacing w:after="0" w:line="277" w:lineRule="auto"/>
        <w:tabs>
          <w:tab w:leader="none" w:pos="1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Athena sponsorships in support of women in STEM leadership in San Diego, including the Lifting While Climbing Summit and “Clinical Trial Diversity: Closing the Gap to Achieve Health Equity” event.</w:t>
      </w:r>
    </w:p>
    <w:p>
      <w:pPr>
        <w:spacing w:after="0" w:line="129" w:lineRule="exact"/>
        <w:rPr>
          <w:rFonts w:ascii="Arial" w:cs="Arial" w:eastAsia="Arial" w:hAnsi="Arial"/>
          <w:sz w:val="18"/>
          <w:szCs w:val="18"/>
          <w:color w:val="auto"/>
        </w:rPr>
      </w:pPr>
    </w:p>
    <w:p>
      <w:pPr>
        <w:ind w:left="1460" w:right="120" w:hanging="318"/>
        <w:spacing w:after="0" w:line="277" w:lineRule="auto"/>
        <w:tabs>
          <w:tab w:leader="none" w:pos="1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Virtual Spanish Summit hosted by our community partners, JDRF and Beyond Type One designed to reach the Spanish-speaking type 1 diabetes population in the United States.</w:t>
      </w:r>
    </w:p>
    <w:p>
      <w:pPr>
        <w:spacing w:after="0" w:line="129" w:lineRule="exact"/>
        <w:rPr>
          <w:rFonts w:ascii="Arial" w:cs="Arial" w:eastAsia="Arial" w:hAnsi="Arial"/>
          <w:sz w:val="18"/>
          <w:szCs w:val="18"/>
          <w:color w:val="auto"/>
        </w:rPr>
      </w:pPr>
    </w:p>
    <w:p>
      <w:pPr>
        <w:ind w:left="1460" w:hanging="318"/>
        <w:spacing w:after="0"/>
        <w:tabs>
          <w:tab w:leader="none" w:pos="1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Diabetes Camp Partnerships with Camp Conrad Chinnock and Camp Kudzu that specifically support underserved communities.</w:t>
      </w:r>
    </w:p>
    <w:p>
      <w:pPr>
        <w:spacing w:after="0" w:line="209" w:lineRule="exact"/>
        <w:rPr>
          <w:rFonts w:ascii="Arial" w:cs="Arial" w:eastAsia="Arial" w:hAnsi="Arial"/>
          <w:sz w:val="17"/>
          <w:szCs w:val="17"/>
          <w:color w:val="auto"/>
        </w:rPr>
      </w:pPr>
    </w:p>
    <w:p>
      <w:pPr>
        <w:ind w:left="1460" w:right="320" w:hanging="318"/>
        <w:spacing w:after="0" w:line="277" w:lineRule="auto"/>
        <w:tabs>
          <w:tab w:leader="none" w:pos="1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Spare a Rose campaign in support of Life For a Child which provides under-resourced countries with insulin, supplies and diabetes education.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9"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are committed to creating and maintaining a safe, diverse, and inclusive community for all employees while we serve our customers and fulfill our mission to improve the lives of people with diabetes. As of December 31, 2021, we had approximately 2,000 regular full-time employees, all of whom work in the United States or Canada. The term “employees” in this Annual Report means our regular full-time employees. Our headquarters are in San Diego, CA, where our primary research and development and administrative headquarters are located, and where we also operate a manufacturing facility and a warehousing facility. In addition, we maintain an office in Boise, Idaho, where employees focus primarily on customer care and training and quality related activities, and an office in Markham, Ontario, Canada. None of our employees are represented by a collective bargaining agreement, and we have never experienced any work stoppage. We believe we have good relations with our employees.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1" w:name="page22"/>
    <w:bookmarkEnd w:id="21"/>
    <w:p>
      <w:pPr>
        <w:ind w:left="820"/>
        <w:spacing w:after="0"/>
        <w:rPr>
          <w:sz w:val="20"/>
          <w:szCs w:val="20"/>
          <w:color w:val="auto"/>
        </w:rPr>
      </w:pPr>
      <w:r>
        <w:rPr>
          <w:rFonts w:ascii="Arial" w:cs="Arial" w:eastAsia="Arial" w:hAnsi="Arial"/>
          <w:sz w:val="18"/>
          <w:szCs w:val="18"/>
          <w:b w:val="1"/>
          <w:bCs w:val="1"/>
          <w:i w:val="1"/>
          <w:iCs w:val="1"/>
          <w:color w:val="auto"/>
        </w:rPr>
        <w:t>Culture</w:t>
      </w:r>
    </w:p>
    <w:p>
      <w:pPr>
        <w:spacing w:after="0" w:line="19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 xml:space="preserve">Fostering and maintaining a strong, healthy culture is a key strategic focus. Our core values statement was created by our employees in a bottom-up, cross-functional process that we revisit and refresh on a periodic basis. Our </w:t>
      </w:r>
      <w:r>
        <w:rPr>
          <w:rFonts w:ascii="Arial" w:cs="Arial" w:eastAsia="Arial" w:hAnsi="Arial"/>
          <w:sz w:val="16"/>
          <w:szCs w:val="16"/>
          <w:i w:val="1"/>
          <w:iCs w:val="1"/>
          <w:color w:val="auto"/>
        </w:rPr>
        <w:t>Words We Live By</w:t>
      </w:r>
      <w:r>
        <w:rPr>
          <w:rFonts w:ascii="Arial" w:cs="Arial" w:eastAsia="Arial" w:hAnsi="Arial"/>
          <w:sz w:val="16"/>
          <w:szCs w:val="16"/>
          <w:color w:val="auto"/>
        </w:rPr>
        <w:t xml:space="preserve"> describe our core values and reflect who we are and the way our employees interact with one another, our customers, partners and stockholders. </w:t>
      </w:r>
      <w:r>
        <w:rPr>
          <w:rFonts w:ascii="Arial" w:cs="Arial" w:eastAsia="Arial" w:hAnsi="Arial"/>
          <w:sz w:val="16"/>
          <w:szCs w:val="16"/>
          <w:i w:val="1"/>
          <w:iCs w:val="1"/>
          <w:color w:val="auto"/>
        </w:rPr>
        <w:t>Innovate Every Day</w:t>
      </w:r>
      <w:r>
        <w:rPr>
          <w:rFonts w:ascii="Arial" w:cs="Arial" w:eastAsia="Arial" w:hAnsi="Arial"/>
          <w:sz w:val="16"/>
          <w:szCs w:val="16"/>
          <w:color w:val="auto"/>
        </w:rPr>
        <w:t xml:space="preserve"> is our commitment to run our business with the future in mind to deliver products that improve people’s lives, ensure continuous product improvements and exemplary customer support. </w:t>
      </w:r>
      <w:r>
        <w:rPr>
          <w:rFonts w:ascii="Arial" w:cs="Arial" w:eastAsia="Arial" w:hAnsi="Arial"/>
          <w:sz w:val="16"/>
          <w:szCs w:val="16"/>
          <w:i w:val="1"/>
          <w:iCs w:val="1"/>
          <w:color w:val="auto"/>
        </w:rPr>
        <w:t>No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Shortcuts </w:t>
      </w:r>
      <w:r>
        <w:rPr>
          <w:rFonts w:ascii="Arial" w:cs="Arial" w:eastAsia="Arial" w:hAnsi="Arial"/>
          <w:sz w:val="16"/>
          <w:szCs w:val="16"/>
          <w:color w:val="auto"/>
        </w:rPr>
        <w:t>is holding ourselves to the highest ethical standards and delivering exceptional quality.</w:t>
      </w:r>
      <w:r>
        <w:rPr>
          <w:rFonts w:ascii="Arial" w:cs="Arial" w:eastAsia="Arial" w:hAnsi="Arial"/>
          <w:sz w:val="16"/>
          <w:szCs w:val="16"/>
          <w:i w:val="1"/>
          <w:iCs w:val="1"/>
          <w:color w:val="auto"/>
        </w:rPr>
        <w:t xml:space="preserve"> Team Up </w:t>
      </w:r>
      <w:r>
        <w:rPr>
          <w:rFonts w:ascii="Arial" w:cs="Arial" w:eastAsia="Arial" w:hAnsi="Arial"/>
          <w:sz w:val="16"/>
          <w:szCs w:val="16"/>
          <w:color w:val="auto"/>
        </w:rPr>
        <w:t>highlights the importance of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collaboration that is inclusive of diverse perspectives, both inside and outside of the Company. </w:t>
      </w:r>
      <w:r>
        <w:rPr>
          <w:rFonts w:ascii="Arial" w:cs="Arial" w:eastAsia="Arial" w:hAnsi="Arial"/>
          <w:sz w:val="16"/>
          <w:szCs w:val="16"/>
          <w:i w:val="1"/>
          <w:iCs w:val="1"/>
          <w:color w:val="auto"/>
        </w:rPr>
        <w:t>Stay Awesome</w:t>
      </w:r>
      <w:r>
        <w:rPr>
          <w:rFonts w:ascii="Arial" w:cs="Arial" w:eastAsia="Arial" w:hAnsi="Arial"/>
          <w:sz w:val="16"/>
          <w:szCs w:val="16"/>
          <w:color w:val="auto"/>
        </w:rPr>
        <w:t xml:space="preserve"> reflects a universal respect among employees which allows us the freedom to be ourselves and to be effective at our jobs, knowing at the end of the day that we can trust everyone to do the right thing, for our customers, our investors and each other. </w:t>
      </w:r>
      <w:r>
        <w:rPr>
          <w:rFonts w:ascii="Arial" w:cs="Arial" w:eastAsia="Arial" w:hAnsi="Arial"/>
          <w:sz w:val="16"/>
          <w:szCs w:val="16"/>
          <w:i w:val="1"/>
          <w:iCs w:val="1"/>
          <w:color w:val="auto"/>
        </w:rPr>
        <w:t>People First</w:t>
      </w:r>
      <w:r>
        <w:rPr>
          <w:rFonts w:ascii="Arial" w:cs="Arial" w:eastAsia="Arial" w:hAnsi="Arial"/>
          <w:sz w:val="16"/>
          <w:szCs w:val="16"/>
          <w:color w:val="auto"/>
        </w:rPr>
        <w:t xml:space="preserve"> emphasizes the deep care we have for the people who use our products, their loved ones and health care providers. We are committed to involving end users in the research and development of our products and customer support efforts, to develop products and services that truly bring convenience, innovation, and usability to diabetes management.</w:t>
      </w:r>
    </w:p>
    <w:p>
      <w:pPr>
        <w:spacing w:after="0" w:line="128"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In 2021, we conducted our first employee engagement survey through Gallup, a leading global consulting firm on employee engagement. More than 90% of our employees participated, and the results demonstrated that our overall engagement levels exceed Gallup’s averages worldwide, in the United States, and in life sciences. The results also reflected that we are a mission-driven company with employees’ response on our strength of purpose far exceeding Gallup’s measurement for world class. We have detailed ethics and compliance policies that instill a commitment to ethical behavior and legal compliance across our company. Employees are encouraged to approach their managers if they believe violations of standards or policies have occurred. Employees are also able to make confidential and anonymous reports using an online or telephone hotline hosted by a third party provider.</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9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Our diversity, equity and inclusion (DE&amp;I) goals focus on cultivating and encouraging an inclusive and equitable culture where diversity of thought is represented and can thrive throughout our organization. We believe that a culture of inclusion and diversity enables us to create, develop and fully leverage the strengths of our workforce to exceed customer expectations and meet our growth objectives. More than half of our employees are female, including one-third of our employees at the Vice President level or higher, and approximately half of our employees are from an underrepresented ethnic community. We believe that bringing together different perspectives and experiences is fundamental to innovation and continuing to raise the bar in the field of diabetes technology.</w:t>
      </w:r>
    </w:p>
    <w:p>
      <w:pPr>
        <w:spacing w:after="0" w:line="152" w:lineRule="exact"/>
        <w:rPr>
          <w:sz w:val="20"/>
          <w:szCs w:val="20"/>
          <w:color w:val="auto"/>
        </w:rPr>
      </w:pPr>
    </w:p>
    <w:p>
      <w:pPr>
        <w:ind w:right="120" w:firstLine="810"/>
        <w:spacing w:after="0" w:line="255" w:lineRule="auto"/>
        <w:rPr>
          <w:sz w:val="20"/>
          <w:szCs w:val="20"/>
          <w:color w:val="auto"/>
        </w:rPr>
      </w:pPr>
      <w:r>
        <w:rPr>
          <w:rFonts w:ascii="Arial" w:cs="Arial" w:eastAsia="Arial" w:hAnsi="Arial"/>
          <w:sz w:val="18"/>
          <w:szCs w:val="18"/>
          <w:color w:val="auto"/>
        </w:rPr>
        <w:t>2021 was our first full year of having a DE&amp;I Council. This Council is sponsored by executive management and we provide regular updates to our Board of Directors on its initiatives and progress. It is staffed by employees with diverse backgrounds, experiences or characteristics who share a common interest in professional development, improving corporate culture and delivering sustained business results. Our DE&amp;I efforts are focused on diabetes representation and access, representation in leadership, representation in technology roles and pro-inclusion. In addition, we are focused on cultivating and supporting our internal culture through diversity of thought, support and advocacy within the diabetes community and continuing to build and maintain a diverse and inclusive workforce.</w:t>
      </w:r>
    </w:p>
    <w:p>
      <w:pPr>
        <w:spacing w:after="0" w:line="206" w:lineRule="exact"/>
        <w:rPr>
          <w:sz w:val="20"/>
          <w:szCs w:val="20"/>
          <w:color w:val="auto"/>
        </w:rPr>
      </w:pPr>
    </w:p>
    <w:p>
      <w:pPr>
        <w:ind w:right="180" w:firstLine="810"/>
        <w:spacing w:after="0" w:line="246" w:lineRule="auto"/>
        <w:rPr>
          <w:sz w:val="20"/>
          <w:szCs w:val="20"/>
          <w:color w:val="auto"/>
        </w:rPr>
      </w:pPr>
      <w:r>
        <w:rPr>
          <w:rFonts w:ascii="Arial" w:cs="Arial" w:eastAsia="Arial" w:hAnsi="Arial"/>
          <w:sz w:val="17"/>
          <w:szCs w:val="17"/>
          <w:color w:val="auto"/>
        </w:rPr>
        <w:t>Many of our community outreach and impact efforts are focused on support for diversity-related causes. We have also been expanding our support for diabetes-related clinical investigators, camps, and other organizations that are actively focusing their research on underserved groups. We embrace the importance of diverse cultural perspectives in the customer stories we promote, which is reflected in our website articles, social media posts, and roster of compensated ambassadors, and influences our sponsorship and grant commitments.</w:t>
      </w:r>
    </w:p>
    <w:p>
      <w:pPr>
        <w:spacing w:after="0" w:line="14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Organizational Development</w:t>
      </w:r>
    </w:p>
    <w:p>
      <w:pPr>
        <w:spacing w:after="0" w:line="198"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Attracting, developing and retaining employees is critical to our longer-term success. In mid-2021, we began evolving our organizational structure by creating new senior leadership positions to strengthen our management team as we prepare for continued growth, near-term product expansions and the execution of our longer-term product pipeline strategy. In addition, to support the advancement of our employees, we offer training and development programs encouraging advancement from within and continue to fill our team with strong and experienced management talent. We leverage both formal and informal programs to identify, foster, and retain top talent at both the corporate and operating level.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2" w:name="page23"/>
    <w:bookmarkEnd w:id="22"/>
    <w:p>
      <w:pPr>
        <w:ind w:right="100" w:firstLine="810"/>
        <w:spacing w:after="0" w:line="255" w:lineRule="auto"/>
        <w:rPr>
          <w:sz w:val="20"/>
          <w:szCs w:val="20"/>
          <w:color w:val="auto"/>
        </w:rPr>
      </w:pPr>
      <w:r>
        <w:rPr>
          <w:rFonts w:ascii="Arial" w:cs="Arial" w:eastAsia="Arial" w:hAnsi="Arial"/>
          <w:sz w:val="18"/>
          <w:szCs w:val="18"/>
          <w:color w:val="auto"/>
        </w:rPr>
        <w:t xml:space="preserve">We have established a comprehensive training program to develop employees throughout the organization. </w:t>
      </w:r>
      <w:r>
        <w:rPr>
          <w:rFonts w:ascii="Arial" w:cs="Arial" w:eastAsia="Arial" w:hAnsi="Arial"/>
          <w:sz w:val="18"/>
          <w:szCs w:val="18"/>
          <w:i w:val="1"/>
          <w:iCs w:val="1"/>
          <w:color w:val="auto"/>
        </w:rPr>
        <w:t>Emerging Leaders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Leading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Tandem </w:t>
      </w:r>
      <w:r>
        <w:rPr>
          <w:rFonts w:ascii="Arial" w:cs="Arial" w:eastAsia="Arial" w:hAnsi="Arial"/>
          <w:sz w:val="18"/>
          <w:szCs w:val="18"/>
          <w:color w:val="auto"/>
        </w:rPr>
        <w:t>are examples of internal programs intended for high performing individual contributors, and newly hired and promoted supervisors and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More than 90% of employees participating in these programs remain employed at Tandem and approximately one-third have been promoted or have had a significant change in scope of responsibility. In 2021, more than 150 employees participated in our leadership development programs. In addition, more than 800 employees participated in our first virtual Peak Performance Summit in 2021, with both internal and external experts as part of Employee Development Week.</w:t>
      </w:r>
    </w:p>
    <w:p>
      <w:pPr>
        <w:spacing w:after="0" w:line="165" w:lineRule="exact"/>
        <w:rPr>
          <w:sz w:val="20"/>
          <w:szCs w:val="20"/>
          <w:color w:val="auto"/>
        </w:rPr>
      </w:pPr>
    </w:p>
    <w:p>
      <w:pPr>
        <w:ind w:right="340" w:firstLine="810"/>
        <w:spacing w:after="0" w:line="311" w:lineRule="auto"/>
        <w:rPr>
          <w:sz w:val="20"/>
          <w:szCs w:val="20"/>
          <w:color w:val="auto"/>
        </w:rPr>
      </w:pPr>
      <w:r>
        <w:rPr>
          <w:rFonts w:ascii="Arial" w:cs="Arial" w:eastAsia="Arial" w:hAnsi="Arial"/>
          <w:sz w:val="16"/>
          <w:szCs w:val="16"/>
          <w:color w:val="auto"/>
        </w:rPr>
        <w:t>Our leadership team also mentors rising talent on a more informal basis. This informal mentorship achieves a number of goals, including accelerating the development of top performers, increasing organizational learning, and improving employee performance and retention. The executive team also commits substantial time to evaluating the bench strength of our leadership and working with our leadership to improve their performance.</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Total Rewards</w:t>
      </w:r>
    </w:p>
    <w:p>
      <w:pPr>
        <w:spacing w:after="0" w:line="18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We have demonstrated a history of investing in our workforce by offering competitive salaries and wages. Annual increases and incentive compensation are based on merit, which is communicated to employees at the time of hiring and documented through our talent management process as part of our annual review procedures and upon internal transfer and/or promotion. To foster a stronger sense of ownership and align the interests of partners with stockholders, stock options and/or restricted stock units are provided to a substantial proportion of our employees under our broad-based stock incentive programs. Also, our employees are able to participate in our employee stock purchase program. Furthermore, we offer comprehensive, locally relevant and innovative benefits to all eligible employees, including health insurance, paid time off, paid and unpaid leaves, a retirement plan, health savings accounts, flexible spending accounts, life and disability coverage, voluntary accident, critical illness, legal and identity theft coverage, employee discount program, and an employee loaner pump program. In addition, we engage nationally recognized outside compensation and benefits consulting firms to independently evaluate the effectiveness of our executive compensation and total rewards programs and to provide benchmarking against our peers within the industry.</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200" w:lineRule="exact"/>
        <w:rPr>
          <w:sz w:val="20"/>
          <w:szCs w:val="20"/>
          <w:color w:val="auto"/>
        </w:rPr>
      </w:pPr>
    </w:p>
    <w:p>
      <w:pPr>
        <w:spacing w:after="0" w:line="22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The health and safety of our employees is our highest priority, and this is consistent with our operating philosophy. We have integrated our employee health and safety efforts with our human resources functions to create a corporate culture with a shared commitment to the well-being of our professionals. Our employee assistance and wellness programs offer a range of benefits and services. For example, as a benefit to our employees and their eligible dependents, we provide access to personal and job-related counseling and assistance resources for addressing concerns such as emotional well-being, family and relationships, legal and financial matters, healthy lifestyles, mental health, substance abuse, and work and life transitions. Every work day we provide a virtual wellness session featuring guided meditation, stretching, yoga, or exercise. Our focused wellness education sessions, generally offered several times per month, cover topics such as parenting, mental health, nutrition, stress management, sleep habits, resilience, and working in a remote environment. We host an online wellness lounge and mental health toolkit with a range of recorded learning sessions and articles, and our monthly benefits newsletter updates employees on our various health and wellness benefits programs.</w:t>
      </w:r>
    </w:p>
    <w:p>
      <w:pPr>
        <w:spacing w:after="0" w:line="154" w:lineRule="exact"/>
        <w:rPr>
          <w:sz w:val="20"/>
          <w:szCs w:val="20"/>
          <w:color w:val="auto"/>
        </w:rPr>
      </w:pPr>
    </w:p>
    <w:p>
      <w:pPr>
        <w:ind w:right="360" w:firstLine="810"/>
        <w:spacing w:after="0" w:line="259" w:lineRule="auto"/>
        <w:rPr>
          <w:sz w:val="20"/>
          <w:szCs w:val="20"/>
          <w:color w:val="auto"/>
        </w:rPr>
      </w:pPr>
      <w:r>
        <w:rPr>
          <w:rFonts w:ascii="Arial" w:cs="Arial" w:eastAsia="Arial" w:hAnsi="Arial"/>
          <w:sz w:val="18"/>
          <w:szCs w:val="18"/>
          <w:color w:val="auto"/>
        </w:rPr>
        <w:t>In 2021, we implemented safety management software to better manage safety inspections, assessments, and safety data sheets. We have comprehensive safety training programs that ensure our employees know how to do their jobs safely and in compliance with laws and regulations. We operate in modern, efficient, and safe facilities, and have had minimal accident and injury rates company-wide. Despite this success, however, our goal remains the same: zero accidents.</w:t>
      </w:r>
    </w:p>
    <w:p>
      <w:pPr>
        <w:spacing w:after="0" w:line="146"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In the COVID-19 global pandemic, we have been deemed an essential healthcare business under applicable governmental orders based on the critical nature of the products we offer and the communities we serve. As a result, our manufacturing and warehousing sites continued operating during the COVID-19 pandemic. As such, we have invested in creating physically safe work environments for our employees through the implementation of new protocols, trainings and communications.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COVID-19 Global Pandemic Impact and Considerations</w:t>
      </w:r>
    </w:p>
    <w:p>
      <w:pPr>
        <w:spacing w:after="0" w:line="20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Our business has been impacted in a variety of ways since the onset of the COVID-19 global pandemic in early 2020, and will likely continue to be impacted for the remainder of 2022. Specific factors that have influenced our financial results and the way in which we operate include fluctuations in shelter-in-place restrictions, supply chain constraints, labor shortages, the timing and extent of vaccine availability and surges in infection and hospitalization rates as new COVID variants have emerged. Throughout this time, we have responded to each of these unique challenges, while prioritizing the health and safety of our employees and customers and working diligently to maintain a continuous supply of products, training and customer support.</w:t>
      </w:r>
    </w:p>
    <w:p>
      <w:pPr>
        <w:spacing w:after="0" w:line="121"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Most notably, our sales results reflected a high degree of variability across the quarters during this time, unlike historical seasonal trends. We experienced a modest impact early in 2020, which became more pronounced and continued in varying degrees as the pandemic progressed. Initially, the impact on our business was relatively consistent worldwide but we have since seen variations in individual markets based on local conditions and anticipate ongoing fluctuations may continue.</w:t>
      </w:r>
    </w:p>
    <w:p>
      <w:pPr>
        <w:spacing w:after="0" w:line="146"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Our inventory levels have also fluctuated as we respond to supply chain constraints, due to availability of components from the various suppliers we use to build our products. While we have adequate raw material inventory for a substantial portion of our pump and cartridge components, we are below our targeted stocking levels for others. In early 2020, we initiated regular discussions with our key suppliers regarding their abilities to fulfill existing orders and assess their ongoing capacity. Over the course of the pandemic, we have increased the frequency of those communications. We continue to monitor factors that could negatively impact our supply chain, such as global shortages of semiconductors, copper and paper, as well as custom components for our insulin pumps and cartridges where we rely on a limited number of qualified suppliers. We anticipate experiencing continued challenges managing supply chain constraints, including the potential for limitations on availability of components as well as increased purchase costs.</w:t>
      </w:r>
    </w:p>
    <w:p>
      <w:pPr>
        <w:spacing w:after="0" w:line="139"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Generally, our entire operation has been impacted as we navigate the generalized labor shortages impacting global markets. The labor challenges affect our ability to recruit and hire key talent at the same pace as in years past, but we remain active in our recruiting efforts and competitive in our offerings. In particular, these labor challenges combined with regulatory delays have impacted our product development and launch timelines. The FDA has generally stated that its review process may take longer than normal due to prioritization of COVID-related products and services. We have experienced lengthy delays in the review of pending submissions with the FDA, making regulatory timelines increasingly difficult to predict.</w:t>
      </w:r>
    </w:p>
    <w:p>
      <w:pPr>
        <w:spacing w:after="0" w:line="121"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We have adapted well in our commercial operations and customer-facing functions. Our sales organization balances remote and in-person interactions based on the needs and requirements of the customers with whom they interact. For example, prior to the onset of the pandemic, nearly all trainings for customers purchasing our pump platform were in-person. We quickly pivoted to nearly all trainings being provided on remote platforms. Since that time, we have achieved a balance that includes options for the individual based on their unique needs. We continue to see variability across the markets in which we operate and anticipate these fluctuations between in-person and remote interactions will continue.</w:t>
      </w:r>
    </w:p>
    <w:p>
      <w:pPr>
        <w:spacing w:after="0" w:line="136"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Our facilities have been closed for non-essential purposes throughout most of the pandemic, while our manufacturing operations were deemed essential due to the critical nature of our product and the communities that we serve. To help ensure the safety and health of those employees working in our facilities, we have implemented preventative measures by requiring employees to wear masks and perform temperature checks before each shift. We are currently developing a return-to-work strategy for the rest of the organization that will incorporate a hybrid approach to meet the needs of our employees, as well as optimize usage of our facilities.</w:t>
      </w:r>
    </w:p>
    <w:p>
      <w:pPr>
        <w:spacing w:after="0" w:line="161"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Overall, we anticipate that our sales and operating results will continue to be impacted and subject to unpredictable variability. The full extent of the impact of the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Management</w:t>
      </w:r>
    </w:p>
    <w:p>
      <w:pPr>
        <w:spacing w:after="0" w:line="202"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b w:val="1"/>
          <w:bCs w:val="1"/>
          <w:i w:val="1"/>
          <w:iCs w:val="1"/>
          <w:color w:val="auto"/>
        </w:rPr>
        <w:t xml:space="preserve">John F. Sheridan </w:t>
      </w:r>
      <w:r>
        <w:rPr>
          <w:rFonts w:ascii="Arial" w:cs="Arial" w:eastAsia="Arial" w:hAnsi="Arial"/>
          <w:sz w:val="17"/>
          <w:szCs w:val="17"/>
          <w:color w:val="auto"/>
        </w:rPr>
        <w:t>(age 66) has served as our President and Chief Executive Officer since March 2019 and as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June 2019. Mr. Sheridan previously served as Executive Vice President and Chief Operating Officer since April 2013. Prior to joining our company, Mr. Sheridan served as Chief Operating Officer of Rapiscan Systems, Inc., a provider of security equipment and systems, from March 2012 to February 2013. Mr. Sheridan served as Executive Vice President of Research and Development and Operations for Volcano Corporation, a medical technology company, from November 2004 to March 2010. From May 2002 to May 2004, Mr. Sheridan served as Executive Vice President of Operations at CardioNet, Inc., a medical technology company, now operating as BioTelemetry, Inc. (Nasdaq: BEAT). From March 1998 to May 2002, he served as Vice President of Operations at Digirad Corporation, a medical imaging company. Mr. Sheridan holds a B.S. in Chemistry from the University of West Florida and an M.B.A. from Boston University.</w:t>
      </w:r>
    </w:p>
    <w:p>
      <w:pPr>
        <w:spacing w:after="0" w:line="138"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b w:val="1"/>
          <w:bCs w:val="1"/>
          <w:i w:val="1"/>
          <w:iCs w:val="1"/>
          <w:color w:val="auto"/>
        </w:rPr>
        <w:t xml:space="preserve">David B. Berger </w:t>
      </w:r>
      <w:r>
        <w:rPr>
          <w:rFonts w:ascii="Arial" w:cs="Arial" w:eastAsia="Arial" w:hAnsi="Arial"/>
          <w:sz w:val="18"/>
          <w:szCs w:val="18"/>
          <w:color w:val="auto"/>
        </w:rPr>
        <w:t>(age 52) has served as our Executive Vice President and Chief Operating Officer since February 2022 and is responsible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manufacturing, supply chain, quality, regulatory and clinical functions. He previously served as our Chief Business Operations and Compliance Officer since November 2020, as our Executive Vice President, Chief Legal and Compliance Officer since April 2019, and as General Counsel since August 2013. From January 2008 until August 2013, Mr. Berger was employed at Senomyx, Inc., a taste science company, where he most recently served as Senior Vice President and General Counsel. From April 2003 until October 2007, Mr. Berger was responsible for all commercial aspects of legal affairs at Biosite Incorporated, Biosite, a provider of medical diagnostic products, most recently serving as Vice President, Legal Affairs. Previously, Mr. Berger was an attorney at Cooley Godward LLP and Amylin Pharmaceuticals, Inc. Mr. Berger holds a B.A. in Economics from the University of California, Berkeley and a J.D. from Stanford Law School.</w:t>
      </w:r>
    </w:p>
    <w:p>
      <w:pPr>
        <w:spacing w:after="0" w:line="151"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b w:val="1"/>
          <w:bCs w:val="1"/>
          <w:i w:val="1"/>
          <w:iCs w:val="1"/>
          <w:color w:val="auto"/>
        </w:rPr>
        <w:t xml:space="preserve">Rick A. Carpenter </w:t>
      </w:r>
      <w:r>
        <w:rPr>
          <w:rFonts w:ascii="Arial" w:cs="Arial" w:eastAsia="Arial" w:hAnsi="Arial"/>
          <w:sz w:val="17"/>
          <w:szCs w:val="17"/>
          <w:color w:val="auto"/>
        </w:rPr>
        <w:t>(age 58) has served as our Chief Technical Officer since November 2021. Prior to joining our company, Mr. Carpenter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February 2020 as the Senior Vice President of Engineering at Inseego Corporation, where he led the worldwide engineering team and was responsible for device hardware and software, cloud software, quality assurance, regulatory and product certification and technical account management. From April 2017 to January 2020, he was the General Manager of the IoMT Business and the Senior Director of Engineering at Capsule Technologies, a company that integrates medical devices and wearables into a secure medical grade system that collects data and provides it to healthcare professionals for patient monitoring. Prior to that, from May 2009 until March 2017, Mr. Carpenter served as the Senior Vice President of Engineering at Smith Micro Software. Earlier in his career, he held various engineering development and leadership roles at Nextwave Wireless, Sierra Wireless, General Dynamics, Motorola and Denso. Mr. Carpenter received a BS in Computer Science from The University of Texas Permian Basin, and completed coursework for a MS in Computer Science from The University of Texas at Arlington.</w:t>
      </w:r>
    </w:p>
    <w:p>
      <w:pPr>
        <w:spacing w:after="0" w:line="154"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b w:val="1"/>
          <w:bCs w:val="1"/>
          <w:i w:val="1"/>
          <w:iCs w:val="1"/>
          <w:color w:val="auto"/>
        </w:rPr>
        <w:t xml:space="preserve">Elizabeth A. Gasser </w:t>
      </w:r>
      <w:r>
        <w:rPr>
          <w:rFonts w:ascii="Arial" w:cs="Arial" w:eastAsia="Arial" w:hAnsi="Arial"/>
          <w:sz w:val="18"/>
          <w:szCs w:val="18"/>
          <w:color w:val="auto"/>
        </w:rPr>
        <w:t>(age 46) has served as our Executive Vice President, Strategy and Corporate Development since January 2020.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our company, Ms. Gasser served from June 2017 as an independent adviser providing strategic and corporate development solutions to boards and executive teams. From January 2016 to June 2017 she was Vice President of Corporate Strategy at QUALCOMM Technologies, Inc. (QTI), a subsidiary of QUALCOMM Incorporated (Nasdaq: QCOM), a global leader in the development and commercialization of technologies and products used in mobile devices and other wireless products. Prior to that, from November 2012 to January 2016 she was Vice President of Strategic Development at QTI, after serving in other strategic related roles of increasing responsibility beginning in 2006. Ms. Gasser holds a B.A. and an M.A. in Economics from the University of Cambridge.</w:t>
      </w:r>
    </w:p>
    <w:p>
      <w:pPr>
        <w:spacing w:after="0" w:line="154" w:lineRule="exact"/>
        <w:rPr>
          <w:sz w:val="20"/>
          <w:szCs w:val="20"/>
          <w:color w:val="auto"/>
        </w:rPr>
      </w:pPr>
    </w:p>
    <w:p>
      <w:pPr>
        <w:jc w:val="both"/>
        <w:ind w:right="100" w:firstLine="810"/>
        <w:spacing w:after="0" w:line="273" w:lineRule="auto"/>
        <w:rPr>
          <w:sz w:val="20"/>
          <w:szCs w:val="20"/>
          <w:color w:val="auto"/>
        </w:rPr>
      </w:pPr>
      <w:r>
        <w:rPr>
          <w:rFonts w:ascii="Arial" w:cs="Arial" w:eastAsia="Arial" w:hAnsi="Arial"/>
          <w:sz w:val="17"/>
          <w:szCs w:val="17"/>
          <w:b w:val="1"/>
          <w:bCs w:val="1"/>
          <w:i w:val="1"/>
          <w:iCs w:val="1"/>
          <w:color w:val="auto"/>
        </w:rPr>
        <w:t xml:space="preserve">Brian B. Hansen </w:t>
      </w:r>
      <w:r>
        <w:rPr>
          <w:rFonts w:ascii="Arial" w:cs="Arial" w:eastAsia="Arial" w:hAnsi="Arial"/>
          <w:sz w:val="17"/>
          <w:szCs w:val="17"/>
          <w:color w:val="auto"/>
        </w:rPr>
        <w:t>(age 54) has served as our Executive Vice President and Chief Commercial Officer since February 2016. Prior to joining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Mr. Hansen served from September 2014 as Chief Commercial Officer of Adaptive Biotechnologies Corp. From May 2013 to September 2014, Mr. Hansen served as Head of Commercial, Sales and Marketing, of Genoptix, a Novartis Company. From December 2005 to February 2013, he served in various roles of increasing responsibility at Gen-Probe, Inc., a medical diagnostics company, most recently serving as Senior Vice President, Global Sales and Services from January 2012 to February 2013. Mr. Hansen received a B.S. in Business Administration from the University of Missouri-Columbia, and an M.B.A. from the School of Business at San Diego State University.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5" w:name="page26"/>
    <w:bookmarkEnd w:id="25"/>
    <w:p>
      <w:pPr>
        <w:ind w:firstLine="810"/>
        <w:spacing w:after="0" w:line="253" w:lineRule="auto"/>
        <w:rPr>
          <w:sz w:val="20"/>
          <w:szCs w:val="20"/>
          <w:color w:val="auto"/>
        </w:rPr>
      </w:pPr>
      <w:r>
        <w:rPr>
          <w:rFonts w:ascii="Arial" w:cs="Arial" w:eastAsia="Arial" w:hAnsi="Arial"/>
          <w:sz w:val="18"/>
          <w:szCs w:val="18"/>
          <w:b w:val="1"/>
          <w:bCs w:val="1"/>
          <w:i w:val="1"/>
          <w:iCs w:val="1"/>
          <w:color w:val="auto"/>
        </w:rPr>
        <w:t xml:space="preserve">Shannon M. Hansen </w:t>
      </w:r>
      <w:r>
        <w:rPr>
          <w:rFonts w:ascii="Arial" w:cs="Arial" w:eastAsia="Arial" w:hAnsi="Arial"/>
          <w:sz w:val="18"/>
          <w:szCs w:val="18"/>
          <w:color w:val="auto"/>
        </w:rPr>
        <w:t>(age 56) has served as Senior Vice President, General Counsel, Chief Compliance Officer and Secretary since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is responsible for the Company's legal, compliance and privacy functions. Before joining our Company, Ms. Hansen served as General Counsel, Corporate Secretary and Chief Privacy Officer at Alto Pharmacy from April 2020 to September 2021, where she oversaw the development of the legal, privacy and compliance functions. Before her role at Alto Pharmacy, she held various leadership roles at Abbott, including Division Vice President &amp; Associate General Counsel, Patents from June 2017 to February 2020, Division Vice President and Associate General Counsel for the Diabetes, Vascular and Structural Heart divisions from June 2015 to June 2017, Head of Legal for the Diabetes Division from January 2013 to June 2015, and Division Counsel, Patents from May 2009 to December 2012. Earlier in her career, she served as a partner at Kirkland &amp; Ellis LLP, a global law firm, and worked in the Solicitor’s Office at the United States Patent and Trademark Office. Ms. Hansen holds a BS in Chemical Engineering from Carnegie Mellon University, and a JD from Stanford Law School.</w:t>
      </w:r>
    </w:p>
    <w:p>
      <w:pPr>
        <w:spacing w:after="0" w:line="169"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b w:val="1"/>
          <w:bCs w:val="1"/>
          <w:i w:val="1"/>
          <w:iCs w:val="1"/>
          <w:color w:val="auto"/>
        </w:rPr>
        <w:t xml:space="preserve">James Leal </w:t>
      </w:r>
      <w:r>
        <w:rPr>
          <w:rFonts w:ascii="Arial" w:cs="Arial" w:eastAsia="Arial" w:hAnsi="Arial"/>
          <w:sz w:val="18"/>
          <w:szCs w:val="18"/>
          <w:color w:val="auto"/>
        </w:rPr>
        <w:t>(age 58) has served as our Senior Vice President, Operations since August, 2017. Dr. Leal joined Tandem in October 2010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Operations. Previously, Dr. Leal was the Vice President of Manufacturing and Field Support for Volcano Corporation and held Director Roles with CardioNet, Inc. and Digirad Corporation. He held Senior Engineering roles with FlipChip Technologies and Hughes Aircraft Company. He has won several awards including a Hughes Aircraft Doctoral and Masters Fellowship and was a recognized nominee for Most Promising Hispanic Engineer of the Year Award. Dr. Leal is a University of Arizona graduate with a B.S. in Metallurgical Engineering, and both a M.S. and a PhD in Materials Science and Engineering.</w:t>
      </w:r>
    </w:p>
    <w:p>
      <w:pPr>
        <w:spacing w:after="0" w:line="152"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b w:val="1"/>
          <w:bCs w:val="1"/>
          <w:i w:val="1"/>
          <w:iCs w:val="1"/>
          <w:color w:val="auto"/>
        </w:rPr>
        <w:t xml:space="preserve">Susan M. Morrison </w:t>
      </w:r>
      <w:r>
        <w:rPr>
          <w:rFonts w:ascii="Arial" w:cs="Arial" w:eastAsia="Arial" w:hAnsi="Arial"/>
          <w:sz w:val="16"/>
          <w:szCs w:val="16"/>
          <w:color w:val="auto"/>
        </w:rPr>
        <w:t>(age 42) has served as our Chief Administrative Officer since September 2013 and as an Executive Vice President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2017, and is responsible for the Company’s investor relations, corporate communications, program management, human resources and facilities functions. From April 2013 until September 2013, she served as our Vice President, Human Resources, Corporate and Investor Relations. Ms. Morrison served as our Director, Corporate and Investor Relations, from January 2009 to March 2013, and was our Director, Corporate Services from November 2007 to December 2008. Prior to joining our company, Ms. Morrison held various positions in Corporate and Investor Relations at Biosite from August 2003 through November 2007. Ms. Morrison holds a B.A. in Public Relations from Western Michigan University.</w:t>
      </w:r>
    </w:p>
    <w:p>
      <w:pPr>
        <w:spacing w:after="0" w:line="124"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b w:val="1"/>
          <w:bCs w:val="1"/>
          <w:i w:val="1"/>
          <w:iCs w:val="1"/>
          <w:color w:val="auto"/>
        </w:rPr>
        <w:t xml:space="preserve">Leigh A. Vosseller </w:t>
      </w:r>
      <w:r>
        <w:rPr>
          <w:rFonts w:ascii="Arial" w:cs="Arial" w:eastAsia="Arial" w:hAnsi="Arial"/>
          <w:sz w:val="17"/>
          <w:szCs w:val="17"/>
          <w:color w:val="auto"/>
        </w:rPr>
        <w:t>(age 49) has served as our Executive Vice President, Chief Financial Officer, and Treasurer since June 2018, and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Chief Financial Officer and Treasurer from January 2018 to May 2018. Ms. Vosseller is our principal financial and accounting officer. She joined us as Vice President of Finance in 2013 and was promoted to Senior Vice President of Finance in August 2017. Prior to that time, she served as Vice President and Chief Financial Officer at Genoptix, beginning in 2011, after initially joining Genoptix in 2008. Prior to that she held a senior finance position at Biosite where she played a key role in developing the financial and administrative infrastructure for international expansion. Ms. Vosseller is a certified public accountant (inactive) and holds a B.S. in Accounting from Missouri State University.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8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Mr. Sheridan, our President and Chief Executive Officer, and Ms. Vosseller, our Executive Vice President, Chief Financial Officer and Treasurer, are involved in a personal relationship and share a primary residence. Ms. Vosseller reports directly to Mr. Sheridan. Our board of directors is informed of the relationship and due to the direct reporting arrangement, we have taken appropriate actions to ensure compliance with Company policies and procedures. Mr. Sheridan and Ms. Vosseller will not be involved in setting compensation or benefits for one another, which will continue to be determined by our Compensation Committee. In addition, our Audit Committee of the Board of Directors considered whether additional internal disclosure controls and procedures are appropriate in light of the circumstances and, as a result, certain additional internal controls were implemented during the year ended December 31, 2019.</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Except as described above, there are no family relationships between any of our directors and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u w:val="single" w:color="auto"/>
          <w:color w:val="auto"/>
        </w:rPr>
        <w:t>www.tandemdiabetes.com</w:t>
      </w:r>
      <w:r>
        <w:rPr>
          <w:rFonts w:ascii="Arial" w:cs="Arial" w:eastAsia="Arial" w:hAnsi="Arial"/>
          <w:sz w:val="17"/>
          <w:szCs w:val="17"/>
          <w:color w:val="auto"/>
        </w:rPr>
        <w:t>. We post links to our website to the following filings as soon as reasonably practicable after they are electronically filed with or furnished to the SEC: annual reports on Form 10-K, quarterly reports on Form 10-Q, current reports on Form 8-K, proxy statements, information statements, beneficial ownership reports and any amendments to those reports or statements filed or furnished pursuant to Sections 13(a), 14 or 15(d) of the Securities Exchange Act of 1934, as amended (the Exchange Act). All such filings are available through our website free of charge. However, the information contained on or accessed through our website does not constitute part of this Annual Report, and references to our website address in this Annual Report are inactive textual references only.</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26" w:name="page27"/>
    <w:bookmarkEnd w:id="26"/>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the section of this Annual Report under the caption “Cautionary Note Regarding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have incurred significant operating losses since inception and may not achieve sustained profitability.</w:t>
      </w:r>
    </w:p>
    <w:p>
      <w:pPr>
        <w:spacing w:after="0" w:line="12" w:lineRule="exact"/>
        <w:rPr>
          <w:rFonts w:ascii="Arial" w:cs="Arial" w:eastAsia="Arial" w:hAnsi="Arial"/>
          <w:sz w:val="21"/>
          <w:szCs w:val="21"/>
          <w:color w:val="auto"/>
        </w:rPr>
      </w:pPr>
    </w:p>
    <w:p>
      <w:pPr>
        <w:ind w:left="660" w:right="20" w:hanging="328"/>
        <w:spacing w:after="0" w:line="238" w:lineRule="auto"/>
        <w:tabs>
          <w:tab w:leader="none" w:pos="651"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currently rely on sales of insulin pump products to generate a significant portion of our revenue, and any factors that negatively impact sales of these products may adversely affect us.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Public health threats, such as the COVID-19 global pandemic, have had a material adverse effect on our business.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ability to maintain and grow our revenue depends on retaining a high percentage of our customer base.</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operate in a very competitive industry.</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Competitive products or other technological developments may render our products obsolete or less desirable.</w:t>
      </w:r>
    </w:p>
    <w:p>
      <w:pPr>
        <w:spacing w:after="0" w:line="13" w:lineRule="exact"/>
        <w:rPr>
          <w:rFonts w:ascii="Arial" w:cs="Arial" w:eastAsia="Arial" w:hAnsi="Arial"/>
          <w:sz w:val="21"/>
          <w:szCs w:val="21"/>
          <w:color w:val="auto"/>
        </w:rPr>
      </w:pPr>
    </w:p>
    <w:p>
      <w:pPr>
        <w:ind w:left="660" w:right="500" w:hanging="328"/>
        <w:spacing w:after="0" w:line="238" w:lineRule="auto"/>
        <w:tabs>
          <w:tab w:leader="none" w:pos="651" w:val="left"/>
        </w:tabs>
        <w:numPr>
          <w:ilvl w:val="0"/>
          <w:numId w:val="17"/>
        </w:numPr>
        <w:rPr>
          <w:rFonts w:ascii="Arial" w:cs="Arial" w:eastAsia="Arial" w:hAnsi="Arial"/>
          <w:sz w:val="21"/>
          <w:szCs w:val="21"/>
          <w:color w:val="auto"/>
        </w:rPr>
      </w:pPr>
      <w:r>
        <w:rPr>
          <w:rFonts w:ascii="Arial" w:cs="Arial" w:eastAsia="Arial" w:hAnsi="Arial"/>
          <w:sz w:val="18"/>
          <w:szCs w:val="18"/>
          <w:color w:val="auto"/>
        </w:rPr>
        <w:t>The failure of our insulin pump and related products to achieve and maintain market acceptance could result in us achieving sales below our expectations.</w:t>
      </w:r>
    </w:p>
    <w:p>
      <w:pPr>
        <w:spacing w:after="0" w:line="14"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17"/>
          <w:szCs w:val="17"/>
          <w:color w:val="auto"/>
        </w:rPr>
        <w:t>Failure to secure or retain adequate coverage or reimbursement for our products by third-party payors could adversely affect our business.</w:t>
      </w:r>
    </w:p>
    <w:p>
      <w:pPr>
        <w:spacing w:after="0" w:line="8"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face unexpected challenges in marketing and selling our products, and training new customers on the use of our products.</w:t>
      </w:r>
    </w:p>
    <w:p>
      <w:pPr>
        <w:spacing w:after="0" w:line="13"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19"/>
          <w:szCs w:val="19"/>
          <w:color w:val="auto"/>
        </w:rPr>
      </w:pPr>
      <w:r>
        <w:rPr>
          <w:rFonts w:ascii="Arial" w:cs="Arial" w:eastAsia="Arial" w:hAnsi="Arial"/>
          <w:sz w:val="16"/>
          <w:szCs w:val="16"/>
          <w:color w:val="auto"/>
        </w:rPr>
        <w:t>We may fail to meet our sales forecasts if we are unable to maintain our existing sales, marketing, clinical and customer service infrastructure.</w:t>
      </w:r>
    </w:p>
    <w:p>
      <w:pPr>
        <w:spacing w:after="0" w:line="19" w:lineRule="exact"/>
        <w:rPr>
          <w:rFonts w:ascii="Arial" w:cs="Arial" w:eastAsia="Arial" w:hAnsi="Arial"/>
          <w:sz w:val="19"/>
          <w:szCs w:val="19"/>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If we are unable to maintain or expand our network of independent distributors, our sales may be negatively affected.</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The third parties on which we rely to assist us with our pre-clinical development or clinical trials may not perform as expected.</w:t>
      </w:r>
    </w:p>
    <w:p>
      <w:pPr>
        <w:spacing w:after="0" w:line="13" w:lineRule="exact"/>
        <w:rPr>
          <w:rFonts w:ascii="Arial" w:cs="Arial" w:eastAsia="Arial" w:hAnsi="Arial"/>
          <w:sz w:val="21"/>
          <w:szCs w:val="21"/>
          <w:color w:val="auto"/>
        </w:rPr>
      </w:pPr>
    </w:p>
    <w:p>
      <w:pPr>
        <w:ind w:left="660" w:right="440" w:hanging="328"/>
        <w:spacing w:after="0" w:line="238" w:lineRule="auto"/>
        <w:tabs>
          <w:tab w:leader="none" w:pos="651"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failure to successfully complete clinical trials and development-stage testing could prevent us from obtaining regulatory approvals for or commercializing our products.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If assumptions about the potential market for our products are inaccurate our business may be adversely affected.</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ability to achieve profitability has dependencies on our ability to reduce the per-unit cost of our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Manufacturing risks may adversely affect our ability to manufacture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depend on a limited number of third-party suppliers for certain components and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Any disruption at one of our facilities could adversely affect our business and operating results.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not experience the anticipated operating efficiencies from the transition of our manufacturing and warehousing operations.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If we do not enhance our product portfolio to meet the demands of our market, we may fail to effectively compete.</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Concerns regarding the safety and efficacy of our products could limit sales and cause negative effects to our business.</w:t>
      </w:r>
    </w:p>
    <w:p>
      <w:pPr>
        <w:spacing w:after="0" w:line="13" w:lineRule="exact"/>
        <w:rPr>
          <w:rFonts w:ascii="Arial" w:cs="Arial" w:eastAsia="Arial" w:hAnsi="Arial"/>
          <w:sz w:val="21"/>
          <w:szCs w:val="21"/>
          <w:color w:val="auto"/>
        </w:rPr>
      </w:pPr>
    </w:p>
    <w:p>
      <w:pPr>
        <w:ind w:left="660" w:right="600" w:hanging="328"/>
        <w:spacing w:after="0" w:line="238" w:lineRule="auto"/>
        <w:tabs>
          <w:tab w:leader="none" w:pos="651"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enter into collaborations or partnerships with third parties that may not result in commercially viable products or the generation of significant revenues.</w:t>
      </w:r>
    </w:p>
    <w:p>
      <w:pPr>
        <w:spacing w:after="0" w:line="1" w:lineRule="exact"/>
        <w:rPr>
          <w:rFonts w:ascii="Arial" w:cs="Arial" w:eastAsia="Arial" w:hAnsi="Arial"/>
          <w:sz w:val="21"/>
          <w:szCs w:val="21"/>
          <w:color w:val="auto"/>
        </w:rPr>
      </w:pPr>
    </w:p>
    <w:p>
      <w:pPr>
        <w:ind w:left="640" w:hanging="308"/>
        <w:spacing w:after="0" w:line="229"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operate our business in regions subject to natural disasters and other catastrophic events.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economic and market uncertainty may adversely impact our business, financial condition and operating results.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ind w:left="660" w:right="280" w:hanging="328"/>
        <w:spacing w:after="0" w:line="238" w:lineRule="auto"/>
        <w:tabs>
          <w:tab w:leader="none" w:pos="651" w:val="left"/>
        </w:tabs>
        <w:numPr>
          <w:ilvl w:val="0"/>
          <w:numId w:val="18"/>
        </w:numPr>
        <w:rPr>
          <w:rFonts w:ascii="Arial" w:cs="Arial" w:eastAsia="Arial" w:hAnsi="Arial"/>
          <w:sz w:val="21"/>
          <w:szCs w:val="21"/>
          <w:color w:val="auto"/>
        </w:rPr>
      </w:pPr>
      <w:r>
        <w:rPr>
          <w:rFonts w:ascii="Arial" w:cs="Arial" w:eastAsia="Arial" w:hAnsi="Arial"/>
          <w:sz w:val="18"/>
          <w:szCs w:val="18"/>
          <w:color w:val="auto"/>
        </w:rPr>
        <w:t>A security breach or other significant disruption to our information technology systems could materially disrupt our operations or result in the unauthorized disclosure of sensitive information.</w:t>
      </w:r>
    </w:p>
    <w:p>
      <w:pPr>
        <w:spacing w:after="0" w:line="1" w:lineRule="exact"/>
        <w:rPr>
          <w:rFonts w:ascii="Arial" w:cs="Arial" w:eastAsia="Arial" w:hAnsi="Arial"/>
          <w:sz w:val="21"/>
          <w:szCs w:val="21"/>
          <w:color w:val="auto"/>
        </w:rPr>
      </w:pPr>
    </w:p>
    <w:p>
      <w:pPr>
        <w:ind w:left="660" w:right="340" w:hanging="328"/>
        <w:spacing w:after="0" w:line="25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found to have violated laws concerning the privacy and security of patient health information or other personal information, civil or criminal penalties could increase our liabilities and harm our business.</w:t>
      </w:r>
    </w:p>
    <w:p>
      <w:pPr>
        <w:ind w:left="640" w:hanging="308"/>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We may be unable to retain and motivate our senior management or recruit additional qualified personnel.</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We may experience a variety of risks associated with international operations.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Our failure to successfully manage the integration of acquisitions could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We may need to raise additional funds in the future and funds may not be available on commercially reasonable terms.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Our operating results may fluctuate significantly from quarter to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9"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Our ability to comprehensively protect our intellectual property and proprietary technology is uncertain.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Patent litigation is not uncommon in the medical device industry, and we may be subject to such litigation.</w:t>
      </w:r>
    </w:p>
    <w:p>
      <w:pPr>
        <w:spacing w:after="0" w:line="13" w:lineRule="exact"/>
        <w:rPr>
          <w:rFonts w:ascii="Arial" w:cs="Arial" w:eastAsia="Arial" w:hAnsi="Arial"/>
          <w:sz w:val="21"/>
          <w:szCs w:val="21"/>
          <w:color w:val="auto"/>
        </w:rPr>
      </w:pPr>
    </w:p>
    <w:p>
      <w:pPr>
        <w:ind w:left="660" w:right="60" w:hanging="328"/>
        <w:spacing w:after="0" w:line="238" w:lineRule="auto"/>
        <w:tabs>
          <w:tab w:leader="none" w:pos="651" w:val="left"/>
        </w:tabs>
        <w:numPr>
          <w:ilvl w:val="0"/>
          <w:numId w:val="20"/>
        </w:numPr>
        <w:rPr>
          <w:rFonts w:ascii="Arial" w:cs="Arial" w:eastAsia="Arial" w:hAnsi="Arial"/>
          <w:sz w:val="21"/>
          <w:szCs w:val="21"/>
          <w:color w:val="auto"/>
        </w:rPr>
      </w:pPr>
      <w:r>
        <w:rPr>
          <w:rFonts w:ascii="Arial" w:cs="Arial" w:eastAsia="Arial" w:hAnsi="Arial"/>
          <w:sz w:val="18"/>
          <w:szCs w:val="18"/>
          <w:color w:val="auto"/>
        </w:rPr>
        <w:t>We may be subject to damages resulting from claims that we have wrongfully used or disclosed patient health information or trade secrets, or are in breach of non-competition or non-solicitation agreements.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We may incur product liability losses, and insurance coverage may be inadequate or unavailable to cover these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40"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17"/>
          <w:szCs w:val="17"/>
          <w:color w:val="auto"/>
        </w:rPr>
        <w:t>Our products and operations are subject to extensive governmental regulation, and regulatory approvals could be denied or delayed.</w:t>
      </w:r>
    </w:p>
    <w:p>
      <w:pPr>
        <w:spacing w:after="0" w:line="2" w:lineRule="exact"/>
        <w:rPr>
          <w:rFonts w:ascii="Arial" w:cs="Arial" w:eastAsia="Arial" w:hAnsi="Arial"/>
          <w:sz w:val="20"/>
          <w:szCs w:val="20"/>
          <w:color w:val="auto"/>
        </w:rPr>
      </w:pPr>
    </w:p>
    <w:p>
      <w:pPr>
        <w:ind w:left="660" w:hanging="328"/>
        <w:spacing w:after="0" w:line="24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products or modifications to our existing products may require new regulatory approvals, or require us to cease marketing or recall modified products.</w:t>
      </w:r>
    </w:p>
    <w:p>
      <w:pPr>
        <w:ind w:left="660" w:right="1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or our third-party suppliers, contract manufacturers or service providers fail to comply with manufacturing regulations, it could impair our ability to market our products.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recall of our products, or the discovery of safety issues with our products, could have a negative impact on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comply with foreign, U.S. federal and state fraud and abuse laws could have an adverse impact on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liable if we engage in the promotion of the off-label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Legislative or regulatory healthcare reforms may result in downward pressure on the price of and decrease reimbursement for our products.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The price of our common stock may continue to fluctuate significantly.</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We may fail to maintain an effective system of internal control over financial reporting.</w:t>
      </w:r>
    </w:p>
    <w:p>
      <w:pPr>
        <w:spacing w:after="0" w:line="2" w:lineRule="exact"/>
        <w:rPr>
          <w:rFonts w:ascii="Arial" w:cs="Arial" w:eastAsia="Arial" w:hAnsi="Arial"/>
          <w:sz w:val="21"/>
          <w:szCs w:val="21"/>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at increased risk of securities class action litigation.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29"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The Notes could adversely affect our financial condition.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We may not have sufficient cash flow from our business to service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auto"/>
        </w:rPr>
        <w:t>We may take actions which could limit our ability to make payments on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23"/>
        </w:numPr>
        <w:rPr>
          <w:rFonts w:ascii="Arial" w:cs="Arial" w:eastAsia="Arial" w:hAnsi="Arial"/>
          <w:sz w:val="21"/>
          <w:szCs w:val="21"/>
          <w:color w:val="auto"/>
        </w:rPr>
      </w:pPr>
      <w:r>
        <w:rPr>
          <w:rFonts w:ascii="Arial" w:cs="Arial" w:eastAsia="Arial" w:hAnsi="Arial"/>
          <w:sz w:val="18"/>
          <w:szCs w:val="18"/>
          <w:color w:val="231F20"/>
        </w:rPr>
        <w:t>We may not be able to raise the funds necessary to repurchase or settle conversions of the Notes.</w:t>
      </w:r>
    </w:p>
    <w:p>
      <w:pPr>
        <w:spacing w:after="0" w:line="8" w:lineRule="exact"/>
        <w:rPr>
          <w:rFonts w:ascii="Arial" w:cs="Arial" w:eastAsia="Arial" w:hAnsi="Arial"/>
          <w:sz w:val="21"/>
          <w:szCs w:val="21"/>
          <w:color w:val="auto"/>
        </w:rPr>
      </w:pPr>
    </w:p>
    <w:p>
      <w:pPr>
        <w:ind w:left="660" w:hanging="328"/>
        <w:spacing w:after="0" w:line="235"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231F20"/>
        </w:rPr>
        <w:t>Conversion of the Notes may dilute the ownership interest of existing stockholders.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Capped Call Transactions may affect the value of the Notes and our common stock.</w:t>
      </w:r>
    </w:p>
    <w:p>
      <w:pPr>
        <w:spacing w:after="0" w:line="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We are subject to counterparty risk with respect to the Capped Call Transactions.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2"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185"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Since our inception in January 2006, we have incurred a significant net loss. As of December 31, 2021, we had an accumulated deficit of $634.6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57" w:lineRule="exact"/>
        <w:rPr>
          <w:sz w:val="20"/>
          <w:szCs w:val="20"/>
          <w:color w:val="auto"/>
        </w:rPr>
      </w:pPr>
    </w:p>
    <w:p>
      <w:pPr>
        <w:ind w:right="40" w:firstLine="810"/>
        <w:spacing w:after="0" w:line="251" w:lineRule="auto"/>
        <w:rPr>
          <w:sz w:val="20"/>
          <w:szCs w:val="20"/>
          <w:color w:val="auto"/>
        </w:rPr>
      </w:pPr>
      <w:r>
        <w:rPr>
          <w:rFonts w:ascii="Arial" w:cs="Arial" w:eastAsia="Arial" w:hAnsi="Arial"/>
          <w:sz w:val="18"/>
          <w:szCs w:val="18"/>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 w:lineRule="exact"/>
        <w:rPr>
          <w:sz w:val="20"/>
          <w:szCs w:val="20"/>
          <w:color w:val="auto"/>
        </w:rPr>
      </w:pPr>
    </w:p>
    <w:p>
      <w:pPr>
        <w:ind w:right="60" w:firstLine="810"/>
        <w:spacing w:after="0" w:line="226"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2021 and 2020, our gross profit was $376.2 million and $260.5 million, respectively. Although we have achieved a positive overall gross margin and generated net income for the first time for the year ended December 31, 2021, we may still operate at a net loss from time to time due to fluctuations in our business.</w:t>
      </w:r>
    </w:p>
    <w:p>
      <w:pPr>
        <w:spacing w:after="0" w:line="190" w:lineRule="exact"/>
        <w:rPr>
          <w:sz w:val="20"/>
          <w:szCs w:val="20"/>
          <w:color w:val="auto"/>
        </w:rPr>
      </w:pPr>
    </w:p>
    <w:p>
      <w:pPr>
        <w:jc w:val="both"/>
        <w:ind w:right="120"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and the scope and duration of the impacts caused by the COVID-19 global pandemic. Any additional operating losses will have an adverse effect on our stockholders’ equity, and we cannot assure you that we will be able to sustain profitability.</w:t>
      </w:r>
    </w:p>
    <w:p>
      <w:pPr>
        <w:spacing w:after="0" w:line="1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8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4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9" w:name="page30"/>
    <w:bookmarkEnd w:id="29"/>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225" w:lineRule="exact"/>
        <w:rPr>
          <w:rFonts w:ascii="Arial" w:cs="Arial" w:eastAsia="Arial" w:hAnsi="Arial"/>
          <w:sz w:val="18"/>
          <w:szCs w:val="18"/>
          <w:color w:val="auto"/>
        </w:rPr>
      </w:pPr>
    </w:p>
    <w:p>
      <w:pPr>
        <w:ind w:left="1960" w:right="60" w:hanging="656"/>
        <w:spacing w:after="0" w:line="277"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200" w:firstLine="810"/>
        <w:spacing w:after="0" w:line="272" w:lineRule="auto"/>
        <w:rPr>
          <w:sz w:val="20"/>
          <w:szCs w:val="20"/>
          <w:color w:val="auto"/>
        </w:rPr>
      </w:pPr>
      <w:r>
        <w:rPr>
          <w:rFonts w:ascii="Arial" w:cs="Arial" w:eastAsia="Arial" w:hAnsi="Arial"/>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77"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1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resulted in a rapid and sustained rise in unemployment rates and decreases in global economic activity. While we observed some increase in economic activity in the United States beginning in the second quarter of 2021, the overall scope of the COVID-19 global pandemic and its impacts continue to fluctuate, and in some instances worsen, in various regions worldwide. Although the overall negative impact from the COVID-19 global pandemic on our business is difficult to estimate, we anticipate that our sales and operating results will continue to be adversely impacted in future periods and subject to unpredictable variability notwithstanding relaxed travel and social distancing restrictions. Further, certain development activities, such as human factors studies associated with our product development efforts, activities to support the manufacturing scale-up for new products and the recruitment of participants in ongoing clinical studies, were modified or delayed due to impacts of the COVID-19 global pandemic, which has and continues to impact our development timelines and regulatory strategies and also could have a negative impact on our product commercialization efforts and the future demand for our products.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0" w:name="page31"/>
    <w:bookmarkEnd w:id="30"/>
    <w:p>
      <w:pPr>
        <w:ind w:firstLine="810"/>
        <w:spacing w:after="0" w:line="286" w:lineRule="auto"/>
        <w:rPr>
          <w:sz w:val="20"/>
          <w:szCs w:val="20"/>
          <w:color w:val="auto"/>
        </w:rPr>
      </w:pPr>
      <w:r>
        <w:rPr>
          <w:rFonts w:ascii="Arial" w:cs="Arial" w:eastAsia="Arial" w:hAnsi="Arial"/>
          <w:sz w:val="16"/>
          <w:szCs w:val="16"/>
          <w:color w:val="auto"/>
        </w:rPr>
        <w:t>The COVID-19 global pandemic, or other similar outbreaks or epidemics, may have an adverse effect on the overall productivity of our workforce, and we expect to continue to take appropriate measures to protect the health and safety of our employees and our business partners and reduce the risk of disruptions to our operations. For example, we continue to limit employee travel and visitors to our facilities, and many of our employees who are able to perform their job function outside of our facilities remain in a remote work environment. For our field-based sales and clinical employees, we initially discontinued all in-person activities and began utilizing technology to remotely engage healthcare providers and customers. Where permitted, in-person activities for our field-based sales and clinical employees have resumed on a limited basis and are gradually increasing, though the scope and scale vary by geography and we still rely heavily on remote engagement. For our employees in manufacturing and warehousing positions involved in production and fulfillment operations, we have implemented health and safety protocols in compliance with applicable government orders and expert agency guidance. We temporarily increased our staffing in certain operations in order to mitigate potential risks associated with increases in unplanned employee absences or illness. Our adoption of these preventive measures has resulted in incremental costs that have negatively impacted our gross margin, and could impact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that more of our employees will return to working in our facilities under modified conditions. We are implementing protocols and safety measures and for the time being are continuing to limit the number of employees allowed in our facilities while planning for increased occupancy at a later date.</w:t>
      </w:r>
    </w:p>
    <w:p>
      <w:pPr>
        <w:spacing w:after="0" w:line="127" w:lineRule="exact"/>
        <w:rPr>
          <w:sz w:val="20"/>
          <w:szCs w:val="20"/>
          <w:color w:val="auto"/>
        </w:rPr>
      </w:pPr>
    </w:p>
    <w:p>
      <w:pPr>
        <w:ind w:right="40" w:firstLine="810"/>
        <w:spacing w:after="0" w:line="286"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has and could continue to have a material adverse impact on the operations of one or more of our suppliers. These adverse impacts on our suppliers could prevent them from delivering products to us or supporting our requirements for manufacturing-related equipment on a timely basis, or at all. For example, we continue to focus on increasing our cartridge inventory to targeted levels, but there can be no assurance that we or our third-party cartridge manufacturer will be able to manufacture cartridges in the quantities we require to meet product demand. In addition, at various times since the beginning of the pandemic our primary infusion set manufacturer experienced certain production and inventory constraints. There can be no assurance our supplier will be able to provide infusion sets in the quantities we require to meet customer demand. Additionally, we have been and may continue to be negatively impacted by global shortages of semiconductors and copper, which could limit our insulin pump manufacturing capacity. If we continue to experience these or similar manufacturing challenges, or if these challenges worsen in the future, it could increase our manufacturing costs, disrupt our manufacturing operations, negatively impact our product sales and harm our reputation.</w:t>
      </w:r>
    </w:p>
    <w:p>
      <w:pPr>
        <w:spacing w:after="0" w:line="19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full extent of the impact of the COVID-19 global pandemic on our business and operations is highly uncertain and subject to change, and will continue to depend on a number of factors, including the scope and duration of the pandemic and any resulting changes to general economic conditions in the countries in which we operate and sell our products. Further spread or escalation of the COVID-19 global pandemic, a resurgence of the pandemic in the United States, or even the threat or perception that this could occur, or any protracted duration of decreased economic activity or increase in inflation, could have a material adverse impact on our business, operations and financial results and could negatively impact or disrupt our plans to have employees return to our facilities.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52" w:lineRule="exact"/>
        <w:rPr>
          <w:sz w:val="20"/>
          <w:szCs w:val="20"/>
          <w:color w:val="auto"/>
        </w:rPr>
      </w:pPr>
    </w:p>
    <w:p>
      <w:pPr>
        <w:ind w:right="160"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212"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92" w:lineRule="exact"/>
        <w:rPr>
          <w:sz w:val="20"/>
          <w:szCs w:val="20"/>
          <w:color w:val="auto"/>
        </w:rPr>
      </w:pPr>
    </w:p>
    <w:p>
      <w:pPr>
        <w:ind w:right="58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4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46"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62" w:lineRule="exact"/>
        <w:rPr>
          <w:sz w:val="20"/>
          <w:szCs w:val="20"/>
          <w:color w:val="auto"/>
        </w:rPr>
      </w:pPr>
    </w:p>
    <w:p>
      <w:pPr>
        <w:ind w:right="20" w:firstLine="810"/>
        <w:spacing w:after="0" w:line="225" w:lineRule="auto"/>
        <w:rPr>
          <w:sz w:val="20"/>
          <w:szCs w:val="20"/>
          <w:color w:val="auto"/>
        </w:rPr>
      </w:pPr>
      <w:r>
        <w:rPr>
          <w:rFonts w:ascii="Arial" w:cs="Arial" w:eastAsia="Arial" w:hAnsi="Arial"/>
          <w:sz w:val="18"/>
          <w:szCs w:val="18"/>
          <w:color w:val="auto"/>
        </w:rPr>
        <w:t>Our primary competitors are major medical device companies that are publicly traded companies or divisions or subsidiaries of publicly traded companies, including Insulet and Medtronic. In addition, Eli Lilly has announced a collaboration to commercialize an existing third-party insulin pump as part of a to-be-developed system and Becton Dickinson and Company announced its intention to spin off its diabetes care business as a separate publicly-traded company.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94" w:lineRule="exact"/>
        <w:rPr>
          <w:sz w:val="20"/>
          <w:szCs w:val="20"/>
          <w:color w:val="auto"/>
        </w:rPr>
      </w:pPr>
    </w:p>
    <w:p>
      <w:pPr>
        <w:ind w:left="1940" w:hanging="636"/>
        <w:spacing w:after="0"/>
        <w:tabs>
          <w:tab w:leader="none" w:pos="1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2" w:name="page33"/>
    <w:bookmarkEnd w:id="32"/>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39" w:lineRule="exact"/>
        <w:rPr>
          <w:sz w:val="20"/>
          <w:szCs w:val="20"/>
          <w:color w:val="auto"/>
        </w:rPr>
      </w:pPr>
    </w:p>
    <w:p>
      <w:pPr>
        <w:ind w:right="260" w:firstLine="810"/>
        <w:spacing w:after="0" w:line="253" w:lineRule="auto"/>
        <w:rPr>
          <w:sz w:val="20"/>
          <w:szCs w:val="20"/>
          <w:color w:val="auto"/>
        </w:rPr>
      </w:pPr>
      <w:r>
        <w:rPr>
          <w:rFonts w:ascii="Arial" w:cs="Arial" w:eastAsia="Arial" w:hAnsi="Arial"/>
          <w:sz w:val="17"/>
          <w:szCs w:val="17"/>
          <w:color w:val="auto"/>
        </w:rPr>
        <w:t>In some instances, our competitors offer products that include features that we do not currently offer. For instance, Insulet offers an insulin pump with a tubeless delivery system that does not utilize an infusion set and Medtronic is selling a connected insulin pen delivery device. Additionally, Medtronic recently announced the launch in select European countries of an infusion set that can be worn for up to seven days.</w:t>
      </w:r>
    </w:p>
    <w:p>
      <w:pPr>
        <w:spacing w:after="0" w:line="20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In June 2020, we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negatively impact our product sales, result in delays in obtaining regulatory approvals for new products, harm our reputation, and result in harm to our financial condition and operating results.</w:t>
      </w:r>
    </w:p>
    <w:p>
      <w:pPr>
        <w:spacing w:after="0" w:line="166"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200" w:firstLine="810"/>
        <w:spacing w:after="0" w:line="290"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65"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342" w:lineRule="auto"/>
        <w:tabs>
          <w:tab w:leader="none" w:pos="19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continue to delay their purchasing decisions, or physicians may continue to pause prescriptions of our products, as a result of the COVID-19 global pandemic.</w:t>
      </w:r>
    </w:p>
    <w:p>
      <w:pPr>
        <w:spacing w:after="0" w:line="176" w:lineRule="exact"/>
        <w:rPr>
          <w:sz w:val="20"/>
          <w:szCs w:val="20"/>
          <w:color w:val="auto"/>
        </w:rPr>
      </w:pPr>
    </w:p>
    <w:p>
      <w:pPr>
        <w:ind w:right="50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4" w:name="page35"/>
    <w:bookmarkEnd w:id="34"/>
    <w:p>
      <w:pPr>
        <w:ind w:right="20" w:firstLine="810"/>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Effective January 1, 2020, in addition to the existing reimbursement code for insulin pumps, CMS established additional reimbursement codes for insulin pumps with AID and CGM integration and associated supplies. In light of complexities surrounding use and payment of the codes, CMS subsequently determined the new codes will not be valid for Medicare submission at this time.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68"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2"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700" w:firstLine="810"/>
        <w:spacing w:after="0" w:line="263"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18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 addition, due to the current COVID-19 global pandemic, starting in the first quarter of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92"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now than in the past due to current general labor shortages in the United States, and in particular in our office locations in San Diego, California and Boise, Idaho.</w:t>
      </w:r>
    </w:p>
    <w:p>
      <w:pPr>
        <w:spacing w:after="0" w:line="186"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19"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If we are unable to maintain or expand our network of independent distributors, our sales may be negatively affected.</w:t>
      </w:r>
    </w:p>
    <w:p>
      <w:pPr>
        <w:spacing w:after="0" w:line="151"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For the year ended December 31, 2021, our two largest independent distributors in the United States collectively comprised approximately 21% of our worldwide sales, and our three largest independent international distributors collectively comprised approximately 55%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6" w:name="page37"/>
    <w:bookmarkEnd w:id="36"/>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3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84"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12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06"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7" w:name="page38"/>
    <w:bookmarkEnd w:id="37"/>
    <w:p>
      <w:pPr>
        <w:ind w:right="54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160" w:hanging="656"/>
        <w:spacing w:after="0" w:line="308" w:lineRule="auto"/>
        <w:tabs>
          <w:tab w:leader="none" w:pos="19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0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right="4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cybersecurity and other technological risks associated with our expanding portfolio of digital health products, and align these products to a dynamic threat landscape.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 clinical trials and other studies with respect to our existing products and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38" w:name="page39"/>
    <w:bookmarkEnd w:id="38"/>
    <w:p>
      <w:pPr>
        <w:ind w:firstLine="810"/>
        <w:spacing w:after="0" w:line="269" w:lineRule="auto"/>
        <w:rPr>
          <w:sz w:val="20"/>
          <w:szCs w:val="20"/>
          <w:color w:val="auto"/>
        </w:rPr>
      </w:pPr>
      <w:r>
        <w:rPr>
          <w:rFonts w:ascii="Arial" w:cs="Arial" w:eastAsia="Arial" w:hAnsi="Arial"/>
          <w:sz w:val="17"/>
          <w:szCs w:val="17"/>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also temporarily increased our staffing in certain operations in order to mitigate potential risks associated with increases in unplanned employee absences or illness. In addition, due to shortages of specific components, we have had to qualify alternative components or source components from alternative distributors.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8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320" w:firstLine="810"/>
        <w:spacing w:after="0" w:line="271" w:lineRule="auto"/>
        <w:rPr>
          <w:sz w:val="20"/>
          <w:szCs w:val="20"/>
          <w:color w:val="auto"/>
        </w:rPr>
      </w:pPr>
      <w:r>
        <w:rPr>
          <w:rFonts w:ascii="Arial" w:cs="Arial" w:eastAsia="Arial" w:hAnsi="Arial"/>
          <w:sz w:val="17"/>
          <w:szCs w:val="17"/>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right="160"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60" w:hanging="656"/>
        <w:spacing w:after="0" w:line="308" w:lineRule="auto"/>
        <w:tabs>
          <w:tab w:leader="none" w:pos="19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government-mandated or voluntary closures of, or operational limitations impacting, our</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9" w:name="page40"/>
    <w:bookmarkEnd w:id="39"/>
    <w:p>
      <w:pPr>
        <w:ind w:left="1960"/>
        <w:spacing w:after="0"/>
        <w:rPr>
          <w:sz w:val="20"/>
          <w:szCs w:val="20"/>
          <w:color w:val="auto"/>
        </w:rPr>
      </w:pPr>
      <w:r>
        <w:rPr>
          <w:rFonts w:ascii="Arial" w:cs="Arial" w:eastAsia="Arial" w:hAnsi="Arial"/>
          <w:sz w:val="18"/>
          <w:szCs w:val="18"/>
          <w:color w:val="auto"/>
        </w:rPr>
        <w:t>manufacturing facilities; and</w:t>
      </w:r>
    </w:p>
    <w:p>
      <w:pPr>
        <w:spacing w:after="0" w:line="225" w:lineRule="exact"/>
        <w:rPr>
          <w:sz w:val="20"/>
          <w:szCs w:val="20"/>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25" w:lineRule="exact"/>
        <w:rPr>
          <w:sz w:val="20"/>
          <w:szCs w:val="20"/>
          <w:color w:val="auto"/>
        </w:rPr>
      </w:pPr>
    </w:p>
    <w:p>
      <w:pPr>
        <w:ind w:right="6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38"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and our inventory of certain pump and cartridge components are currently below our targeted stocking levels. 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78" w:lineRule="exact"/>
        <w:rPr>
          <w:sz w:val="20"/>
          <w:szCs w:val="20"/>
          <w:color w:val="auto"/>
        </w:rPr>
      </w:pPr>
    </w:p>
    <w:p>
      <w:pPr>
        <w:jc w:val="both"/>
        <w:ind w:right="340" w:firstLine="810"/>
        <w:spacing w:after="0" w:line="248"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5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For instance, we are currently subject to allocation limits for certain semiconductor components.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40" w:name="page41"/>
    <w:bookmarkEnd w:id="40"/>
    <w:p>
      <w:pPr>
        <w:ind w:right="40" w:firstLine="810"/>
        <w:spacing w:after="0" w:line="286"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7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19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at one of our facilities could adversely affect our business and operating results.</w:t>
      </w:r>
    </w:p>
    <w:p>
      <w:pPr>
        <w:spacing w:after="0" w:line="225"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two years we substantially expanded various quality and customer and technical support activities in Boise, Idaho.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right="80" w:firstLine="810"/>
        <w:spacing w:after="0" w:line="268" w:lineRule="auto"/>
        <w:rPr>
          <w:sz w:val="20"/>
          <w:szCs w:val="20"/>
          <w:color w:val="auto"/>
        </w:rPr>
      </w:pPr>
      <w:r>
        <w:rPr>
          <w:rFonts w:ascii="Arial" w:cs="Arial" w:eastAsia="Arial" w:hAnsi="Arial"/>
          <w:sz w:val="17"/>
          <w:szCs w:val="17"/>
          <w:color w:val="auto"/>
        </w:rPr>
        <w:t>At the beginning of 2018 we completed the transition of our manufacturing operations to a facility located on Barnes Canyon Road in San Diego, and during the fourth quarter of 2019 we commenced operations at a logistics warehouse in San Diego. We expect that both of these actions will allow for future capacity for product manufacturing and warehousing expansion. However, we may not experience the anticipated operating efficiencies at either facility as we continue to scale our business operations and add manufacturing requirements for products currently under development. In addition, beginning in 2020 we outsourced a portion of our cartridge manufacturing demand to an experienced third-party contract manufacturer and we expect to increase our reliance on this third party cartridge manufacturer over the next 24 months while reducing our own internal t:slim cartridge manufacturing capacity in our existing facility.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84"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61" w:lineRule="exact"/>
        <w:rPr>
          <w:sz w:val="20"/>
          <w:szCs w:val="20"/>
          <w:color w:val="auto"/>
        </w:rPr>
      </w:pPr>
    </w:p>
    <w:p>
      <w:pPr>
        <w:ind w:left="1960" w:right="500" w:hanging="656"/>
        <w:spacing w:after="0" w:line="308" w:lineRule="auto"/>
        <w:tabs>
          <w:tab w:leader="none" w:pos="19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 on a timely basis.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2" w:name="page43"/>
    <w:bookmarkEnd w:id="42"/>
    <w:p>
      <w:pPr>
        <w:ind w:right="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including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operate our business, and our third-party contract manufacturers are located,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our Tandem Source data management platform,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4" w:name="page45"/>
    <w:bookmarkEnd w:id="44"/>
    <w:p>
      <w:pPr>
        <w:ind w:firstLine="810"/>
        <w:spacing w:after="0" w:line="252"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179"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commenced use of our Tandem Device Updater, which enables customers to remotely update software on their insulin pumps and may be higher following the launch of our new mobile application in the second half of 2020.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w:t>
      </w:r>
    </w:p>
    <w:p>
      <w:pPr>
        <w:spacing w:after="0" w:line="177"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225"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Arial" w:cs="Arial" w:eastAsia="Arial" w:hAnsi="Arial"/>
          <w:sz w:val="18"/>
          <w:szCs w:val="18"/>
          <w:i w:val="1"/>
          <w:iCs w:val="1"/>
          <w:color w:val="auto"/>
        </w:rPr>
        <w:t>Joseph Deluna et al. v. Tandem Diabetes Care, Inc.</w:t>
      </w:r>
      <w:r>
        <w:rPr>
          <w:rFonts w:ascii="Arial" w:cs="Arial" w:eastAsia="Arial" w:hAnsi="Arial"/>
          <w:sz w:val="18"/>
          <w:szCs w:val="18"/>
          <w:color w:val="auto"/>
        </w:rPr>
        <w:t>, which is pending in the Superior Court of the State of California in the County of San Bernardino.</w:t>
      </w:r>
    </w:p>
    <w:p>
      <w:pPr>
        <w:spacing w:after="0" w:line="195"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The risks posed by this lawsuit and any future related matters include civil monetary damages, attorney fees and costs, other legal penalties, reputational damage, loss of goodwill, and competitive harm. It is possible that our legal expenses and defense costs, alone or together with any monetary damages, may exceed the limits of any applicable insurance coverage that we carry.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5" w:name="page46"/>
    <w:bookmarkEnd w:id="45"/>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There are a number of domestic and international laws protecting the privacy and security of personal information. These laws include the U.S. Health Insurance Portability and Accountability Act of 1996 (HIPAA) and related regulations, U.S. state laws (such as the California Consumer Privacy Act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78"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foreign, U.S. state and Canadian provincial laws, we could be subject to civil or criminal penalties, which could increase our liabilities, harm our reputation and have a material adverse effect on our business, financial condition and operating results. In addition, entities operating in the healthcare industry have increasingly become targets for hackers. Although we utilize a variety of measures to secure the data that we control, even compliant entities can experience security breaches or have inadvertent failures despite employing reasonable practices and safeguards.</w:t>
      </w:r>
    </w:p>
    <w:p>
      <w:pPr>
        <w:spacing w:after="0" w:line="192"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privacy and security laws (such as the CCPA) may impose additional requirements on us and increase our regulatory and litigation risk. As we continue to expand, our business will need to adapt to meet these and other similar legal requirements.</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we may need to increase employee wages and benefits in order to attract and retain our personnel, which would increase our expenses.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ind w:right="76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 and other EU member state directives;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6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84" w:lineRule="exact"/>
        <w:rPr>
          <w:sz w:val="20"/>
          <w:szCs w:val="20"/>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problems assimilating, maintaining or operating the acquired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costs, impairment charges or write-offs associated with acquisitions or investments;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ectPr>
          <w:pgSz w:w="11900" w:h="16838" w:orient="portrait"/>
          <w:cols w:equalWidth="0" w:num="1">
            <w:col w:w="11180"/>
          </w:cols>
          <w:pgMar w:left="320" w:top="1070"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type w:val="continuous"/>
        </w:sectPr>
      </w:pPr>
    </w:p>
    <w:bookmarkStart w:id="47" w:name="page48"/>
    <w:bookmarkEnd w:id="47"/>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100" w:hanging="656"/>
        <w:spacing w:after="0" w:line="277" w:lineRule="auto"/>
        <w:tabs>
          <w:tab w:leader="none" w:pos="1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130" w:lineRule="exact"/>
        <w:rPr>
          <w:sz w:val="20"/>
          <w:szCs w:val="20"/>
          <w:color w:val="auto"/>
        </w:rPr>
      </w:pPr>
    </w:p>
    <w:p>
      <w:pPr>
        <w:ind w:right="60" w:firstLine="810"/>
        <w:spacing w:after="0" w:line="294" w:lineRule="auto"/>
        <w:rPr>
          <w:sz w:val="20"/>
          <w:szCs w:val="20"/>
          <w:color w:val="auto"/>
        </w:rPr>
      </w:pPr>
      <w:r>
        <w:rPr>
          <w:rFonts w:ascii="Arial" w:cs="Arial" w:eastAsia="Arial" w:hAnsi="Arial"/>
          <w:sz w:val="16"/>
          <w:szCs w:val="16"/>
          <w:color w:val="auto"/>
        </w:rPr>
        <w:t>We have experienced and may continue to experience one or more of these risks in connection with our acquisition of Sugarmate, which was completed in 2020. For example, as a result of an update to Dexcom’s data systems in October 2021, Sugarmate users in all geographies were unable to receive Dexcom CGM data in the Sugarmate app. Connections for users in the United States were restored in December 2021 but we have not yet restored connections in other geographies. While we continue to work towards restoring service for most users outside the US, we may not be able to restore</w:t>
      </w:r>
    </w:p>
    <w:p>
      <w:pPr>
        <w:spacing w:after="0" w:line="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services to all countries on the same timeline, or restore services to all users. These service disruptions, or other problems utilizing the mobile app or other assets acquired from Sugarmate, could adversely affect our ability to realize the expected benefits from the Sugarmate acquisition. Further, it is possible that we could experience a loss of Sugarmate customers or reputational harm arising from this service outage or similar events, which could adversely affect our business, results of operations, and financial condition.</w:t>
      </w:r>
    </w:p>
    <w:p>
      <w:pPr>
        <w:spacing w:after="0" w:line="187" w:lineRule="exact"/>
        <w:rPr>
          <w:sz w:val="20"/>
          <w:szCs w:val="20"/>
          <w:color w:val="auto"/>
        </w:rPr>
      </w:pPr>
    </w:p>
    <w:p>
      <w:pPr>
        <w:ind w:right="240" w:firstLine="810"/>
        <w:spacing w:after="0" w:line="259" w:lineRule="auto"/>
        <w:rPr>
          <w:sz w:val="20"/>
          <w:szCs w:val="20"/>
          <w:color w:val="auto"/>
        </w:rPr>
      </w:pPr>
      <w:r>
        <w:rPr>
          <w:rFonts w:ascii="Arial" w:cs="Arial" w:eastAsia="Arial" w:hAnsi="Arial"/>
          <w:sz w:val="18"/>
          <w:szCs w:val="18"/>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30"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At December 31, 2021, we had $623.8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increasing the size of our facility footprint due to increases in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200" w:lineRule="exact"/>
        <w:rPr>
          <w:sz w:val="20"/>
          <w:szCs w:val="20"/>
          <w:color w:val="auto"/>
        </w:rPr>
      </w:pPr>
    </w:p>
    <w:p>
      <w:pPr>
        <w:spacing w:after="0" w:line="249" w:lineRule="exact"/>
        <w:rPr>
          <w:sz w:val="20"/>
          <w:szCs w:val="20"/>
          <w:color w:val="auto"/>
        </w:rPr>
      </w:pPr>
    </w:p>
    <w:p>
      <w:pPr>
        <w:ind w:left="1960" w:right="160" w:hanging="656"/>
        <w:spacing w:after="0" w:line="232" w:lineRule="auto"/>
        <w:tabs>
          <w:tab w:leader="none" w:pos="19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248" w:lineRule="exact"/>
        <w:rPr>
          <w:rFonts w:ascii="Arial" w:cs="Arial" w:eastAsia="Arial" w:hAnsi="Arial"/>
          <w:sz w:val="22"/>
          <w:szCs w:val="22"/>
          <w:color w:val="auto"/>
        </w:rPr>
      </w:pPr>
    </w:p>
    <w:p>
      <w:pPr>
        <w:ind w:left="1940" w:hanging="636"/>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gross profits and gross margin we realize from the sales we generate;</w:t>
      </w:r>
    </w:p>
    <w:p>
      <w:pPr>
        <w:spacing w:after="0" w:line="269" w:lineRule="exact"/>
        <w:rPr>
          <w:rFonts w:ascii="Arial" w:cs="Arial" w:eastAsia="Arial" w:hAnsi="Arial"/>
          <w:sz w:val="22"/>
          <w:szCs w:val="22"/>
          <w:color w:val="auto"/>
        </w:rPr>
      </w:pPr>
    </w:p>
    <w:p>
      <w:pPr>
        <w:ind w:left="1960" w:right="1000" w:hanging="656"/>
        <w:spacing w:after="0" w:line="232" w:lineRule="auto"/>
        <w:tabs>
          <w:tab w:leader="none" w:pos="19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270" w:lineRule="exact"/>
        <w:rPr>
          <w:rFonts w:ascii="Arial" w:cs="Arial" w:eastAsia="Arial" w:hAnsi="Arial"/>
          <w:sz w:val="22"/>
          <w:szCs w:val="22"/>
          <w:color w:val="auto"/>
        </w:rPr>
      </w:pPr>
    </w:p>
    <w:p>
      <w:pPr>
        <w:ind w:left="1960" w:hanging="656"/>
        <w:spacing w:after="0" w:line="297" w:lineRule="auto"/>
        <w:tabs>
          <w:tab w:leader="none" w:pos="1955" w:val="left"/>
        </w:tabs>
        <w:numPr>
          <w:ilvl w:val="0"/>
          <w:numId w:val="36"/>
        </w:numPr>
        <w:rPr>
          <w:rFonts w:ascii="Arial" w:cs="Arial" w:eastAsia="Arial" w:hAnsi="Arial"/>
          <w:sz w:val="19"/>
          <w:szCs w:val="19"/>
          <w:color w:val="auto"/>
        </w:rPr>
      </w:pPr>
      <w:r>
        <w:rPr>
          <w:rFonts w:ascii="Arial" w:cs="Arial" w:eastAsia="Arial" w:hAnsi="Arial"/>
          <w:sz w:val="16"/>
          <w:szCs w:val="16"/>
          <w:color w:val="auto"/>
        </w:rPr>
        <w:t>the expenses we incur or other capital expenditures we make to maintain or enhance our manufacturing operations and distribution capabilities, including leasing additional property, hiring additional personnel, and purchasing additional equipment;</w:t>
      </w:r>
    </w:p>
    <w:p>
      <w:pPr>
        <w:spacing w:after="0" w:line="194" w:lineRule="exact"/>
        <w:rPr>
          <w:rFonts w:ascii="Arial" w:cs="Arial" w:eastAsia="Arial" w:hAnsi="Arial"/>
          <w:sz w:val="19"/>
          <w:szCs w:val="19"/>
          <w:color w:val="auto"/>
        </w:rPr>
      </w:pPr>
    </w:p>
    <w:p>
      <w:pPr>
        <w:ind w:left="1940" w:hanging="636"/>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expenses associated with developing and commercializing our proposed products or technologies;</w:t>
      </w:r>
    </w:p>
    <w:p>
      <w:pPr>
        <w:spacing w:after="0" w:line="258" w:lineRule="exact"/>
        <w:rPr>
          <w:rFonts w:ascii="Arial" w:cs="Arial" w:eastAsia="Arial" w:hAnsi="Arial"/>
          <w:sz w:val="22"/>
          <w:szCs w:val="22"/>
          <w:color w:val="auto"/>
        </w:rPr>
      </w:pPr>
    </w:p>
    <w:p>
      <w:pPr>
        <w:ind w:left="1940" w:hanging="636"/>
        <w:spacing w:after="0"/>
        <w:tabs>
          <w:tab w:leader="none" w:pos="1940" w:val="left"/>
        </w:tabs>
        <w:numPr>
          <w:ilvl w:val="0"/>
          <w:numId w:val="36"/>
        </w:numPr>
        <w:rPr>
          <w:rFonts w:ascii="Arial" w:cs="Arial" w:eastAsia="Arial" w:hAnsi="Arial"/>
          <w:sz w:val="21"/>
          <w:szCs w:val="21"/>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46" w:lineRule="exact"/>
        <w:rPr>
          <w:rFonts w:ascii="Arial" w:cs="Arial" w:eastAsia="Arial" w:hAnsi="Arial"/>
          <w:sz w:val="21"/>
          <w:szCs w:val="21"/>
          <w:color w:val="auto"/>
        </w:rPr>
      </w:pPr>
    </w:p>
    <w:p>
      <w:pPr>
        <w:ind w:left="1940" w:hanging="636"/>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cost of ongoing compliance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48" w:name="page49"/>
    <w:bookmarkEnd w:id="48"/>
    <w:p>
      <w:pPr>
        <w:ind w:left="1940" w:hanging="636"/>
        <w:spacing w:after="0"/>
        <w:tabs>
          <w:tab w:leader="none" w:pos="19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the expenses we incur in connection with current or future litigation or governmental investigations;</w:t>
      </w:r>
    </w:p>
    <w:p>
      <w:pPr>
        <w:spacing w:after="0" w:line="269" w:lineRule="exact"/>
        <w:rPr>
          <w:rFonts w:ascii="Arial" w:cs="Arial" w:eastAsia="Arial" w:hAnsi="Arial"/>
          <w:sz w:val="22"/>
          <w:szCs w:val="22"/>
          <w:color w:val="auto"/>
        </w:rPr>
      </w:pPr>
    </w:p>
    <w:p>
      <w:pPr>
        <w:ind w:left="1960" w:right="60" w:hanging="656"/>
        <w:spacing w:after="0" w:line="251" w:lineRule="auto"/>
        <w:tabs>
          <w:tab w:leader="none" w:pos="1955" w:val="left"/>
        </w:tabs>
        <w:numPr>
          <w:ilvl w:val="0"/>
          <w:numId w:val="37"/>
        </w:numPr>
        <w:rPr>
          <w:rFonts w:ascii="Arial" w:cs="Arial" w:eastAsia="Arial" w:hAnsi="Arial"/>
          <w:sz w:val="21"/>
          <w:szCs w:val="21"/>
          <w:color w:val="auto"/>
        </w:rPr>
      </w:pPr>
      <w:r>
        <w:rPr>
          <w:rFonts w:ascii="Arial" w:cs="Arial" w:eastAsia="Arial" w:hAnsi="Arial"/>
          <w:sz w:val="17"/>
          <w:szCs w:val="17"/>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235" w:lineRule="exact"/>
        <w:rPr>
          <w:rFonts w:ascii="Arial" w:cs="Arial" w:eastAsia="Arial" w:hAnsi="Arial"/>
          <w:sz w:val="21"/>
          <w:szCs w:val="21"/>
          <w:color w:val="auto"/>
        </w:rPr>
      </w:pPr>
    </w:p>
    <w:p>
      <w:pPr>
        <w:ind w:left="1940" w:hanging="636"/>
        <w:spacing w:after="0"/>
        <w:tabs>
          <w:tab w:leader="none" w:pos="19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anticipated or unanticipated capital expenditures;</w:t>
      </w:r>
    </w:p>
    <w:p>
      <w:pPr>
        <w:spacing w:after="0" w:line="246" w:lineRule="exact"/>
        <w:rPr>
          <w:rFonts w:ascii="Arial" w:cs="Arial" w:eastAsia="Arial" w:hAnsi="Arial"/>
          <w:sz w:val="22"/>
          <w:szCs w:val="22"/>
          <w:color w:val="auto"/>
        </w:rPr>
      </w:pPr>
    </w:p>
    <w:p>
      <w:pPr>
        <w:ind w:left="1940" w:hanging="636"/>
        <w:spacing w:after="0"/>
        <w:tabs>
          <w:tab w:leader="none" w:pos="19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unanticipated general and administrative expenses; and</w:t>
      </w:r>
    </w:p>
    <w:p>
      <w:pPr>
        <w:spacing w:after="0" w:line="269" w:lineRule="exact"/>
        <w:rPr>
          <w:rFonts w:ascii="Arial" w:cs="Arial" w:eastAsia="Arial" w:hAnsi="Arial"/>
          <w:sz w:val="22"/>
          <w:szCs w:val="22"/>
          <w:color w:val="auto"/>
        </w:rPr>
      </w:pPr>
    </w:p>
    <w:p>
      <w:pPr>
        <w:ind w:left="1960" w:right="540" w:hanging="656"/>
        <w:spacing w:after="0" w:line="232" w:lineRule="auto"/>
        <w:tabs>
          <w:tab w:leader="none" w:pos="19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203"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22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9" w:name="page50"/>
    <w:bookmarkEnd w:id="49"/>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regulatory clearance or approvals, or adverse regulatory or legal actions, affecting our products or those of our competitors; and</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48"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comprehensively protect our intellectual property and proprietary technology is uncertain.</w:t>
      </w:r>
    </w:p>
    <w:p>
      <w:pPr>
        <w:spacing w:after="0" w:line="225"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December 31, 2021, our patent portfolio consisted of approximately 117 issued U.S. patents and 83 pending U.S. patent applications. Of these, our issued U.S. patents expire between approximately 2022 and 2040. Our foreign patent portfolio consisted of approximately 41 issued patents and 15 pending patent applications in other countries throughout the world. Of these, our issued foreign patents expire between approximately 2025 and 2036. In addition, we also have 94 trademark registrations, including 18 U.S. trademark registrations and 76 foreign trademark registrations.</w:t>
      </w:r>
    </w:p>
    <w:p>
      <w:pPr>
        <w:spacing w:after="0" w:line="161" w:lineRule="exact"/>
        <w:rPr>
          <w:sz w:val="20"/>
          <w:szCs w:val="20"/>
          <w:color w:val="auto"/>
        </w:rPr>
      </w:pPr>
    </w:p>
    <w:p>
      <w:pPr>
        <w:ind w:right="12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ind w:right="16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If a competitor infringes one of our patents, trademarks or other intellectual property rights, enforcing those patents, trademarks and other intellectual property rights may be difficult, expensive and time consuming. Patent law relating to the scope of claims in the industry in which we operate is subject to rapid change and constant evolution and, consequently, patent protection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narrowly interpreted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Patent litigation in the medical device industry is not uncommon,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considerable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their intellectual property relating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allegedly infringes third-party intellectual property;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redesign those products that allegedly infringe third-party intellectual property; or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1" w:name="page52"/>
    <w:bookmarkEnd w:id="51"/>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9"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40" w:firstLine="810"/>
        <w:spacing w:after="0" w:line="301" w:lineRule="auto"/>
        <w:rPr>
          <w:sz w:val="20"/>
          <w:szCs w:val="20"/>
          <w:color w:val="auto"/>
        </w:rPr>
      </w:pPr>
      <w:r>
        <w:rPr>
          <w:rFonts w:ascii="Arial" w:cs="Arial" w:eastAsia="Arial" w:hAnsi="Arial"/>
          <w:sz w:val="16"/>
          <w:szCs w:val="16"/>
          <w:color w:val="auto"/>
        </w:rPr>
        <w:t>The medical device industry is regulated extensively in the United States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international regulatory authorities regulate numerous elements of our business, including:</w:t>
      </w:r>
    </w:p>
    <w:p>
      <w:pPr>
        <w:spacing w:after="0" w:line="157" w:lineRule="exact"/>
        <w:rPr>
          <w:sz w:val="20"/>
          <w:szCs w:val="20"/>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Food, Drug and Cosmetic Act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auto"/>
        </w:rPr>
        <w:t>If the FDA or other regulatory authority requires a more rigorous examination for our future products or modifications to existing products than we had expected, our product introductions or modifications could be delayed or canceled, which could cause our sales to decline or to not increase in line with our forecasts.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FDA or other regulatory authority can delay, limit or deny clearance or approval of one of our devices for many reasons, including:</w:t>
      </w:r>
    </w:p>
    <w:p>
      <w:pPr>
        <w:spacing w:after="0" w:line="237" w:lineRule="exact"/>
        <w:rPr>
          <w:sz w:val="20"/>
          <w:szCs w:val="20"/>
          <w:color w:val="auto"/>
        </w:rPr>
      </w:pPr>
    </w:p>
    <w:p>
      <w:pPr>
        <w:ind w:left="1940" w:hanging="636"/>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data from our pre-clinical studies or clinical trials may be insufficient to support clearance or approval;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In addition, the FDA or other regulatory authority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87"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and regulatory enforcement or inquiries, or other increased scrutiny on us, could dissuade some customers from using our products and adversely affect our reputation and the perceived safety and efficacy of our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3" w:name="page54"/>
    <w:bookmarkEnd w:id="53"/>
    <w:p>
      <w:pPr>
        <w:ind w:right="20" w:firstLine="810"/>
        <w:spacing w:after="0" w:line="269" w:lineRule="auto"/>
        <w:rPr>
          <w:sz w:val="20"/>
          <w:szCs w:val="20"/>
          <w:color w:val="auto"/>
        </w:rPr>
      </w:pPr>
      <w:r>
        <w:rPr>
          <w:rFonts w:ascii="Arial" w:cs="Arial" w:eastAsia="Arial" w:hAnsi="Arial"/>
          <w:sz w:val="17"/>
          <w:szCs w:val="17"/>
          <w:color w:val="auto"/>
        </w:rPr>
        <w:t>Since our inception we have been audited or inspected by various regulatory authorities on numerous occasions. We also regularly respond to routine inquiries from regulatory authorities.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Since mid-2021 we have completed several audits and inspections, some of which include findings that require us to take one or more corrective actions. Our failure to appropriately respond to these findings and take corrective actions, or our failure to comply with applicable regulations for any other reason,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82" w:lineRule="exact"/>
        <w:rPr>
          <w:sz w:val="20"/>
          <w:szCs w:val="20"/>
          <w:color w:val="auto"/>
        </w:rPr>
      </w:pPr>
    </w:p>
    <w:p>
      <w:pPr>
        <w:ind w:right="120" w:firstLine="810"/>
        <w:spacing w:after="0" w:line="296"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in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20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contract manufacturers and service providers fail to comply with good manufacturing practice regulations, this could impair our ability to market our products in a cost-effective and timely manner.</w:t>
      </w:r>
    </w:p>
    <w:p>
      <w:pPr>
        <w:spacing w:after="0" w:line="170"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We also are subject to similar requirements by regulatory authorities in other geographies. The FDA and other regulatory bodies routinely audit our compliance with the QSR and equivalent international requirements through periodic announced and unannounced inspections of manufacturing and other facilities which may occur at any time. We cannot assure you that our facilities or our contract manufacturer or third-party suppliers’ facilities would pass any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81"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7"/>
          <w:szCs w:val="17"/>
          <w:color w:val="auto"/>
        </w:rPr>
        <w:t>If we, or our third-party suppliers, contract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A recall or suspension of our products, or the discovery of serious safety issues with our products, could have a significant negative impact on us.</w:t>
      </w:r>
    </w:p>
    <w:p>
      <w:pPr>
        <w:spacing w:after="0" w:line="248"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66" w:lineRule="exact"/>
        <w:rPr>
          <w:sz w:val="20"/>
          <w:szCs w:val="20"/>
          <w:color w:val="auto"/>
        </w:rPr>
      </w:pPr>
    </w:p>
    <w:p>
      <w:pPr>
        <w:ind w:right="12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Any adverse event involving any products that we distribute, either domestically or internationally,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to date we have not offered our Control-IQ technology in Australia but may elect to do so in the future. There can be no assurance that the TGA will not reimpose the suspension of our pump product sales or impose other regulatory restrictions in the future. In addition, other regulatory bodies may take similar actions against us, and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4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80" w:hanging="656"/>
        <w:spacing w:after="0" w:line="257"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ind w:left="1960" w:right="160" w:hanging="656"/>
        <w:spacing w:after="0" w:line="263"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right="120" w:hanging="656"/>
        <w:spacing w:after="0" w:line="259"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86" w:lineRule="exact"/>
        <w:rPr>
          <w:rFonts w:ascii="Arial" w:cs="Arial" w:eastAsia="Arial" w:hAnsi="Arial"/>
          <w:sz w:val="18"/>
          <w:szCs w:val="18"/>
          <w:color w:val="auto"/>
        </w:rPr>
      </w:pPr>
    </w:p>
    <w:p>
      <w:pPr>
        <w:ind w:left="1960" w:right="140" w:hanging="656"/>
        <w:spacing w:after="0" w:line="257"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87"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60" w:hanging="656"/>
        <w:spacing w:after="0" w:line="263"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70" w:lineRule="exact"/>
        <w:rPr>
          <w:rFonts w:ascii="Arial" w:cs="Arial" w:eastAsia="Arial" w:hAnsi="Arial"/>
          <w:sz w:val="18"/>
          <w:szCs w:val="18"/>
          <w:color w:val="auto"/>
        </w:rPr>
      </w:pPr>
    </w:p>
    <w:p>
      <w:pPr>
        <w:ind w:left="1960" w:right="60" w:hanging="656"/>
        <w:spacing w:after="0" w:line="277"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have been expanded, and we will need to implement additional processes and controls in order to comply with these new tracking and disclosure obligations. Any failure to submit the required data in an accurate and timely manner may result in the imposition of civil monetary penalties. Federal government agencies have issued final rules making modifications to the Anti-Kickback Statute “safe harbors” and the Stark Law regulations, and the full impact of such modifications on the health care industry and our business operations is not yet known. Further, the federal government has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8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6" w:name="page57"/>
    <w:bookmarkEnd w:id="56"/>
    <w:p>
      <w:pPr>
        <w:ind w:right="20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and whether they might be retroactive.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5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In addition, the ACA continues to be the subject of various legal challenges. The uncertainties regarding the future of the ACA, and other healthcare reform initiatives, may have an adverse effect on our customers’ purchasing decisions regarding our products.</w:t>
      </w:r>
    </w:p>
    <w:p>
      <w:pPr>
        <w:spacing w:after="0" w:line="161" w:lineRule="exact"/>
        <w:rPr>
          <w:sz w:val="20"/>
          <w:szCs w:val="20"/>
          <w:color w:val="auto"/>
        </w:rPr>
      </w:pPr>
    </w:p>
    <w:p>
      <w:pPr>
        <w:ind w:right="44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40" w:hanging="636"/>
        <w:spacing w:after="0"/>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7" w:name="page58"/>
    <w:bookmarkEnd w:id="57"/>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announcement of a product recall, suspension or other safety notice associated with our products or the products of our competitors, or other similar regulatory enforcement actions;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inclusion or removal of our stock from one or more market indexes;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680" w:hanging="656"/>
        <w:spacing w:after="0" w:line="277"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ind w:left="1940" w:hanging="636"/>
        <w:spacing w:after="0"/>
        <w:tabs>
          <w:tab w:leader="none" w:pos="1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As of December 31, 2021, we had accumulated federal and state net operating loss (NOL) carryforwards of approximately $301.2 million, and $291.0 million, respectively, which included the reduction recorded in 2019 discussed below. Of the total federal NOL carryforwards, approximately $112.1 million were generated after January 1, 2018, and therefore do not expire. NOL generated after January 1, 2018, is subject to 80% limitation in accordance with the Tax Cuts and Jobs Act of 2017. The remaining federal NOL carryforwards of $189.1 million will begin to expire in 2026, and state tax loss carryforwards continue to expire in 2022,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85"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We have completed analyses through December 31, 2020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4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59" w:name="page60"/>
    <w:bookmarkEnd w:id="59"/>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Convertible Senior Notes</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57" w:lineRule="exact"/>
        <w:rPr>
          <w:sz w:val="20"/>
          <w:szCs w:val="20"/>
          <w:color w:val="auto"/>
        </w:rPr>
      </w:pPr>
    </w:p>
    <w:p>
      <w:pPr>
        <w:ind w:firstLine="810"/>
        <w:spacing w:after="0" w:line="238" w:lineRule="auto"/>
        <w:rPr>
          <w:sz w:val="20"/>
          <w:szCs w:val="20"/>
          <w:color w:val="auto"/>
        </w:rPr>
      </w:pPr>
      <w:r>
        <w:rPr>
          <w:rFonts w:ascii="Arial" w:cs="Arial" w:eastAsia="Arial" w:hAnsi="Arial"/>
          <w:sz w:val="17"/>
          <w:szCs w:val="17"/>
          <w:color w:val="auto"/>
        </w:rPr>
        <w:t>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In addition, upon conversion of the Notes, unless we elect to deliver solely shares of our common stock to settle such conversion, we will be required to make cash payments in respect of the Notes being converted. Furthermore, the indenture governing the Notes provides that, in the event of an event of default (as defined in the indenture) for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2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result of our increased level of indebtedness due to the Notes Offering:</w:t>
      </w:r>
    </w:p>
    <w:p>
      <w:pPr>
        <w:spacing w:after="0" w:line="225" w:lineRule="exact"/>
        <w:rPr>
          <w:sz w:val="20"/>
          <w:szCs w:val="20"/>
          <w:color w:val="auto"/>
        </w:rPr>
      </w:pPr>
    </w:p>
    <w:p>
      <w:pPr>
        <w:ind w:left="1940" w:hanging="636"/>
        <w:spacing w:after="0"/>
        <w:tabs>
          <w:tab w:leader="none" w:pos="1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level of vulnerability to adverse economic conditions and competitive pressures may be heightened;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0" w:name="page61"/>
    <w:bookmarkEnd w:id="60"/>
    <w:p>
      <w:pPr>
        <w:ind w:left="1960" w:right="340" w:hanging="656"/>
        <w:spacing w:after="0" w:line="277" w:lineRule="auto"/>
        <w:tabs>
          <w:tab w:leader="none" w:pos="1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are required to dedicate a portion of our liquidity position or cash flow from operations to interest payments, limiting the availability of cash for other purposes;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more limited; and</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investments or general corporate purposes may be impaired.</w:t>
      </w:r>
    </w:p>
    <w:p>
      <w:pPr>
        <w:spacing w:after="0" w:line="200" w:lineRule="exact"/>
        <w:rPr>
          <w:sz w:val="20"/>
          <w:szCs w:val="20"/>
          <w:color w:val="auto"/>
        </w:rPr>
      </w:pPr>
    </w:p>
    <w:p>
      <w:pPr>
        <w:spacing w:after="0" w:line="213"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4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157" w:lineRule="exact"/>
        <w:rPr>
          <w:sz w:val="20"/>
          <w:szCs w:val="20"/>
          <w:color w:val="auto"/>
        </w:rPr>
      </w:pPr>
    </w:p>
    <w:p>
      <w:pPr>
        <w:ind w:left="40" w:right="340"/>
        <w:spacing w:after="0" w:line="342" w:lineRule="auto"/>
        <w:rPr>
          <w:sz w:val="20"/>
          <w:szCs w:val="20"/>
          <w:color w:val="auto"/>
        </w:rPr>
      </w:pPr>
      <w:r>
        <w:rPr>
          <w:rFonts w:ascii="Arial" w:cs="Arial" w:eastAsia="Arial" w:hAnsi="Arial"/>
          <w:sz w:val="16"/>
          <w:szCs w:val="16"/>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24" w:lineRule="exact"/>
        <w:rPr>
          <w:sz w:val="20"/>
          <w:szCs w:val="20"/>
          <w:color w:val="auto"/>
        </w:rPr>
      </w:pPr>
    </w:p>
    <w:p>
      <w:pPr>
        <w:ind w:right="60" w:firstLine="810"/>
        <w:spacing w:after="0" w:line="288"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1" w:name="page62"/>
    <w:bookmarkEnd w:id="61"/>
    <w:p>
      <w:pPr>
        <w:ind w:right="220" w:firstLine="810"/>
        <w:spacing w:after="0" w:line="255"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92"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460" w:firstLine="810"/>
        <w:spacing w:after="0" w:line="259" w:lineRule="auto"/>
        <w:rPr>
          <w:sz w:val="20"/>
          <w:szCs w:val="20"/>
          <w:color w:val="auto"/>
        </w:rPr>
      </w:pPr>
      <w:r>
        <w:rPr>
          <w:rFonts w:ascii="Arial" w:cs="Arial" w:eastAsia="Arial" w:hAnsi="Arial"/>
          <w:sz w:val="18"/>
          <w:szCs w:val="18"/>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87" w:lineRule="exact"/>
        <w:rPr>
          <w:sz w:val="20"/>
          <w:szCs w:val="20"/>
          <w:color w:val="auto"/>
        </w:rPr>
      </w:pPr>
    </w:p>
    <w:p>
      <w:pPr>
        <w:ind w:right="200" w:firstLine="810"/>
        <w:spacing w:after="0" w:line="254"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84" w:lineRule="exact"/>
        <w:rPr>
          <w:sz w:val="20"/>
          <w:szCs w:val="20"/>
          <w:color w:val="auto"/>
        </w:rPr>
      </w:pPr>
    </w:p>
    <w:p>
      <w:pPr>
        <w:ind w:right="60" w:firstLine="810"/>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1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ind w:right="40" w:firstLine="810"/>
        <w:spacing w:after="0" w:line="286" w:lineRule="auto"/>
        <w:rPr>
          <w:sz w:val="20"/>
          <w:szCs w:val="20"/>
          <w:color w:val="auto"/>
        </w:rPr>
      </w:pPr>
      <w:r>
        <w:rPr>
          <w:rFonts w:ascii="Arial" w:cs="Arial" w:eastAsia="Arial" w:hAnsi="Arial"/>
          <w:sz w:val="17"/>
          <w:szCs w:val="17"/>
          <w:color w:val="auto"/>
        </w:rPr>
        <w:t>Substantially all of our operations are currently conducted at leased facilities, including our manufacturing processes, research and development activities, customer and technical support, and management and administrative functions. As of December 31, 2021, we occupied facilities with an aggregate total of approximately 367,000 square feet, increasing to 511,000 square feet in the first quarter of 2022,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98" w:lineRule="exact"/>
        <w:rPr>
          <w:sz w:val="20"/>
          <w:szCs w:val="20"/>
          <w:color w:val="auto"/>
        </w:rPr>
      </w:pPr>
    </w:p>
    <w:p>
      <w:pPr>
        <w:ind w:left="980" w:right="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Roselle Street Leases</w:t>
      </w:r>
      <w:r>
        <w:rPr>
          <w:rFonts w:ascii="Arial" w:cs="Arial" w:eastAsia="Arial" w:hAnsi="Arial"/>
          <w:sz w:val="18"/>
          <w:szCs w:val="18"/>
          <w:color w:val="auto"/>
        </w:rPr>
        <w:t>: 77,458 square feet of general office and laboratory space located on Roselle Street in San Diego, California. All of our existing leases for facilities on Roselle Street are scheduled to expire in May 2023.</w:t>
      </w:r>
    </w:p>
    <w:p>
      <w:pPr>
        <w:spacing w:after="0" w:line="12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Vista Sorrento Parkway Lease</w:t>
      </w:r>
      <w:r>
        <w:rPr>
          <w:rFonts w:ascii="Arial" w:cs="Arial" w:eastAsia="Arial" w:hAnsi="Arial"/>
          <w:sz w:val="18"/>
          <w:szCs w:val="18"/>
          <w:color w:val="auto"/>
        </w:rPr>
        <w:t>: 73,929 square feet of general office space located on Vista Sorrento Parkway in San Diego, California, which is scheduled to expire in January 2028. We have two options to extend the term of the Vista Sorrento Parkway lease, with each option providing for an additional period of five years.</w:t>
      </w:r>
    </w:p>
    <w:p>
      <w:pPr>
        <w:spacing w:after="0" w:line="143" w:lineRule="exact"/>
        <w:rPr>
          <w:rFonts w:ascii="Arial" w:cs="Arial" w:eastAsia="Arial" w:hAnsi="Arial"/>
          <w:sz w:val="18"/>
          <w:szCs w:val="18"/>
          <w:color w:val="auto"/>
        </w:rPr>
      </w:pPr>
    </w:p>
    <w:p>
      <w:pPr>
        <w:ind w:left="980" w:right="6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Barnes Canyon Lease</w:t>
      </w:r>
      <w:r>
        <w:rPr>
          <w:rFonts w:ascii="Arial" w:cs="Arial" w:eastAsia="Arial" w:hAnsi="Arial"/>
          <w:sz w:val="18"/>
          <w:szCs w:val="18"/>
          <w:color w:val="auto"/>
        </w:rPr>
        <w:t>: 48,880 square feet of general office, manufacturing and warehouse space located on Barnes Canyon Road in San Diego, California, which is scheduled to expire in November 2023. We have a one-time option to extend the term of the Barnes Canyon lease for a period of not less than three years and not greater than five years.</w:t>
      </w:r>
    </w:p>
    <w:p>
      <w:pPr>
        <w:spacing w:after="0" w:line="156" w:lineRule="exact"/>
        <w:rPr>
          <w:rFonts w:ascii="Arial" w:cs="Arial" w:eastAsia="Arial" w:hAnsi="Arial"/>
          <w:sz w:val="18"/>
          <w:szCs w:val="18"/>
          <w:color w:val="auto"/>
        </w:rPr>
      </w:pPr>
    </w:p>
    <w:p>
      <w:pPr>
        <w:jc w:val="both"/>
        <w:ind w:left="980" w:right="24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Marindustry Place Lease</w:t>
      </w:r>
      <w:r>
        <w:rPr>
          <w:rFonts w:ascii="Arial" w:cs="Arial" w:eastAsia="Arial" w:hAnsi="Arial"/>
          <w:sz w:val="18"/>
          <w:szCs w:val="18"/>
          <w:color w:val="auto"/>
        </w:rPr>
        <w:t>: 40,490 square feet of general office and warehouse space located on Marindustry Place in San Diego, California, which is scheduled to expire in April 2026. We have a one-time option to extend the term of the Marindustry Place lease for a period of no less than three years and no more than five years.</w:t>
      </w:r>
    </w:p>
    <w:p>
      <w:pPr>
        <w:spacing w:after="0" w:line="143"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High Bluff Sublease</w:t>
      </w:r>
      <w:r>
        <w:rPr>
          <w:rFonts w:ascii="Arial" w:cs="Arial" w:eastAsia="Arial" w:hAnsi="Arial"/>
          <w:sz w:val="18"/>
          <w:szCs w:val="18"/>
          <w:color w:val="auto"/>
        </w:rPr>
        <w:t>: 30,703 square feet of general office space located on High Bluff Drive in San Diego, California. The High Bluff sublease is scheduled to expire in March 2022.</w:t>
      </w:r>
    </w:p>
    <w:p>
      <w:pPr>
        <w:spacing w:after="0" w:line="129"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52"/>
        </w:numPr>
        <w:rPr>
          <w:rFonts w:ascii="Arial" w:cs="Arial" w:eastAsia="Arial" w:hAnsi="Arial"/>
          <w:sz w:val="18"/>
          <w:szCs w:val="18"/>
          <w:i w:val="1"/>
          <w:iCs w:val="1"/>
          <w:color w:val="auto"/>
        </w:rPr>
      </w:pPr>
      <w:r>
        <w:rPr>
          <w:rFonts w:ascii="Arial" w:cs="Arial" w:eastAsia="Arial" w:hAnsi="Arial"/>
          <w:sz w:val="18"/>
          <w:szCs w:val="18"/>
          <w:u w:val="single" w:color="auto"/>
          <w:color w:val="auto"/>
        </w:rPr>
        <w:t>High Bluff Lease</w:t>
      </w:r>
      <w:r>
        <w:rPr>
          <w:rFonts w:ascii="Arial" w:cs="Arial" w:eastAsia="Arial" w:hAnsi="Arial"/>
          <w:sz w:val="18"/>
          <w:szCs w:val="18"/>
          <w:color w:val="auto"/>
        </w:rPr>
        <w:t>: 31,372 square feet of general office space located on High Bluff Drive, in San Diego, California. The High Bluff lease is a direct lease agreement for the same property subject to the High Bluff sublease. The lease term begins in April 2022 following the termination of the High Bluff sublease in March 2022, and is scheduled to expire in March 2024.</w:t>
      </w:r>
    </w:p>
    <w:p>
      <w:pPr>
        <w:spacing w:after="0" w:line="156" w:lineRule="exact"/>
        <w:rPr>
          <w:rFonts w:ascii="Arial" w:cs="Arial" w:eastAsia="Arial" w:hAnsi="Arial"/>
          <w:sz w:val="18"/>
          <w:szCs w:val="18"/>
          <w:i w:val="1"/>
          <w:iCs w:val="1"/>
          <w:color w:val="auto"/>
        </w:rPr>
      </w:pPr>
    </w:p>
    <w:p>
      <w:pPr>
        <w:ind w:left="980" w:right="100" w:hanging="324"/>
        <w:spacing w:after="0" w:line="25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Tech Center Lease</w:t>
      </w:r>
      <w:r>
        <w:rPr>
          <w:rFonts w:ascii="Arial" w:cs="Arial" w:eastAsia="Arial" w:hAnsi="Arial"/>
          <w:sz w:val="18"/>
          <w:szCs w:val="18"/>
          <w:color w:val="auto"/>
        </w:rPr>
        <w:t>: 181,949 square feet of general administrative, laboratory and research and development office space located on High Bluff Drive in San Diego, California. Phase I of the lease, consisting of 143,850 square feet, is expected to commence in the first quarter of 2022. Phase II of the lease, consisting of 38,099 square feet, is expected to commence in 2025. The lease term covering both Phase I and Phase II is currently expected to expire in April 2035. We have two options to extend the term of the lease, with each option providing for an additional period of five years.</w:t>
      </w:r>
    </w:p>
    <w:p>
      <w:pPr>
        <w:spacing w:after="0" w:line="147"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Shoreline Lease</w:t>
      </w:r>
      <w:r>
        <w:rPr>
          <w:rFonts w:ascii="Arial" w:cs="Arial" w:eastAsia="Arial" w:hAnsi="Arial"/>
          <w:sz w:val="18"/>
          <w:szCs w:val="18"/>
          <w:color w:val="auto"/>
        </w:rPr>
        <w:t>: 94,562 square feet of general office space located on Shoreline Drive in Boise, Idaho. The Shoreline lease term commenced in July 2020, and is scheduled to expire in June 2027. We have a one-time option to extend the term of the Shoreline lease for a period of three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3" w:name="page64"/>
    <w:bookmarkEnd w:id="63"/>
    <w:p>
      <w:pPr>
        <w:ind w:left="980" w:right="32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Markham Lease</w:t>
      </w:r>
      <w:r>
        <w:rPr>
          <w:rFonts w:ascii="Arial" w:cs="Arial" w:eastAsia="Arial" w:hAnsi="Arial"/>
          <w:sz w:val="18"/>
          <w:szCs w:val="18"/>
          <w:color w:val="auto"/>
        </w:rPr>
        <w:t>: 667 square feet of general office space located in Markham, Ontario, Canada. This is a month-to-month lease that can be canceled by delivering written notice of no less than one month to the landlord.</w:t>
      </w:r>
    </w:p>
    <w:p>
      <w:pPr>
        <w:spacing w:after="0" w:line="143"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We believe that the facilities that we presently occupy will be sufficient to support our current operations and that suitable additional facilities would be available to us should our operations require it.</w:t>
      </w:r>
    </w:p>
    <w:p>
      <w:pPr>
        <w:spacing w:after="0" w:line="200" w:lineRule="exact"/>
        <w:rPr>
          <w:sz w:val="20"/>
          <w:szCs w:val="20"/>
          <w:color w:val="auto"/>
        </w:rPr>
      </w:pPr>
    </w:p>
    <w:p>
      <w:pPr>
        <w:spacing w:after="0" w:line="3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firstLine="810"/>
        <w:spacing w:after="0" w:line="261" w:lineRule="auto"/>
        <w:rPr>
          <w:sz w:val="20"/>
          <w:szCs w:val="20"/>
          <w:color w:val="auto"/>
        </w:rPr>
      </w:pPr>
      <w:r>
        <w:rPr>
          <w:rFonts w:ascii="Arial" w:cs="Arial" w:eastAsia="Arial" w:hAnsi="Arial"/>
          <w:sz w:val="18"/>
          <w:szCs w:val="18"/>
          <w:color w:val="auto"/>
        </w:rPr>
        <w:t>In April 2020, we were named as a defendant in four federal class action lawsuits relating to a data breach we experienced in January 2020, each of which was subsequently dismissed.</w:t>
      </w:r>
    </w:p>
    <w:p>
      <w:pPr>
        <w:spacing w:after="0" w:line="130" w:lineRule="exact"/>
        <w:rPr>
          <w:sz w:val="20"/>
          <w:szCs w:val="20"/>
          <w:color w:val="auto"/>
        </w:rPr>
      </w:pPr>
    </w:p>
    <w:p>
      <w:pPr>
        <w:ind w:right="100" w:firstLine="810"/>
        <w:spacing w:after="0" w:line="269" w:lineRule="auto"/>
        <w:rPr>
          <w:sz w:val="20"/>
          <w:szCs w:val="20"/>
          <w:color w:val="auto"/>
        </w:rPr>
      </w:pPr>
      <w:r>
        <w:rPr>
          <w:rFonts w:ascii="Arial" w:cs="Arial" w:eastAsia="Arial" w:hAnsi="Arial"/>
          <w:sz w:val="16"/>
          <w:szCs w:val="16"/>
          <w:color w:val="auto"/>
        </w:rPr>
        <w:t>In addition, in May 2020 we were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Joseph Deluna et al v. Tandem Diabetes Care, Inc. The consolidated case alleges violations of the Confidentiality of Medical Information Act (CMIA), California Consumer Privacy Act (CCPA), California’s Unfair Competition Law (UCL), and breach of contract. We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failing to allege cognizable damages or injuries-in-fact, resulting in two remaining plaintiffs. Although we intend to vigorously defend against these claims, there is no guarantee that we will prevail. We are presently unable to determine the ultimate outcome of these lawsuits or determine the amount (or range) of possible losses associated with the lawsuits.</w:t>
      </w:r>
    </w:p>
    <w:p>
      <w:pPr>
        <w:spacing w:after="0" w:line="131" w:lineRule="exact"/>
        <w:rPr>
          <w:sz w:val="20"/>
          <w:szCs w:val="20"/>
          <w:color w:val="auto"/>
        </w:rPr>
      </w:pPr>
    </w:p>
    <w:p>
      <w:pPr>
        <w:ind w:right="40" w:firstLine="810"/>
        <w:spacing w:after="0" w:line="251" w:lineRule="auto"/>
        <w:rPr>
          <w:sz w:val="20"/>
          <w:szCs w:val="20"/>
          <w:color w:val="auto"/>
        </w:rPr>
      </w:pPr>
      <w:r>
        <w:rPr>
          <w:rFonts w:ascii="Arial" w:cs="Arial" w:eastAsia="Arial" w:hAnsi="Arial"/>
          <w:sz w:val="17"/>
          <w:szCs w:val="17"/>
          <w:color w:val="auto"/>
        </w:rPr>
        <w:t>In September 2020, we were named as a defendant in a lawsuit entitled Buck Walsh, individually and on behalf of others similarly situated v. Tandem Diabetes Care, Inc., which was filed in the Superior Court of the State of California in the County of San Diego. The alleged violations include business and professions code and labor code violations for failure to compensate wages, unpaid meal and rest periods, and failure to reimburse for necessary business-related expenses. The case was brought as a class action and was later amended to also include a representative action under the California Private Attorney General Act, or PAGA. The class of plaintiffs includes hourly paid or non-exempt employees of the Company who were employed from April 6, 2016 through the date of adjudication. The parties recently agreed to resolve all claims in the lawsuit. The settlement of claims covered by the PAGA matter were approved by the Superior Court of the State of California in the County of San Diego on September 21, 2021 and settlement amounts were disbursed in 2021. Also in October 2021, a settlement of the class action related claims was preliminarily approved by an independent arbitrator mutually acceptable to both parties. The class action settlement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is subject to the completion of a number of conditions, as well as final approval by the independent arbitrator. There is no guarantee that the conditions will be met or that final approval will be obtained. If the final class settlement is not approved, or if other conditions to approval of the settlement are not met, the case will continue and the Company will continue to vigorously defend against the claims.</w:t>
      </w:r>
    </w:p>
    <w:p>
      <w:pPr>
        <w:spacing w:after="0" w:line="162" w:lineRule="exact"/>
        <w:rPr>
          <w:sz w:val="20"/>
          <w:szCs w:val="20"/>
          <w:color w:val="auto"/>
        </w:rPr>
      </w:pPr>
    </w:p>
    <w:p>
      <w:pPr>
        <w:ind w:right="40" w:firstLine="810"/>
        <w:spacing w:after="0" w:line="276" w:lineRule="auto"/>
        <w:rPr>
          <w:sz w:val="20"/>
          <w:szCs w:val="20"/>
          <w:color w:val="auto"/>
        </w:rPr>
      </w:pPr>
      <w:r>
        <w:rPr>
          <w:rFonts w:ascii="Arial" w:cs="Arial" w:eastAsia="Arial" w:hAnsi="Arial"/>
          <w:sz w:val="16"/>
          <w:szCs w:val="16"/>
          <w:color w:val="auto"/>
        </w:rPr>
        <w:t>From time to time, we are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Although the results of legal proceedings, disputes and other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200" w:lineRule="exact"/>
        <w:rPr>
          <w:sz w:val="20"/>
          <w:szCs w:val="20"/>
          <w:color w:val="auto"/>
        </w:rPr>
      </w:pPr>
    </w:p>
    <w:p>
      <w:pPr>
        <w:spacing w:after="0" w:line="3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4" w:name="page65"/>
    <w:bookmarkEnd w:id="64"/>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260" w:firstLine="810"/>
        <w:spacing w:after="0" w:line="263" w:lineRule="auto"/>
        <w:rPr>
          <w:sz w:val="20"/>
          <w:szCs w:val="20"/>
          <w:color w:val="auto"/>
        </w:rPr>
      </w:pPr>
      <w:r>
        <w:rPr>
          <w:rFonts w:ascii="Arial" w:cs="Arial" w:eastAsia="Arial" w:hAnsi="Arial"/>
          <w:sz w:val="18"/>
          <w:szCs w:val="18"/>
          <w:color w:val="auto"/>
        </w:rPr>
        <w:t>Our common stock began trading on the Nasdaq Global Market on November 14, 2013 under the symbol “TNDM.” Prior to such time, there was no public market for our common stock. The following table sets forth the high and low intraday sales prices per share of our common stock as reported on the Nasdaq Global Market for the period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Price Range</w:t>
            </w:r>
          </w:p>
        </w:tc>
        <w:tc>
          <w:tcPr>
            <w:tcW w:w="90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rPr>
              <w:t>Low</w:t>
            </w:r>
          </w:p>
        </w:tc>
      </w:tr>
      <w:tr>
        <w:trPr>
          <w:trHeight w:val="26"/>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Year Ended December 31, 2021</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First Quarter</w:t>
            </w:r>
          </w:p>
        </w:tc>
        <w:tc>
          <w:tcPr>
            <w:tcW w:w="60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77.77</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r>
      <w:tr>
        <w:trPr>
          <w:trHeight w:val="243"/>
        </w:trPr>
        <w:tc>
          <w:tcPr>
            <w:tcW w:w="20" w:type="dxa"/>
            <w:vAlign w:val="bottom"/>
          </w:tcPr>
          <w:p>
            <w:pPr>
              <w:spacing w:after="0"/>
              <w:rPr>
                <w:sz w:val="21"/>
                <w:szCs w:val="21"/>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92.17</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r>
      <w:tr>
        <w:trPr>
          <w:trHeight w:val="256"/>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2020</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First Quarter</w:t>
            </w:r>
          </w:p>
        </w:tc>
        <w:tc>
          <w:tcPr>
            <w:tcW w:w="60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91.65</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43.69</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59.24</w:t>
            </w:r>
          </w:p>
        </w:tc>
      </w:tr>
      <w:tr>
        <w:trPr>
          <w:trHeight w:val="243"/>
        </w:trPr>
        <w:tc>
          <w:tcPr>
            <w:tcW w:w="20" w:type="dxa"/>
            <w:vAlign w:val="bottom"/>
          </w:tcPr>
          <w:p>
            <w:pPr>
              <w:spacing w:after="0"/>
              <w:rPr>
                <w:sz w:val="21"/>
                <w:szCs w:val="21"/>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91.93</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w:t>
            </w:r>
          </w:p>
        </w:tc>
      </w:tr>
      <w:tr>
        <w:trPr>
          <w:trHeight w:val="27"/>
        </w:trPr>
        <w:tc>
          <w:tcPr>
            <w:tcW w:w="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jc w:val="both"/>
        <w:ind w:right="200" w:firstLine="810"/>
        <w:spacing w:after="0" w:line="311" w:lineRule="auto"/>
        <w:rPr>
          <w:sz w:val="20"/>
          <w:szCs w:val="20"/>
          <w:color w:val="auto"/>
        </w:rPr>
      </w:pPr>
      <w:r>
        <w:rPr>
          <w:rFonts w:ascii="Arial" w:cs="Arial" w:eastAsia="Arial" w:hAnsi="Arial"/>
          <w:sz w:val="16"/>
          <w:szCs w:val="16"/>
          <w:color w:val="auto"/>
        </w:rPr>
        <w:t>As of February 17, 2022, there were approximately 42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ind w:right="740" w:firstLine="810"/>
        <w:spacing w:after="0" w:line="308" w:lineRule="auto"/>
        <w:rPr>
          <w:sz w:val="20"/>
          <w:szCs w:val="20"/>
          <w:color w:val="auto"/>
        </w:rPr>
      </w:pPr>
      <w:r>
        <w:rPr>
          <w:rFonts w:ascii="Arial" w:cs="Arial" w:eastAsia="Arial" w:hAnsi="Arial"/>
          <w:sz w:val="17"/>
          <w:szCs w:val="17"/>
          <w:color w:val="auto"/>
        </w:rPr>
        <w:t>Information about our equity compensation plans, as set forth in this Annual Report under the caption “Security Ownership of Certain Beneficial Owners and Management and Related Stockholder Matters” in Part III, Item 12, is incorporated herein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did not repurchase any of our equity securities during the years ended December 31, 2021 and 2020.</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“Selected Financial Data” in Part II, Item 6 and our consolidated financial statements and related notes in Part II, Item 8. The following discussion contains forward-looking statements, which statements are subject to considerable risks and uncertainties. Our actual results could differ materially from those expressed or implied in any forward-looking statements as a result of various factors, including those set forth under the caption “Risk Factors” in Part I, Item 1A.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5" w:name="page66"/>
    <w:bookmarkEnd w:id="65"/>
    <w:p>
      <w:pPr>
        <w:ind w:right="20" w:firstLine="810"/>
        <w:spacing w:after="0" w:line="271" w:lineRule="auto"/>
        <w:rPr>
          <w:sz w:val="20"/>
          <w:szCs w:val="20"/>
          <w:color w:val="auto"/>
        </w:rPr>
      </w:pPr>
      <w:r>
        <w:rPr>
          <w:rFonts w:ascii="Arial" w:cs="Arial" w:eastAsia="Arial" w:hAnsi="Arial"/>
          <w:sz w:val="17"/>
          <w:szCs w:val="17"/>
          <w:i w:val="1"/>
          <w:iCs w:val="1"/>
          <w:color w:val="auto"/>
        </w:rPr>
        <w:t>Certain statements contained in this Annual Report are “forward-looking statements” within the meaning of Section 27A of the Securities Act of 1933, as amended, and Section 21E of the Exchange Act, and are subject to the “safe harbor” created by these sections. Future filings with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Some of the factors that could cause actual results to differ materially from those expressed or implied by such forward-looking statements can be found under the caption “Risk Factors” in Part I, Item 1A, and elsewhere in this Annual Report. The forward-looking statements speak only as of the date on which they are made, and we undertake no obligation to update such statements to reflect events that occur or circumstances that exist after the date on which they are made.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280" w:firstLine="810"/>
        <w:spacing w:after="0" w:line="246" w:lineRule="auto"/>
        <w:rPr>
          <w:sz w:val="20"/>
          <w:szCs w:val="20"/>
          <w:color w:val="auto"/>
        </w:rPr>
      </w:pPr>
      <w:r>
        <w:rPr>
          <w:rFonts w:ascii="Arial" w:cs="Arial" w:eastAsia="Arial" w:hAnsi="Arial"/>
          <w:sz w:val="17"/>
          <w:szCs w:val="17"/>
          <w:color w:val="auto"/>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portfolio of delivery devices, software, and data insight solutions to people living with diabetes, as well as their caregivers and healthcare providers.</w:t>
      </w:r>
    </w:p>
    <w:p>
      <w:pPr>
        <w:spacing w:after="0" w:line="198" w:lineRule="exact"/>
        <w:rPr>
          <w:sz w:val="20"/>
          <w:szCs w:val="20"/>
          <w:color w:val="auto"/>
        </w:rPr>
      </w:pPr>
    </w:p>
    <w:p>
      <w:pPr>
        <w:ind w:right="80" w:firstLine="810"/>
        <w:spacing w:after="0" w:line="227" w:lineRule="auto"/>
        <w:rPr>
          <w:sz w:val="20"/>
          <w:szCs w:val="20"/>
          <w:color w:val="auto"/>
        </w:rPr>
      </w:pPr>
      <w:r>
        <w:rPr>
          <w:rFonts w:ascii="Arial" w:cs="Arial" w:eastAsia="Arial" w:hAnsi="Arial"/>
          <w:sz w:val="18"/>
          <w:szCs w:val="18"/>
          <w:color w:val="auto"/>
        </w:rPr>
        <w:t>Since our initial commercial launch, we have rapidly innovated and brought more products to market than our competitors. We have commercially launched seven insulin pump configurations in the United States since 2012 and three insulin pump configurations outside the United States since 2018. Today, our software-updatable t:slim X2 Insulin Delivery System (t:slim X2) hardware platform represents 100% of our new pump shipments. In the four-year period ended December 31, 2021, we shipped nearly 330,000 insulin pumps, which is representative of our estimated global installed customer base, assuming the typical four-year reimbursement cycle. Nearly 240,000 of these pumps were shipped to customers in the United States and nearly 90,000 were shipped to international markets.</w:t>
      </w:r>
    </w:p>
    <w:p>
      <w:pPr>
        <w:spacing w:after="0" w:line="202" w:lineRule="exact"/>
        <w:rPr>
          <w:sz w:val="20"/>
          <w:szCs w:val="20"/>
          <w:color w:val="auto"/>
        </w:rPr>
      </w:pPr>
    </w:p>
    <w:p>
      <w:pPr>
        <w:ind w:right="20" w:firstLine="810"/>
        <w:spacing w:after="0" w:line="255" w:lineRule="auto"/>
        <w:rPr>
          <w:sz w:val="20"/>
          <w:szCs w:val="20"/>
          <w:color w:val="auto"/>
        </w:rPr>
      </w:pPr>
      <w:r>
        <w:rPr>
          <w:rFonts w:ascii="Arial" w:cs="Arial" w:eastAsia="Arial" w:hAnsi="Arial"/>
          <w:sz w:val="16"/>
          <w:szCs w:val="16"/>
          <w:color w:val="auto"/>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We have commercially offered two different automated insulin dosing (AID) algorithms on t:slim X2, including our Control-IQ technology, which is an advanced hybrid-closed loop feature, designed to help increase a user's time in their targeted glycemic range. It was the first system cleared by the U.S. Food and Drug Administration (FDA) to deliver automatic correction boluses in addition to adjusting insulin to help prevent high and low blood sugar based on continuous glucose monitoring (CGM) readings. Approximately 200,000 t:slim X2 users have our Control-IQ technology, which launched in the United States in the first quarter of 2020, and is now available in more than 20 countries. Our Control-IQ technology uses information from Dexcom Inc.’s (Dexcom) G6 sensor, which is the third generation of Dexcom CGM that we have integrated with our pump technology.</w:t>
      </w:r>
    </w:p>
    <w:p>
      <w:pPr>
        <w:spacing w:after="0" w:line="191" w:lineRule="exact"/>
        <w:rPr>
          <w:sz w:val="20"/>
          <w:szCs w:val="20"/>
          <w:color w:val="auto"/>
        </w:rPr>
      </w:pPr>
    </w:p>
    <w:p>
      <w:pPr>
        <w:ind w:right="40" w:firstLine="810"/>
        <w:spacing w:after="0" w:line="246" w:lineRule="auto"/>
        <w:rPr>
          <w:sz w:val="20"/>
          <w:szCs w:val="20"/>
          <w:color w:val="auto"/>
        </w:rPr>
      </w:pPr>
      <w:r>
        <w:rPr>
          <w:rFonts w:ascii="Arial" w:cs="Arial" w:eastAsia="Arial" w:hAnsi="Arial"/>
          <w:sz w:val="17"/>
          <w:szCs w:val="17"/>
          <w:color w:val="auto"/>
        </w:rPr>
        <w:t>The t:slim X2 is unique in that it is the only pump on which remote software updates have been made commercially available in the United States. Now available in the countries we serve worldwide, our Tandem Device Updater (TDU), is a revolutionary tool that has allowed more than 130,000 people to update their t:slim X2 software from a personal computer. This offering is a competitive advantage as it allows us to bring new features, such as our AID technology and CGM integration, to our customers faster than the industry has been able to historically.</w:t>
      </w:r>
    </w:p>
    <w:p>
      <w:pPr>
        <w:spacing w:after="0" w:line="198"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Additionally, we sell accessories such as belt clips and cases for use with pumps which are designed to enhance usability.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spacing w:after="0" w:line="148"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color w:val="auto"/>
        </w:rPr>
        <w:t>Our primary research and development and administrative headquarters are located in San Diego, California. We also operate a manufacturing facility and a warehousing facility in San Diego. In addition, we maintain offices in Boise, Idaho and in Markham, Ontario, Canada. We employed approximately 2,000 regular full-time employees as of December 31, 2021.</w:t>
      </w:r>
    </w:p>
    <w:p>
      <w:pPr>
        <w:spacing w:after="0" w:line="143"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For the years ended December 31, 2021, 2020 and 2019, our consolidated sales were $702.8 million, $498.8 million, and $362.3 million, respectively. For the year ended December 31, 2021, our net income was $15.6 million. For the years ended 2020 and 2019, our net loss was $34.4 million, and $24.8 million, respectively. Worldwide pump sales accounted for 59%, 63%, and 68% of our total sales, respectively, for the years ended December 31, 2021, 2020 and 2019, while pump-related supplies and accessories accounted for the remainder in each year.</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8"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On February 16, 2022, we announced FDA clearance for the t:connect mobile app, which is the first-ever smartphone application capable of initiating insulin delivery on both iOS and Android operating systems. The updated t:connect mobile app is designed to offer t:slim X2 insulin pump users the ability to program and cancel bolus insulin requests through the convenience of their compatible smartphone. The new feature will be offered in the United States for no additional cost to new t:slim X2 insulin pump customers, and to in-warranty customers through remote software updates for both the t:slim X2 insulin pump and t:connect mobile app.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25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Our business has been impacted in a variety of ways since the onset of the COVID-19 global pandemic in early 2020, and will likely continue to be impacted for the remainder of 2022. Specific factors that have influenced our financial results and the way in which we operate include fluctuations in shelter-in-place restrictions, supply chain constraints, labor shortages, the timing and extent of vaccine availability and surges in infection and hospitalization rates as new COVID variants have emerged. Throughout this time, we have responded to each of these unique challenges, while prioritizing the health and safety of our employees and customers and working diligently to maintain a continuous supply of products, training and customer support.</w:t>
      </w:r>
    </w:p>
    <w:p>
      <w:pPr>
        <w:spacing w:after="0" w:line="188"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Most notably, our sales results reflected a high degree of variability across the quarters during this time, unlike historical seasonal trends. We experienced a modest impact early in 2020, which became more pronounced and continued in varying degrees as the pandemic progressed. Initially, the impact on our business was relatively consistent worldwide but we have since seen variations in individual markets based on local conditions and anticipate ongoing fluctuations may continue.</w:t>
      </w:r>
    </w:p>
    <w:p>
      <w:pPr>
        <w:spacing w:after="0" w:line="214"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Our inventory levels have also fluctuated as we respond to supply chain constraints, due to availability of components from the various suppliers we use to build our products. While we have adequate raw material inventory for a substantial portion of our pump and cartridge components, we are below our targeted stocking levels for others. In early 2020, we initiated regular discussions with our key suppliers regarding their abilities to fulfill existing orders and assess their ongoing capacity. Over the course of the pandemic, we have increased the frequency of those communications. We continue to monitor factors that could negatively impact our supply chain, such as global shortages of semiconductors, copper and paper, as well as custom components for our insulin pumps and cartridges where we rely on a limited number of qualified suppliers. We anticipate experiencing continued challenges managing supply chain constraints, including the potential for limitations on availability of components as well as increased purchase costs.</w:t>
      </w:r>
    </w:p>
    <w:p>
      <w:pPr>
        <w:spacing w:after="0" w:line="193"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Generally, our entire operation has been impacted as we navigate the generalized labor shortages impacting global markets. The labor challenges affect our ability to recruit and hire key talent at the same pace as in years past, but we remain active in our recruiting efforts and competitive in our offerings. In particular, these labor challenges combined with regulatory delays have impacted our product development and launch timelines. The FDA has generally stated that its review process may take longer than normal due to prioritization of COVID-related products and services. We have experienced lengthy delays in the review of pending submissions with the FDA, making regulatory timelines increasingly difficult to predict.</w:t>
      </w:r>
    </w:p>
    <w:p>
      <w:pPr>
        <w:spacing w:after="0" w:line="188"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We have adapted well in our commercial operations and customer-facing functions. Our sales organization balances remote and in-person interactions based on the needs and requirements of the customers with whom they interact. For example, prior to the onset of the pandemic, nearly all trainings for customers purchasing our pump platform were in-person. We quickly pivoted to nearly all trainings being provided on remote platforms. Since that time, we have achieved a balance that includes options for the individual based on their unique needs. We continue to see variability across the markets in which we operate and anticipate these fluctuations between in-person and remote interactions will continue.</w:t>
      </w:r>
    </w:p>
    <w:p>
      <w:pPr>
        <w:spacing w:after="0" w:line="203"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Our facilities have been closed for non-essential purposes throughout most of the pandemic, while our manufacturing operations were deemed essential due to the critical nature of our product and the communities that we serve. To help ensure the safety and health of those employees working in our facilities, we have implemented preventative measures by requiring employees to wear masks and perform temperature checks before each shift. We are currently developing a return-to-work strategy for the rest of the organization that will incorporate a hybrid approach to meet the needs of our employees, as well as optimize usage of our facilities.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7" w:name="page68"/>
    <w:bookmarkEnd w:id="67"/>
    <w:p>
      <w:pPr>
        <w:ind w:right="20" w:firstLine="810"/>
        <w:spacing w:after="0" w:line="259" w:lineRule="auto"/>
        <w:rPr>
          <w:sz w:val="20"/>
          <w:szCs w:val="20"/>
          <w:color w:val="auto"/>
        </w:rPr>
      </w:pPr>
      <w:r>
        <w:rPr>
          <w:rFonts w:ascii="Arial" w:cs="Arial" w:eastAsia="Arial" w:hAnsi="Arial"/>
          <w:sz w:val="18"/>
          <w:szCs w:val="18"/>
          <w:color w:val="auto"/>
        </w:rPr>
        <w:t>Overall, we anticipate that our sales and operating results will continue to be impacted and subject to unpredictable variability. The full extent of the impact of the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00" w:lineRule="exact"/>
        <w:rPr>
          <w:sz w:val="20"/>
          <w:szCs w:val="20"/>
          <w:color w:val="auto"/>
        </w:rPr>
      </w:pPr>
    </w:p>
    <w:p>
      <w:pPr>
        <w:spacing w:after="0" w:line="228" w:lineRule="exact"/>
        <w:rPr>
          <w:sz w:val="20"/>
          <w:szCs w:val="20"/>
          <w:color w:val="auto"/>
        </w:rPr>
      </w:pPr>
    </w:p>
    <w:p>
      <w:pPr>
        <w:ind w:right="200" w:firstLine="810"/>
        <w:spacing w:after="0" w:line="235" w:lineRule="auto"/>
        <w:rPr>
          <w:sz w:val="20"/>
          <w:szCs w:val="20"/>
          <w:color w:val="auto"/>
        </w:rPr>
      </w:pPr>
      <w:r>
        <w:rPr>
          <w:rFonts w:ascii="Arial" w:cs="Arial" w:eastAsia="Arial" w:hAnsi="Arial"/>
          <w:sz w:val="18"/>
          <w:szCs w:val="18"/>
          <w:color w:val="auto"/>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Delivery Devices</w:t>
      </w:r>
    </w:p>
    <w:p>
      <w:pPr>
        <w:spacing w:after="0" w:line="239" w:lineRule="exact"/>
        <w:rPr>
          <w:sz w:val="20"/>
          <w:szCs w:val="20"/>
          <w:color w:val="auto"/>
        </w:rPr>
      </w:pPr>
    </w:p>
    <w:p>
      <w:pPr>
        <w:ind w:right="60" w:firstLine="810"/>
        <w:spacing w:after="0" w:line="235" w:lineRule="auto"/>
        <w:rPr>
          <w:sz w:val="20"/>
          <w:szCs w:val="20"/>
          <w:color w:val="auto"/>
        </w:rPr>
      </w:pPr>
      <w:r>
        <w:rPr>
          <w:rFonts w:ascii="Arial" w:cs="Arial" w:eastAsia="Arial" w:hAnsi="Arial"/>
          <w:sz w:val="18"/>
          <w:szCs w:val="18"/>
          <w:color w:val="auto"/>
        </w:rPr>
        <w:t>We are developing a family of delivery device solutions to meet the varying needs of people living with type 1 and type 2 diabetes by providing choice within our own portfolio. Preferences in the size, shape, and mode of operation that comprise an insulin pump’s hardware often impact a person’s pump purchasing decision and overall user experience.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w:t>
      </w:r>
    </w:p>
    <w:p>
      <w:pPr>
        <w:spacing w:after="0" w:line="239" w:lineRule="exact"/>
        <w:rPr>
          <w:sz w:val="20"/>
          <w:szCs w:val="20"/>
          <w:color w:val="auto"/>
        </w:rPr>
      </w:pPr>
    </w:p>
    <w:p>
      <w:pPr>
        <w:ind w:firstLine="810"/>
        <w:spacing w:after="0" w:line="231" w:lineRule="auto"/>
        <w:rPr>
          <w:sz w:val="20"/>
          <w:szCs w:val="20"/>
          <w:color w:val="auto"/>
        </w:rPr>
      </w:pPr>
      <w:r>
        <w:rPr>
          <w:rFonts w:ascii="Arial" w:cs="Arial" w:eastAsia="Arial" w:hAnsi="Arial"/>
          <w:sz w:val="18"/>
          <w:szCs w:val="18"/>
          <w:color w:val="auto"/>
        </w:rPr>
        <w:t>Formerly referred to under its development name, t:sport, the Tandem Mobi is approximately half the size of our t:slim X2 pump, and is being designed for people who seek even greater discretion and flexibility with the use of their insulin pump. Its features include a 200-unit cartridge, an on-pump bolus button, inductive charging, an AID algorithm, and is waterproof. We anticipate that Mobi will be our first insulin pump to support full pump-control from our mobile application.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X3</w:t>
      </w:r>
    </w:p>
    <w:p>
      <w:pPr>
        <w:spacing w:after="0" w:line="239" w:lineRule="exact"/>
        <w:rPr>
          <w:sz w:val="20"/>
          <w:szCs w:val="20"/>
          <w:color w:val="auto"/>
        </w:rPr>
      </w:pPr>
    </w:p>
    <w:p>
      <w:pPr>
        <w:ind w:right="20" w:firstLine="810"/>
        <w:spacing w:after="0" w:line="235" w:lineRule="auto"/>
        <w:rPr>
          <w:sz w:val="20"/>
          <w:szCs w:val="20"/>
          <w:color w:val="auto"/>
        </w:rPr>
      </w:pPr>
      <w:r>
        <w:rPr>
          <w:rFonts w:ascii="Arial" w:cs="Arial" w:eastAsia="Arial" w:hAnsi="Arial"/>
          <w:sz w:val="18"/>
          <w:szCs w:val="18"/>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 Tubeless</w:t>
      </w:r>
    </w:p>
    <w:p>
      <w:pPr>
        <w:spacing w:after="0" w:line="239" w:lineRule="exact"/>
        <w:rPr>
          <w:sz w:val="20"/>
          <w:szCs w:val="20"/>
          <w:color w:val="auto"/>
        </w:rPr>
      </w:pPr>
    </w:p>
    <w:p>
      <w:pPr>
        <w:ind w:right="40" w:firstLine="810"/>
        <w:spacing w:after="0" w:line="307" w:lineRule="auto"/>
        <w:rPr>
          <w:sz w:val="20"/>
          <w:szCs w:val="20"/>
          <w:color w:val="auto"/>
        </w:rPr>
      </w:pPr>
      <w:r>
        <w:rPr>
          <w:rFonts w:ascii="Arial" w:cs="Arial" w:eastAsia="Arial" w:hAnsi="Arial"/>
          <w:sz w:val="16"/>
          <w:szCs w:val="16"/>
          <w:color w:val="auto"/>
        </w:rPr>
        <w:t>This offering is being developed to provide an alternative tubeless infusion site option for Mobi pump users. A goal of this design is to allow for people living with diabetes to customize the way they wear their pump with each cartridge change to best suit their personal preferences and lifestyle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Patch</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Our patch pump design is in its early stages and is being developed for people living with diabetes who want a disposable tubeless solution.</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Device Software</w:t>
      </w:r>
    </w:p>
    <w:p>
      <w:pPr>
        <w:spacing w:after="0" w:line="198"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Control-IQ Advancements</w:t>
      </w:r>
    </w:p>
    <w:p>
      <w:pPr>
        <w:spacing w:after="0" w:line="239" w:lineRule="exact"/>
        <w:rPr>
          <w:sz w:val="20"/>
          <w:szCs w:val="20"/>
          <w:color w:val="auto"/>
        </w:rPr>
      </w:pPr>
    </w:p>
    <w:p>
      <w:pPr>
        <w:ind w:right="140" w:firstLine="810"/>
        <w:spacing w:after="0" w:line="231" w:lineRule="auto"/>
        <w:rPr>
          <w:sz w:val="20"/>
          <w:szCs w:val="20"/>
          <w:color w:val="auto"/>
        </w:rPr>
      </w:pPr>
      <w:r>
        <w:rPr>
          <w:rFonts w:ascii="Arial" w:cs="Arial" w:eastAsia="Arial" w:hAnsi="Arial"/>
          <w:sz w:val="18"/>
          <w:szCs w:val="18"/>
          <w:color w:val="auto"/>
        </w:rPr>
        <w:t>We are driving innovation in our algorithms, emphasizing automation, personalization and simplification, all intended to continue to improve therapeutic outcomes and provide a positive patient experience characterized by simplicity and ease of use. Additionally, we have initiated clinical studies to expand the indications of our Control-IQ technology to include people with type 1 diabetes ages 2 to 5 years old, as well as people living with type 2 diabetes. We are also researching the use of different insulins with our Control-IQ technology.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Control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ind w:right="200" w:firstLine="810"/>
        <w:spacing w:after="0" w:line="277" w:lineRule="auto"/>
        <w:rPr>
          <w:sz w:val="20"/>
          <w:szCs w:val="20"/>
          <w:color w:val="auto"/>
        </w:rPr>
      </w:pPr>
      <w:r>
        <w:rPr>
          <w:rFonts w:ascii="Arial" w:cs="Arial" w:eastAsia="Arial" w:hAnsi="Arial"/>
          <w:sz w:val="18"/>
          <w:szCs w:val="18"/>
          <w:color w:val="auto"/>
        </w:rPr>
        <w:t>We are working to expand our mobile control capability. In the future, our t:connect mobile app is planned to include additional pump control features, such as full operation of our Mobi pump.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w:t>
      </w:r>
    </w:p>
    <w:p>
      <w:pPr>
        <w:spacing w:after="0" w:line="198"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Building a robust ecosystem and portfolio around our flagship insulin pumps requires product development efforts to integrate, add and enhance complementary system components.</w:t>
      </w:r>
    </w:p>
    <w:p>
      <w:pPr>
        <w:spacing w:after="0" w:line="130"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i w:val="1"/>
          <w:iCs w:val="1"/>
          <w:color w:val="auto"/>
        </w:rPr>
        <w:t>Dexcom CGM</w:t>
      </w:r>
      <w:r>
        <w:rPr>
          <w:rFonts w:ascii="Arial" w:cs="Arial" w:eastAsia="Arial" w:hAnsi="Arial"/>
          <w:sz w:val="18"/>
          <w:szCs w:val="18"/>
          <w:color w:val="auto"/>
        </w:rPr>
        <w:t>: In November 2020, we entered into an agreement with Dexcom to extend our current collaboration to include integration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their future G7 CGM technology. Following integrated product development work, and required regulatory clearances or approvals, this will be the fourth generation of Dexcom CGM that we intend to integrate with our devices.</w:t>
      </w:r>
    </w:p>
    <w:p>
      <w:pPr>
        <w:spacing w:after="0" w:line="211"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i w:val="1"/>
          <w:iCs w:val="1"/>
          <w:color w:val="auto"/>
        </w:rPr>
        <w:t>Abbott CGM</w:t>
      </w:r>
      <w:r>
        <w:rPr>
          <w:rFonts w:ascii="Arial" w:cs="Arial" w:eastAsia="Arial" w:hAnsi="Arial"/>
          <w:sz w:val="18"/>
          <w:szCs w:val="18"/>
          <w:color w:val="auto"/>
        </w:rPr>
        <w:t>: In June 2020, we announced an agreement with Abbott Laboratories (Abbott), to develop and commercialize integrated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combine Abbott’s CGM technology 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Data and Insights</w:t>
      </w:r>
    </w:p>
    <w:p>
      <w:pPr>
        <w:spacing w:after="0" w:line="239" w:lineRule="exact"/>
        <w:rPr>
          <w:sz w:val="20"/>
          <w:szCs w:val="20"/>
          <w:color w:val="auto"/>
        </w:rPr>
      </w:pPr>
    </w:p>
    <w:p>
      <w:pPr>
        <w:ind w:right="20" w:firstLine="810"/>
        <w:spacing w:after="0" w:line="228" w:lineRule="auto"/>
        <w:rPr>
          <w:sz w:val="20"/>
          <w:szCs w:val="20"/>
          <w:color w:val="auto"/>
        </w:rPr>
      </w:pPr>
      <w:r>
        <w:rPr>
          <w:rFonts w:ascii="Arial" w:cs="Arial" w:eastAsia="Arial" w:hAnsi="Arial"/>
          <w:sz w:val="18"/>
          <w:szCs w:val="18"/>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Key areas of development include making these insights easy to understand, provided in a flexible format with mobile or web apps, and available real time. In addition, we are working to integrate health-related information from third-party sources and use our data to support current and future products under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Tandem Source</w:t>
      </w:r>
    </w:p>
    <w:p>
      <w:pPr>
        <w:spacing w:after="0" w:line="239" w:lineRule="exact"/>
        <w:rPr>
          <w:sz w:val="20"/>
          <w:szCs w:val="20"/>
          <w:color w:val="auto"/>
        </w:rPr>
      </w:pPr>
    </w:p>
    <w:p>
      <w:pPr>
        <w:ind w:right="20" w:firstLine="810"/>
        <w:spacing w:after="0" w:line="242" w:lineRule="auto"/>
        <w:rPr>
          <w:sz w:val="20"/>
          <w:szCs w:val="20"/>
          <w:color w:val="auto"/>
        </w:rPr>
      </w:pPr>
      <w:r>
        <w:rPr>
          <w:rFonts w:ascii="Arial" w:cs="Arial" w:eastAsia="Arial" w:hAnsi="Arial"/>
          <w:sz w:val="17"/>
          <w:szCs w:val="17"/>
          <w:color w:val="auto"/>
        </w:rPr>
        <w:t>Expanding the capabilities of our t:connect data management application available for customers in the United States, Tandem Source is our second-generation web-based data management application that is being designed to become our single, global platform. This application enhances clinical data visualization, provides added interface customization for users to personalize how they engage with their data and for healthcare providers to better manage their care. In the second quarter of 2021, we began limited testing of an initial version of Tandem Source in the United Kingdom. We continue to develop and test new features for Tandem Source in anticipation of a future commercial release of the product.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Settings Automation</w:t>
      </w:r>
    </w:p>
    <w:p>
      <w:pPr>
        <w:spacing w:after="0" w:line="239" w:lineRule="exact"/>
        <w:rPr>
          <w:sz w:val="20"/>
          <w:szCs w:val="20"/>
          <w:color w:val="auto"/>
        </w:rPr>
      </w:pPr>
    </w:p>
    <w:p>
      <w:pPr>
        <w:ind w:right="60" w:firstLine="810"/>
        <w:spacing w:after="0" w:line="235" w:lineRule="auto"/>
        <w:rPr>
          <w:sz w:val="20"/>
          <w:szCs w:val="20"/>
          <w:color w:val="auto"/>
        </w:rPr>
      </w:pPr>
      <w:r>
        <w:rPr>
          <w:rFonts w:ascii="Arial" w:cs="Arial" w:eastAsia="Arial" w:hAnsi="Arial"/>
          <w:sz w:val="18"/>
          <w:szCs w:val="18"/>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additional information, see the section of this Annual Report under the caption “Business” in Part I, Item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185" w:lineRule="exact"/>
        <w:rPr>
          <w:sz w:val="20"/>
          <w:szCs w:val="20"/>
          <w:color w:val="auto"/>
        </w:rPr>
      </w:pPr>
    </w:p>
    <w:p>
      <w:pPr>
        <w:ind w:right="140" w:firstLine="810"/>
        <w:spacing w:after="0" w:line="311"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49"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Insulin pumps in the markets we serve worldwide are generally subject to a four-year reimbursement cycle, imposed by the third-party insurance carrier, government plan or healthcare system that serves as the primary payor. At the end of each four-year cycle, customers may be eligible for the purchase of a new insulin pump, subject to the rules and requirements of the primary payor. The majority of our pump sales through the current period have been generated by new customers, but the opportunity for existing customers to purchase a renewal insulin pump increases each period as individual customer warranties expire. With programs dedicated to customer retention efforts, we expect such renewal purchases to represent a more significant portion of our shipments in the long-term.</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9" w:name="page70"/>
    <w:bookmarkEnd w:id="69"/>
    <w:p>
      <w:pPr>
        <w:ind w:right="60" w:firstLine="810"/>
        <w:spacing w:after="0" w:line="301" w:lineRule="auto"/>
        <w:rPr>
          <w:sz w:val="20"/>
          <w:szCs w:val="20"/>
          <w:color w:val="auto"/>
        </w:rPr>
      </w:pPr>
      <w:r>
        <w:rPr>
          <w:rFonts w:ascii="Arial" w:cs="Arial" w:eastAsia="Arial" w:hAnsi="Arial"/>
          <w:sz w:val="16"/>
          <w:szCs w:val="16"/>
          <w:color w:val="auto"/>
        </w:rPr>
        <w:t>Since inception through December 31, 2021, we have shipped approximately 395,000 pumps worldwide, of which nearly 330,000 insulin pumps were shipped in the last four years, which is representative of our estimated global in-warranty installed customer base, assuming the typical four-year reimbursement cycle. Nearly 240,000 of these pumps were shipped to customers in the United States, and nearly 90,000 were shipped to international markets. In the year ended December 31, 2021, we shipped 128,312 insulin pumps worldwide, compared to 90,771 insulin pumps shipped in 2020.</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120" w:type="dxa"/>
            <w:vAlign w:val="bottom"/>
            <w:tcBorders>
              <w:bottom w:val="single" w:sz="8" w:color="auto"/>
            </w:tcBorders>
            <w:gridSpan w:val="9"/>
          </w:tcPr>
          <w:p>
            <w:pPr>
              <w:jc w:val="center"/>
              <w:ind w:left="782"/>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 - U.S.</w:t>
            </w:r>
          </w:p>
        </w:tc>
        <w:tc>
          <w:tcPr>
            <w:tcW w:w="860" w:type="dxa"/>
            <w:vAlign w:val="bottom"/>
            <w:tcBorders>
              <w:bottom w:val="single" w:sz="8" w:color="auto"/>
            </w:tcBorders>
          </w:tcPr>
          <w:p>
            <w:pPr>
              <w:spacing w:after="0"/>
              <w:rPr>
                <w:sz w:val="16"/>
                <w:szCs w:val="16"/>
                <w:color w:val="auto"/>
              </w:rPr>
            </w:pPr>
          </w:p>
        </w:tc>
      </w:tr>
      <w:tr>
        <w:trPr>
          <w:trHeight w:val="187"/>
        </w:trPr>
        <w:tc>
          <w:tcPr>
            <w:tcW w:w="6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4"/>
        </w:trPr>
        <w:tc>
          <w:tcPr>
            <w:tcW w:w="60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2012</w:t>
            </w:r>
          </w:p>
        </w:tc>
        <w:tc>
          <w:tcPr>
            <w:tcW w:w="36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2013</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6,472</w:t>
            </w:r>
          </w:p>
        </w:tc>
      </w:tr>
      <w:tr>
        <w:trPr>
          <w:trHeight w:val="229"/>
        </w:trPr>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2014</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r>
      <w:tr>
        <w:trPr>
          <w:trHeight w:val="229"/>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2015</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15,483</w:t>
            </w:r>
          </w:p>
        </w:tc>
      </w:tr>
      <w:tr>
        <w:trPr>
          <w:trHeight w:val="230"/>
        </w:trPr>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2016</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16,938</w:t>
            </w:r>
          </w:p>
        </w:tc>
      </w:tr>
      <w:tr>
        <w:trPr>
          <w:trHeight w:val="229"/>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2017</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30"/>
        </w:trPr>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2018</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30,205</w:t>
            </w:r>
          </w:p>
        </w:tc>
      </w:tr>
      <w:tr>
        <w:trPr>
          <w:trHeight w:val="229"/>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2019</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53,735</w:t>
            </w:r>
          </w:p>
        </w:tc>
      </w:tr>
      <w:tr>
        <w:trPr>
          <w:trHeight w:val="229"/>
        </w:trPr>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2020</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70,825</w:t>
            </w: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2021</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20,665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20,296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83,317</w:t>
            </w:r>
          </w:p>
        </w:tc>
      </w:tr>
      <w:tr>
        <w:trPr>
          <w:trHeight w:val="485"/>
        </w:trPr>
        <w:tc>
          <w:tcPr>
            <w:tcW w:w="600" w:type="dxa"/>
            <w:vAlign w:val="bottom"/>
          </w:tcPr>
          <w:p>
            <w:pPr>
              <w:spacing w:after="0"/>
              <w:rPr>
                <w:sz w:val="24"/>
                <w:szCs w:val="24"/>
                <w:color w:val="auto"/>
              </w:rPr>
            </w:pPr>
          </w:p>
        </w:tc>
        <w:tc>
          <w:tcPr>
            <w:tcW w:w="6420" w:type="dxa"/>
            <w:vAlign w:val="bottom"/>
            <w:gridSpan w:val="5"/>
          </w:tcPr>
          <w:p>
            <w:pPr>
              <w:ind w:left="220"/>
              <w:spacing w:after="0"/>
              <w:rPr>
                <w:sz w:val="20"/>
                <w:szCs w:val="20"/>
                <w:color w:val="auto"/>
              </w:rPr>
            </w:pPr>
            <w:r>
              <w:rPr>
                <w:rFonts w:ascii="Arial" w:cs="Arial" w:eastAsia="Arial" w:hAnsi="Arial"/>
                <w:sz w:val="18"/>
                <w:szCs w:val="18"/>
                <w:color w:val="auto"/>
              </w:rPr>
              <w:t>Pump shipments to international customers by fiscal quarter were as follows: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9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 - International</w:t>
            </w:r>
          </w:p>
        </w:tc>
      </w:tr>
      <w:tr>
        <w:trPr>
          <w:trHeight w:val="187"/>
        </w:trPr>
        <w:tc>
          <w:tcPr>
            <w:tcW w:w="6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4"/>
        </w:trPr>
        <w:tc>
          <w:tcPr>
            <w:tcW w:w="600" w:type="dxa"/>
            <w:vAlign w:val="bottom"/>
            <w:tcBorders>
              <w:top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89"/>
              </w:rPr>
              <w:t>2018</w:t>
            </w:r>
          </w:p>
        </w:tc>
        <w:tc>
          <w:tcPr>
            <w:tcW w:w="36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2019</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19,696</w:t>
            </w:r>
          </w:p>
        </w:tc>
      </w:tr>
      <w:tr>
        <w:trPr>
          <w:trHeight w:val="229"/>
        </w:trPr>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2020</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r>
      <w:tr>
        <w:trPr>
          <w:trHeight w:val="230"/>
        </w:trPr>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2021</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8,708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44,995</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Overall, we have experienced considerable sales growth each year since the commercial launch of our first product in the third quarter of 2012, only recognizing an operating profit on a full year basis for the first time in 2021.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88"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30" w:lineRule="exact"/>
        <w:rPr>
          <w:sz w:val="20"/>
          <w:szCs w:val="20"/>
          <w:color w:val="auto"/>
        </w:rPr>
      </w:pPr>
    </w:p>
    <w:p>
      <w:pPr>
        <w:ind w:left="1140" w:right="360" w:hanging="484"/>
        <w:spacing w:after="0" w:line="277" w:lineRule="auto"/>
        <w:tabs>
          <w:tab w:leader="none" w:pos="1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29" w:lineRule="exact"/>
        <w:rPr>
          <w:rFonts w:ascii="Arial" w:cs="Arial" w:eastAsia="Arial" w:hAnsi="Arial"/>
          <w:sz w:val="18"/>
          <w:szCs w:val="18"/>
          <w:color w:val="auto"/>
        </w:rPr>
      </w:pPr>
    </w:p>
    <w:p>
      <w:pPr>
        <w:ind w:left="1140" w:right="920" w:hanging="484"/>
        <w:spacing w:after="0" w:line="277" w:lineRule="auto"/>
        <w:tabs>
          <w:tab w:leader="none" w:pos="1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43" w:lineRule="exact"/>
        <w:rPr>
          <w:rFonts w:ascii="Arial" w:cs="Arial" w:eastAsia="Arial" w:hAnsi="Arial"/>
          <w:sz w:val="18"/>
          <w:szCs w:val="18"/>
          <w:color w:val="auto"/>
        </w:rPr>
      </w:pPr>
    </w:p>
    <w:p>
      <w:pPr>
        <w:ind w:left="1140" w:right="320" w:hanging="484"/>
        <w:spacing w:after="0" w:line="277" w:lineRule="auto"/>
        <w:tabs>
          <w:tab w:leader="none" w:pos="1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29" w:lineRule="exact"/>
        <w:rPr>
          <w:rFonts w:ascii="Arial" w:cs="Arial" w:eastAsia="Arial" w:hAnsi="Arial"/>
          <w:sz w:val="18"/>
          <w:szCs w:val="18"/>
          <w:color w:val="auto"/>
        </w:rPr>
      </w:pPr>
    </w:p>
    <w:p>
      <w:pPr>
        <w:ind w:left="1140" w:right="380" w:hanging="484"/>
        <w:spacing w:after="0" w:line="277" w:lineRule="auto"/>
        <w:tabs>
          <w:tab w:leader="none" w:pos="1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incidence of disease or illness, including the COVID-19 global pandemic, that may impact customer purchasing patterns or disrupt our supply chain, or create uncertainty or delay with respect to regulatory approvals;</w:t>
      </w:r>
    </w:p>
    <w:p>
      <w:pPr>
        <w:spacing w:after="0" w:line="129" w:lineRule="exact"/>
        <w:rPr>
          <w:rFonts w:ascii="Arial" w:cs="Arial" w:eastAsia="Arial" w:hAnsi="Arial"/>
          <w:sz w:val="18"/>
          <w:szCs w:val="18"/>
          <w:color w:val="auto"/>
        </w:rPr>
      </w:pPr>
    </w:p>
    <w:p>
      <w:pPr>
        <w:ind w:left="1140" w:right="480" w:hanging="484"/>
        <w:spacing w:after="0" w:line="277" w:lineRule="auto"/>
        <w:tabs>
          <w:tab w:leader="none" w:pos="1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 and may be further influenced by the lifting or relaxation of COVID-19 related restrictions and broader availability of vaccines;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0" w:name="page71"/>
    <w:bookmarkEnd w:id="70"/>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184"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29" w:lineRule="exact"/>
        <w:rPr>
          <w:rFonts w:ascii="Arial" w:cs="Arial" w:eastAsia="Arial" w:hAnsi="Arial"/>
          <w:sz w:val="18"/>
          <w:szCs w:val="18"/>
          <w:color w:val="auto"/>
        </w:rPr>
      </w:pPr>
    </w:p>
    <w:p>
      <w:pPr>
        <w:ind w:left="1140" w:right="380" w:hanging="484"/>
        <w:spacing w:after="0" w:line="277" w:lineRule="auto"/>
        <w:tabs>
          <w:tab w:leader="none" w:pos="1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43" w:lineRule="exact"/>
        <w:rPr>
          <w:rFonts w:ascii="Arial" w:cs="Arial" w:eastAsia="Arial" w:hAnsi="Arial"/>
          <w:sz w:val="18"/>
          <w:szCs w:val="18"/>
          <w:color w:val="auto"/>
        </w:rPr>
      </w:pPr>
    </w:p>
    <w:p>
      <w:pPr>
        <w:ind w:left="1140" w:right="220" w:hanging="484"/>
        <w:spacing w:after="0" w:line="259" w:lineRule="auto"/>
        <w:tabs>
          <w:tab w:leader="none" w:pos="1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potential claims, investigations, information requests, or legal, regulatory or administrative proceedings with respect to potential or asserted violations of law, including: sales and marketing practices, anti-corruption and FCPA, antitrust, securities, employment, product liability, environmental, data privacy breaches and patent infringement, which may subject us to fines, penalties, expenses, or reputational harm;</w:t>
      </w:r>
    </w:p>
    <w:p>
      <w:pPr>
        <w:spacing w:after="0" w:line="146"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184" w:lineRule="exact"/>
        <w:rPr>
          <w:rFonts w:ascii="Arial" w:cs="Arial" w:eastAsia="Arial" w:hAnsi="Arial"/>
          <w:sz w:val="18"/>
          <w:szCs w:val="18"/>
          <w:color w:val="auto"/>
        </w:rPr>
      </w:pPr>
    </w:p>
    <w:p>
      <w:pPr>
        <w:ind w:left="1140" w:right="200" w:hanging="484"/>
        <w:spacing w:after="0" w:line="277" w:lineRule="auto"/>
        <w:tabs>
          <w:tab w:leader="none" w:pos="1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43"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30" w:lineRule="exact"/>
        <w:rPr>
          <w:sz w:val="20"/>
          <w:szCs w:val="20"/>
          <w:color w:val="auto"/>
        </w:rPr>
      </w:pPr>
    </w:p>
    <w:p>
      <w:pPr>
        <w:ind w:left="1140" w:hanging="484"/>
        <w:spacing w:after="0" w:line="277" w:lineRule="auto"/>
        <w:tabs>
          <w:tab w:leader="none" w:pos="11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29" w:lineRule="exact"/>
        <w:rPr>
          <w:rFonts w:ascii="Arial" w:cs="Arial" w:eastAsia="Arial" w:hAnsi="Arial"/>
          <w:sz w:val="18"/>
          <w:szCs w:val="18"/>
          <w:color w:val="auto"/>
        </w:rPr>
      </w:pPr>
    </w:p>
    <w:p>
      <w:pPr>
        <w:ind w:left="1140" w:right="60" w:hanging="484"/>
        <w:spacing w:after="0" w:line="277" w:lineRule="auto"/>
        <w:tabs>
          <w:tab w:leader="none" w:pos="11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Control-IQ technology in additional geographies, and the demonstrated success of our Tandem Device Updater;</w:t>
      </w:r>
    </w:p>
    <w:p>
      <w:pPr>
        <w:spacing w:after="0" w:line="143" w:lineRule="exact"/>
        <w:rPr>
          <w:rFonts w:ascii="Arial" w:cs="Arial" w:eastAsia="Arial" w:hAnsi="Arial"/>
          <w:sz w:val="18"/>
          <w:szCs w:val="18"/>
          <w:color w:val="auto"/>
        </w:rPr>
      </w:pPr>
    </w:p>
    <w:p>
      <w:pPr>
        <w:ind w:left="1140" w:hanging="484"/>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184" w:lineRule="exact"/>
        <w:rPr>
          <w:rFonts w:ascii="Arial" w:cs="Arial" w:eastAsia="Arial" w:hAnsi="Arial"/>
          <w:sz w:val="18"/>
          <w:szCs w:val="18"/>
          <w:color w:val="auto"/>
        </w:rPr>
      </w:pPr>
    </w:p>
    <w:p>
      <w:pPr>
        <w:ind w:left="1140" w:right="200" w:hanging="484"/>
        <w:spacing w:after="0" w:line="277" w:lineRule="auto"/>
        <w:tabs>
          <w:tab w:leader="none" w:pos="11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ability to enter into, maintain agreements, and accomplish continued success in current and future product integrations with CGM partners;</w:t>
      </w:r>
    </w:p>
    <w:p>
      <w:pPr>
        <w:spacing w:after="0" w:line="221" w:lineRule="exact"/>
        <w:rPr>
          <w:rFonts w:ascii="Arial" w:cs="Arial" w:eastAsia="Arial" w:hAnsi="Arial"/>
          <w:sz w:val="16"/>
          <w:szCs w:val="16"/>
          <w:color w:val="auto"/>
        </w:rPr>
      </w:pPr>
    </w:p>
    <w:p>
      <w:pPr>
        <w:ind w:left="1140" w:hanging="484"/>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expansion and new product launches in select international geographies, including initial orders to stock inventories; and</w:t>
      </w:r>
    </w:p>
    <w:p>
      <w:pPr>
        <w:spacing w:after="0" w:line="184" w:lineRule="exact"/>
        <w:rPr>
          <w:rFonts w:ascii="Arial" w:cs="Arial" w:eastAsia="Arial" w:hAnsi="Arial"/>
          <w:sz w:val="18"/>
          <w:szCs w:val="18"/>
          <w:color w:val="auto"/>
        </w:rPr>
      </w:pPr>
    </w:p>
    <w:p>
      <w:pPr>
        <w:ind w:left="1140" w:right="60" w:hanging="484"/>
        <w:spacing w:after="0" w:line="263" w:lineRule="auto"/>
        <w:tabs>
          <w:tab w:leader="none" w:pos="11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143"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In addition to working to achieve our sales growth expectations, in the long-term we intend to continue to leverage our infrastructure investments to realize additional manufacturing, sales, marketing and administrative cost efficiencies with the goal of improving our operating margins and ultimately achieving sustained profitability. We achieved profitability for the first time in the fourth quarter of 2018 and again in the fourth quarters of 2019 and 2020, and were profitable for the year ended December 31, 2021. Though we have yet to achieve profitability consistently from period to period, we believe we can ultimately achieve sustained profitability by driving incremental sales growth in the United States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remote software update capabilities, now represents 100% of our new pump shipments and is used by nearly all of our in-warranty customers. Our products also include disposable insulin cartridges and infusion sets, as well as our complementary t:connect, TDU and mobile application products. We also offer additional accessories including protective cases, belt clips, and power adapters, although sales of these products are not significant.</w:t>
      </w:r>
    </w:p>
    <w:p>
      <w:pPr>
        <w:spacing w:after="0" w:line="178"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In the United States, 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we can continue to increase sales by promoting our products to a greater number of potential customers, caregivers and healthcare providers, although the COVID-19 global pandemic has had, and may continue to have, an adverse impact on our sales.</w:t>
      </w:r>
    </w:p>
    <w:p>
      <w:pPr>
        <w:spacing w:after="0" w:line="192"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In the third quarter of 2018, we began the launch of our t:slim X2 hardware platform through distribution partners outside the United States. Our products are now sold in more than 20 countries, including in Canada, France and Germany. Our independent international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95"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domestic pump shipments have typically decreased significantly from the fourth quarter to the following first quarter. Outside the United States, we do not expect this same impact from seasonality associated with reimbursement, although the quarterly sales trends may be impacted by a number of other factors, including summer vacations, the timing of product launches into new geographies and variability in the ordering patterns of our distributor partners.</w:t>
      </w:r>
    </w:p>
    <w:p>
      <w:pPr>
        <w:spacing w:after="0" w:line="192"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Since early 2020, the COVID-19 global pandemic had a major impact on businesses around the world, as well as our own quarterly trends. Initially, the impact on our business was relatively consistent worldwide but we have since seen varying degrees of impact in individual markets based on local conditions. For example, during 2021, we saw a gradual increase in the amount of in-person sales and training activities in the United States as vaccination availability expanded and social-distancing requirements were relaxed. During the second half of 2021, we saw reduced availability of customers and healthcare providers relating to people taking time off to vacation, which adversely impacted our sales of new pumps to customers during the period. We anticipate that our sales may not follow historical trends and may be subject to unpredictable variability in the coming months based on varying levels of impact of the global pandemic across the markets in which we operate.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8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example, we believe certain customers paused their decision-making during the second half of 2019 in anticipation of the commercial availability of the t:slim X2 with Control-IQ technology, and similar occurrences may occur in future periods. However, it is difficult to quantify the extent of the impact of these or similar events on future purchasing decisions.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Historically, we have manufactured our pumps and disposable insulin cartridges at our manufacturing facility in San Diego, California. In early 2020, our third-party cartridge manufacturer completed validation and commenced commercial-scale manufacturing to supplement our existing cartridge manufacturing capacity. By the end of 2021, the majority of our t:slim cartridge manufacturing capacity transitioned to our partner in order to create capacity for t:sport cartridge manufacturing in the future.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w:t>
      </w:r>
    </w:p>
    <w:p>
      <w:pPr>
        <w:spacing w:after="0" w:line="178" w:lineRule="exact"/>
        <w:rPr>
          <w:sz w:val="20"/>
          <w:szCs w:val="20"/>
          <w:color w:val="auto"/>
        </w:rPr>
      </w:pPr>
    </w:p>
    <w:p>
      <w:pPr>
        <w:ind w:right="40" w:firstLine="810"/>
        <w:spacing w:after="0" w:line="285" w:lineRule="auto"/>
        <w:rPr>
          <w:sz w:val="20"/>
          <w:szCs w:val="20"/>
          <w:color w:val="auto"/>
        </w:rPr>
      </w:pPr>
      <w:r>
        <w:rPr>
          <w:rFonts w:ascii="Arial" w:cs="Arial" w:eastAsia="Arial" w:hAnsi="Arial"/>
          <w:sz w:val="16"/>
          <w:szCs w:val="16"/>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We also expect our warranty cost per unit to decrease as we release additional product features and functionality utilizing the Tandem Device Updater. Pumps have, and are expected to continue to have, a higher gross margin percentage than our pump-related supplies. Therefore, the percentage of pump sales relative to total sales could have a significant impact on our overall gross margin percentage. In the event that customers delay their pump purchasing decisions or physicians pause in prescribing new pumps,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implemented temporary operational changes that introduced variability to our cost of sales, such as supplemental staffing, incremental expenses to protect the health, safety and welfare of our employees working on-site and to enable other employees to work remotely. We are also experiencing higher costs as we manage global supply challenges and anticipate that this will continue for the remainder of 2022. In addition, as demand for our products increases, we may continue to make additional investments in manufacturing capacity or increase our reliance on third parties for manufacturing-related services, either of which could have a negative impact on our gross margins. Specifically, we have and will continue to evaluate investing in additional manufacturing equipment to substantially increase our existing capacity in order to meet anticipated long-term demand for our cartridges, which may initially place downward pressure on the gross margin percentage associated with our pump-related supplies.</w:t>
      </w:r>
    </w:p>
    <w:p>
      <w:pPr>
        <w:spacing w:after="0" w:line="174"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cost to support our digital health platforms, cost associated with excess and obsolete inventories, and changes in our manufacturing processes, capacity, costs or output.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8"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had approximately 95 sales territories in the United States in 2021 and we commenced an expansion in the fourth quarter of 2021 to approximately 110 sales territories.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 Other significant SG&amp;A expenses typically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While we experienced reduced spending in areas such as travel and trade shows in 2020 and 2021 due to the COVID-19 global pandemic, we may experience additional costs as our employees return to work at our offices and as we adapt to alternative hybrid work models, or as needed to respond to general labor shortages and heightened competition for employees with specialized skills. Overall, we expect our SG&amp;A expenses, including the cost of our customer support infrastructure, to continue to increase as our customer base grows in the United States and international markets. In addition, we will continue to evaluate, and may further increase, the number of our field sales and clinical personnel in order to optimize the coverage of our existing territories. In the longer term, SG&amp;A expenses may also increase due to anticipated costs associated with additional compliance and regulatory reporting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develop new products and technologies and support more clinical trials.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98" w:lineRule="exact"/>
        <w:rPr>
          <w:sz w:val="20"/>
          <w:szCs w:val="20"/>
          <w:color w:val="auto"/>
        </w:rPr>
      </w:pPr>
    </w:p>
    <w:p>
      <w:pPr>
        <w:ind w:right="160" w:firstLine="810"/>
        <w:spacing w:after="0" w:line="296" w:lineRule="auto"/>
        <w:rPr>
          <w:sz w:val="20"/>
          <w:szCs w:val="20"/>
          <w:color w:val="auto"/>
        </w:rPr>
      </w:pPr>
      <w:r>
        <w:rPr>
          <w:rFonts w:ascii="Arial" w:cs="Arial" w:eastAsia="Arial" w:hAnsi="Arial"/>
          <w:sz w:val="16"/>
          <w:szCs w:val="16"/>
          <w:color w:val="auto"/>
        </w:rPr>
        <w:t>Other income and expense primarily consists of interest expense which includes the amortization of debt issuance costs related to our 1.50% Convertible Senior Notes due 2025, issued in May 2020 (our Notes), changes in the fair value of certain warrants issued in connection with our public offering of common stock in October 2017, and interest earned on our cash equivalents and short-term investments. We expect interest expense in future quarters to be comparable with the amount expensed in 2021, through the date of conversion or redemption of the Notes. We expect the revaluation of the outstanding Series A warrants will not have a significant impact on our other income and expense through their expiration in the fourth quarter of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500" w:firstLine="810"/>
        <w:spacing w:after="0" w:line="311" w:lineRule="auto"/>
        <w:rPr>
          <w:sz w:val="20"/>
          <w:szCs w:val="20"/>
          <w:color w:val="auto"/>
        </w:rPr>
      </w:pPr>
      <w:r>
        <w:rPr>
          <w:rFonts w:ascii="Arial" w:cs="Arial" w:eastAsia="Arial" w:hAnsi="Arial"/>
          <w:sz w:val="16"/>
          <w:szCs w:val="16"/>
          <w:color w:val="auto"/>
        </w:rPr>
        <w:t>Because the Company maintains a full valuation allowance against its net deferred tax assets, income tax expense is expected to primarily consist of current state and foreign cash tax expense as a result of taxable income anticipated or incurred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59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92"/>
              </w:rPr>
              <w:t>Year Ended December 31,</w:t>
            </w:r>
          </w:p>
        </w:tc>
        <w:tc>
          <w:tcPr>
            <w:tcW w:w="1300" w:type="dxa"/>
            <w:vAlign w:val="bottom"/>
            <w:tcBorders>
              <w:bottom w:val="single" w:sz="8" w:color="auto"/>
            </w:tcBorders>
          </w:tcPr>
          <w:p>
            <w:pPr>
              <w:spacing w:after="0"/>
              <w:rPr>
                <w:sz w:val="24"/>
                <w:szCs w:val="24"/>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Domestic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524,907</w:t>
            </w:r>
          </w:p>
        </w:tc>
        <w:tc>
          <w:tcPr>
            <w:tcW w:w="6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415,680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302,084</w:t>
            </w: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177,892</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83,150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60,221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702,799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498,830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362,305</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326,584</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238,310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168,093</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376,215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260,520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194,212</w:t>
            </w: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261,508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165,735</w:t>
            </w:r>
          </w:p>
        </w:tc>
      </w:tr>
      <w:tr>
        <w:trPr>
          <w:trHeight w:val="230"/>
        </w:trPr>
        <w:tc>
          <w:tcPr>
            <w:tcW w:w="5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92,054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63,574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45,199</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353,562</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268,477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210,934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(16,722)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Interest income and other, net</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3,193</w:t>
            </w: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(12,805)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(17,087)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(11,075)</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(28,325)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(7,882)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(36,282)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(24,604)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15,566</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(34,382)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(24,753)</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189"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2021, sales were $702.8 million, which included $177.9 million of international sales.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sales were $498.8 million, which included $83.2 million of international sales.</w:t>
      </w:r>
    </w:p>
    <w:p>
      <w:pPr>
        <w:spacing w:after="0" w:line="130"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color w:val="auto"/>
        </w:rPr>
        <w:t>The increase in worldwide sales of $204.0 million in 2021, as compared to 2020, was driven by a 41% increase in worldwide pump shipments to 128,312 in 2021, compared to 90,771 in 2020, and a 56% increase in pump-related supply sales. Sales of pump-related supplies increased primarily due to a 52% growth in our estimated worldwide installed base of customers.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ind w:left="820"/>
              <w:spacing w:after="0"/>
              <w:rPr>
                <w:sz w:val="20"/>
                <w:szCs w:val="20"/>
                <w:color w:val="auto"/>
              </w:rPr>
            </w:pPr>
            <w:r>
              <w:rPr>
                <w:rFonts w:ascii="Arial" w:cs="Arial" w:eastAsia="Arial" w:hAnsi="Arial"/>
                <w:sz w:val="18"/>
                <w:szCs w:val="18"/>
                <w:color w:val="auto"/>
                <w:w w:val="95"/>
              </w:rPr>
              <w:t>Domestic sales by product were as follows (in thousands):</w:t>
            </w:r>
          </w:p>
        </w:tc>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319,898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269,856</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140,387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99,743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Cartridges</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Domestic Sales</w:t>
            </w:r>
          </w:p>
        </w:tc>
        <w:tc>
          <w:tcPr>
            <w:tcW w:w="2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524,907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415,680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74</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ind w:right="40" w:firstLine="810"/>
        <w:spacing w:after="0" w:line="254" w:lineRule="auto"/>
        <w:rPr>
          <w:sz w:val="20"/>
          <w:szCs w:val="20"/>
          <w:color w:val="auto"/>
        </w:rPr>
      </w:pPr>
      <w:r>
        <w:rPr>
          <w:rFonts w:ascii="Arial" w:cs="Arial" w:eastAsia="Arial" w:hAnsi="Arial"/>
          <w:sz w:val="18"/>
          <w:szCs w:val="18"/>
          <w:color w:val="auto"/>
        </w:rPr>
        <w:t>Domestic pump sales were $319.9 million for the year ended December 31, 2021, compared to $269.9 million in the year ended December 31, 2020, as pump shipments increased 18% compared to the prior year due to continued strong demand for our t:slim X2 insulin pump with Control-IQ technology despite the challenging COVID-19 environment which has impacted the availability of both customers and healthcare providers. Domestic pump shipments were 83,317 in the year ended December 31, 2021 compared to 70,825 in 2020. Sales of pump-related supplies increased primarily due to a 39% increase in our estimated domestic installed base of customers. Sales to distributors accounted for 67% and 70% of our total domestic sales for the years ended December 31, 2021 and 2020,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820"/>
              <w:spacing w:after="0"/>
              <w:rPr>
                <w:sz w:val="20"/>
                <w:szCs w:val="20"/>
                <w:color w:val="auto"/>
              </w:rPr>
            </w:pPr>
            <w:r>
              <w:rPr>
                <w:rFonts w:ascii="Arial" w:cs="Arial" w:eastAsia="Arial" w:hAnsi="Arial"/>
                <w:sz w:val="18"/>
                <w:szCs w:val="18"/>
                <w:color w:val="auto"/>
              </w:rPr>
              <w:t>International sales by product were as follows (in thousands):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8"/>
        </w:trPr>
        <w:tc>
          <w:tcPr>
            <w:tcW w:w="7600" w:type="dxa"/>
            <w:vAlign w:val="bottom"/>
          </w:tcPr>
          <w:p>
            <w:pPr>
              <w:spacing w:after="0"/>
              <w:rPr>
                <w:sz w:val="24"/>
                <w:szCs w:val="24"/>
                <w:color w:val="auto"/>
              </w:rPr>
            </w:pPr>
          </w:p>
        </w:tc>
        <w:tc>
          <w:tcPr>
            <w:tcW w:w="30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44,851</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57,063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28,016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Cartridges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International Sales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177,892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83,150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International pump sales were $96.5 million for the year ended December 31, 2021, compared to $44.9 million in the year ended December 31, 2020. Pump shipments increased 126% compared to the prior year due to strong demand for our products as we continue to expand the launch of our Control-IQ technology, which began in the third quarter of 2020 outside the United States. Sales of pump-related supplies increased primarily due to an 102% increase in our estimated international installed base of customers. The ordering patterns of our international distributors for pumps and supplies is highly variable from period to period as they continue to gain familiarity with the markets in which they operate and the acceptance of our products in those markets. This variability was compounded by the changing levels of impact of the global pandemic across the international markets. Sales to distributors accounted for 95% and 94% of our total international sales for the years ended December 31, 2021 and 2020, respectively.</w:t>
      </w:r>
    </w:p>
    <w:p>
      <w:pPr>
        <w:spacing w:after="0" w:line="139" w:lineRule="exact"/>
        <w:rPr>
          <w:sz w:val="20"/>
          <w:szCs w:val="20"/>
          <w:color w:val="auto"/>
        </w:rPr>
      </w:pPr>
    </w:p>
    <w:p>
      <w:pPr>
        <w:jc w:val="both"/>
        <w:ind w:right="20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year ended December 31, 2021 was $326.6 million, resulting in gross profit of $376.2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$238.3 million and gross profit of $260.5 million for the year ended December 31, 2020. The gross margin for 2021 was 54%, compared to 52% in 2020.</w:t>
      </w:r>
    </w:p>
    <w:p>
      <w:pPr>
        <w:spacing w:after="0" w:line="143"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The increase in our gross profit for the year ended December 31, 2021, was primarily the result of the $204.0 million increase in total sales. Gross profit and gross margin both benefited from improvement in the per unit manufacturing costs for pumps and supplies from efficiencies in the manufacturing process, leverage of fixed overhead, increased volumes from our third-party cartridge manufacturer as well as labor and material cost reductions. On an aggregate basis, non-manufacturing costs, which primarily consist of warranty, royalty, freight, training and digital health product support costs, also reflected improvement on a per unit basis. To a lesser extent, overall average selling prices slightly pressured gross margin as international pump sales comprised a greater portion of total pump sales compared to the prior year, while supply average selling prices reflected modest benefit from the growth of our international installed base. Other factors that have and may continue to impact the gross margin percentage are changes in product and geographical mix and the level of non-cash stock-based compensation allocated to cost of sales. Pump sales, which have the highest gross margin, were 59% of total worldwide sales for the year ended December 31, 2021, compared to 63% in 2020. Non-cash stock-based compensation expense allocated to cost of sales was $6.4 million for the year ended December 31, 2021, compared to $8.2 million in 2020, representing 1% and 2% of sales in those periods, respectively.</w:t>
      </w:r>
    </w:p>
    <w:p>
      <w:pPr>
        <w:spacing w:after="0" w:line="141" w:lineRule="exact"/>
        <w:rPr>
          <w:sz w:val="20"/>
          <w:szCs w:val="20"/>
          <w:color w:val="auto"/>
        </w:rPr>
      </w:pPr>
    </w:p>
    <w:p>
      <w:pPr>
        <w:ind w:right="40" w:firstLine="810"/>
        <w:spacing w:after="0" w:line="29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28% to $261.5 million for the year ended December 31, 2021, from</w:t>
      </w:r>
      <w:r>
        <w:rPr>
          <w:rFonts w:ascii="Arial" w:cs="Arial" w:eastAsia="Arial" w:hAnsi="Arial"/>
          <w:sz w:val="16"/>
          <w:szCs w:val="16"/>
          <w:i w:val="1"/>
          <w:iCs w:val="1"/>
          <w:color w:val="auto"/>
        </w:rPr>
        <w:t xml:space="preserve"> </w:t>
      </w:r>
      <w:r>
        <w:rPr>
          <w:rFonts w:ascii="Arial" w:cs="Arial" w:eastAsia="Arial" w:hAnsi="Arial"/>
          <w:sz w:val="16"/>
          <w:szCs w:val="16"/>
          <w:color w:val="auto"/>
        </w:rPr>
        <w:t>$204.9 million for the same period in 2020. Employee-related expenses for our SG&amp;A functions comprise the majority of the SG&amp;A expenses. The increase compared to 2020 was primarily the result of a $43.9 million increase in salaries, incentive compensation and other employee benefits due to an increase in personnel to support additional sales territories, higher sales and other services in support of our growing installed customer base. We also experienced a $12.7 million increase in other non-employee discretionary spending for software maintenance, outside consulting and services and supplies.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6" w:name="page77"/>
    <w:bookmarkEnd w:id="76"/>
    <w:p>
      <w:pPr>
        <w:ind w:firstLine="810"/>
        <w:spacing w:after="0" w:line="279"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45% to $92.1 million for the year ended December 31, 2021, from $63.6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same period in 2020. The increase in R&amp;D expenses was primarily the result of an increase of $20.7 million in salaries, incentive compensation and other employee benefits due to an increase in personnel to support our product development efforts, as well as a $7.8 million increase in other non-employee discretionary spending, including outside consulting and services, equipment and supplies attributable to R&amp;D.</w:t>
      </w:r>
    </w:p>
    <w:p>
      <w:pPr>
        <w:spacing w:after="0" w:line="144"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Total other expense, net for the year ended December 31, 2021 was $6.8 million, compared to $28.3 million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Other expense for 2021 primarily consisted of $6.0 million of interest expense which included the amortization of debt issuance costs related to our Notes issued in the second quarter of 2020, and a $1.4 million revaluation loss from the change in the fair value of certain warrants. Other expense for 2020 consisted primarily of an $17.1 million revaluation loss from the change in the fair value of certain warrants due to the appreciation in our stock price during 2020, and $12.8 million of interest expense which included the amortization of debt discount and debt issuance costs related to our Notes issued in the second quarter of 2020. The decrease in interest expense in 2021 was primarily due to the adoption of ASU No. 2020-06 in the first quarter of 2021 (see Note 7, “Debt”). Interest income and other, for the years ended December 31, 2021 and 2020, primarily consisted of interest earned on our cash equivalents and short-term investments, which decreased in 2021 primarily due to the lower interest rate environment as compared to 2020.</w:t>
      </w:r>
    </w:p>
    <w:p>
      <w:pPr>
        <w:spacing w:after="0" w:line="12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We recognized income tax expense of $0.3 million on pre-tax income of $15.9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compared to an income tax benefit of $1.9 million on a pre-tax loss of $36.3 million for the same period in 2020. The income tax expense for the year ended December 31, 2021 was primarily attributable to state and foreign income tax expense as a result of current taxable income in those jurisdictions. The income tax benefit for the year ended December 31, 2020 was primarily due to benefit associated with the release of valuation allowance related to the acquisition of Sugarmate, partially offset by state and foreign income tax expense as a result of current taxable income in those jurisdictions.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2020 and 2019</w:t>
      </w:r>
    </w:p>
    <w:p>
      <w:pPr>
        <w:spacing w:after="0" w:line="202"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2020, sales were $498.8 million, which included $83.2 million of international sales.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sales were $362.3 million, which included $60.2 million of international sales.</w:t>
      </w:r>
    </w:p>
    <w:p>
      <w:pPr>
        <w:spacing w:after="0" w:line="130" w:lineRule="exact"/>
        <w:rPr>
          <w:sz w:val="20"/>
          <w:szCs w:val="20"/>
          <w:color w:val="auto"/>
        </w:rPr>
      </w:pPr>
    </w:p>
    <w:p>
      <w:pPr>
        <w:ind w:right="280" w:firstLine="810"/>
        <w:spacing w:after="0" w:line="259" w:lineRule="auto"/>
        <w:rPr>
          <w:sz w:val="20"/>
          <w:szCs w:val="20"/>
          <w:color w:val="auto"/>
        </w:rPr>
      </w:pPr>
      <w:r>
        <w:rPr>
          <w:rFonts w:ascii="Arial" w:cs="Arial" w:eastAsia="Arial" w:hAnsi="Arial"/>
          <w:sz w:val="18"/>
          <w:szCs w:val="18"/>
          <w:color w:val="auto"/>
        </w:rPr>
        <w:t>The increase in worldwide sales of $136.5 million in 2020, as compared to 2019, was primarily driven by a $69.4 million increase in pump-related supplies sales due to 52% growth in our estimated worldwide installed base of customers, and a $67.1 million increase in pump sales driven by a 24% increase in worldwide pump shipments to 90,771 in 2020, compared to 73,431 in 2019 which benefited from the effect of certain non-recurring international market dynamics..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820"/>
              <w:spacing w:after="0"/>
              <w:rPr>
                <w:sz w:val="20"/>
                <w:szCs w:val="20"/>
                <w:color w:val="auto"/>
              </w:rPr>
            </w:pPr>
            <w:r>
              <w:rPr>
                <w:rFonts w:ascii="Arial" w:cs="Arial" w:eastAsia="Arial" w:hAnsi="Arial"/>
                <w:sz w:val="18"/>
                <w:szCs w:val="18"/>
                <w:color w:val="auto"/>
              </w:rPr>
              <w:t>Domestic sales by product were as follows (in thousands):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51"/>
        </w:trPr>
        <w:tc>
          <w:tcPr>
            <w:tcW w:w="760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269,856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205,492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99,743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66,034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Cartridges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30,022</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Domestic Sales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415,680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302,084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810"/>
        <w:spacing w:after="0" w:line="291" w:lineRule="auto"/>
        <w:rPr>
          <w:sz w:val="20"/>
          <w:szCs w:val="20"/>
          <w:color w:val="auto"/>
        </w:rPr>
      </w:pPr>
      <w:r>
        <w:rPr>
          <w:rFonts w:ascii="Arial" w:cs="Arial" w:eastAsia="Arial" w:hAnsi="Arial"/>
          <w:sz w:val="16"/>
          <w:szCs w:val="16"/>
          <w:color w:val="auto"/>
        </w:rPr>
        <w:t>Domestic pump sales were $269.9 million for the year ended December 31, 2020, compared to $205.5 million in the year ended December 31, 2019, as pump shipments increased 32% compared to the same period in the prior year due to continued strong demand for our products following the January 2020 domestic launch of our t:slim X2 insulin pump with Control-IQ technology. Domestic pump shipments were 70,825 in the year ended December 31, 2020 compared to 53,735 in 2019. Sales of pump-related supplies increased primarily due to a 46% increase in our estimated domestic installed base of customers. Sales to distributors accounted for 70% and 73% of our total domestic sales for the years ended December 31, 2020 and 2019,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44,851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42,094</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28,016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11,221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Cartridges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International Sales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83,150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60,221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International pump sales were $44.9 million for the year ended December 31, 2020, compared to $42.1 million in the year ended December 31, 2019. The first half of 2019 was positively impacted by the transition of former Animas customers to our products and the fulfillment of certain international pump demand from backlog that existed at the end of 2018 due to supply constraints in prior periods. Sales of pump-related supplies benefited from an 83% increase in our estimated international installed base of customers. The ordering patterns of our international distributors for pumps and supplies is highly variable from period to period. This variability was compounded by the varying levels of impact of the global pandemic across the international markets in which we operate. Sales to distributors accounted for 94% and 92% of our total international sales for the years ended December 31, 2020 and 2019, respectively.</w:t>
      </w:r>
    </w:p>
    <w:p>
      <w:pPr>
        <w:spacing w:after="0" w:line="154"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year ended December 31, 2020 was $238.3 million, resulting in gross profit of $260.5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$168.1 million for the year ended December 31, 2019, resulting in gross profit of $194.2 million. The gross margin for 2020 was 52%, compared to 54% in 2019.</w:t>
      </w:r>
    </w:p>
    <w:p>
      <w:pPr>
        <w:spacing w:after="0" w:line="143" w:lineRule="exact"/>
        <w:rPr>
          <w:sz w:val="20"/>
          <w:szCs w:val="20"/>
          <w:color w:val="auto"/>
        </w:rPr>
      </w:pPr>
    </w:p>
    <w:p>
      <w:pPr>
        <w:ind w:right="20" w:firstLine="810"/>
        <w:spacing w:after="0" w:line="268" w:lineRule="auto"/>
        <w:rPr>
          <w:sz w:val="20"/>
          <w:szCs w:val="20"/>
          <w:color w:val="auto"/>
        </w:rPr>
      </w:pPr>
      <w:r>
        <w:rPr>
          <w:rFonts w:ascii="Arial" w:cs="Arial" w:eastAsia="Arial" w:hAnsi="Arial"/>
          <w:sz w:val="17"/>
          <w:szCs w:val="17"/>
          <w:color w:val="auto"/>
        </w:rPr>
        <w:t>The increase in our gross profit for the year ended December 31, 2020, was primarily the result of the $136.5 million increase in total sales. Gross profit and gross margin in 2020 were negatively impacted by royalty costs, for which there was no comparable expense in 2019. During the year ended December 31, 2020, we recognized $6.7 million of product royalty costs, or approximately one percent of sales, associated with sales of pumps with Control-IQ technology launched in the first quarter of 2020, and free software updates downloaded by existing customers in the United States, as well as in certain international markets where we launched Control-IQ beginning in the third quarter of 2020. Excluding the impact of royalty, gross margins for both pumps and supplies saw improvement compared to the prior year, but were still slightly pressured by the product mix. Gross margin was also pressured to a lesser extent by other factors that are more temporary in nature or anticipated to be leveraged through growth in future quarters, including costs associated with COVID-19 risk mitigation, managing pump production to achieve desired stocking levels, the expansion of cartridge manufacturing capacity and increased spending to support our digital health product offerings. Other factors that have and may continue to have an impact on the gross margin percentage are changes in product and geographical mix and the level of non-cash stock-based compensation allocated to cost of sales. Pump sales, which have the highest gross margin, were 63% of total worldwide sales for the year ended December 31, 2020, versus 68% in 2019. Non-cash stock-based compensation expense allocated to cost of sales was $8.2 million for the year ended December 31, 2020, compared to $6.4 million in the same period of 2019, representing 2% of sales in both periods.</w:t>
      </w:r>
    </w:p>
    <w:p>
      <w:pPr>
        <w:spacing w:after="0" w:line="159"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24% to $204.9 million for the year ended December 31, 2020, from</w:t>
      </w:r>
      <w:r>
        <w:rPr>
          <w:rFonts w:ascii="Arial" w:cs="Arial" w:eastAsia="Arial" w:hAnsi="Arial"/>
          <w:sz w:val="17"/>
          <w:szCs w:val="17"/>
          <w:i w:val="1"/>
          <w:iCs w:val="1"/>
          <w:color w:val="auto"/>
        </w:rPr>
        <w:t xml:space="preserve"> </w:t>
      </w:r>
      <w:r>
        <w:rPr>
          <w:rFonts w:ascii="Arial" w:cs="Arial" w:eastAsia="Arial" w:hAnsi="Arial"/>
          <w:sz w:val="17"/>
          <w:szCs w:val="17"/>
          <w:color w:val="auto"/>
        </w:rPr>
        <w:t>$165.7 million for the same period in 2019. Employee-related expenses for our SG&amp;A functions comprise the majority of the SG&amp;A expenses. The increase compared to 2019 was primarily the result of a $32.8 million increase in salaries, incentive compensation and other employee benefits due to an increase in personnel to support additional sales territories, higher sales and other services in support of our growing installed customer base, offset by a $1.3 million decrease in non-cash stock-based compensation expense. Non-cash stock-based compensation expense allocated to SG&amp;A was $41.6 million in 2020, compared to $42.9 million in 2019. The increase in non-cash stock-based compensation expense associated with increased headcount in 2020 was more than offset by a decrease in non-cash stock-based compensation expense from the valuation of certain 2018 employee stock option grants which are now fully amortized. We also experienced increased costs for equipment and supplies, and outside consulting and services of $11.2 million, offset by a $2.9 million decrease in travel costs.</w:t>
      </w:r>
    </w:p>
    <w:p>
      <w:pPr>
        <w:spacing w:after="0" w:line="14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41% to $63.6 million for the year ended December 31, 2020, from $45.2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2019. The increase in R&amp;D expenses was primarily the result of an increase of $9.9 million in salaries, incentive compensation and other employee benefits due to an increase in personnel to support our product development efforts, as well as an increase of $8.5 million in outside consulting and services, equipment and supplies attributable to R&amp;D. Non-cash stock-based compensation expense allocated to R&amp;D was $8.7 million in 2020, compared to $8.8 million in 2019.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8" w:name="page79"/>
    <w:bookmarkEnd w:id="78"/>
    <w:p>
      <w:pPr>
        <w:ind w:right="100" w:firstLine="810"/>
        <w:spacing w:after="0" w:line="272"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Total other expense, net for the year ended December 31, 2020 was $28.3 million, compared to $7.9 million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Other expense for 2020 primarily consisted of a $17.1 million revaluation loss from the change in the fair value of certain warrants due to the appreciation of our stock price during 2020, and $12.8 million of interest expense which included the amortization of debt discount and debt issuance costs related to our Notes issued in the second quarter of 2020. Other expense for 2019 consisted primarily of an $11.1 million revaluation loss from the change in the fair value of certain warrants due to the appreciation in our stock price during 2019. Interest income and other, for the years ended December 31, 2020 and 2019 primarily consisted of interest earned on our cash equivalents and short-term investments, and decreased in 2020 primarily due to the lower interest rate environment as compared to 2019.</w:t>
      </w:r>
    </w:p>
    <w:p>
      <w:pPr>
        <w:spacing w:after="0" w:line="15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We recognized an income tax benefit of $1.9 million on a pre-tax loss of $36.3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compared to income tax expense of $0.1 million on a pre-tax loss of $24.6 million for the same period in 2019. The income tax benefit for the year ended December 31, 2020 was primarily due to benefit associated with the release of valuation allowance related to the acquisition of Sugarmate, partially offset by state and foreign income tax expense as a result of current taxable income in those jurisdictions. Income tax expense for the year ended December 31, 2019 was primarily attributable to state and foreign income tax expense as a result of current taxable income in those jurisdictions.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At December 31, 2021, we had $623.8 million in cash and cash equivalents and short-term investments. We believe that our cash and cash equivalents and short-term investments balance will be sufficient to satisfy our liquidity requirements for at least the next 12 months from the date of this filing.</w:t>
      </w:r>
    </w:p>
    <w:p>
      <w:pPr>
        <w:spacing w:after="0" w:line="157" w:lineRule="exact"/>
        <w:rPr>
          <w:sz w:val="20"/>
          <w:szCs w:val="20"/>
          <w:color w:val="auto"/>
        </w:rPr>
      </w:pPr>
    </w:p>
    <w:p>
      <w:pPr>
        <w:ind w:right="380" w:firstLine="810"/>
        <w:spacing w:after="0" w:line="308" w:lineRule="auto"/>
        <w:rPr>
          <w:sz w:val="20"/>
          <w:szCs w:val="20"/>
          <w:color w:val="auto"/>
        </w:rPr>
      </w:pPr>
      <w:r>
        <w:rPr>
          <w:rFonts w:ascii="Arial" w:cs="Arial" w:eastAsia="Arial" w:hAnsi="Arial"/>
          <w:sz w:val="17"/>
          <w:szCs w:val="17"/>
          <w:color w:val="auto"/>
        </w:rPr>
        <w:t>Historically, our principal sources of cash have included cash collected from product sales, private and public offerings of equity securities, exercises of employee stock awards, and debt financing. Since the beginning of 2019, we completed the following financing activities:</w:t>
      </w:r>
    </w:p>
    <w:p>
      <w:pPr>
        <w:spacing w:after="0" w:line="146" w:lineRule="exact"/>
        <w:rPr>
          <w:sz w:val="20"/>
          <w:szCs w:val="20"/>
          <w:color w:val="auto"/>
        </w:rPr>
      </w:pPr>
    </w:p>
    <w:p>
      <w:pPr>
        <w:ind w:left="1800" w:right="100" w:hanging="496"/>
        <w:spacing w:after="0" w:line="277" w:lineRule="auto"/>
        <w:tabs>
          <w:tab w:leader="none" w:pos="17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May 2020, we raised $278.7 million in net proceeds from the issuance of the Notes, and used $34.1 million of the net proceeds to pay the cost of the Capped Call Transactions related to the Notes (see Note 7, “Debt”).</w:t>
      </w:r>
    </w:p>
    <w:p>
      <w:pPr>
        <w:spacing w:after="0" w:line="170" w:lineRule="exact"/>
        <w:rPr>
          <w:rFonts w:ascii="Arial" w:cs="Arial" w:eastAsia="Arial" w:hAnsi="Arial"/>
          <w:sz w:val="18"/>
          <w:szCs w:val="18"/>
          <w:color w:val="auto"/>
        </w:rPr>
      </w:pPr>
    </w:p>
    <w:p>
      <w:pPr>
        <w:jc w:val="both"/>
        <w:ind w:left="1800" w:right="80" w:hanging="496"/>
        <w:spacing w:after="0" w:line="263" w:lineRule="auto"/>
        <w:tabs>
          <w:tab w:leader="none" w:pos="17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From January 2019 through December 31, 2021, we issued 4,887,211 shares of common stock upon the exercise of stock options, and 804,275 shares of common stock were purchased under our 2013 Employee Stock Purchase Plan, which generated aggregate proceeds of $143.6 million.</w:t>
      </w:r>
    </w:p>
    <w:p>
      <w:pPr>
        <w:spacing w:after="0" w:line="183" w:lineRule="exact"/>
        <w:rPr>
          <w:rFonts w:ascii="Arial" w:cs="Arial" w:eastAsia="Arial" w:hAnsi="Arial"/>
          <w:sz w:val="18"/>
          <w:szCs w:val="18"/>
          <w:color w:val="auto"/>
        </w:rPr>
      </w:pPr>
    </w:p>
    <w:p>
      <w:pPr>
        <w:jc w:val="both"/>
        <w:ind w:left="1800" w:right="160" w:hanging="496"/>
        <w:spacing w:after="0" w:line="311" w:lineRule="auto"/>
        <w:tabs>
          <w:tab w:leader="none" w:pos="17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From January 2019 through December 31, 2021, we received proceeds of $1.8 million from the exercise of 509,785 outstanding warrants which were originally issued in connection with our registered public offering of common stock in October 2017. As of December 31, 2021, there were warrants to purchase 1,000 shares outstanding relating to the October 2017 offering.</w:t>
      </w:r>
    </w:p>
    <w:p>
      <w:pPr>
        <w:spacing w:after="0" w:line="148" w:lineRule="exact"/>
        <w:rPr>
          <w:rFonts w:ascii="Arial" w:cs="Arial" w:eastAsia="Arial" w:hAnsi="Arial"/>
          <w:sz w:val="16"/>
          <w:szCs w:val="16"/>
          <w:color w:val="auto"/>
        </w:rPr>
      </w:pPr>
    </w:p>
    <w:p>
      <w:pPr>
        <w:ind w:left="1800" w:right="180" w:hanging="496"/>
        <w:spacing w:after="0" w:line="263" w:lineRule="auto"/>
        <w:tabs>
          <w:tab w:leader="none" w:pos="17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From January 2019 through December 31, 2021, we received proceeds of $2.1 million from the exercise of 34,728 outstanding warrants which were originally issued between August 2011 and August 2012. As of December 31, 2021, there were warrants to purchase 19,722 warrants outstanding relating to these issuances.</w:t>
      </w:r>
    </w:p>
    <w:p>
      <w:pPr>
        <w:spacing w:after="0" w:line="211"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and equity investments, expenditures related to increases in our manufacturing capacity and improvements to our manufacturing efficiency, overall expansion of our facilities and operations, and other working capital needs. Additionally, we have used cash to pay the interest expense associated with our convertible senior notes.</w:t>
      </w:r>
    </w:p>
    <w:p>
      <w:pPr>
        <w:spacing w:after="0" w:line="219" w:lineRule="exact"/>
        <w:rPr>
          <w:sz w:val="20"/>
          <w:szCs w:val="20"/>
          <w:color w:val="auto"/>
        </w:rPr>
      </w:pPr>
    </w:p>
    <w:p>
      <w:pPr>
        <w:ind w:right="480" w:firstLine="810"/>
        <w:spacing w:after="0" w:line="308" w:lineRule="auto"/>
        <w:rPr>
          <w:sz w:val="20"/>
          <w:szCs w:val="20"/>
          <w:color w:val="auto"/>
        </w:rPr>
      </w:pPr>
      <w:r>
        <w:rPr>
          <w:rFonts w:ascii="Arial" w:cs="Arial" w:eastAsia="Arial" w:hAnsi="Arial"/>
          <w:sz w:val="17"/>
          <w:szCs w:val="17"/>
          <w:color w:val="auto"/>
        </w:rPr>
        <w:t>We expect our sales performance and the resulting operating income or loss, as well as the status of each of our new product development programs, will significantly impact our cash flow from operations, liquidity position and cash management decisions.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9" w:name="page80"/>
    <w:bookmarkEnd w:id="79"/>
    <w:p>
      <w:pPr>
        <w:ind w:left="820"/>
        <w:spacing w:after="0"/>
        <w:rPr>
          <w:sz w:val="20"/>
          <w:szCs w:val="20"/>
          <w:color w:val="auto"/>
        </w:rPr>
      </w:pPr>
      <w:r>
        <w:rPr>
          <w:rFonts w:ascii="Arial" w:cs="Arial" w:eastAsia="Arial" w:hAnsi="Arial"/>
          <w:sz w:val="18"/>
          <w:szCs w:val="18"/>
          <w:color w:val="auto"/>
        </w:rPr>
        <w:t>The following table shows a summary of our cash flows for the years ended December 31, 2021,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11"/>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111,359</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41,906</w:t>
            </w:r>
          </w:p>
        </w:tc>
      </w:tr>
      <w:tr>
        <w:trPr>
          <w:trHeight w:val="229"/>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(186,876)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(296,056)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(56,955)</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314,438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24,207</w:t>
            </w: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9,349</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was $111.4 million for the year ended December 31, 2021, compared to and</w:t>
      </w:r>
      <w:r>
        <w:rPr>
          <w:rFonts w:ascii="Arial" w:cs="Arial" w:eastAsia="Arial" w:hAnsi="Arial"/>
          <w:sz w:val="18"/>
          <w:szCs w:val="18"/>
          <w:i w:val="1"/>
          <w:iCs w:val="1"/>
          <w:color w:val="auto"/>
        </w:rPr>
        <w:t xml:space="preserve"> </w:t>
      </w:r>
      <w:r>
        <w:rPr>
          <w:rFonts w:ascii="Arial" w:cs="Arial" w:eastAsia="Arial" w:hAnsi="Arial"/>
          <w:sz w:val="18"/>
          <w:szCs w:val="18"/>
          <w:color w:val="auto"/>
        </w:rPr>
        <w:t>$24.7 million and $41.9 million, respectively, for the years ended December 31, 2020 and 2019.</w:t>
      </w:r>
    </w:p>
    <w:p>
      <w:pPr>
        <w:spacing w:after="0" w:line="130" w:lineRule="exact"/>
        <w:rPr>
          <w:sz w:val="20"/>
          <w:szCs w:val="20"/>
          <w:color w:val="auto"/>
        </w:rPr>
      </w:pPr>
    </w:p>
    <w:p>
      <w:pPr>
        <w:ind w:right="120" w:firstLine="810"/>
        <w:spacing w:after="0" w:line="285" w:lineRule="auto"/>
        <w:rPr>
          <w:sz w:val="20"/>
          <w:szCs w:val="20"/>
          <w:color w:val="auto"/>
        </w:rPr>
      </w:pPr>
      <w:r>
        <w:rPr>
          <w:rFonts w:ascii="Arial" w:cs="Arial" w:eastAsia="Arial" w:hAnsi="Arial"/>
          <w:sz w:val="16"/>
          <w:szCs w:val="16"/>
          <w:color w:val="auto"/>
        </w:rPr>
        <w:t>The improvement to net cash provided by operating activities for 2021 compared to 2020 was driven by higher sales and gross profit in 2021, which resulted in a $35.7 million improvement to net income when adjusted for non-cash expenses, particularly stock-based compensation expense and depreciation and amortization expense, as well as a $51.0 million increase from working capital changes. Working capital changes in 2021 primarily consisted of increases in accounts payable, employee-related liabilities, deferred revenue, and other current and long-term liabilities, offset by increases in accounts receivable and inventories, all of which were related to the growth in our business. Accounts receivable increased to $110.7</w:t>
      </w:r>
    </w:p>
    <w:p>
      <w:pPr>
        <w:spacing w:after="0" w:line="2"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million at December 31, 2021 from $82.2 million at December 31, 2020, as a result of higher sales in the fourth quarter of 2021 as compared to the fourth quarter of 2020. Inventories increased to $68.6 million at December 31, 2021 from $63.7 million at December 31, 2020.</w:t>
      </w:r>
    </w:p>
    <w:p>
      <w:pPr>
        <w:spacing w:after="0" w:line="134" w:lineRule="exact"/>
        <w:rPr>
          <w:sz w:val="20"/>
          <w:szCs w:val="20"/>
          <w:color w:val="auto"/>
        </w:rPr>
      </w:pPr>
    </w:p>
    <w:p>
      <w:pPr>
        <w:ind w:right="200" w:firstLine="810"/>
        <w:spacing w:after="0" w:line="272" w:lineRule="auto"/>
        <w:rPr>
          <w:sz w:val="20"/>
          <w:szCs w:val="20"/>
          <w:color w:val="auto"/>
        </w:rPr>
      </w:pPr>
      <w:r>
        <w:rPr>
          <w:rFonts w:ascii="Arial" w:cs="Arial" w:eastAsia="Arial" w:hAnsi="Arial"/>
          <w:sz w:val="17"/>
          <w:szCs w:val="17"/>
          <w:color w:val="auto"/>
        </w:rPr>
        <w:t>The decrease in net cash provided by operating activities for 2020 compared to 2019 was driven by net changes in working capital, partially offset by a reduction in net loss when adjusted for non-cash expenses, particularly stock-based compensation expense, the change in the fair value of common stock warrants and non-cash interest expense. Working capital changes in 2020 primarily consisted of increases in accounts receivable and inventories, offset by increases in employee-related liabilities, deferred revenue, and other current and long-term liabilities, all of which are related to the growth in our business. Accounts receivable increased to $82.2 million at December 31, 2020 from $46.6 million at December 31, 2019, as a result of higher sales in the fourth quarter of 2020 as compared to the fourth quarter of 2019. Inventories increased to $63.7 million at December 31, 2020 from $49.1 million at December 31, 2019, primarily to support the growth in our business.</w:t>
      </w:r>
    </w:p>
    <w:p>
      <w:pPr>
        <w:spacing w:after="0" w:line="137"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by investing activities was $186.9 million for the year ended December 31, 2021, which was primarily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$733.4 million of purchases of short-term investments, $14.2 million in purchases of property and equipment, and $9.3 million cash paid for the acquisition of intangible assets and equity investments, offset by $570.0 million in proceeds from maturities and sales of short-term investments. Net cash used by investing activities was $296.1 million for the year ended December 31, 2020, which was primarily related to purchases of short-term investments of $497.1 million using the net proceeds from the issuance of our convertible senior notes in May of 2020, and $27.4 million in purchases of property and equipment, offset by $233.3 million in proceeds from maturities and sales of short-term investments. Net cash used by investing activities was $57.0 million for the year ended December 31, 2019, which was primarily related to purchases of short-term investments of $164.6 million and $19.5 million in purchases of property and equipment, offset by $127.2 million in proceeds from maturities of short-term investments.</w:t>
      </w:r>
    </w:p>
    <w:p>
      <w:pPr>
        <w:spacing w:after="0" w:line="125"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was $51.9 million for the year ended December 31, 2021, which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proceeds from the issuance of common stock under our stock plans. Net cash provided by financing activities was $314.4 million for the year ended December 31, 2020, which primarily consisted of $278.7 million in proceeds from the issuance of the Convertible Senior Notes which was partially offset by $34.1 million in payments related to the Capped Call Transactions (see Note 7, “Debt”), and $66.9 million in proceeds from the issuance of common stock under our stock plans. Net cash provided by financing activities was $24.2 million for the year ended December 31, 2019, which was primarily the result of proceeds of $23.9 million from the issuance of common stock under our stock plans.</w:t>
      </w:r>
    </w:p>
    <w:p>
      <w:pPr>
        <w:spacing w:after="0" w:line="151"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800" w:right="320" w:hanging="496"/>
        <w:spacing w:after="0" w:line="277" w:lineRule="auto"/>
        <w:tabs>
          <w:tab w:leader="none" w:pos="17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0" w:name="page81"/>
    <w:bookmarkEnd w:id="80"/>
    <w:p>
      <w:pPr>
        <w:ind w:left="1780" w:hanging="476"/>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800" w:right="560" w:hanging="496"/>
        <w:spacing w:after="0" w:line="277" w:lineRule="auto"/>
        <w:tabs>
          <w:tab w:leader="none" w:pos="17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800" w:right="660" w:hanging="496"/>
        <w:spacing w:after="0" w:line="277" w:lineRule="auto"/>
        <w:tabs>
          <w:tab w:leader="none" w:pos="17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w:t>
      </w:r>
    </w:p>
    <w:p>
      <w:pPr>
        <w:spacing w:after="0" w:line="225" w:lineRule="exact"/>
        <w:rPr>
          <w:rFonts w:ascii="Arial" w:cs="Arial" w:eastAsia="Arial" w:hAnsi="Arial"/>
          <w:sz w:val="18"/>
          <w:szCs w:val="18"/>
          <w:color w:val="auto"/>
        </w:rPr>
      </w:pPr>
    </w:p>
    <w:p>
      <w:pPr>
        <w:ind w:left="1800" w:right="400" w:hanging="496"/>
        <w:spacing w:after="0" w:line="277" w:lineRule="auto"/>
        <w:tabs>
          <w:tab w:leader="none" w:pos="17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investments for the development, improvement and acquisition of manufacturing, testing and packaging equipment to support business growth and increase capacity;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185"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89"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In May 2020, the Company entered into a purchase agreement with certain counterparties for the sale of an aggregate of $287.5 million principal amount of 1.50% Convertible Senior Notes due 2025 in a private offering to qualified institutional buyers (the Notes). The Notes were issued pursuant to an Indenture, dated May 15, 2020, between the Company and U.S. Bank National Association, as trustee. The proceeds from the issuance of the Notes were $244.6 million, net of debt issuance costs and cash used to pay the cost of the Capped Call Transactions (see Note 7, “Debt”). 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1" w:name="page82"/>
    <w:bookmarkEnd w:id="81"/>
    <w:p>
      <w:pPr>
        <w:ind w:left="820"/>
        <w:spacing w:after="0"/>
        <w:rPr>
          <w:sz w:val="20"/>
          <w:szCs w:val="20"/>
          <w:color w:val="auto"/>
        </w:rPr>
      </w:pPr>
      <w:r>
        <w:rPr>
          <w:rFonts w:ascii="Arial" w:cs="Arial" w:eastAsia="Arial" w:hAnsi="Arial"/>
          <w:sz w:val="18"/>
          <w:szCs w:val="18"/>
          <w:color w:val="auto"/>
        </w:rPr>
        <w:t>Cash payments due by calendar year for our Convertible Senior Notes at December 31, 2021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2025</w:t>
            </w:r>
          </w:p>
        </w:tc>
      </w:tr>
      <w:tr>
        <w:trPr>
          <w:trHeight w:val="22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Principal amount of convertible senior notes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287,500</w:t>
            </w:r>
          </w:p>
        </w:tc>
      </w:tr>
      <w:tr>
        <w:trPr>
          <w:trHeight w:val="248"/>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288,918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&amp; 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85" w:lineRule="exact"/>
        <w:rPr>
          <w:sz w:val="20"/>
          <w:szCs w:val="20"/>
          <w:color w:val="auto"/>
        </w:rPr>
      </w:pPr>
    </w:p>
    <w:p>
      <w:pPr>
        <w:ind w:right="300" w:firstLine="810"/>
        <w:spacing w:after="0" w:line="263" w:lineRule="auto"/>
        <w:rPr>
          <w:sz w:val="20"/>
          <w:szCs w:val="20"/>
          <w:color w:val="auto"/>
        </w:rPr>
      </w:pPr>
      <w:r>
        <w:rPr>
          <w:rFonts w:ascii="Arial" w:cs="Arial" w:eastAsia="Arial" w:hAnsi="Arial"/>
          <w:sz w:val="18"/>
          <w:szCs w:val="18"/>
          <w:color w:val="auto"/>
        </w:rPr>
        <w:t>The Company leases general office space, laboratory, manufacturing and warehouse facilities, and equipment under noncancelable operating leases for use in our operations. For a description of our contractual obligations related to leases at December 31, 2021, see Note 6 “Leases” to the consolidated financial statements in Part II, Item 8 of this Annual Report.</w:t>
      </w:r>
    </w:p>
    <w:p>
      <w:pPr>
        <w:spacing w:after="0" w:line="143"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Company has agreements with suppliers and other parties to purchase inventory, other goods and services and long-lived assets. For a description of our contractual obligations related to purchase order commitments at December 31, 2021, see Note 12 “Commitments and Contingencies” to the consolidated financial statements in Part II, Item 8 of this Annual Report.</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As of December 31, 2021, we are a party to certain standby letter of credit arrangements in support of our operating lease obligations. For a description of the arrangements we consider significant, see Note 12 “Commitments and Contingencies” to the consolidated financial statements in Part II, Item 8 of this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Involving Management Estimates and Assumptions</w:t>
      </w:r>
    </w:p>
    <w:p>
      <w:pPr>
        <w:spacing w:after="0" w:line="189" w:lineRule="exact"/>
        <w:rPr>
          <w:sz w:val="20"/>
          <w:szCs w:val="20"/>
          <w:color w:val="auto"/>
        </w:rPr>
      </w:pPr>
    </w:p>
    <w:p>
      <w:pPr>
        <w:ind w:right="100" w:firstLine="810"/>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materially from these estimates.</w:t>
      </w:r>
    </w:p>
    <w:p>
      <w:pPr>
        <w:spacing w:after="0" w:line="137" w:lineRule="exact"/>
        <w:rPr>
          <w:sz w:val="20"/>
          <w:szCs w:val="20"/>
          <w:color w:val="auto"/>
        </w:rPr>
      </w:pPr>
    </w:p>
    <w:p>
      <w:pPr>
        <w:jc w:val="both"/>
        <w:ind w:right="260" w:firstLine="810"/>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included in this Annual Report, we believe that the following accounting policies are the most critical to the judgments and estimates used in the preparation of our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ind w:right="60" w:firstLine="810"/>
        <w:spacing w:after="0" w:line="286" w:lineRule="auto"/>
        <w:rPr>
          <w:sz w:val="20"/>
          <w:szCs w:val="20"/>
          <w:color w:val="auto"/>
        </w:rPr>
      </w:pPr>
      <w:r>
        <w:rPr>
          <w:rFonts w:ascii="Arial" w:cs="Arial" w:eastAsia="Arial" w:hAnsi="Arial"/>
          <w:sz w:val="16"/>
          <w:szCs w:val="16"/>
          <w:color w:val="auto"/>
        </w:rPr>
        <w:t>Our revenue is generated primarily from sales of our insulin pumps, disposable insulin cartridges and infusion sets to individual customers with third-party insurance coverage and through a network of distributors that resell the products to insulin-dependent diabetes customers. We are paid directly by customers who use the products, distributors and third-party insurance payors. We recognize revenue when control of our products is transferred to our customers in an amount that reflects the consideration we expect to receive from our customers in exchange for those products, net of estimated returns.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Revenue recognition for contracts with multiple performance obligations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product to the customer, meaning the customer has the ability to direct the use of and obtain the benefit from the product. Complementary products, such as the t:connect cloud-based data management application and the Tandem Device Updater, are considered distinct performance obligations satisfied over time, as access and support for these products is provided throughout the typical four-year warranty period of the insulin pumps. Accordingly, revenue related to the complementary products is deferred and recognized over a four-year period. When there is no standalone value for the complementary product, we determine its value by applying the expected cost plus a margin approach and then allocate the residual to the insulin pumps.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generally</w:t>
      </w:r>
      <w:r>
        <w:rPr>
          <w:rFonts w:ascii="Arial" w:cs="Arial" w:eastAsia="Arial" w:hAnsi="Arial"/>
          <w:sz w:val="17"/>
          <w:szCs w:val="17"/>
          <w:color w:val="212529"/>
        </w:rPr>
        <w:t xml:space="preserve"> provide </w:t>
      </w:r>
      <w:r>
        <w:rPr>
          <w:rFonts w:ascii="Arial" w:cs="Arial" w:eastAsia="Arial" w:hAnsi="Arial"/>
          <w:sz w:val="17"/>
          <w:szCs w:val="17"/>
          <w:color w:val="000000"/>
        </w:rPr>
        <w:t>a</w:t>
      </w:r>
      <w:r>
        <w:rPr>
          <w:rFonts w:ascii="Arial" w:cs="Arial" w:eastAsia="Arial" w:hAnsi="Arial"/>
          <w:sz w:val="17"/>
          <w:szCs w:val="17"/>
          <w:color w:val="212529"/>
        </w:rPr>
        <w:t xml:space="preserve"> four-</w:t>
      </w:r>
      <w:r>
        <w:rPr>
          <w:rFonts w:ascii="Arial" w:cs="Arial" w:eastAsia="Arial" w:hAnsi="Arial"/>
          <w:sz w:val="17"/>
          <w:szCs w:val="17"/>
          <w:color w:val="000000"/>
        </w:rPr>
        <w:t>year</w:t>
      </w:r>
      <w:r>
        <w:rPr>
          <w:rFonts w:ascii="Arial" w:cs="Arial" w:eastAsia="Arial" w:hAnsi="Arial"/>
          <w:sz w:val="17"/>
          <w:szCs w:val="17"/>
          <w:color w:val="212529"/>
        </w:rPr>
        <w:t xml:space="preserve"> assurance type warranty on our insulin pumps to end user customers and may replace any pumps that do not function as intended in accordance with the product specifications within the warranty period. Insulin pumps returned to us may be refurbished and redeployed. We establish the warranty reserve liability when control of the pump is transferred to the customer, and we reevaluate our estimate of the warranty obligation at each reporting period. Warranty costs are estimated primarily based on the current expected product replacement cost and expected replacement rates utilizing historical experience. Experience has shown that initial data for any given pump version may be insufficient; therefore, our process relies on long-term historical averages until sufficient data are available. As actual experience becomes available, we use the data to update the historical averages. Changes to the actual replacement rates or the expected product replacement cost could cause a material increase or decrease to our estimated warranty reserve and related cost of goods sold. We may make further adjustments to the warranty reserve when deemed appropriate, giving additional consideration to the length of time each pump version has been in the field and revised future expectations of performance based on new features and capabilities that may become available through Tandem Device Updater.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180" w:firstLine="810"/>
        <w:spacing w:after="0" w:line="287" w:lineRule="auto"/>
        <w:rPr>
          <w:sz w:val="20"/>
          <w:szCs w:val="20"/>
          <w:color w:val="auto"/>
        </w:rPr>
      </w:pPr>
      <w:r>
        <w:rPr>
          <w:rFonts w:ascii="Arial" w:cs="Arial" w:eastAsia="Arial" w:hAnsi="Arial"/>
          <w:sz w:val="16"/>
          <w:szCs w:val="16"/>
          <w:color w:val="auto"/>
        </w:rPr>
        <w:t>Significant judgment is required in determining our provision for income taxes, deferred tax assets and liabilities and the valuation allowance recorded against net deferred tax assets. We use the asset and liability approach to recognize deferred tax assets and liabilities for the expected future tax consequences of temporary differences between the carrying amounts and the tax bases of assets and liabilities.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Significant judgment is required to evaluate the need for a valuation allowance. The evaluation of the need for a valuation allowance is performed on a jurisdiction-by-jurisdiction basis, and includes a review of all available positive and negative evidence. Factors reviewed include determination of cumulative pre-tax book income after permanent differences, projections of pre-tax book income for the foreseeable future, earnings history, and reliability of forecasting. We will continue to assess the need for a valuation allowance on our deferred tax assets by evaluating both positive and negative evidence that may exist. Changes in the recognition or measurement of valuation allowance could result in material increases or decreases in our income tax expense in the period in which we make a change, which could have a material impact on our effective tax rate and operating results.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3" w:name="page84"/>
    <w:bookmarkEnd w:id="83"/>
    <w:p>
      <w:pPr>
        <w:ind w:right="20" w:firstLine="810"/>
        <w:spacing w:after="0" w:line="271" w:lineRule="auto"/>
        <w:rPr>
          <w:sz w:val="20"/>
          <w:szCs w:val="20"/>
          <w:color w:val="auto"/>
        </w:rPr>
      </w:pPr>
      <w:r>
        <w:rPr>
          <w:rFonts w:ascii="Arial" w:cs="Arial" w:eastAsia="Arial" w:hAnsi="Arial"/>
          <w:sz w:val="17"/>
          <w:szCs w:val="17"/>
          <w:color w:val="auto"/>
        </w:rPr>
        <w:t>Utilization of our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We have completed analyses through December 31, 2020 to determine whether our net operating losses and credits are likely to be limited by Section 382. Based on the 2018 study completed in 2019, we determined that an ownership change, as defined under Section 382, occurred in 2018 and the resulting limitation significantly reduced our ability to utilize our net operating loss and credit carryovers before they expire. As a result, in 2019 we reduced our deferred tax assets for the net operating loss and research credit carryforwards that were projected to expire unused with a corresponding offset to the valuation allowance recorded against such assets. Additionally, future ownership changes under Section 382 may also limit our ability to fully utilize any remaining tax benefits.</w:t>
      </w:r>
    </w:p>
    <w:p>
      <w:pPr>
        <w:spacing w:after="0" w:line="20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recognize liabilities for uncertain tax positions using a two-step approach.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we believe we have appropriate support for the positions taken on our tax returns, we regularly assess the potential outcomes of examinations by tax authorities in determining the adequacy of our provision for income taxes. We continually assess the likelihood and amount of potential revisions and adjust the income tax provision, income taxes payable and deferred taxes in the period in which the facts that give rise to a revision become known.</w:t>
      </w:r>
    </w:p>
    <w:p>
      <w:pPr>
        <w:spacing w:after="0" w:line="3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Interest Rate Risks</w:t>
      </w:r>
    </w:p>
    <w:p>
      <w:pPr>
        <w:spacing w:after="0" w:line="225"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We invest our excess cash in marketable securities consisting primarily of commercial paper, corporate debt securities, U.S. Treasury securities and U.S. Government-sponsored enterprise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from time to time, issued downgrades or revised outlooks to negative for certain issuers of the debt securities held in our short-term investments portfolio. Unrealized losses on available-for-sale debt securities at December 31, 2021 were not significant. Based on the credit quality of the available-for-sale debt securities that are in an unrealized loss position, and our current estimates of future cash flows to be collected from those securities, we believe the unrealized losses were not credit losses (see Note 3, “Short-Term Investments”).</w:t>
      </w:r>
    </w:p>
    <w:p>
      <w:pPr>
        <w:spacing w:after="0" w:line="196" w:lineRule="exact"/>
        <w:rPr>
          <w:sz w:val="20"/>
          <w:szCs w:val="20"/>
          <w:color w:val="auto"/>
        </w:rPr>
      </w:pPr>
    </w:p>
    <w:p>
      <w:pPr>
        <w:ind w:right="300" w:firstLine="810"/>
        <w:spacing w:after="0" w:line="263"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4"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2021, it would not have had a material effect on the fair value of our investment portfolio as of that date.</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 May 2020, we issued $287.5 million principal amount of Convertible Senior Notes, which bear interest at a fixed rate of 1.50% per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as a result of the Convertible Senior Notes (see Note 7, “Debt”).</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As we expand our operations in markets outside the United States, we may be exposed to further foreign currency exchange rate risk. We believe our exposure to foreign currency rate fluctuations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foreign currency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85" w:name="page86"/>
    <w:bookmarkEnd w:id="85"/>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02" w:lineRule="exact"/>
        <w:rPr>
          <w:sz w:val="20"/>
          <w:szCs w:val="20"/>
          <w:color w:val="auto"/>
        </w:rPr>
      </w:pPr>
    </w:p>
    <w:p>
      <w:pPr>
        <w:ind w:right="440" w:firstLine="810"/>
        <w:spacing w:after="0" w:line="308" w:lineRule="auto"/>
        <w:rPr>
          <w:sz w:val="20"/>
          <w:szCs w:val="20"/>
          <w:color w:val="auto"/>
        </w:rPr>
      </w:pPr>
      <w:r>
        <w:rPr>
          <w:rFonts w:ascii="Arial" w:cs="Arial" w:eastAsia="Arial" w:hAnsi="Arial"/>
          <w:sz w:val="17"/>
          <w:szCs w:val="17"/>
          <w:color w:val="auto"/>
        </w:rPr>
        <w:t>Our consolidated financial statements as of December 31, 2021 and 2020 and for each of the three years in the period ended December 31, 2021, and the Report of the Independent Registered Public Accounting Firm are included in this report as listed in the index.</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auto"/>
            </w:tcBorders>
            <w:gridSpan w:val="3"/>
            <w:shd w:val="clear" w:color="auto" w:fill="CCEEFF"/>
          </w:tcPr>
          <w:p>
            <w:pPr>
              <w:spacing w:after="0"/>
              <w:rPr>
                <w:rFonts w:ascii="Arial" w:cs="Arial" w:eastAsia="Arial" w:hAnsi="Arial"/>
                <w:sz w:val="18"/>
                <w:szCs w:val="18"/>
                <w:color w:val="auto"/>
                <w:w w:val="92"/>
              </w:rPr>
            </w:pPr>
            <w:hyperlink w:anchor="page86">
              <w:r>
                <w:rPr>
                  <w:rFonts w:ascii="Arial" w:cs="Arial" w:eastAsia="Arial" w:hAnsi="Arial"/>
                  <w:sz w:val="18"/>
                  <w:szCs w:val="18"/>
                  <w:color w:val="auto"/>
                  <w:w w:val="92"/>
                </w:rPr>
                <w:t xml:space="preserve">Report of Independent Registered Public Accounting Firm (PCAOB ID: </w:t>
              </w:r>
            </w:hyperlink>
            <w:r>
              <w:rPr>
                <w:rFonts w:ascii="Arial" w:cs="Arial" w:eastAsia="Arial" w:hAnsi="Arial"/>
                <w:sz w:val="18"/>
                <w:szCs w:val="18"/>
                <w:color w:val="auto"/>
                <w:w w:val="92"/>
              </w:rPr>
              <w:t>42)</w:t>
            </w:r>
          </w:p>
        </w:tc>
        <w:tc>
          <w:tcPr>
            <w:tcW w:w="4740" w:type="dxa"/>
            <w:vAlign w:val="bottom"/>
            <w:tcBorders>
              <w:bottom w:val="single" w:sz="8" w:color="CCEEFF"/>
            </w:tcBorders>
            <w:gridSpan w:val="4"/>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203"/>
        </w:trPr>
        <w:tc>
          <w:tcPr>
            <w:tcW w:w="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auto"/>
              </w:rPr>
            </w:pPr>
            <w:hyperlink w:anchor="page89">
              <w:r>
                <w:rPr>
                  <w:rFonts w:ascii="Arial" w:cs="Arial" w:eastAsia="Arial" w:hAnsi="Arial"/>
                  <w:sz w:val="18"/>
                  <w:szCs w:val="18"/>
                  <w:color w:val="auto"/>
                </w:rPr>
                <w:t>Consolidated Balance Sheets as of December 31, 2021 and 2020</w:t>
              </w:r>
            </w:hyperlink>
          </w:p>
        </w:tc>
        <w:tc>
          <w:tcPr>
            <w:tcW w:w="980" w:type="dxa"/>
            <w:vAlign w:val="bottom"/>
          </w:tcPr>
          <w:p>
            <w:pPr>
              <w:jc w:val="right"/>
              <w:spacing w:after="0" w:line="202" w:lineRule="exact"/>
              <w:rPr>
                <w:rFonts w:ascii="Arial" w:cs="Arial" w:eastAsia="Arial" w:hAnsi="Arial"/>
                <w:sz w:val="18"/>
                <w:szCs w:val="18"/>
                <w:color w:val="auto"/>
              </w:rPr>
            </w:pPr>
            <w:hyperlink w:anchor="page89">
              <w:r>
                <w:rPr>
                  <w:rFonts w:ascii="Arial" w:cs="Arial" w:eastAsia="Arial" w:hAnsi="Arial"/>
                  <w:sz w:val="18"/>
                  <w:szCs w:val="18"/>
                  <w:color w:val="auto"/>
                </w:rPr>
                <w:t>88</w:t>
              </w:r>
            </w:hyperlink>
          </w:p>
        </w:tc>
      </w:tr>
      <w:tr>
        <w:trPr>
          <w:trHeight w:val="48"/>
        </w:trPr>
        <w:tc>
          <w:tcPr>
            <w:tcW w:w="20" w:type="dxa"/>
            <w:vAlign w:val="bottom"/>
          </w:tcPr>
          <w:p>
            <w:pPr>
              <w:spacing w:after="0"/>
              <w:rPr>
                <w:sz w:val="4"/>
                <w:szCs w:val="4"/>
                <w:color w:val="auto"/>
              </w:rPr>
            </w:pPr>
          </w:p>
        </w:tc>
        <w:tc>
          <w:tcPr>
            <w:tcW w:w="31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auto"/>
                <w:w w:val="96"/>
              </w:rPr>
            </w:pPr>
            <w:hyperlink w:anchor="page89">
              <w:r>
                <w:rPr>
                  <w:rFonts w:ascii="Arial" w:cs="Arial" w:eastAsia="Arial" w:hAnsi="Arial"/>
                  <w:sz w:val="18"/>
                  <w:szCs w:val="18"/>
                  <w:color w:val="auto"/>
                  <w:w w:val="96"/>
                </w:rPr>
                <w:t>Consolidated Statements of Operations and Comprehensive Income (Loss) for the Years ended December 31, 2021, 2020 and 2019</w:t>
              </w:r>
            </w:hyperlink>
          </w:p>
        </w:tc>
        <w:tc>
          <w:tcPr>
            <w:tcW w:w="980" w:type="dxa"/>
            <w:vAlign w:val="bottom"/>
            <w:shd w:val="clear" w:color="auto" w:fill="CCEEFF"/>
          </w:tcPr>
          <w:p>
            <w:pPr>
              <w:jc w:val="right"/>
              <w:spacing w:after="0" w:line="202" w:lineRule="exact"/>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203"/>
        </w:trPr>
        <w:tc>
          <w:tcPr>
            <w:tcW w:w="20" w:type="dxa"/>
            <w:vAlign w:val="bottom"/>
            <w:tcBorders>
              <w:top w:val="single" w:sz="8" w:color="CCEEFF"/>
            </w:tcBorders>
          </w:tcPr>
          <w:p>
            <w:pPr>
              <w:spacing w:after="0"/>
              <w:rPr>
                <w:sz w:val="17"/>
                <w:szCs w:val="17"/>
                <w:color w:val="auto"/>
              </w:rPr>
            </w:pPr>
          </w:p>
        </w:tc>
        <w:tc>
          <w:tcPr>
            <w:tcW w:w="9440" w:type="dxa"/>
            <w:vAlign w:val="bottom"/>
            <w:tcBorders>
              <w:top w:val="single" w:sz="8" w:color="auto"/>
            </w:tcBorders>
            <w:gridSpan w:val="6"/>
          </w:tcPr>
          <w:p>
            <w:pPr>
              <w:spacing w:after="0" w:line="202" w:lineRule="exact"/>
              <w:rPr>
                <w:rFonts w:ascii="Arial" w:cs="Arial" w:eastAsia="Arial" w:hAnsi="Arial"/>
                <w:sz w:val="18"/>
                <w:szCs w:val="18"/>
                <w:color w:val="auto"/>
              </w:rPr>
            </w:pPr>
            <w:hyperlink w:anchor="page90">
              <w:r>
                <w:rPr>
                  <w:rFonts w:ascii="Arial" w:cs="Arial" w:eastAsia="Arial" w:hAnsi="Arial"/>
                  <w:sz w:val="18"/>
                  <w:szCs w:val="18"/>
                  <w:color w:val="auto"/>
                </w:rPr>
                <w:t>Consolidated Statements of Stockholders’ Equity for the Years ended December 31, 2021, 2020 and 2019</w:t>
              </w:r>
            </w:hyperlink>
          </w:p>
        </w:tc>
        <w:tc>
          <w:tcPr>
            <w:tcW w:w="8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jc w:val="right"/>
              <w:spacing w:after="0" w:line="202" w:lineRule="exact"/>
              <w:rPr>
                <w:rFonts w:ascii="Arial" w:cs="Arial" w:eastAsia="Arial" w:hAnsi="Arial"/>
                <w:sz w:val="18"/>
                <w:szCs w:val="18"/>
                <w:color w:val="auto"/>
              </w:rPr>
            </w:pPr>
            <w:hyperlink w:anchor="page90">
              <w:r>
                <w:rPr>
                  <w:rFonts w:ascii="Arial" w:cs="Arial" w:eastAsia="Arial" w:hAnsi="Arial"/>
                  <w:sz w:val="18"/>
                  <w:szCs w:val="18"/>
                  <w:color w:val="auto"/>
                </w:rPr>
                <w:t>90</w:t>
              </w:r>
            </w:hyperlink>
          </w:p>
        </w:tc>
      </w:tr>
      <w:tr>
        <w:trPr>
          <w:trHeight w:val="48"/>
        </w:trPr>
        <w:tc>
          <w:tcPr>
            <w:tcW w:w="20" w:type="dxa"/>
            <w:vAlign w:val="bottom"/>
          </w:tcPr>
          <w:p>
            <w:pPr>
              <w:spacing w:after="0"/>
              <w:rPr>
                <w:sz w:val="4"/>
                <w:szCs w:val="4"/>
                <w:color w:val="auto"/>
              </w:rPr>
            </w:pPr>
          </w:p>
        </w:tc>
        <w:tc>
          <w:tcPr>
            <w:tcW w:w="31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auto"/>
            </w:tcBorders>
            <w:gridSpan w:val="4"/>
            <w:shd w:val="clear" w:color="auto" w:fill="CCEEFF"/>
          </w:tcPr>
          <w:p>
            <w:pPr>
              <w:spacing w:after="0" w:line="202" w:lineRule="exact"/>
              <w:rPr>
                <w:rFonts w:ascii="Arial" w:cs="Arial" w:eastAsia="Arial" w:hAnsi="Arial"/>
                <w:sz w:val="18"/>
                <w:szCs w:val="18"/>
                <w:color w:val="auto"/>
                <w:w w:val="89"/>
              </w:rPr>
            </w:pPr>
            <w:hyperlink w:anchor="page91">
              <w:r>
                <w:rPr>
                  <w:rFonts w:ascii="Arial" w:cs="Arial" w:eastAsia="Arial" w:hAnsi="Arial"/>
                  <w:sz w:val="18"/>
                  <w:szCs w:val="18"/>
                  <w:color w:val="auto"/>
                  <w:w w:val="89"/>
                </w:rPr>
                <w:t>Consolidated Statements of Cash Flows for the Years ended December 31, 2021, 2020 and 2019</w:t>
              </w:r>
            </w:hyperlink>
          </w:p>
        </w:tc>
        <w:tc>
          <w:tcPr>
            <w:tcW w:w="3300" w:type="dxa"/>
            <w:vAlign w:val="bottom"/>
            <w:tcBorders>
              <w:bottom w:val="single" w:sz="8" w:color="CCEEFF"/>
            </w:tcBorders>
            <w:gridSpan w:val="3"/>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03"/>
        </w:trPr>
        <w:tc>
          <w:tcPr>
            <w:tcW w:w="20" w:type="dxa"/>
            <w:vAlign w:val="bottom"/>
          </w:tcPr>
          <w:p>
            <w:pPr>
              <w:spacing w:after="0"/>
              <w:rPr>
                <w:sz w:val="17"/>
                <w:szCs w:val="17"/>
                <w:color w:val="auto"/>
              </w:rPr>
            </w:pPr>
          </w:p>
        </w:tc>
        <w:tc>
          <w:tcPr>
            <w:tcW w:w="3160" w:type="dxa"/>
            <w:vAlign w:val="bottom"/>
            <w:tcBorders>
              <w:bottom w:val="single" w:sz="8" w:color="auto"/>
            </w:tcBorders>
          </w:tcPr>
          <w:p>
            <w:pPr>
              <w:spacing w:after="0" w:line="202" w:lineRule="exact"/>
              <w:rPr>
                <w:rFonts w:ascii="Arial" w:cs="Arial" w:eastAsia="Arial" w:hAnsi="Arial"/>
                <w:sz w:val="18"/>
                <w:szCs w:val="18"/>
                <w:color w:val="auto"/>
                <w:w w:val="89"/>
              </w:rPr>
            </w:pPr>
            <w:hyperlink w:anchor="page92">
              <w:r>
                <w:rPr>
                  <w:rFonts w:ascii="Arial" w:cs="Arial" w:eastAsia="Arial" w:hAnsi="Arial"/>
                  <w:sz w:val="18"/>
                  <w:szCs w:val="18"/>
                  <w:color w:val="auto"/>
                  <w:w w:val="89"/>
                </w:rPr>
                <w:t>Notes to Consolidated Financial Statements</w:t>
              </w:r>
            </w:hyperlink>
          </w:p>
        </w:tc>
        <w:tc>
          <w:tcPr>
            <w:tcW w:w="7080" w:type="dxa"/>
            <w:vAlign w:val="bottom"/>
            <w:gridSpan w:val="6"/>
          </w:tcPr>
          <w:p>
            <w:pPr>
              <w:spacing w:after="0"/>
              <w:rPr>
                <w:sz w:val="17"/>
                <w:szCs w:val="17"/>
                <w:color w:val="auto"/>
              </w:rPr>
            </w:pPr>
          </w:p>
        </w:tc>
        <w:tc>
          <w:tcPr>
            <w:tcW w:w="980" w:type="dxa"/>
            <w:vAlign w:val="bottom"/>
          </w:tcPr>
          <w:p>
            <w:pPr>
              <w:jc w:val="right"/>
              <w:spacing w:after="0" w:line="202" w:lineRule="exact"/>
              <w:rPr>
                <w:rFonts w:ascii="Arial" w:cs="Arial" w:eastAsia="Arial" w:hAnsi="Arial"/>
                <w:sz w:val="18"/>
                <w:szCs w:val="18"/>
                <w:color w:val="auto"/>
              </w:rPr>
            </w:pPr>
            <w:hyperlink w:anchor="page92">
              <w:r>
                <w:rPr>
                  <w:rFonts w:ascii="Arial" w:cs="Arial" w:eastAsia="Arial" w:hAnsi="Arial"/>
                  <w:sz w:val="18"/>
                  <w:szCs w:val="18"/>
                  <w:color w:val="auto"/>
                </w:rPr>
                <w:t>92</w:t>
              </w:r>
            </w:hyperlink>
          </w:p>
        </w:tc>
      </w:tr>
      <w:tr>
        <w:trPr>
          <w:trHeight w:val="1154"/>
        </w:trPr>
        <w:tc>
          <w:tcPr>
            <w:tcW w:w="6960" w:type="dxa"/>
            <w:vAlign w:val="bottom"/>
            <w:gridSpan w:val="5"/>
          </w:tcPr>
          <w:p>
            <w:pPr>
              <w:jc w:val="right"/>
              <w:ind w:right="1240"/>
              <w:spacing w:after="0"/>
              <w:rPr>
                <w:sz w:val="20"/>
                <w:szCs w:val="20"/>
                <w:color w:val="auto"/>
              </w:rPr>
            </w:pPr>
            <w:r>
              <w:rPr>
                <w:rFonts w:ascii="Arial" w:cs="Arial" w:eastAsia="Arial" w:hAnsi="Arial"/>
                <w:sz w:val="18"/>
                <w:szCs w:val="18"/>
                <w:color w:val="auto"/>
              </w:rPr>
              <w:t>85</w:t>
            </w: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Tandem Diabetes Care,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We have audited the accompanying consolidated balance sheets of Tandem Diabetes Care, Inc. (the “Company”) as of December 31, 2021 and 2020, the related consolidated statements of operations and comprehensive income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22, 2022 expressed an unqualified opinion thereon.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2020-06</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As discussed in Note 2 to the consolidated financial statements, the Company changed its method of accounting for convertible instruments in 2021 due to the adoption of ASU No. 2020-06, Debt–Debt with Conversion and Other Options (Subtopic 470-20) and Derivatives and Hedging–Contracts in Entity’s Own Equity (Subtopic 815-40): Accounting for Convertible Instruments and Contracts in an Entity’s Own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7" w:name="page88"/>
    <w:bookmarkEnd w:id="87"/>
    <w:p>
      <w:pPr>
        <w:ind w:left="20"/>
        <w:spacing w:after="0"/>
        <w:rPr>
          <w:sz w:val="20"/>
          <w:szCs w:val="20"/>
          <w:color w:val="auto"/>
        </w:rPr>
      </w:pPr>
      <w:r>
        <w:rPr>
          <w:rFonts w:ascii="Arial" w:cs="Arial" w:eastAsia="Arial" w:hAnsi="Arial"/>
          <w:sz w:val="16"/>
          <w:szCs w:val="16"/>
          <w:b w:val="1"/>
          <w:bCs w:val="1"/>
          <w:color w:val="auto"/>
        </w:rPr>
        <w:t>Warranty reserve – Estimation of Product Replacement Reserve</w:t>
      </w:r>
    </w:p>
    <w:p>
      <w:pPr>
        <w:sectPr>
          <w:pgSz w:w="11900" w:h="16838" w:orient="portrait"/>
          <w:cols w:equalWidth="0" w:num="1">
            <w:col w:w="11200"/>
          </w:cols>
          <w:pgMar w:left="320" w:top="1174" w:right="37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2009.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As discussed in Note 2 to the consolidated financial statements, the Company has a warranty reserve of $30.4 million. The Company provides insulin pump end customers with a four-year warranty and may replace any pumps that do not function in accordance with the product specifications. Warranty costs are estimated at the time of shipment. Management applies significant judgment to determine relevant assumptions to calculate the reserve, including the assessment of historical warranty experience and replacement cost.</w:t>
      </w:r>
    </w:p>
    <w:p>
      <w:pPr>
        <w:spacing w:after="0" w:line="13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Auditing management’s estimate of warranty reserve on pumps was complex and judgmental due to the significant estimation required by management in estimating the value of the warranty reserve. In particular, the warranty reserve estimate is sensitive due to significant assumptions including replacement rates and replacement product costs, especially as it relates to recently released pump versions for which replacement rates specific to that version are not yet known. As such, replacement rates of recently released pumps are based primarily upon historical rates of prior versions which ultimately may not be predictive of the experience of new pumps, due to new features and capabilities of the more recent releases. These assumptions are affected by actual customer experience and changes in these assumptions could have a material impact on the Company’s estimated reserve. This in turn led to a high degree of auditor judgment, subjectivity, and effort in performing procedures and evaluating audit evidence related to these determinations and management’s significant assumptions for the warranty reserve.</w:t>
      </w:r>
    </w:p>
    <w:p>
      <w:pPr>
        <w:spacing w:after="0" w:line="23"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We obtained an understanding, evaluated the design and tested the operating effectiveness of the Company’s controls over the warranty reserve estimation process. For example, we tested controls over management's review and calculation of significant assumptions underlying the warranty reserve, such as replacement rates and actual replacement product costs, and tested controls over the accuracy and completeness of data used.</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test the Company’s warranty reserve, we performed audit procedures that included, among others, testing the completeness and accuracy of the underlying data used in the estimation calculation and evaluated the appropriateness of management’s methodology to calculate the warranty reserve. We also evaluated the reasonableness of management’s significant assumptions related to replacement rates and replacement cost, including review for contrary evidence. Evaluating management’s significant assumptions involved evaluating the historical claims data utilized by management in estimating both the replacement rates and costs of known and anticipated claims. We assessed the historical accuracy of management’s estimates by performing a lookback analysis and performing sensitivity analyses of the significant assumptions to evaluate the impact of changes in the warranty reserve that would result from changes in the assumptions. We tested the mathematical accuracy of the warranty reserve calculation and obtained documentation and performed inquiries of Company management to evaluate the completeness of the Company’s estimate. In addition, for revisions made to the estimated reserve, we evaluated the reasonableness of the subsequent changes by comparing the revised assumptions to the original estimated assumptions and evaluated the reasons for the subsequent change</w:t>
      </w:r>
    </w:p>
    <w:p>
      <w:pPr>
        <w:spacing w:after="0" w:line="1620" w:lineRule="exact"/>
        <w:rPr>
          <w:sz w:val="20"/>
          <w:szCs w:val="20"/>
          <w:color w:val="auto"/>
        </w:rPr>
      </w:pPr>
    </w:p>
    <w:p>
      <w:pPr>
        <w:sectPr>
          <w:pgSz w:w="11900" w:h="16838" w:orient="portrait"/>
          <w:cols w:equalWidth="0" w:num="2">
            <w:col w:w="3860" w:space="480"/>
            <w:col w:w="6860"/>
          </w:cols>
          <w:pgMar w:left="320" w:top="1174" w:right="37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94,613</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552,630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390,323</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82,195</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68,551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63,721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811,520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637,235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716,415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Employee-related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34,159</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warrants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131,856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103,852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net - long-term</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liabilities - long-term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27,360</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472,025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350,110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Common stock, $0.001 par value; 200,000 shares authorized, 63,833 and 62,335 shares issued and</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1,068,259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1,025,233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(634,595)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(659,210)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433,112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366,305</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716,415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362,305</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168,093</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194,212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165,735</w:t>
            </w:r>
          </w:p>
        </w:tc>
      </w:tr>
      <w:tr>
        <w:trPr>
          <w:trHeight w:val="23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210,934</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(16,722)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Interest income and other,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3,193</w:t>
            </w: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(11,075)</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(24,604)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Unrealized gain (loss) on short-term investments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(24,618)</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shares used to compute basic net income (loss) per share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63,000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60,990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58,507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to compute diluted net income (loss) per share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2018</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Exercise of stock options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Issuance of common stock for Employee Stock Purchase Plan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1"/>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57,554</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731,306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center"/>
              <w:ind w:left="828"/>
              <w:spacing w:after="0"/>
              <w:rPr>
                <w:sz w:val="20"/>
                <w:szCs w:val="20"/>
                <w:color w:val="auto"/>
              </w:rPr>
            </w:pPr>
            <w:r>
              <w:rPr>
                <w:rFonts w:ascii="Arial" w:cs="Arial" w:eastAsia="Arial" w:hAnsi="Arial"/>
                <w:sz w:val="14"/>
                <w:szCs w:val="14"/>
                <w:color w:val="auto"/>
                <w:w w:val="96"/>
              </w:rPr>
              <w:t>(13)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(600,075)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131,275</w:t>
            </w:r>
          </w:p>
        </w:tc>
        <w:tc>
          <w:tcPr>
            <w:tcW w:w="0" w:type="dxa"/>
            <w:vAlign w:val="bottom"/>
          </w:tcPr>
          <w:p>
            <w:pPr>
              <w:spacing w:after="0"/>
              <w:rPr>
                <w:sz w:val="1"/>
                <w:szCs w:val="1"/>
                <w:color w:val="auto"/>
              </w:rPr>
            </w:pPr>
          </w:p>
        </w:tc>
      </w:tr>
      <w:tr>
        <w:trPr>
          <w:trHeight w:val="2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980" w:type="dxa"/>
            <w:vAlign w:val="bottom"/>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left="84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17,675</w:t>
            </w:r>
          </w:p>
        </w:tc>
        <w:tc>
          <w:tcPr>
            <w:tcW w:w="0" w:type="dxa"/>
            <w:vAlign w:val="bottom"/>
          </w:tcPr>
          <w:p>
            <w:pPr>
              <w:spacing w:after="0"/>
              <w:rPr>
                <w:sz w:val="1"/>
                <w:szCs w:val="1"/>
                <w:color w:val="auto"/>
              </w:rPr>
            </w:pPr>
          </w:p>
        </w:tc>
      </w:tr>
      <w:tr>
        <w:trPr>
          <w:trHeight w:val="278"/>
        </w:trPr>
        <w:tc>
          <w:tcPr>
            <w:tcW w:w="98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left="748"/>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24"/>
                <w:szCs w:val="24"/>
                <w:color w:val="auto"/>
              </w:rPr>
            </w:pPr>
          </w:p>
        </w:tc>
        <w:tc>
          <w:tcPr>
            <w:tcW w:w="124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-454660</wp:posOffset>
            </wp:positionV>
            <wp:extent cx="709803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-171450</wp:posOffset>
            </wp:positionV>
            <wp:extent cx="709803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3280" w:space="480"/>
            <w:col w:w="7420"/>
          </w:cols>
          <w:pgMar w:left="320" w:top="891" w:right="3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760" w:type="dxa"/>
            <w:vAlign w:val="bottom"/>
          </w:tcPr>
          <w:p>
            <w:pPr>
              <w:ind w:left="220"/>
              <w:spacing w:after="0"/>
              <w:rPr>
                <w:sz w:val="20"/>
                <w:szCs w:val="20"/>
                <w:color w:val="auto"/>
              </w:rPr>
            </w:pPr>
            <w:r>
              <w:rPr>
                <w:rFonts w:ascii="Arial" w:cs="Arial" w:eastAsia="Arial" w:hAnsi="Arial"/>
                <w:sz w:val="16"/>
                <w:szCs w:val="16"/>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Fair value of common stock warrants at time of</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5,492</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106"/>
        </w:trPr>
        <w:tc>
          <w:tcPr>
            <w:tcW w:w="376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exercise</w:t>
            </w:r>
          </w:p>
        </w:tc>
        <w:tc>
          <w:tcPr>
            <w:tcW w:w="1080" w:type="dxa"/>
            <w:vAlign w:val="bottom"/>
            <w:gridSpan w:val="2"/>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60" w:type="dxa"/>
            <w:vAlign w:val="bottom"/>
            <w:vMerge w:val="continue"/>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58,622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58,622</w:t>
            </w: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Unrealized gain on short-term investments, net of</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06"/>
        </w:trPr>
        <w:tc>
          <w:tcPr>
            <w:tcW w:w="376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deferred tax</w:t>
            </w:r>
          </w:p>
        </w:tc>
        <w:tc>
          <w:tcPr>
            <w:tcW w:w="1080" w:type="dxa"/>
            <w:vAlign w:val="bottom"/>
            <w:gridSpan w:val="2"/>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60" w:type="dxa"/>
            <w:vAlign w:val="bottom"/>
            <w:vMerge w:val="continue"/>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(24,753)</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2019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59,396</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819,626</w:t>
            </w:r>
          </w:p>
        </w:tc>
        <w:tc>
          <w:tcPr>
            <w:tcW w:w="12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(624,828)</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57,748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57,750</w:t>
            </w:r>
          </w:p>
        </w:tc>
        <w:tc>
          <w:tcPr>
            <w:tcW w:w="0" w:type="dxa"/>
            <w:vAlign w:val="bottom"/>
          </w:tcPr>
          <w:p>
            <w:pPr>
              <w:spacing w:after="0"/>
              <w:rPr>
                <w:sz w:val="1"/>
                <w:szCs w:val="1"/>
                <w:color w:val="auto"/>
              </w:rPr>
            </w:pPr>
          </w:p>
        </w:tc>
      </w:tr>
      <w:tr>
        <w:trPr>
          <w:trHeight w:val="166"/>
        </w:trPr>
        <w:tc>
          <w:tcPr>
            <w:tcW w:w="3760" w:type="dxa"/>
            <w:vAlign w:val="bottom"/>
          </w:tcPr>
          <w:p>
            <w:pPr>
              <w:ind w:left="220"/>
              <w:spacing w:after="0" w:line="166" w:lineRule="exact"/>
              <w:rPr>
                <w:sz w:val="20"/>
                <w:szCs w:val="20"/>
                <w:color w:val="auto"/>
              </w:rPr>
            </w:pPr>
            <w:r>
              <w:rPr>
                <w:rFonts w:ascii="Arial" w:cs="Arial" w:eastAsia="Arial" w:hAnsi="Arial"/>
                <w:sz w:val="16"/>
                <w:szCs w:val="16"/>
                <w:color w:val="auto"/>
              </w:rPr>
              <w:t>Issuance of common stock for Employee Stock</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9,115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9,116</w:t>
            </w:r>
          </w:p>
        </w:tc>
        <w:tc>
          <w:tcPr>
            <w:tcW w:w="0" w:type="dxa"/>
            <w:vAlign w:val="bottom"/>
          </w:tcPr>
          <w:p>
            <w:pPr>
              <w:spacing w:after="0"/>
              <w:rPr>
                <w:sz w:val="1"/>
                <w:szCs w:val="1"/>
                <w:color w:val="auto"/>
              </w:rPr>
            </w:pPr>
          </w:p>
        </w:tc>
      </w:tr>
      <w:tr>
        <w:trPr>
          <w:trHeight w:val="106"/>
        </w:trPr>
        <w:tc>
          <w:tcPr>
            <w:tcW w:w="3760" w:type="dxa"/>
            <w:vAlign w:val="bottom"/>
            <w:vMerge w:val="restart"/>
          </w:tcPr>
          <w:p>
            <w:pPr>
              <w:ind w:left="22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7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9803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Exercise of common stock warrants</w:t>
      </w:r>
    </w:p>
    <w:p>
      <w:pPr>
        <w:spacing w:after="0" w:line="32" w:lineRule="exact"/>
        <w:rPr>
          <w:sz w:val="20"/>
          <w:szCs w:val="20"/>
          <w:color w:val="auto"/>
        </w:rPr>
      </w:pPr>
    </w:p>
    <w:p>
      <w:pPr>
        <w:ind w:left="220" w:right="340"/>
        <w:spacing w:after="0"/>
        <w:rPr>
          <w:sz w:val="20"/>
          <w:szCs w:val="20"/>
          <w:color w:val="auto"/>
        </w:rPr>
      </w:pPr>
      <w:r>
        <w:rPr>
          <w:rFonts w:ascii="Arial" w:cs="Arial" w:eastAsia="Arial" w:hAnsi="Arial"/>
          <w:sz w:val="16"/>
          <w:szCs w:val="16"/>
          <w:color w:val="auto"/>
        </w:rPr>
        <w:t>Fair value of common stock warrants at time of exercise</w:t>
      </w:r>
    </w:p>
    <w:p>
      <w:pPr>
        <w:spacing w:after="0" w:line="10" w:lineRule="exact"/>
        <w:rPr>
          <w:sz w:val="20"/>
          <w:szCs w:val="20"/>
          <w:color w:val="auto"/>
        </w:rPr>
      </w:pPr>
    </w:p>
    <w:p>
      <w:pPr>
        <w:ind w:left="220" w:right="460"/>
        <w:spacing w:after="0"/>
        <w:rPr>
          <w:sz w:val="20"/>
          <w:szCs w:val="20"/>
          <w:color w:val="auto"/>
        </w:rPr>
      </w:pPr>
      <w:r>
        <w:rPr>
          <w:rFonts w:ascii="Arial" w:cs="Arial" w:eastAsia="Arial" w:hAnsi="Arial"/>
          <w:sz w:val="16"/>
          <w:szCs w:val="16"/>
          <w:color w:val="auto"/>
        </w:rPr>
        <w:t>Equity component of convertible senior notes issuance, net of issuance costs</w:t>
      </w:r>
    </w:p>
    <w:p>
      <w:pPr>
        <w:spacing w:after="0" w:line="10" w:lineRule="exact"/>
        <w:rPr>
          <w:sz w:val="20"/>
          <w:szCs w:val="20"/>
          <w:color w:val="auto"/>
        </w:rPr>
      </w:pPr>
    </w:p>
    <w:p>
      <w:pPr>
        <w:ind w:left="220" w:right="380"/>
        <w:spacing w:after="0"/>
        <w:rPr>
          <w:sz w:val="20"/>
          <w:szCs w:val="20"/>
          <w:color w:val="auto"/>
        </w:rPr>
      </w:pPr>
      <w:r>
        <w:rPr>
          <w:rFonts w:ascii="Arial" w:cs="Arial" w:eastAsia="Arial" w:hAnsi="Arial"/>
          <w:sz w:val="16"/>
          <w:szCs w:val="16"/>
          <w:color w:val="auto"/>
        </w:rPr>
        <w:t>Payment for capped call transactions related to convertible senior notes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Unrealized loss on short-term investments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translation adjustments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2020</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Effect of change in accounting for convertible senior notes (1)</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Exercise of stock options</w:t>
      </w:r>
    </w:p>
    <w:p>
      <w:pPr>
        <w:spacing w:after="0" w:line="32" w:lineRule="exact"/>
        <w:rPr>
          <w:sz w:val="20"/>
          <w:szCs w:val="20"/>
          <w:color w:val="auto"/>
        </w:rPr>
      </w:pPr>
    </w:p>
    <w:p>
      <w:pPr>
        <w:ind w:left="220" w:right="460"/>
        <w:spacing w:after="0"/>
        <w:rPr>
          <w:sz w:val="20"/>
          <w:szCs w:val="20"/>
          <w:color w:val="auto"/>
        </w:rPr>
      </w:pPr>
      <w:r>
        <w:rPr>
          <w:rFonts w:ascii="Arial" w:cs="Arial" w:eastAsia="Arial" w:hAnsi="Arial"/>
          <w:sz w:val="16"/>
          <w:szCs w:val="16"/>
          <w:color w:val="auto"/>
        </w:rPr>
        <w:t>Vesting of restricted stock units, net of shares withheld for taxes</w:t>
      </w:r>
    </w:p>
    <w:p>
      <w:pPr>
        <w:spacing w:after="0" w:line="10" w:lineRule="exact"/>
        <w:rPr>
          <w:sz w:val="20"/>
          <w:szCs w:val="20"/>
          <w:color w:val="auto"/>
        </w:rPr>
      </w:pPr>
    </w:p>
    <w:p>
      <w:pPr>
        <w:ind w:left="220" w:right="360"/>
        <w:spacing w:after="0"/>
        <w:rPr>
          <w:sz w:val="20"/>
          <w:szCs w:val="20"/>
          <w:color w:val="auto"/>
        </w:rPr>
      </w:pPr>
      <w:r>
        <w:rPr>
          <w:rFonts w:ascii="Arial" w:cs="Arial" w:eastAsia="Arial" w:hAnsi="Arial"/>
          <w:sz w:val="16"/>
          <w:szCs w:val="16"/>
          <w:color w:val="auto"/>
        </w:rPr>
        <w:t>Issuance of common stock for Employee Stock Purchase Plan</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Exercise of common stock warrants</w:t>
      </w:r>
    </w:p>
    <w:p>
      <w:pPr>
        <w:spacing w:after="0" w:line="32" w:lineRule="exact"/>
        <w:rPr>
          <w:sz w:val="20"/>
          <w:szCs w:val="20"/>
          <w:color w:val="auto"/>
        </w:rPr>
      </w:pPr>
    </w:p>
    <w:p>
      <w:pPr>
        <w:ind w:left="220" w:right="340"/>
        <w:spacing w:after="0"/>
        <w:rPr>
          <w:sz w:val="20"/>
          <w:szCs w:val="20"/>
          <w:color w:val="auto"/>
        </w:rPr>
      </w:pPr>
      <w:r>
        <w:rPr>
          <w:rFonts w:ascii="Arial" w:cs="Arial" w:eastAsia="Arial" w:hAnsi="Arial"/>
          <w:sz w:val="16"/>
          <w:szCs w:val="16"/>
          <w:color w:val="auto"/>
        </w:rPr>
        <w:t>Fair value of common stock warrants at time of exercise</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Unrealized loss on short-term investments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translation adjustments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2,950</w:t>
            </w:r>
          </w:p>
        </w:tc>
      </w:tr>
      <w:tr>
        <w:trPr>
          <w:trHeight w:val="297"/>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26,335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26,335</w:t>
            </w:r>
          </w:p>
        </w:tc>
      </w:tr>
      <w:tr>
        <w:trPr>
          <w:trHeight w:val="378"/>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85,803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85,803</w:t>
            </w:r>
          </w:p>
        </w:tc>
      </w:tr>
      <w:tr>
        <w:trPr>
          <w:trHeight w:val="378"/>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(34,069)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(34,069)</w:t>
            </w:r>
          </w:p>
        </w:tc>
      </w:tr>
      <w:tr>
        <w:trPr>
          <w:trHeight w:val="297"/>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57,725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57,725</w:t>
            </w: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(34,382)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(34,382)</w:t>
            </w:r>
          </w:p>
        </w:tc>
      </w:tr>
      <w:tr>
        <w:trPr>
          <w:trHeight w:val="25"/>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62,335</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1,025,233</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(659,210)</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366,305</w:t>
            </w:r>
          </w:p>
        </w:tc>
      </w:tr>
      <w:tr>
        <w:trPr>
          <w:trHeight w:val="2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1"/>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(85,803)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(76,754)</w:t>
            </w:r>
          </w:p>
        </w:tc>
      </w:tr>
      <w:tr>
        <w:trPr>
          <w:trHeight w:val="284"/>
        </w:trPr>
        <w:tc>
          <w:tcPr>
            <w:tcW w:w="98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41,821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41,823</w:t>
            </w: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(1,551)</w:t>
            </w:r>
          </w:p>
        </w:tc>
      </w:tr>
      <w:tr>
        <w:trPr>
          <w:trHeight w:val="378"/>
        </w:trPr>
        <w:tc>
          <w:tcPr>
            <w:tcW w:w="9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11,069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11,069</w:t>
            </w: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899</w:t>
            </w:r>
          </w:p>
        </w:tc>
      </w:tr>
      <w:tr>
        <w:trPr>
          <w:trHeight w:val="297"/>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15,500</w:t>
            </w:r>
          </w:p>
        </w:tc>
      </w:tr>
      <w:tr>
        <w:trPr>
          <w:trHeight w:val="297"/>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61,091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61,091</w:t>
            </w: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(693)</w:t>
            </w: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16"/>
        </w:trPr>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15,566</w:t>
            </w:r>
          </w:p>
        </w:tc>
      </w:tr>
      <w:tr>
        <w:trPr>
          <w:trHeight w:val="25"/>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63,833</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1,068,259</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(634,595)</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433,112</w:t>
            </w:r>
          </w:p>
        </w:tc>
      </w:tr>
      <w:tr>
        <w:trPr>
          <w:trHeight w:val="2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-3119755</wp:posOffset>
            </wp:positionV>
            <wp:extent cx="709803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-2639695</wp:posOffset>
            </wp:positionV>
            <wp:extent cx="70980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-2365375</wp:posOffset>
            </wp:positionV>
            <wp:extent cx="709803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-2091055</wp:posOffset>
            </wp:positionV>
            <wp:extent cx="709803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-1705610</wp:posOffset>
            </wp:positionV>
            <wp:extent cx="709803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-1328420</wp:posOffset>
            </wp:positionV>
            <wp:extent cx="709803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-951230</wp:posOffset>
            </wp:positionV>
            <wp:extent cx="709803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-574040</wp:posOffset>
            </wp:positionV>
            <wp:extent cx="709803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-299720</wp:posOffset>
            </wp:positionV>
            <wp:extent cx="709803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120"/>
            <w:col w:w="7420"/>
          </w:cols>
          <w:pgMar w:left="320" w:top="891" w:right="399" w:bottom="1440" w:gutter="0" w:footer="0" w:header="0"/>
          <w:type w:val="continuous"/>
        </w:sectPr>
      </w:pPr>
    </w:p>
    <w:p>
      <w:pPr>
        <w:spacing w:after="0" w:line="6" w:lineRule="exact"/>
        <w:rPr>
          <w:sz w:val="20"/>
          <w:szCs w:val="20"/>
          <w:color w:val="auto"/>
        </w:rPr>
      </w:pPr>
    </w:p>
    <w:p>
      <w:pPr>
        <w:ind w:left="260" w:right="420" w:hanging="252"/>
        <w:spacing w:after="0" w:line="275" w:lineRule="auto"/>
        <w:tabs>
          <w:tab w:leader="none" w:pos="2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Company adopted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effective January 1, 2021 (see Note 2, “Summary of Significant Accounting Policies”).</w:t>
      </w:r>
    </w:p>
    <w:p>
      <w:pPr>
        <w:spacing w:after="0" w:line="7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15,566</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(34,382)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(24,753)</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7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6,072</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debt discount and issuance costs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740" w:type="dxa"/>
            <w:vAlign w:val="bottom"/>
          </w:tcPr>
          <w:p>
            <w:pPr>
              <w:ind w:left="180"/>
              <w:spacing w:after="0"/>
              <w:rPr>
                <w:sz w:val="20"/>
                <w:szCs w:val="20"/>
                <w:color w:val="auto"/>
              </w:rPr>
            </w:pPr>
            <w:r>
              <w:rPr>
                <w:rFonts w:ascii="Arial" w:cs="Arial" w:eastAsia="Arial" w:hAnsi="Arial"/>
                <w:sz w:val="14"/>
                <w:szCs w:val="14"/>
                <w:color w:val="auto"/>
              </w:rPr>
              <w:t>Provision for expected credit losses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Provision (recovery) for inventory obsolescence</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Change in fair value of common stock warrants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11,075</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premium (discount) on short-term investments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10"/>
        </w:trPr>
        <w:tc>
          <w:tcPr>
            <w:tcW w:w="6740" w:type="dxa"/>
            <w:vAlign w:val="bottom"/>
          </w:tcPr>
          <w:p>
            <w:pPr>
              <w:ind w:left="180"/>
              <w:spacing w:after="0"/>
              <w:rPr>
                <w:sz w:val="20"/>
                <w:szCs w:val="20"/>
                <w:color w:val="auto"/>
              </w:rPr>
            </w:pPr>
            <w:r>
              <w:rPr>
                <w:rFonts w:ascii="Arial" w:cs="Arial" w:eastAsia="Arial" w:hAnsi="Arial"/>
                <w:sz w:val="14"/>
                <w:szCs w:val="14"/>
                <w:color w:val="auto"/>
              </w:rPr>
              <w:t>Benefit for 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2"/>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60,752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58,071</w:t>
            </w:r>
          </w:p>
        </w:tc>
        <w:tc>
          <w:tcPr>
            <w:tcW w:w="0" w:type="dxa"/>
            <w:vAlign w:val="bottom"/>
          </w:tcPr>
          <w:p>
            <w:pPr>
              <w:spacing w:after="0"/>
              <w:rPr>
                <w:sz w:val="1"/>
                <w:szCs w:val="1"/>
                <w:color w:val="auto"/>
              </w:rPr>
            </w:pPr>
          </w:p>
        </w:tc>
      </w:tr>
      <w:tr>
        <w:trPr>
          <w:trHeight w:val="190"/>
        </w:trPr>
        <w:tc>
          <w:tcPr>
            <w:tcW w:w="6740" w:type="dxa"/>
            <w:vAlign w:val="bottom"/>
          </w:tcPr>
          <w:p>
            <w:pPr>
              <w:ind w:left="18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(38,837)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(13,698)</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(30,975)</w:t>
            </w:r>
          </w:p>
        </w:tc>
        <w:tc>
          <w:tcPr>
            <w:tcW w:w="0" w:type="dxa"/>
            <w:vAlign w:val="bottom"/>
          </w:tcPr>
          <w:p>
            <w:pPr>
              <w:spacing w:after="0"/>
              <w:rPr>
                <w:sz w:val="1"/>
                <w:szCs w:val="1"/>
                <w:color w:val="auto"/>
              </w:rPr>
            </w:pPr>
          </w:p>
        </w:tc>
      </w:tr>
      <w:tr>
        <w:trPr>
          <w:trHeight w:val="190"/>
        </w:trPr>
        <w:tc>
          <w:tcPr>
            <w:tcW w:w="6740" w:type="dxa"/>
            <w:vAlign w:val="bottom"/>
          </w:tcPr>
          <w:p>
            <w:pPr>
              <w:ind w:left="360"/>
              <w:spacing w:after="0"/>
              <w:rPr>
                <w:sz w:val="20"/>
                <w:szCs w:val="20"/>
                <w:color w:val="auto"/>
              </w:rPr>
            </w:pPr>
            <w:r>
              <w:rPr>
                <w:rFonts w:ascii="Arial" w:cs="Arial" w:eastAsia="Arial" w:hAnsi="Arial"/>
                <w:sz w:val="14"/>
                <w:szCs w:val="14"/>
                <w:color w:val="auto"/>
              </w:rPr>
              <w:t>Prepaid and other current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long-term assets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90"/>
        </w:trPr>
        <w:tc>
          <w:tcPr>
            <w:tcW w:w="67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4,076</w:t>
            </w:r>
          </w:p>
        </w:tc>
        <w:tc>
          <w:tcPr>
            <w:tcW w:w="0" w:type="dxa"/>
            <w:vAlign w:val="bottom"/>
          </w:tcPr>
          <w:p>
            <w:pPr>
              <w:spacing w:after="0"/>
              <w:rPr>
                <w:sz w:val="1"/>
                <w:szCs w:val="1"/>
                <w:color w:val="auto"/>
              </w:rPr>
            </w:pPr>
          </w:p>
        </w:tc>
      </w:tr>
      <w:tr>
        <w:trPr>
          <w:trHeight w:val="190"/>
        </w:trPr>
        <w:tc>
          <w:tcPr>
            <w:tcW w:w="6740" w:type="dxa"/>
            <w:vAlign w:val="bottom"/>
          </w:tcPr>
          <w:p>
            <w:pPr>
              <w:ind w:left="360"/>
              <w:spacing w:after="0"/>
              <w:rPr>
                <w:sz w:val="20"/>
                <w:szCs w:val="20"/>
                <w:color w:val="auto"/>
              </w:rPr>
            </w:pPr>
            <w:r>
              <w:rPr>
                <w:rFonts w:ascii="Arial" w:cs="Arial" w:eastAsia="Arial" w:hAnsi="Arial"/>
                <w:sz w:val="14"/>
                <w:szCs w:val="14"/>
                <w:color w:val="auto"/>
              </w:rPr>
              <w:t>Employee-related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4,285</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4,589</w:t>
            </w:r>
          </w:p>
        </w:tc>
        <w:tc>
          <w:tcPr>
            <w:tcW w:w="0" w:type="dxa"/>
            <w:vAlign w:val="bottom"/>
          </w:tcPr>
          <w:p>
            <w:pPr>
              <w:spacing w:after="0"/>
              <w:rPr>
                <w:sz w:val="1"/>
                <w:szCs w:val="1"/>
                <w:color w:val="auto"/>
              </w:rPr>
            </w:pPr>
          </w:p>
        </w:tc>
      </w:tr>
      <w:tr>
        <w:trPr>
          <w:trHeight w:val="190"/>
        </w:trPr>
        <w:tc>
          <w:tcPr>
            <w:tcW w:w="6740" w:type="dxa"/>
            <w:vAlign w:val="bottom"/>
          </w:tcPr>
          <w:p>
            <w:pPr>
              <w:ind w:left="360"/>
              <w:spacing w:after="0"/>
              <w:rPr>
                <w:sz w:val="20"/>
                <w:szCs w:val="20"/>
                <w:color w:val="auto"/>
              </w:rPr>
            </w:pPr>
            <w:r>
              <w:rPr>
                <w:rFonts w:ascii="Arial" w:cs="Arial" w:eastAsia="Arial" w:hAnsi="Arial"/>
                <w:sz w:val="14"/>
                <w:szCs w:val="14"/>
                <w:color w:val="auto"/>
              </w:rPr>
              <w:t>Operating leases and other current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4,216</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long-term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7,412</w:t>
            </w:r>
          </w:p>
        </w:tc>
        <w:tc>
          <w:tcPr>
            <w:tcW w:w="0" w:type="dxa"/>
            <w:vAlign w:val="bottom"/>
          </w:tcPr>
          <w:p>
            <w:pPr>
              <w:spacing w:after="0"/>
              <w:rPr>
                <w:sz w:val="1"/>
                <w:szCs w:val="1"/>
                <w:color w:val="auto"/>
              </w:rPr>
            </w:pPr>
          </w:p>
        </w:tc>
      </w:tr>
      <w:tr>
        <w:trPr>
          <w:trHeight w:val="184"/>
        </w:trPr>
        <w:tc>
          <w:tcPr>
            <w:tcW w:w="67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111,359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24,669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41,906</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Purchases of short-term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(733,388)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(497,076)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(164,572)</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maturities of short-term investments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545,735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180,922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114,908</w:t>
            </w:r>
          </w:p>
        </w:tc>
        <w:tc>
          <w:tcPr>
            <w:tcW w:w="0" w:type="dxa"/>
            <w:vAlign w:val="bottom"/>
          </w:tcPr>
          <w:p>
            <w:pPr>
              <w:spacing w:after="0"/>
              <w:rPr>
                <w:sz w:val="1"/>
                <w:szCs w:val="1"/>
                <w:color w:val="auto"/>
              </w:rPr>
            </w:pPr>
          </w:p>
        </w:tc>
      </w:tr>
      <w:tr>
        <w:trPr>
          <w:trHeight w:val="191"/>
        </w:trPr>
        <w:tc>
          <w:tcPr>
            <w:tcW w:w="6740" w:type="dxa"/>
            <w:vAlign w:val="bottom"/>
          </w:tcPr>
          <w:p>
            <w:pPr>
              <w:ind w:left="20"/>
              <w:spacing w:after="0"/>
              <w:rPr>
                <w:sz w:val="20"/>
                <w:szCs w:val="20"/>
                <w:color w:val="auto"/>
              </w:rPr>
            </w:pPr>
            <w:r>
              <w:rPr>
                <w:rFonts w:ascii="Arial" w:cs="Arial" w:eastAsia="Arial" w:hAnsi="Arial"/>
                <w:sz w:val="14"/>
                <w:szCs w:val="14"/>
                <w:color w:val="auto"/>
              </w:rPr>
              <w:t>Proceeds from sales of short-term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24,288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12,250</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(27,408)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(19,541)</w:t>
            </w: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Acquisition of intangible assets and equity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(186,876)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(296,056)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(56,955)</w:t>
            </w:r>
          </w:p>
        </w:tc>
        <w:tc>
          <w:tcPr>
            <w:tcW w:w="0" w:type="dxa"/>
            <w:vAlign w:val="bottom"/>
          </w:tcPr>
          <w:p>
            <w:pPr>
              <w:spacing w:after="0"/>
              <w:rPr>
                <w:sz w:val="1"/>
                <w:szCs w:val="1"/>
                <w:color w:val="auto"/>
              </w:rPr>
            </w:pPr>
          </w:p>
        </w:tc>
      </w:tr>
      <w:tr>
        <w:trPr>
          <w:trHeight w:val="191"/>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convertible senior notes, net of $8,809 debt issuance costs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278,691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Payment for capped call transactions related to convertible senior notes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under Company stock plans, net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51,340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23,880</w:t>
            </w: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51,932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314,438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24,207</w:t>
            </w: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(23,432)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43,438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9,349</w:t>
            </w: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94,613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51,175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41,826</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71,181</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7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4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260</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15,191</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11,022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11,635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included in accounts payable</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740" w:type="dxa"/>
            <w:vAlign w:val="bottom"/>
          </w:tcPr>
          <w:p>
            <w:pPr>
              <w:ind w:left="20"/>
              <w:spacing w:after="0"/>
              <w:rPr>
                <w:sz w:val="20"/>
                <w:szCs w:val="20"/>
                <w:color w:val="auto"/>
              </w:rPr>
            </w:pPr>
            <w:r>
              <w:rPr>
                <w:rFonts w:ascii="Arial" w:cs="Arial" w:eastAsia="Arial" w:hAnsi="Arial"/>
                <w:sz w:val="14"/>
                <w:szCs w:val="14"/>
                <w:color w:val="auto"/>
              </w:rPr>
              <w:t>Intangible costs in accounts payable and other long-term liabilities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1,029</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2,244</w:t>
            </w:r>
          </w:p>
        </w:tc>
        <w:tc>
          <w:tcPr>
            <w:tcW w:w="1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ind w:right="220" w:firstLine="810"/>
        <w:spacing w:after="0" w:line="311" w:lineRule="auto"/>
        <w:rPr>
          <w:sz w:val="20"/>
          <w:szCs w:val="20"/>
          <w:color w:val="auto"/>
        </w:rPr>
      </w:pPr>
      <w:r>
        <w:rPr>
          <w:rFonts w:ascii="Arial" w:cs="Arial" w:eastAsia="Arial" w:hAnsi="Arial"/>
          <w:sz w:val="16"/>
          <w:szCs w:val="16"/>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 in the U.S. and Canada.</w:t>
      </w:r>
    </w:p>
    <w:p>
      <w:pPr>
        <w:spacing w:after="0" w:line="149"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software updates and is designed to display continuous glucose monitoring (CGM) sensor information directly on the pump home screen. The Company’s insulin pump products are compatible with other complementary digital health offerings, such as the t:connect cloud-based diabetes management application (t:connect) and the Tandem Device Updater, a Mac and PC-compatible tool which offers and supports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jc w:val="both"/>
        <w:ind w:right="60" w:firstLine="810"/>
        <w:spacing w:after="0" w:line="286" w:lineRule="auto"/>
        <w:rPr>
          <w:sz w:val="20"/>
          <w:szCs w:val="20"/>
          <w:color w:val="auto"/>
        </w:rPr>
      </w:pPr>
      <w:r>
        <w:rPr>
          <w:rFonts w:ascii="Arial" w:cs="Arial" w:eastAsia="Arial" w:hAnsi="Arial"/>
          <w:sz w:val="17"/>
          <w:szCs w:val="17"/>
          <w:color w:val="auto"/>
        </w:rPr>
        <w:t>The Company has prepared the accompanying consolidated financial statements in accordance with accounting principles generally accepted in the United States of America, or U.S. GAAP. The statements include the accounts of Tandem Diabetes Care, Inc. and its wholly-owned subsidiaries in the U.S. and Canada. All significant intercompany balances and transactions have been eliminated in consolidation.</w:t>
      </w:r>
    </w:p>
    <w:p>
      <w:pPr>
        <w:spacing w:after="0" w:line="165"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other comprehensive income (loss), and in accumulated other comprehensive income (loss) in the stockholders’ equity section of the Company’s consolidated balance sheets. Foreign exchange gains or losses resulting from balances denominated in a currency other than the functional currency are recognized in interest income and other, net in the Company’s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 xml:space="preserve">There have been no material changes to the Company’s significant accounting policies during the year ended December 31, 2021, other than the adoption of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effective January 1, 2021 (see Note 7,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98" w:lineRule="exact"/>
        <w:rPr>
          <w:sz w:val="20"/>
          <w:szCs w:val="20"/>
          <w:color w:val="auto"/>
        </w:rPr>
      </w:pPr>
    </w:p>
    <w:p>
      <w:pPr>
        <w:ind w:right="720" w:firstLine="810"/>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from the date of purchase and that can be liquidated without prior notice or penalty to be cash equivalents.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98"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Company’s short-term investments are classified as available-for-sale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that are not related to credit factors are reported as a component of other comprehensive income (loss) within the statements of operations and accumulated other comprehensive income (loss) as a separate component of stockholders’ equity on the consolidated balance sheets. The Company determines realized gains or losses on the sale of available-for-sale securities using the specific identification method and includes net realized gains and losses as a component of other income or expense within the consolidated statements of operations.</w:t>
      </w:r>
    </w:p>
    <w:p>
      <w:pPr>
        <w:spacing w:after="0" w:line="154"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The Company reviews its available-for-sale debt securities for credit losses quarterly, considering a variety of factors, including the significance of the decline in value as compared to the amortized cost basis; underlying factors contributing to a decline in the prices of securities in a single asset class; the security’s relative performance versus its peers, sector or asset class; the market and economy in general; views of external investment managers; news or financial information that has been released specific to the investee; and the outlook for the overall industry in which the investee operates. Losses on available-for-sale debt securities as a result of credit factors are recognized by recording an impairment loss as a component of other income or expense within the consolidated statements of operations and a corresponding allowance for credit losses. The Company has not recognized any impairment losses related to its short-term investments during the years ended December 31, 2021, 2020 and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coronavirus pandemic (COVID-19 global pandemic). Uncollectible accounts are written off against the allowance after appropriate collection efforts have been exhausted and when it is deemed that a balance is uncollectible.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customers who accounted for 10% or more of accounts receivable,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w w:val="96"/>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8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2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11.2 %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12.3 %</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Amount related to the respective customer represented less than 10% for the period presented.</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customers who accounted for 10% or more of total sales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B</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Customer C</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15.4 %</w:t>
            </w:r>
          </w:p>
        </w:tc>
      </w:tr>
    </w:tbl>
    <w:p>
      <w:pPr>
        <w:spacing w:after="0" w:line="174" w:lineRule="exact"/>
        <w:rPr>
          <w:sz w:val="20"/>
          <w:szCs w:val="20"/>
          <w:color w:val="auto"/>
        </w:rPr>
      </w:pPr>
    </w:p>
    <w:p>
      <w:pPr>
        <w:ind w:left="5540" w:right="4300" w:hanging="5532"/>
        <w:spacing w:after="0" w:line="919" w:lineRule="auto"/>
        <w:tabs>
          <w:tab w:leader="none" w:pos="1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 related to the respective customer represented less than 10% for the period presented.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carrying value and estimated fair value of certain of the Company’s common stock warrants was determined using the Black-Scholes pricing model as of December 31, 2021 and 2020 (see Note 5, “Fair Value Measurements”).</w:t>
      </w:r>
    </w:p>
    <w:p>
      <w:pPr>
        <w:spacing w:after="0" w:line="146" w:lineRule="exact"/>
        <w:rPr>
          <w:sz w:val="20"/>
          <w:szCs w:val="20"/>
          <w:color w:val="auto"/>
        </w:rPr>
      </w:pPr>
    </w:p>
    <w:p>
      <w:pPr>
        <w:jc w:val="both"/>
        <w:ind w:right="260" w:firstLine="810"/>
        <w:spacing w:after="0" w:line="263" w:lineRule="auto"/>
        <w:rPr>
          <w:sz w:val="20"/>
          <w:szCs w:val="20"/>
          <w:color w:val="auto"/>
        </w:rPr>
      </w:pPr>
      <w:r>
        <w:rPr>
          <w:rFonts w:ascii="Arial" w:cs="Arial" w:eastAsia="Arial" w:hAnsi="Arial"/>
          <w:sz w:val="18"/>
          <w:szCs w:val="18"/>
          <w:color w:val="auto"/>
        </w:rPr>
        <w:t>The Company’s convertible senior notes are carried at amortized cost on the consolidated balance sheets (see Note 7, “Debt”). The Company determined the fair value of its convertible senior notes to be $430.0 million and $333.5 million at December 31, 2021 and 2020, respectively, based on Level 2 quoted market prices as of that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198" w:lineRule="exact"/>
        <w:rPr>
          <w:sz w:val="20"/>
          <w:szCs w:val="20"/>
          <w:color w:val="auto"/>
        </w:rPr>
      </w:pPr>
    </w:p>
    <w:p>
      <w:pPr>
        <w:ind w:right="80" w:firstLine="810"/>
        <w:spacing w:after="0" w:line="275" w:lineRule="auto"/>
        <w:rPr>
          <w:sz w:val="20"/>
          <w:szCs w:val="20"/>
          <w:color w:val="auto"/>
        </w:rPr>
      </w:pPr>
      <w:r>
        <w:rPr>
          <w:rFonts w:ascii="Arial" w:cs="Arial" w:eastAsia="Arial" w:hAnsi="Arial"/>
          <w:sz w:val="17"/>
          <w:szCs w:val="17"/>
          <w:color w:val="auto"/>
        </w:rPr>
        <w:t>Inventories are valued at the lower of cost or net realizable value, determined by the first-in, first-out method. Inventory is recorded using standard cost, including material, labor and overhead costs. The Company periodically reviews inventories for potential impairment and adjusts inventory for potentially excess or obsolete goods to state inventories at their net realizable value. Factors influencing these adjustments include quantities on hand and firm purchase commitments, expectations of future use, judgments based on quality control testing data and assessments of the likelihood of scrapping or obsoleting certain inventories based on future demand for its products and market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Property and Equipment</w:t>
      </w:r>
    </w:p>
    <w:p>
      <w:pPr>
        <w:spacing w:after="0" w:line="198" w:lineRule="exact"/>
        <w:rPr>
          <w:sz w:val="20"/>
          <w:szCs w:val="20"/>
          <w:color w:val="auto"/>
        </w:rPr>
      </w:pPr>
    </w:p>
    <w:p>
      <w:pPr>
        <w:ind w:right="200" w:firstLine="810"/>
        <w:spacing w:after="0" w:line="301" w:lineRule="auto"/>
        <w:rPr>
          <w:sz w:val="20"/>
          <w:szCs w:val="20"/>
          <w:color w:val="auto"/>
        </w:rPr>
      </w:pPr>
      <w:r>
        <w:rPr>
          <w:rFonts w:ascii="Arial" w:cs="Arial" w:eastAsia="Arial" w:hAnsi="Arial"/>
          <w:sz w:val="16"/>
          <w:szCs w:val="16"/>
          <w:color w:val="auto"/>
        </w:rPr>
        <w:t>Property and equipment, which primarily consist of office furniture and equipment, manufacturing equipment, scientific equipment, computer equipment, and leasehold improvements, are stated at cost, less accumulated depreciation. Property and equipment are depreciated over the estimated useful lives of the assets, generally three to seven years, using the straight-line method. Leasehold improvements are amortized over the lesser of the estimated useful lives of the assets or the remaining lease term. Maintenance and repair costs are expensed as incurred.</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Operating Lease Right-of-Use Assets and Liabilities</w:t>
      </w:r>
    </w:p>
    <w:p>
      <w:pPr>
        <w:spacing w:after="0" w:line="18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 xml:space="preserve">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sheets. Landlord improvement allowances and other similar lease incentives are recorded as a reduction of the right-of-use leased assets, and are amortized on a straight-line basis as a reduction to operating lease costs.</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Cost Basis Equity Investment</w:t>
      </w:r>
    </w:p>
    <w:p>
      <w:pPr>
        <w:spacing w:after="0" w:line="239" w:lineRule="exact"/>
        <w:rPr>
          <w:sz w:val="20"/>
          <w:szCs w:val="20"/>
          <w:color w:val="auto"/>
        </w:rPr>
      </w:pPr>
    </w:p>
    <w:p>
      <w:pPr>
        <w:ind w:right="80" w:firstLine="810"/>
        <w:spacing w:after="0" w:line="228" w:lineRule="auto"/>
        <w:rPr>
          <w:sz w:val="20"/>
          <w:szCs w:val="20"/>
          <w:color w:val="auto"/>
        </w:rPr>
      </w:pPr>
      <w:r>
        <w:rPr>
          <w:rFonts w:ascii="Arial" w:cs="Arial" w:eastAsia="Arial" w:hAnsi="Arial"/>
          <w:sz w:val="18"/>
          <w:szCs w:val="18"/>
          <w:color w:val="auto"/>
        </w:rPr>
        <w:t>During the second quarter of 2021, the Company made an $8.1 million equity investment in a private company, which represented less than 5% of the outstanding equity of that company. The investment is recorded using the cost minus impairment adjusted for changes in observable prices and is included as a component of other long-term assets on the consolidated balance sheet at December 31, 2021. We monitor this investment to evaluate whether any increase or decline in its value has occurred, based on the implied value of recent company financings, public market prices of comparable companies and general market conditions.</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85" w:lineRule="exact"/>
        <w:rPr>
          <w:sz w:val="20"/>
          <w:szCs w:val="20"/>
          <w:color w:val="auto"/>
        </w:rPr>
      </w:pPr>
    </w:p>
    <w:p>
      <w:pPr>
        <w:ind w:right="180" w:firstLine="810"/>
        <w:spacing w:after="0" w:line="279" w:lineRule="auto"/>
        <w:rPr>
          <w:sz w:val="20"/>
          <w:szCs w:val="20"/>
          <w:color w:val="auto"/>
        </w:rPr>
      </w:pPr>
      <w:r>
        <w:rPr>
          <w:rFonts w:ascii="Arial" w:cs="Arial" w:eastAsia="Arial" w:hAnsi="Arial"/>
          <w:sz w:val="17"/>
          <w:szCs w:val="17"/>
          <w:color w:val="auto"/>
        </w:rPr>
        <w:t>Finite-lived intangible assets are recorded at cost, net of accumulated amortization and, if applicable, impairment charges. Amortization of finite-lived intangible assets is recognized over their estimated useful lives on a straight-line basis. The Company reviews its finite-lived intangible assets for impairment whenever events or changes in circumstances indicate that the carrying amount of an asset may not be recoverable. The Company has not recognized any impairment losses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5" w:name="page96"/>
    <w:bookmarkEnd w:id="95"/>
    <w:p>
      <w:pPr>
        <w:ind w:right="20" w:firstLine="810"/>
        <w:spacing w:after="0" w:line="279" w:lineRule="auto"/>
        <w:rPr>
          <w:sz w:val="20"/>
          <w:szCs w:val="20"/>
          <w:color w:val="auto"/>
        </w:rPr>
      </w:pPr>
      <w:r>
        <w:rPr>
          <w:rFonts w:ascii="Arial" w:cs="Arial" w:eastAsia="Arial" w:hAnsi="Arial"/>
          <w:sz w:val="16"/>
          <w:szCs w:val="16"/>
          <w:color w:val="auto"/>
        </w:rPr>
        <w:t xml:space="preserve">On June 24, 2020, the Company acquired Sugarmate, Inc. (Sugarmate), the developer of a mobile app designed to help people visualize diabetes therapy data in innovative ways. The Sugarmate acquisition was accounted for as an acquisition of assets in accordance with ASU No. 2017-01,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 Clarifying the Definition of a Business</w:t>
      </w:r>
      <w:r>
        <w:rPr>
          <w:rFonts w:ascii="Arial" w:cs="Arial" w:eastAsia="Arial" w:hAnsi="Arial"/>
          <w:sz w:val="16"/>
          <w:szCs w:val="16"/>
          <w:color w:val="auto"/>
        </w:rPr>
        <w:t>. Substantially all of the fair value was concentrated in a single identifiable asset, a</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technology-based intangible asset. The purchased intangible asset is being amortized on a straight-line basis over an estimated useful life of five years. The Company’s results of operations include the operating results of Sugarmate since the date of acquisition, the amounts of which were not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Performance Obligations</w:t>
      </w:r>
    </w:p>
    <w:p>
      <w:pPr>
        <w:spacing w:after="0" w:line="18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December 31, 2021 and 2020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Sales Returns</w:t>
      </w:r>
    </w:p>
    <w:p>
      <w:pPr>
        <w:spacing w:after="0" w:line="185"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Company offers a 30-day right of return to customers in the U.S.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adjusted for known or expected changes in the marketplace when appropriate. The amount recorded in deferred revenue on the Company’s consolidated balance sheets for allowances for sales returns was $0.6 million and $0.6 million at December 31, 2021 and 2020, respectively. Actual product returns have not differed materially from estimated amounts recorded in the accompanying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98"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 xml:space="preserve">The Company generally provides a four-year warranty on its insulin pumps to end user customers and may replace any pumps that do not function as intended in accordance with the product specifications within the warranty period. Insulin pumps returned to the Company may be refurbished and redeployed.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utilizing historical experience. </w:t>
      </w:r>
      <w:r>
        <w:rPr>
          <w:rFonts w:ascii="Arial" w:cs="Arial" w:eastAsia="Arial" w:hAnsi="Arial"/>
          <w:sz w:val="16"/>
          <w:szCs w:val="16"/>
          <w:color w:val="212529"/>
        </w:rPr>
        <w:t>Experience has</w:t>
      </w:r>
      <w:r>
        <w:rPr>
          <w:rFonts w:ascii="Arial" w:cs="Arial" w:eastAsia="Arial" w:hAnsi="Arial"/>
          <w:sz w:val="16"/>
          <w:szCs w:val="16"/>
          <w:color w:val="auto"/>
        </w:rPr>
        <w:t xml:space="preserve"> </w:t>
      </w:r>
      <w:r>
        <w:rPr>
          <w:rFonts w:ascii="Arial" w:cs="Arial" w:eastAsia="Arial" w:hAnsi="Arial"/>
          <w:sz w:val="16"/>
          <w:szCs w:val="16"/>
          <w:color w:val="212529"/>
        </w:rPr>
        <w:t xml:space="preserve">shown that initial data for any given pump version may be insufficient; therefore, our process relies on long-term historical averages until sufficient data are available. As actual experience becomes available, we use the data to update the historical averages. </w:t>
      </w:r>
      <w:r>
        <w:rPr>
          <w:rFonts w:ascii="Arial" w:cs="Arial" w:eastAsia="Arial" w:hAnsi="Arial"/>
          <w:sz w:val="16"/>
          <w:szCs w:val="16"/>
          <w:color w:val="000000"/>
        </w:rPr>
        <w:t>The Company may make further adjustments to the</w:t>
      </w:r>
      <w:r>
        <w:rPr>
          <w:rFonts w:ascii="Arial" w:cs="Arial" w:eastAsia="Arial" w:hAnsi="Arial"/>
          <w:sz w:val="16"/>
          <w:szCs w:val="16"/>
          <w:color w:val="212529"/>
        </w:rPr>
        <w:t xml:space="preserve"> </w:t>
      </w:r>
      <w:r>
        <w:rPr>
          <w:rFonts w:ascii="Arial" w:cs="Arial" w:eastAsia="Arial" w:hAnsi="Arial"/>
          <w:sz w:val="16"/>
          <w:szCs w:val="16"/>
          <w:color w:val="000000"/>
        </w:rPr>
        <w:t>warranty reserve when deemed appropriate, giving additional consideration to the length of time each pump version has been in the field and revised future expectations of performance based on new features and capabilities that may become available through Tandem Device Updater.</w:t>
      </w:r>
    </w:p>
    <w:p>
      <w:pPr>
        <w:spacing w:after="0" w:line="126"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product warranty liabilities for the years ended December 31, 2021, 2020 and 2019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18,335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warranty estimates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the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60" w:firstLine="810"/>
        <w:spacing w:after="0" w:line="277" w:lineRule="auto"/>
        <w:rPr>
          <w:sz w:val="20"/>
          <w:szCs w:val="20"/>
          <w:color w:val="auto"/>
        </w:rPr>
      </w:pPr>
      <w:r>
        <w:rPr>
          <w:rFonts w:ascii="Arial" w:cs="Arial" w:eastAsia="Arial" w:hAnsi="Arial"/>
          <w:sz w:val="18"/>
          <w:szCs w:val="18"/>
          <w:color w:val="auto"/>
        </w:rPr>
        <w:t>As of December 31, 2021 and December 31, 2020, total product warranty reserves of $30.4 million and $22.1 million, respectively, were included in the following consolidated balance sheet accounts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warranty reserve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 Liabilities</w:t>
      </w:r>
    </w:p>
    <w:p>
      <w:pPr>
        <w:spacing w:after="0" w:line="185"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color w:val="auto"/>
        </w:rPr>
        <w:t>The Company accounts for certain stock warrants as a liability in the consolidated financial statements when they contain a provision within the warrant contracts that could require cash settlement in the event the Company did not have an active registration statement. The fair value of these common stock warrants is remeasured at each financial reporting period with any changes in fair value being recognized as a component of other income (expense) in the accompanying statements of operations and comprehensive income (loss).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Company’s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is estimated based on the fair market value of the underlying stock on the date of grant and the probability that the specified performance criteria will be met, subject to the awardee’s continuing service through the measurement date. At each reporting period, we reassess the probability of the achievement of such performance metrics. Any expense change resulting from an adjustment in the estimated shares to be released is recorded in the period of adjustment.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Shipping and handling expenses associated with product delivery are included within cost of sales in the Company’s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billed to a customer for shipping and handling are reported as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ind w:right="520" w:firstLine="810"/>
        <w:spacing w:after="0" w:line="311" w:lineRule="auto"/>
        <w:rPr>
          <w:sz w:val="20"/>
          <w:szCs w:val="20"/>
          <w:color w:val="auto"/>
        </w:rPr>
      </w:pPr>
      <w:r>
        <w:rPr>
          <w:rFonts w:ascii="Arial" w:cs="Arial" w:eastAsia="Arial" w:hAnsi="Arial"/>
          <w:sz w:val="16"/>
          <w:szCs w:val="16"/>
          <w:color w:val="auto"/>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development and commercialization agreements and other indirect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20" w:firstLine="810"/>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tax assets or liabilities are recognized based on the temporary differences between financial statement and income tax bases of assets and liabilities using enacted tax rates in effect for the years in which the differences are expected to reverse. Tax law and rate changes are reflected in income in the period such changes are enacted. A valuation allowance is recorded when it is more likely than not that some of the deferred tax assets will not be realized. The Company includes interest and penalties related to income taxes, including unrecognized tax benefits, within income tax expense.</w:t>
      </w:r>
    </w:p>
    <w:p>
      <w:pPr>
        <w:spacing w:after="0" w:line="136"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using a two-step approach.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40"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Significant judgment is required in determining the Company’s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98" w:name="page99"/>
    <w:bookmarkEnd w:id="98"/>
    <w:p>
      <w:pPr>
        <w:ind w:right="20" w:firstLine="810"/>
        <w:spacing w:after="0" w:line="296"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state jurisdictions, and a corporation income tax return in Canada. The preparation of these income tax returns requires the Company to interpret the applicable tax laws and regulations in effect in such jurisdictions, which could affect the amount of tax paid by the Company. An amount is accrued for the estimate of additional tax liability, including interest and penalties, for any uncertain tax positions taken or expected to be taken in an income tax return. The Company reviews and updates the accrual for uncertain tax positions as more definitive information becomes available (see Note 10, “Income Taxes.” for further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ind w:right="80" w:firstLine="810"/>
        <w:spacing w:after="0" w:line="311" w:lineRule="auto"/>
        <w:rPr>
          <w:sz w:val="20"/>
          <w:szCs w:val="20"/>
          <w:color w:val="auto"/>
        </w:rPr>
      </w:pPr>
      <w:r>
        <w:rPr>
          <w:rFonts w:ascii="Arial" w:cs="Arial" w:eastAsia="Arial" w:hAnsi="Arial"/>
          <w:sz w:val="16"/>
          <w:szCs w:val="16"/>
          <w:color w:val="auto"/>
        </w:rPr>
        <w:t>All components of comprehensive income (loss), including net income (loss), are reported in the consolidated financial statements in the period in which they are recognized. Comprehensive income (loss) is defined as the change in equity during a period from transactions and other events and circumstances from non-owner sources, including unrealized gains and losses on marketable securities and foreign currency translation adjustments.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98"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Basic net income (loss) per share is calculated by dividing the net income (loss) by the weighted average number of common shares outstanding for the period, without consideration for common stock equivalents. Diluted net income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For common stock warrants that are recorded as a liability in the accompanying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185" w:lineRule="exact"/>
        <w:rPr>
          <w:sz w:val="20"/>
          <w:szCs w:val="20"/>
          <w:color w:val="auto"/>
        </w:rPr>
      </w:pPr>
    </w:p>
    <w:p>
      <w:pPr>
        <w:jc w:val="both"/>
        <w:ind w:right="60" w:firstLine="810"/>
        <w:spacing w:after="0" w:line="262" w:lineRule="auto"/>
        <w:rPr>
          <w:sz w:val="20"/>
          <w:szCs w:val="20"/>
          <w:color w:val="auto"/>
        </w:rPr>
      </w:pPr>
      <w:r>
        <w:rPr>
          <w:rFonts w:ascii="Arial" w:cs="Arial" w:eastAsia="Arial" w:hAnsi="Arial"/>
          <w:sz w:val="18"/>
          <w:szCs w:val="18"/>
          <w:color w:val="auto"/>
        </w:rPr>
        <w:t>For the years ended December 31, 2020 and 2019, there was no difference in the weighted average number of shares used to calculate basic and diluted net loss per share due to the Company’s net loss position. For the year ended December 31, 2021, the numerator and denominator of the diluted net income per share computation were calculated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95"/>
        </w:trPr>
        <w:tc>
          <w:tcPr>
            <w:tcW w:w="484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CCEEFF"/>
            </w:tcBorders>
            <w:shd w:val="clear" w:color="auto" w:fill="CCEEFF"/>
          </w:tcPr>
          <w:p>
            <w:pPr>
              <w:ind w:left="840"/>
              <w:spacing w:after="0" w:line="202" w:lineRule="exact"/>
              <w:rPr>
                <w:sz w:val="20"/>
                <w:szCs w:val="20"/>
                <w:color w:val="auto"/>
              </w:rPr>
            </w:pPr>
            <w:r>
              <w:rPr>
                <w:rFonts w:ascii="Arial" w:cs="Arial" w:eastAsia="Arial" w:hAnsi="Arial"/>
                <w:sz w:val="18"/>
                <w:szCs w:val="18"/>
                <w:color w:val="auto"/>
              </w:rPr>
              <w:t>Net income - basic and diluted</w:t>
            </w:r>
          </w:p>
        </w:tc>
        <w:tc>
          <w:tcPr>
            <w:tcW w:w="3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Weighted average shares outstanding - basic</w:t>
            </w:r>
          </w:p>
        </w:tc>
        <w:tc>
          <w:tcPr>
            <w:tcW w:w="3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30"/>
        </w:trPr>
        <w:tc>
          <w:tcPr>
            <w:tcW w:w="4840" w:type="dxa"/>
            <w:vAlign w:val="bottom"/>
          </w:tcPr>
          <w:p>
            <w:pPr>
              <w:ind w:left="840"/>
              <w:spacing w:after="0"/>
              <w:rPr>
                <w:sz w:val="20"/>
                <w:szCs w:val="20"/>
                <w:color w:val="auto"/>
              </w:rPr>
            </w:pPr>
            <w:r>
              <w:rPr>
                <w:rFonts w:ascii="Arial" w:cs="Arial" w:eastAsia="Arial" w:hAnsi="Arial"/>
                <w:sz w:val="18"/>
                <w:szCs w:val="18"/>
                <w:color w:val="auto"/>
              </w:rPr>
              <w:t>Dilutive common share equivalents:</w:t>
            </w:r>
          </w:p>
        </w:tc>
        <w:tc>
          <w:tcPr>
            <w:tcW w:w="3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Options to purchase common stock</w:t>
            </w:r>
          </w:p>
        </w:tc>
        <w:tc>
          <w:tcPr>
            <w:tcW w:w="3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9"/>
        </w:trPr>
        <w:tc>
          <w:tcPr>
            <w:tcW w:w="4840" w:type="dxa"/>
            <w:vAlign w:val="bottom"/>
          </w:tcPr>
          <w:p>
            <w:pPr>
              <w:ind w:left="1000"/>
              <w:spacing w:after="0"/>
              <w:rPr>
                <w:sz w:val="20"/>
                <w:szCs w:val="20"/>
                <w:color w:val="auto"/>
              </w:rPr>
            </w:pPr>
            <w:r>
              <w:rPr>
                <w:rFonts w:ascii="Arial" w:cs="Arial" w:eastAsia="Arial" w:hAnsi="Arial"/>
                <w:sz w:val="18"/>
                <w:szCs w:val="18"/>
                <w:color w:val="auto"/>
              </w:rPr>
              <w:t>Unvested restricted stock units</w:t>
            </w:r>
          </w:p>
        </w:tc>
        <w:tc>
          <w:tcPr>
            <w:tcW w:w="3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Warrants to purchase common stock</w:t>
            </w:r>
          </w:p>
        </w:tc>
        <w:tc>
          <w:tcPr>
            <w:tcW w:w="3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Awards to be granted under the ESPP</w:t>
            </w:r>
          </w:p>
        </w:tc>
        <w:tc>
          <w:tcPr>
            <w:tcW w:w="35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Weighted average shares outstanding - diluted</w:t>
            </w:r>
          </w:p>
        </w:tc>
        <w:tc>
          <w:tcPr>
            <w:tcW w:w="3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98</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9" w:name="page100"/>
    <w:bookmarkEnd w:id="99"/>
    <w:p>
      <w:pPr>
        <w:ind w:right="420" w:firstLine="810"/>
        <w:spacing w:after="0" w:line="261" w:lineRule="auto"/>
        <w:rPr>
          <w:sz w:val="20"/>
          <w:szCs w:val="20"/>
          <w:color w:val="auto"/>
        </w:rPr>
      </w:pPr>
      <w:r>
        <w:rPr>
          <w:rFonts w:ascii="Arial" w:cs="Arial" w:eastAsia="Arial" w:hAnsi="Arial"/>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18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Awards granted under the ESPP</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70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r>
      <w:tr>
        <w:trPr>
          <w:trHeight w:val="21"/>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In June 2020, the FASB issued ASU No. 2020-06, </w:t>
      </w:r>
      <w:r>
        <w:rPr>
          <w:rFonts w:ascii="Arial" w:cs="Arial" w:eastAsia="Arial" w:hAnsi="Arial"/>
          <w:sz w:val="18"/>
          <w:szCs w:val="18"/>
          <w:i w:val="1"/>
          <w:iCs w:val="1"/>
          <w:color w:val="auto"/>
        </w:rPr>
        <w:t>Accounting for Convertible Instruments and Contracts in</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i w:val="1"/>
          <w:iCs w:val="1"/>
          <w:color w:val="auto"/>
        </w:rPr>
        <w:t>an Entity’s Own Equity</w:t>
      </w:r>
      <w:r>
        <w:rPr>
          <w:rFonts w:ascii="Arial" w:cs="Arial" w:eastAsia="Arial" w:hAnsi="Arial"/>
          <w:sz w:val="16"/>
          <w:szCs w:val="16"/>
          <w:color w:val="auto"/>
        </w:rPr>
        <w:t>, which is intended to simplify the accounting for convertible instruments. This new guidance eliminated certain models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accounting for embedded conversion features, and eliminated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could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elected to early adopt the new standard on January 1, 2021 using the modified retrospective method and, accordingly, recorded a net reduction to accumulated deficit of $9.0 million, a decrease to additional paid-in capital of $85.8 million, and an increase to convertible senior notes, net - long-term of $76.8 million to reflect the impact of the accounting change (see Note 7,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December 31, 2021 and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December 31, 2021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222,206</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221,724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December 31, 2020</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143,244</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143,254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390,254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0" w:name="page101"/>
    <w:bookmarkEnd w:id="100"/>
    <w:p>
      <w:pPr>
        <w:ind w:left="820"/>
        <w:spacing w:after="0"/>
        <w:rPr>
          <w:sz w:val="20"/>
          <w:szCs w:val="20"/>
          <w:color w:val="auto"/>
        </w:rPr>
      </w:pPr>
      <w:r>
        <w:rPr>
          <w:rFonts w:ascii="Arial" w:cs="Arial" w:eastAsia="Arial" w:hAnsi="Arial"/>
          <w:sz w:val="18"/>
          <w:szCs w:val="18"/>
          <w:color w:val="auto"/>
        </w:rPr>
        <w:t>The contractual maturities of available-for-sale debt securities as of December 31, 2021,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273"/>
              <w:spacing w:after="0"/>
              <w:rPr>
                <w:sz w:val="20"/>
                <w:szCs w:val="20"/>
                <w:color w:val="auto"/>
              </w:rPr>
            </w:pPr>
            <w:r>
              <w:rPr>
                <w:rFonts w:ascii="Arial" w:cs="Arial" w:eastAsia="Arial" w:hAnsi="Arial"/>
                <w:sz w:val="14"/>
                <w:szCs w:val="14"/>
                <w:b w:val="1"/>
                <w:bCs w:val="1"/>
                <w:color w:val="auto"/>
              </w:rPr>
              <w:t>Years to Maturity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At December 31, 2021</w:t>
            </w:r>
          </w:p>
        </w:tc>
        <w:tc>
          <w:tcPr>
            <w:tcW w:w="26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Within One Year</w:t>
            </w:r>
          </w:p>
        </w:tc>
        <w:tc>
          <w:tcPr>
            <w:tcW w:w="24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One to Two Years</w:t>
            </w:r>
          </w:p>
        </w:tc>
        <w:tc>
          <w:tcPr>
            <w:tcW w:w="200" w:type="dxa"/>
            <w:vAlign w:val="bottom"/>
          </w:tcPr>
          <w:p>
            <w:pPr>
              <w:spacing w:after="0"/>
              <w:rPr>
                <w:sz w:val="14"/>
                <w:szCs w:val="14"/>
                <w:color w:val="auto"/>
              </w:rPr>
            </w:pPr>
          </w:p>
        </w:tc>
        <w:tc>
          <w:tcPr>
            <w:tcW w:w="166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Estimated 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218,381</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U.S. Government-sponsored enterprises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50,686</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bonds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r>
      <w:tr>
        <w:trPr>
          <w:trHeight w:val="223"/>
        </w:trPr>
        <w:tc>
          <w:tcPr>
            <w:tcW w:w="20" w:type="dxa"/>
            <w:vAlign w:val="bottom"/>
          </w:tcPr>
          <w:p>
            <w:pPr>
              <w:spacing w:after="0"/>
              <w:rPr>
                <w:sz w:val="19"/>
                <w:szCs w:val="19"/>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134,897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552,630</w:t>
            </w: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810"/>
        <w:spacing w:after="0" w:line="261"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98" w:lineRule="exact"/>
        <w:rPr>
          <w:sz w:val="20"/>
          <w:szCs w:val="20"/>
          <w:color w:val="auto"/>
        </w:rPr>
      </w:pPr>
    </w:p>
    <w:p>
      <w:pPr>
        <w:ind w:right="20" w:firstLine="810"/>
        <w:spacing w:after="0" w:line="255" w:lineRule="auto"/>
        <w:rPr>
          <w:sz w:val="20"/>
          <w:szCs w:val="20"/>
          <w:color w:val="auto"/>
        </w:rPr>
      </w:pPr>
      <w:r>
        <w:rPr>
          <w:rFonts w:ascii="Arial" w:cs="Arial" w:eastAsia="Arial" w:hAnsi="Arial"/>
          <w:sz w:val="17"/>
          <w:szCs w:val="17"/>
          <w:color w:val="auto"/>
        </w:rPr>
        <w:t>The Company reviews the portfolio of available-for-sale debt securities quarterly to determine if any investment is impaired due to changes in credit risk or other potential valuation concerns. Unrealized losses on available-for-sale debt securities at December 31, 2021 were not significant and were primarily due to changes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recognize any impairment losses related to its available-for-sale debt securities at December 31, 2021.</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Composition of Certain Financial Statement Items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net consisted of the following at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86,052</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4"/>
              </w:rPr>
              <w:t>(3,857)</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8"/>
              </w:rPr>
              <w:t>82,195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provides a reconciliation of the changes in the allowance for estimated accounts receivable credit losses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6"/>
                <w:szCs w:val="16"/>
                <w:b w:val="1"/>
                <w:bCs w:val="1"/>
                <w:color w:val="auto"/>
                <w:w w:val="91"/>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3,304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8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2,333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88"/>
              </w:rPr>
              <w:t>3,016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adjustments, net of recoveries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4"/>
              </w:rPr>
              <w:t>(2,463)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2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end of the year</w:t>
            </w: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4,249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8"/>
              </w:rPr>
              <w:t>3,857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Inventories consisted of the following at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15,664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17,177</w:t>
            </w:r>
          </w:p>
        </w:tc>
        <w:tc>
          <w:tcPr>
            <w:tcW w:w="0" w:type="dxa"/>
            <w:vAlign w:val="bottom"/>
          </w:tcPr>
          <w:p>
            <w:pPr>
              <w:spacing w:after="0"/>
              <w:rPr>
                <w:sz w:val="1"/>
                <w:szCs w:val="1"/>
                <w:color w:val="auto"/>
              </w:rPr>
            </w:pP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63,721</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tcPr>
          <w:p>
            <w:pPr>
              <w:ind w:left="820"/>
              <w:spacing w:after="0"/>
              <w:rPr>
                <w:sz w:val="20"/>
                <w:szCs w:val="20"/>
                <w:color w:val="auto"/>
              </w:rPr>
            </w:pPr>
            <w:r>
              <w:rPr>
                <w:rFonts w:ascii="Arial" w:cs="Arial" w:eastAsia="Arial" w:hAnsi="Arial"/>
                <w:sz w:val="18"/>
                <w:szCs w:val="18"/>
                <w:color w:val="auto"/>
              </w:rPr>
              <w:t>Property and equipment, net consisted of the following at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22,834</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Manufacturing and scientific equipment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44,026</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(38,933)</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$11.7 million, $9.2 million, and $5.7 million for the years ended December 31, 2021, 2020, and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185" w:lineRule="exact"/>
        <w:rPr>
          <w:sz w:val="20"/>
          <w:szCs w:val="20"/>
          <w:color w:val="auto"/>
        </w:rPr>
      </w:pPr>
    </w:p>
    <w:p>
      <w:pPr>
        <w:ind w:right="120" w:firstLine="810"/>
        <w:spacing w:after="0" w:line="286" w:lineRule="auto"/>
        <w:rPr>
          <w:sz w:val="20"/>
          <w:szCs w:val="20"/>
          <w:color w:val="auto"/>
        </w:rPr>
      </w:pPr>
      <w:r>
        <w:rPr>
          <w:rFonts w:ascii="Arial" w:cs="Arial" w:eastAsia="Arial" w:hAnsi="Arial"/>
          <w:sz w:val="17"/>
          <w:szCs w:val="17"/>
          <w:color w:val="auto"/>
        </w:rPr>
        <w:t>Intangible assets subject to amortization consist of technology-based intangibles related to the Company’s acquisition of Sugarmate, as well as patents purchased or licensed that are related to the Company’s commercialized products. Intangible assets at December 31, 2021 and 2020, which were included in other long-term assets on the consolidated balance sheets, were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gross amount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4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remaining amortization period (in months)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Amortization expense related to intangible assets subject to amortization amounted to $2.2 million, $1.2 million and $0.3 million for the years ended December 31, 2021, 2020, and 2019, respectively. The amortization expense is recorded in cost of sales and selling, general and administrative expense in the consolidated statement of operations. The estimated aggregate amortization expense for each of the five succeeding years is $1.9 million for 2022, $1.9 million for 2023, $1.9 million for 2024, and the remaining $0.9 million in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firstLine="810"/>
        <w:spacing w:after="0"/>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ectPr>
          <w:pgSz w:w="11900" w:h="16838" w:orient="portrait"/>
          <w:cols w:equalWidth="0" w:num="1">
            <w:col w:w="11200"/>
          </w:cols>
          <w:pgMar w:left="320" w:top="1070" w:right="37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type w:val="continuous"/>
        </w:sectPr>
      </w:pPr>
    </w:p>
    <w:bookmarkStart w:id="102" w:name="page103"/>
    <w:bookmarkEnd w:id="102"/>
    <w:p>
      <w:pPr>
        <w:ind w:left="1000" w:right="240" w:hanging="971"/>
        <w:spacing w:after="0" w:line="235" w:lineRule="auto"/>
        <w:tabs>
          <w:tab w:leader="none" w:pos="9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54" w:lineRule="exact"/>
        <w:rPr>
          <w:sz w:val="20"/>
          <w:szCs w:val="20"/>
          <w:color w:val="auto"/>
        </w:rPr>
      </w:pPr>
    </w:p>
    <w:p>
      <w:pPr>
        <w:ind w:left="1000" w:right="60" w:hanging="971"/>
        <w:spacing w:after="0" w:line="235" w:lineRule="auto"/>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54" w:lineRule="exact"/>
        <w:rPr>
          <w:sz w:val="20"/>
          <w:szCs w:val="20"/>
          <w:color w:val="auto"/>
        </w:rPr>
      </w:pPr>
    </w:p>
    <w:p>
      <w:pPr>
        <w:ind w:left="1000" w:right="580" w:hanging="971"/>
        <w:spacing w:after="0" w:line="235" w:lineRule="auto"/>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as</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of December 31, 2021 and 2020, and indicates the fair value hierarchy of the valuation techniques utilized by the Company to determine such fair value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9"/>
          </w:tcPr>
          <w:p>
            <w:pPr>
              <w:ind w:left="140"/>
              <w:spacing w:after="0"/>
              <w:rPr>
                <w:sz w:val="20"/>
                <w:szCs w:val="20"/>
                <w:color w:val="auto"/>
              </w:rPr>
            </w:pPr>
            <w:r>
              <w:rPr>
                <w:rFonts w:ascii="Arial" w:cs="Arial" w:eastAsia="Arial" w:hAnsi="Arial"/>
                <w:sz w:val="16"/>
                <w:szCs w:val="16"/>
                <w:b w:val="1"/>
                <w:bCs w:val="1"/>
                <w:color w:val="auto"/>
              </w:rPr>
              <w:t>Fair Value Measurements at</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9"/>
          </w:tcPr>
          <w:p>
            <w:pPr>
              <w:ind w:left="46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4"/>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80" w:type="dxa"/>
            <w:vAlign w:val="bottom"/>
            <w:gridSpan w:val="4"/>
          </w:tcPr>
          <w:p>
            <w:pPr>
              <w:ind w:left="16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2"/>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0"/>
                <w:szCs w:val="10"/>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218,381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600,916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270,010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330,906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Common stock warrants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9"/>
          </w:tcPr>
          <w:p>
            <w:pPr>
              <w:ind w:left="140"/>
              <w:spacing w:after="0"/>
              <w:rPr>
                <w:sz w:val="20"/>
                <w:szCs w:val="20"/>
                <w:color w:val="auto"/>
              </w:rPr>
            </w:pPr>
            <w:r>
              <w:rPr>
                <w:rFonts w:ascii="Arial" w:cs="Arial" w:eastAsia="Arial" w:hAnsi="Arial"/>
                <w:sz w:val="16"/>
                <w:szCs w:val="16"/>
                <w:b w:val="1"/>
                <w:bCs w:val="1"/>
                <w:color w:val="auto"/>
              </w:rPr>
              <w:t>Fair Value Measurements at</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9"/>
          </w:tcPr>
          <w:p>
            <w:pPr>
              <w:ind w:left="46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4"/>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80" w:type="dxa"/>
            <w:vAlign w:val="bottom"/>
            <w:gridSpan w:val="4"/>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060" w:type="dxa"/>
            <w:vAlign w:val="bottom"/>
          </w:tcPr>
          <w:p>
            <w:pPr>
              <w:jc w:val="right"/>
              <w:ind w:right="3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2"/>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1"/>
                <w:szCs w:val="21"/>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87,300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477,623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230,554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2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103" w:name="page104"/>
    <w:bookmarkEnd w:id="103"/>
    <w:p>
      <w:pPr>
        <w:ind w:right="80" w:firstLine="810"/>
        <w:spacing w:after="0" w:line="301" w:lineRule="auto"/>
        <w:rPr>
          <w:sz w:val="20"/>
          <w:szCs w:val="20"/>
          <w:color w:val="auto"/>
        </w:rPr>
      </w:pPr>
      <w:r>
        <w:rPr>
          <w:rFonts w:ascii="Arial" w:cs="Arial" w:eastAsia="Arial" w:hAnsi="Arial"/>
          <w:sz w:val="16"/>
          <w:szCs w:val="16"/>
          <w:color w:val="auto"/>
        </w:rPr>
        <w:t>The Company's Level 3 liabilities at December 31, 2021 and 2020 included the remaining Series A warrants issued by the Company in connection with the public offering of common stock in October 2017. The Series A warrants, which expire in October 2022, provide holders the right to purchase shares of the Company’s common stock at an exercise price of $3.50 per share. As of December 31, 2021 and 2020, there were Series A warrants outstanding to purchase 1,000 shares and 154,700 shares, respectively, of the Company’s common stock (see Note 8, “Stockholders’ Equity”).</w:t>
      </w:r>
    </w:p>
    <w:p>
      <w:pPr>
        <w:spacing w:after="0" w:line="157" w:lineRule="exact"/>
        <w:rPr>
          <w:sz w:val="20"/>
          <w:szCs w:val="20"/>
          <w:color w:val="auto"/>
        </w:rPr>
      </w:pPr>
    </w:p>
    <w:p>
      <w:pPr>
        <w:ind w:right="160" w:firstLine="810"/>
        <w:spacing w:after="0" w:line="279" w:lineRule="auto"/>
        <w:rPr>
          <w:sz w:val="20"/>
          <w:szCs w:val="20"/>
          <w:color w:val="auto"/>
        </w:rPr>
      </w:pPr>
      <w:r>
        <w:rPr>
          <w:rFonts w:ascii="Arial" w:cs="Arial" w:eastAsia="Arial" w:hAnsi="Arial"/>
          <w:sz w:val="16"/>
          <w:szCs w:val="16"/>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as well as estimated stock price volatility, dividend yield, remaining warrant term and risk-free interest rate.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December 31, 2021 and 2020 are presented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gridSpan w:val="3"/>
          </w:tcPr>
          <w:p>
            <w:pPr>
              <w:jc w:val="right"/>
              <w:ind w:right="892"/>
              <w:spacing w:after="0"/>
              <w:rPr>
                <w:sz w:val="20"/>
                <w:szCs w:val="20"/>
                <w:color w:val="auto"/>
              </w:rPr>
            </w:pPr>
            <w:r>
              <w:rPr>
                <w:rFonts w:ascii="Arial" w:cs="Arial" w:eastAsia="Arial" w:hAnsi="Arial"/>
                <w:sz w:val="16"/>
                <w:szCs w:val="16"/>
                <w:b w:val="1"/>
                <w:bCs w:val="1"/>
                <w:color w:val="auto"/>
              </w:rPr>
              <w:t>Series A Warrants</w:t>
            </w:r>
          </w:p>
        </w:tc>
      </w:tr>
      <w:tr>
        <w:trPr>
          <w:trHeight w:val="210"/>
        </w:trPr>
        <w:tc>
          <w:tcPr>
            <w:tcW w:w="80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1560" w:type="dxa"/>
            <w:vAlign w:val="bottom"/>
          </w:tcPr>
          <w:p>
            <w:pPr>
              <w:jc w:val="right"/>
              <w:ind w:right="32"/>
              <w:spacing w:after="0"/>
              <w:rPr>
                <w:sz w:val="20"/>
                <w:szCs w:val="20"/>
                <w:color w:val="auto"/>
              </w:rPr>
            </w:pPr>
            <w:r>
              <w:rPr>
                <w:rFonts w:ascii="Arial" w:cs="Arial" w:eastAsia="Arial" w:hAnsi="Arial"/>
                <w:sz w:val="16"/>
                <w:szCs w:val="16"/>
                <w:b w:val="1"/>
                <w:bCs w:val="1"/>
                <w:color w:val="auto"/>
                <w:w w:val="98"/>
              </w:rPr>
              <w:t>December 31, 2020</w:t>
            </w:r>
          </w:p>
        </w:tc>
      </w:tr>
      <w:tr>
        <w:trPr>
          <w:trHeight w:val="226"/>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55.3 %</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5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a summary of changes in the fair value of the Company’s Level 3 financial liabilities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87"/>
              </w:rPr>
              <w:t>23,509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Loss recognized from the change in fair value of common stock warrants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372"/>
              <w:spacing w:after="0"/>
              <w:rPr>
                <w:sz w:val="20"/>
                <w:szCs w:val="20"/>
                <w:color w:val="auto"/>
              </w:rPr>
            </w:pPr>
            <w:r>
              <w:rPr>
                <w:rFonts w:ascii="Arial" w:cs="Arial" w:eastAsia="Arial" w:hAnsi="Arial"/>
                <w:sz w:val="18"/>
                <w:szCs w:val="18"/>
                <w:color w:val="auto"/>
                <w:w w:val="87"/>
              </w:rPr>
              <w:t>17,087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exercised during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2"/>
              <w:spacing w:after="0"/>
              <w:rPr>
                <w:sz w:val="20"/>
                <w:szCs w:val="20"/>
                <w:color w:val="auto"/>
              </w:rPr>
            </w:pPr>
            <w:r>
              <w:rPr>
                <w:rFonts w:ascii="Arial" w:cs="Arial" w:eastAsia="Arial" w:hAnsi="Arial"/>
                <w:sz w:val="18"/>
                <w:szCs w:val="18"/>
                <w:color w:val="auto"/>
                <w:w w:val="92"/>
              </w:rPr>
              <w:t>(26,335)</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87"/>
              </w:rPr>
              <w:t>14,261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Of the loss recognized from the change in fair value of common stock warrants for the years ended December 31, 2021 and 2020, $0.1 million and $5.5 million, respectively, was attributable to warrants outstanding as of December 31,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89" w:lineRule="exact"/>
        <w:rPr>
          <w:sz w:val="20"/>
          <w:szCs w:val="20"/>
          <w:color w:val="auto"/>
        </w:rPr>
      </w:pPr>
    </w:p>
    <w:p>
      <w:pPr>
        <w:ind w:right="160" w:firstLine="810"/>
        <w:spacing w:after="0" w:line="290" w:lineRule="auto"/>
        <w:rPr>
          <w:sz w:val="20"/>
          <w:szCs w:val="20"/>
          <w:color w:val="auto"/>
        </w:rPr>
      </w:pPr>
      <w:r>
        <w:rPr>
          <w:rFonts w:ascii="Arial" w:cs="Arial" w:eastAsia="Arial" w:hAnsi="Arial"/>
          <w:sz w:val="16"/>
          <w:szCs w:val="16"/>
          <w:color w:val="auto"/>
        </w:rPr>
        <w:t>The Company's leases consist of operating leases for general office space, laboratory, manufacturing and warehouse facilities, and equipment. These noncancellable operating leases have initial lease terms from two years to twelve years, eight months. Leases with an initial term of 12 months or less are expensed as incurred and are not recorded as right-of-use assets on the Company’s consolidated balance sheets. The Company is required to recognize operating lease right-of-use assets and liabilities, and begin recording lease expense when the Company takes possession of the leased property (the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 The Company used the incremental borrowing rate on January 1, 2019 for operating leases that commenced prior to that date.</w:t>
      </w:r>
    </w:p>
    <w:p>
      <w:pPr>
        <w:spacing w:after="0" w:line="138"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 The depreciable life of assets and leasehold improvements are limited by the expected lease term, unless there is a transfer of title or purchase option that is reasonably certain to be exercised.</w:t>
      </w:r>
    </w:p>
    <w:p>
      <w:pPr>
        <w:spacing w:after="0" w:line="131"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In November 2019, the Company entered into a lease agreement for approximately 94,562 square feet of additional general office space located on Shoreline Drive, in Boise, Idaho (Shoreline Lease). The lease term began in July 2020, and expires in June 2027. The Company has a one-time option to extend the term of the Shoreline Lease for a period of three years. The Company recognized right-of-use leased assets and corresponding operating lease liabilities of approximately $6.5 million on the consolidated balance sheet on the Commencement Date in the first quarter of 2020.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4" w:name="page105"/>
    <w:bookmarkEnd w:id="104"/>
    <w:p>
      <w:pPr>
        <w:ind w:right="160" w:firstLine="810"/>
        <w:spacing w:after="0" w:line="259" w:lineRule="auto"/>
        <w:rPr>
          <w:sz w:val="20"/>
          <w:szCs w:val="20"/>
          <w:color w:val="auto"/>
        </w:rPr>
      </w:pPr>
      <w:r>
        <w:rPr>
          <w:rFonts w:ascii="Arial" w:cs="Arial" w:eastAsia="Arial" w:hAnsi="Arial"/>
          <w:sz w:val="18"/>
          <w:szCs w:val="18"/>
          <w:color w:val="auto"/>
        </w:rPr>
        <w:t>In January 2020, the Company entered into a sublease agreement for approximately 30,703 square feet of general office space located on High Bluff Drive, in San Diego, California (High Bluff Sublease). The lease term began in April 2020 and expires in March 2022. The Company recognized right-of-use leased assets and corresponding operating lease liabilities of approximately $2.3 million on the consolidated balance sheet on the Commencement Date in the first quarter of 2020.</w:t>
      </w:r>
    </w:p>
    <w:p>
      <w:pPr>
        <w:spacing w:after="0" w:line="21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 September 2020, the Company amended certain leases covering four separate buildings that comprise in aggregate 77,458 square feet of general office and laboratory space located on Roselle Street in San Diego, California (Roselle Street Leases). The lease amendments extended the term of each lease for an additional period of one year, and included a rent increase during the additional lease term. The Roselle Street Leases, which would have expired in May 2022, are now scheduled to expire in May 2023. The Company recognized additional right-of-use leased assets and corresponding operating lease liabilities of $2.2 million on the consolidated balance sheet in the third quarter of 2020 related to the amendment of the Roselle Street Leases.</w:t>
      </w:r>
    </w:p>
    <w:p>
      <w:pPr>
        <w:spacing w:after="0" w:line="192"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In March 2021, the Company entered into a second amendment (Second Amendment) to its lease agreement for office space located on Vista Sorrento Parkway in San Diego, California (Vista Sorrento Lease) covering 59,013 square feet of general administrative office space (Existing Premises). The Second Amendment expanded the Existing Premises by adding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with each option providing for an additional period of five years. The Vista Sorrento Lease term was determined assuming the renewal options would not be exercised. The Company recognized right-of-use leased assets and corresponding operating lease liabilities of $15.1 million on the consolidated balance sheet in the first quarter of 2021 related to the Second Amendment.</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costs recorded in the consolidated statements of operations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5" w:name="page106"/>
    <w:bookmarkEnd w:id="105"/>
    <w:p>
      <w:pPr>
        <w:ind w:left="820"/>
        <w:spacing w:after="0"/>
        <w:rPr>
          <w:sz w:val="20"/>
          <w:szCs w:val="20"/>
          <w:color w:val="auto"/>
        </w:rPr>
      </w:pPr>
      <w:r>
        <w:rPr>
          <w:rFonts w:ascii="Arial" w:cs="Arial" w:eastAsia="Arial" w:hAnsi="Arial"/>
          <w:sz w:val="18"/>
          <w:szCs w:val="18"/>
          <w:color w:val="auto"/>
        </w:rPr>
        <w:t>Maturities of operating lease liabilities at December 31, 2021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80" w:type="dxa"/>
            <w:vAlign w:val="bottom"/>
            <w:shd w:val="clear" w:color="auto" w:fill="CCEEFF"/>
          </w:tcPr>
          <w:p>
            <w:pPr>
              <w:spacing w:after="0"/>
              <w:rPr>
                <w:sz w:val="20"/>
                <w:szCs w:val="20"/>
                <w:color w:val="auto"/>
              </w:rPr>
            </w:pPr>
          </w:p>
        </w:tc>
        <w:tc>
          <w:tcPr>
            <w:tcW w:w="120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9,281</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6,949</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2025</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5,825</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38,474</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33,201</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23,922</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840" w:type="dxa"/>
            <w:vAlign w:val="bottom"/>
            <w:tcBorders>
              <w:top w:val="single" w:sz="8" w:color="CFF0FC"/>
              <w:bottom w:val="single" w:sz="8" w:color="auto"/>
            </w:tcBorders>
          </w:tcPr>
          <w:p>
            <w:pPr>
              <w:spacing w:after="0" w:line="20" w:lineRule="exact"/>
              <w:rPr>
                <w:sz w:val="1"/>
                <w:szCs w:val="1"/>
                <w:color w:val="auto"/>
              </w:rPr>
            </w:pPr>
          </w:p>
        </w:tc>
      </w:tr>
      <w:tr>
        <w:trPr>
          <w:trHeight w:val="460"/>
        </w:trPr>
        <w:tc>
          <w:tcPr>
            <w:tcW w:w="9400" w:type="dxa"/>
            <w:vAlign w:val="bottom"/>
            <w:gridSpan w:val="5"/>
          </w:tcPr>
          <w:p>
            <w:pPr>
              <w:ind w:left="820"/>
              <w:spacing w:after="0"/>
              <w:rPr>
                <w:sz w:val="20"/>
                <w:szCs w:val="20"/>
                <w:color w:val="auto"/>
              </w:rPr>
            </w:pPr>
            <w:r>
              <w:rPr>
                <w:rFonts w:ascii="Arial" w:cs="Arial" w:eastAsia="Arial" w:hAnsi="Arial"/>
                <w:sz w:val="18"/>
                <w:szCs w:val="18"/>
                <w:color w:val="212529"/>
                <w:w w:val="91"/>
              </w:rPr>
              <w:t>The weighted-average remaining lease term and weighted-average discount rate for operating leases were as follows:</w:t>
            </w:r>
          </w:p>
        </w:tc>
        <w:tc>
          <w:tcPr>
            <w:tcW w:w="1840" w:type="dxa"/>
            <w:vAlign w:val="bottom"/>
          </w:tcPr>
          <w:p>
            <w:pPr>
              <w:spacing w:after="0"/>
              <w:rPr>
                <w:sz w:val="24"/>
                <w:szCs w:val="24"/>
                <w:color w:val="auto"/>
              </w:rPr>
            </w:pPr>
          </w:p>
        </w:tc>
      </w:tr>
      <w:tr>
        <w:trPr>
          <w:trHeight w:val="415"/>
        </w:trPr>
        <w:tc>
          <w:tcPr>
            <w:tcW w:w="6980" w:type="dxa"/>
            <w:vAlign w:val="bottom"/>
          </w:tcPr>
          <w:p>
            <w:pPr>
              <w:spacing w:after="0"/>
              <w:rPr>
                <w:sz w:val="24"/>
                <w:szCs w:val="24"/>
                <w:color w:val="auto"/>
              </w:rPr>
            </w:pPr>
          </w:p>
        </w:tc>
        <w:tc>
          <w:tcPr>
            <w:tcW w:w="2420" w:type="dxa"/>
            <w:vAlign w:val="bottom"/>
            <w:gridSpan w:val="4"/>
          </w:tcPr>
          <w:p>
            <w:pPr>
              <w:ind w:left="400"/>
              <w:spacing w:after="0"/>
              <w:rPr>
                <w:sz w:val="20"/>
                <w:szCs w:val="20"/>
                <w:color w:val="auto"/>
              </w:rPr>
            </w:pPr>
            <w:r>
              <w:rPr>
                <w:rFonts w:ascii="Arial" w:cs="Arial" w:eastAsia="Arial" w:hAnsi="Arial"/>
                <w:sz w:val="16"/>
                <w:szCs w:val="16"/>
                <w:b w:val="1"/>
                <w:bCs w:val="1"/>
                <w:color w:val="auto"/>
              </w:rPr>
              <w:t>December 31, 2021</w:t>
            </w:r>
          </w:p>
        </w:tc>
        <w:tc>
          <w:tcPr>
            <w:tcW w:w="18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December 31, 2020</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5.9 %</w:t>
            </w:r>
          </w:p>
        </w:tc>
      </w:tr>
    </w:tbl>
    <w:p>
      <w:pPr>
        <w:spacing w:after="0" w:line="322" w:lineRule="exact"/>
        <w:rPr>
          <w:sz w:val="20"/>
          <w:szCs w:val="20"/>
          <w:color w:val="auto"/>
        </w:rPr>
      </w:pPr>
    </w:p>
    <w:p>
      <w:pPr>
        <w:ind w:right="880" w:firstLine="810"/>
        <w:spacing w:after="0" w:line="288"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from operating leases, was $9.5 million and $8.2 million for the years ended December 31, 2021 and 2020, respectively</w:t>
      </w:r>
      <w:r>
        <w:rPr>
          <w:rFonts w:ascii="Arial" w:cs="Arial" w:eastAsia="Arial" w:hAnsi="Arial"/>
          <w:sz w:val="21"/>
          <w:szCs w:val="21"/>
          <w:color w:val="008080"/>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For Which Accounting Has Not Yet Commenced</w:t>
      </w:r>
    </w:p>
    <w:p>
      <w:pPr>
        <w:spacing w:after="0" w:line="225" w:lineRule="exact"/>
        <w:rPr>
          <w:sz w:val="20"/>
          <w:szCs w:val="20"/>
          <w:color w:val="auto"/>
        </w:rPr>
      </w:pPr>
    </w:p>
    <w:p>
      <w:pPr>
        <w:ind w:right="220" w:firstLine="810"/>
        <w:spacing w:after="0" w:line="296" w:lineRule="auto"/>
        <w:rPr>
          <w:sz w:val="20"/>
          <w:szCs w:val="20"/>
          <w:color w:val="auto"/>
        </w:rPr>
      </w:pPr>
      <w:r>
        <w:rPr>
          <w:rFonts w:ascii="Arial" w:cs="Arial" w:eastAsia="Arial" w:hAnsi="Arial"/>
          <w:sz w:val="16"/>
          <w:szCs w:val="16"/>
          <w:color w:val="auto"/>
        </w:rPr>
        <w:t>As of December 31, 2021, the Commencement Date for the High Bluff and Tech Center Leases described below, had not yet occurred. Accordingly, the consolidated balance sheet at December 31, 2021 does not include operating lease right-of-use assets and operating lease liabilities, and the consolidated statement of operations for the year ended December 31, 2021 does not include any lease costs, related to the High Bluff Lease and the Tech Center Lease. In addition, the above disclosures of the Company’s lease costs, maturities of operating lease liabilities, and the weighted-average remaining lease term and weighted-average discount rate, do not include any amounts related to the High Bluff and Tech Center Leases.</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High Bluff Lease</w:t>
      </w:r>
    </w:p>
    <w:p>
      <w:pPr>
        <w:spacing w:after="0" w:line="225" w:lineRule="exact"/>
        <w:rPr>
          <w:sz w:val="20"/>
          <w:szCs w:val="20"/>
          <w:color w:val="auto"/>
        </w:rPr>
      </w:pPr>
    </w:p>
    <w:p>
      <w:pPr>
        <w:ind w:right="220" w:firstLine="810"/>
        <w:spacing w:after="0" w:line="275" w:lineRule="auto"/>
        <w:rPr>
          <w:sz w:val="20"/>
          <w:szCs w:val="20"/>
          <w:color w:val="auto"/>
        </w:rPr>
      </w:pPr>
      <w:r>
        <w:rPr>
          <w:rFonts w:ascii="Arial" w:cs="Arial" w:eastAsia="Arial" w:hAnsi="Arial"/>
          <w:sz w:val="17"/>
          <w:szCs w:val="17"/>
          <w:color w:val="auto"/>
        </w:rPr>
        <w:t>In May 2021, the Company entered into a lease agreement for approximately 31,372 square feet of general office space located on High Bluff Drive, in San Diego, California (High Bluff Lease). The High Bluff Lease is a direct lease agreement for the same property subject to the High Bluff Sublease. The lease term begins in April 2022 following the termination of the High Bluff Sublease in March 2022, and is scheduled to expire in March 2024. The Company expects to recognize right-of-use leased assets and corresponding operating lease liabilities of approximately $3.0 million on the consolidated balance sheet on the Commencement Date in the second quarter of 2022.</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Tech Center Lease</w:t>
      </w:r>
    </w:p>
    <w:p>
      <w:pPr>
        <w:spacing w:after="0" w:line="225" w:lineRule="exact"/>
        <w:rPr>
          <w:sz w:val="20"/>
          <w:szCs w:val="20"/>
          <w:color w:val="auto"/>
        </w:rPr>
      </w:pPr>
    </w:p>
    <w:p>
      <w:pPr>
        <w:ind w:right="280" w:firstLine="810"/>
        <w:spacing w:after="0" w:line="257" w:lineRule="auto"/>
        <w:rPr>
          <w:sz w:val="20"/>
          <w:szCs w:val="20"/>
          <w:color w:val="auto"/>
        </w:rPr>
      </w:pPr>
      <w:r>
        <w:rPr>
          <w:rFonts w:ascii="Arial" w:cs="Arial" w:eastAsia="Arial" w:hAnsi="Arial"/>
          <w:sz w:val="18"/>
          <w:szCs w:val="18"/>
          <w:color w:val="auto"/>
        </w:rPr>
        <w:t>In September 2021, the Company entered into a lease agreement for 181,949 square feet of additional general administrative, laboratory, and research and development office space (the Premises) located on High Bluff Drive in San Diego, California (Tech Center Lease). Possession of the Premises is expected to be tendered to the Company by the landlord in two phases, with Phase I consisting of 143,850 rentable square feet, and Phase II consisting of 38,099 rentable square feet. The Company intends to use Phase I of the Tech Center Lease for operations currently located at the Roselle Street Leases.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6" w:name="page107"/>
    <w:bookmarkEnd w:id="106"/>
    <w:p>
      <w:pPr>
        <w:ind w:right="100" w:firstLine="810"/>
        <w:spacing w:after="0" w:line="293" w:lineRule="auto"/>
        <w:rPr>
          <w:sz w:val="20"/>
          <w:szCs w:val="20"/>
          <w:color w:val="auto"/>
        </w:rPr>
      </w:pPr>
      <w:r>
        <w:rPr>
          <w:rFonts w:ascii="Arial" w:cs="Arial" w:eastAsia="Arial" w:hAnsi="Arial"/>
          <w:sz w:val="16"/>
          <w:szCs w:val="16"/>
          <w:color w:val="auto"/>
        </w:rPr>
        <w:t>The initial lease term Phase I Commencement Date will occur on the date the Company is tendered possession of the Phase I portion of the Premises (which is currently expected to be in March 2022), and rent payments commence six months thereafter (the Phase I Rent Commencement Date). The Phase II Commencement Date is expected to occur upon the earlier of (i) the date upon which the Company first commences business in the Phase II portion of the Premises, and (ii) May 1, 2025 (the Phase II Rent Commencement Date). The lease will expire twelve years, eight months from the first day of the first full month following the Phase I Rent Commencement Date. The Company has two options to extend the term of the lease, with each option providing for an additional period of five years, by delivering written notice to the landlord in accordance with the terms of the Tech Center Lease.</w:t>
      </w:r>
    </w:p>
    <w:p>
      <w:pPr>
        <w:spacing w:after="0" w:line="191" w:lineRule="exact"/>
        <w:rPr>
          <w:sz w:val="20"/>
          <w:szCs w:val="20"/>
          <w:color w:val="auto"/>
        </w:rPr>
      </w:pPr>
    </w:p>
    <w:p>
      <w:pPr>
        <w:ind w:right="80" w:firstLine="810"/>
        <w:spacing w:after="0" w:line="311" w:lineRule="auto"/>
        <w:rPr>
          <w:sz w:val="20"/>
          <w:szCs w:val="20"/>
          <w:color w:val="auto"/>
        </w:rPr>
      </w:pPr>
      <w:r>
        <w:rPr>
          <w:rFonts w:ascii="Arial" w:cs="Arial" w:eastAsia="Arial" w:hAnsi="Arial"/>
          <w:sz w:val="16"/>
          <w:szCs w:val="16"/>
          <w:color w:val="auto"/>
        </w:rPr>
        <w:t>The Tech Center Lease also includes a first right of offer with respect to an additional 34,569 rentable square feet of general office space should the space become available. The lease term and associated base rent for the additional space will not be known until the Company is notified that the additional space has become available, and the Company elects to lease the space on terms mutually satisfactory to the Company and the landlord.</w:t>
      </w:r>
    </w:p>
    <w:p>
      <w:pPr>
        <w:spacing w:after="0" w:line="176"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The initial base rent for the Tech Center Lease is approximately $906,000 per month beginning on the Phase I Rent Commencement Date, and the base rent increases by approximately $255,000 per month on the Phase II Rent Commencement Date. The monthly base rent will increase annually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of the initial lease term, and for the Phase II portion of the Premises for months two through five following the Phase II Rent Commencement Date.</w:t>
      </w:r>
    </w:p>
    <w:p>
      <w:pPr>
        <w:spacing w:after="0" w:line="205" w:lineRule="exact"/>
        <w:rPr>
          <w:sz w:val="20"/>
          <w:szCs w:val="20"/>
          <w:color w:val="auto"/>
        </w:rPr>
      </w:pPr>
    </w:p>
    <w:p>
      <w:pPr>
        <w:ind w:right="660" w:firstLine="810"/>
        <w:spacing w:after="0" w:line="308" w:lineRule="auto"/>
        <w:rPr>
          <w:sz w:val="20"/>
          <w:szCs w:val="20"/>
          <w:color w:val="auto"/>
        </w:rPr>
      </w:pPr>
      <w:r>
        <w:rPr>
          <w:rFonts w:ascii="Arial" w:cs="Arial" w:eastAsia="Arial" w:hAnsi="Arial"/>
          <w:sz w:val="17"/>
          <w:szCs w:val="17"/>
          <w:color w:val="auto"/>
        </w:rPr>
        <w:t>Future minimum payments for monthly base rent due under the respective High Bluff Lease and Tech Center Lease terms, are currently estimated to be as follows (in thousands), subject to a number of factors, including the actual Commencement Date of the lease: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High Bluff</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Tech Center</w:t>
            </w:r>
          </w:p>
        </w:tc>
        <w:tc>
          <w:tcPr>
            <w:tcW w:w="320" w:type="dxa"/>
            <w:vAlign w:val="bottom"/>
          </w:tcPr>
          <w:p>
            <w:pPr>
              <w:spacing w:after="0"/>
              <w:rPr>
                <w:sz w:val="17"/>
                <w:szCs w:val="17"/>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line="230" w:lineRule="exact"/>
              <w:rPr>
                <w:sz w:val="20"/>
                <w:szCs w:val="20"/>
                <w:color w:val="auto"/>
              </w:rPr>
            </w:pPr>
            <w:r>
              <w:rPr>
                <w:rFonts w:ascii="Arial" w:cs="Arial" w:eastAsia="Arial" w:hAnsi="Arial"/>
                <w:sz w:val="18"/>
                <w:szCs w:val="18"/>
                <w:b w:val="1"/>
                <w:bCs w:val="1"/>
                <w:color w:val="auto"/>
                <w:w w:val="83"/>
              </w:rPr>
              <w:t>Lease</w:t>
            </w:r>
            <w:r>
              <w:rPr>
                <w:rFonts w:ascii="Arial" w:cs="Arial" w:eastAsia="Arial" w:hAnsi="Arial"/>
                <w:sz w:val="23"/>
                <w:szCs w:val="23"/>
                <w:b w:val="1"/>
                <w:bCs w:val="1"/>
                <w:color w:val="auto"/>
                <w:w w:val="83"/>
                <w:vertAlign w:val="superscript"/>
              </w:rPr>
              <w:t>(1)</w:t>
            </w:r>
          </w:p>
        </w:tc>
        <w:tc>
          <w:tcPr>
            <w:tcW w:w="180" w:type="dxa"/>
            <w:vAlign w:val="bottom"/>
          </w:tcPr>
          <w:p>
            <w:pPr>
              <w:spacing w:after="0"/>
              <w:rPr>
                <w:sz w:val="19"/>
                <w:szCs w:val="19"/>
                <w:color w:val="auto"/>
              </w:rPr>
            </w:pPr>
          </w:p>
        </w:tc>
        <w:tc>
          <w:tcPr>
            <w:tcW w:w="1340" w:type="dxa"/>
            <w:vAlign w:val="bottom"/>
            <w:gridSpan w:val="2"/>
          </w:tcPr>
          <w:p>
            <w:pPr>
              <w:jc w:val="center"/>
              <w:ind w:right="260"/>
              <w:spacing w:after="0" w:line="230" w:lineRule="exact"/>
              <w:rPr>
                <w:sz w:val="20"/>
                <w:szCs w:val="20"/>
                <w:color w:val="auto"/>
              </w:rPr>
            </w:pPr>
            <w:r>
              <w:rPr>
                <w:rFonts w:ascii="Arial" w:cs="Arial" w:eastAsia="Arial" w:hAnsi="Arial"/>
                <w:sz w:val="18"/>
                <w:szCs w:val="18"/>
                <w:b w:val="1"/>
                <w:bCs w:val="1"/>
                <w:color w:val="auto"/>
                <w:w w:val="80"/>
              </w:rPr>
              <w:t>Lease</w:t>
            </w:r>
            <w:r>
              <w:rPr>
                <w:rFonts w:ascii="Arial" w:cs="Arial" w:eastAsia="Arial" w:hAnsi="Arial"/>
                <w:sz w:val="23"/>
                <w:szCs w:val="23"/>
                <w:b w:val="1"/>
                <w:bCs w:val="1"/>
                <w:color w:val="auto"/>
                <w:w w:val="80"/>
                <w:vertAlign w:val="superscript"/>
              </w:rPr>
              <w:t>(2)</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12,694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2027 through 2035</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145,583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145,583</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194,250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right="500" w:hanging="252"/>
        <w:spacing w:after="0" w:line="275" w:lineRule="auto"/>
        <w:tabs>
          <w:tab w:leader="none" w:pos="2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currently estimates that the Commencement Date will occur in the second quarter of 2022, at which time the operating lease right-of-use assets and liabilities will be recorded.</w:t>
      </w:r>
    </w:p>
    <w:p>
      <w:pPr>
        <w:spacing w:after="0" w:line="77" w:lineRule="exact"/>
        <w:rPr>
          <w:rFonts w:ascii="Arial" w:cs="Arial" w:eastAsia="Arial" w:hAnsi="Arial"/>
          <w:sz w:val="16"/>
          <w:szCs w:val="16"/>
          <w:color w:val="auto"/>
        </w:rPr>
      </w:pPr>
    </w:p>
    <w:p>
      <w:pPr>
        <w:ind w:left="260" w:right="220" w:hanging="252"/>
        <w:spacing w:after="0" w:line="275" w:lineRule="auto"/>
        <w:tabs>
          <w:tab w:leader="none" w:pos="2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currently estimates that the Phase I Commencement Date will occur in the first quarter of 2022, and the Phase II Commencement Date will occur in the first quarter of 2025, at which time the respective operating lease right-of-use assets and liabilities will be recorded.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8"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spacing w:after="0" w:line="214"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7" w:name="page108"/>
    <w:bookmarkEnd w:id="107"/>
    <w:p>
      <w:pPr>
        <w:ind w:right="220" w:firstLine="810"/>
        <w:spacing w:after="0" w:line="255"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The Company expects to settle conversions through a combination settlement, which involves payment in cash equal to the principal portion and delivery of shares of common stock for the excess of the conversion value over the principal portion.</w:t>
      </w:r>
    </w:p>
    <w:p>
      <w:pPr>
        <w:spacing w:after="0" w:line="219"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215"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prior to November 1, 2024, in multiples of $1,000 principal amounts, only under the following circumstances:</w:t>
      </w:r>
    </w:p>
    <w:p>
      <w:pPr>
        <w:spacing w:after="0" w:line="197" w:lineRule="exact"/>
        <w:rPr>
          <w:sz w:val="20"/>
          <w:szCs w:val="20"/>
          <w:color w:val="auto"/>
        </w:rPr>
      </w:pPr>
    </w:p>
    <w:p>
      <w:pPr>
        <w:ind w:left="1300" w:right="100" w:hanging="482"/>
        <w:spacing w:after="0" w:line="263" w:lineRule="auto"/>
        <w:tabs>
          <w:tab w:leader="none" w:pos="12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spacing w:after="0" w:line="210" w:lineRule="exact"/>
        <w:rPr>
          <w:rFonts w:ascii="Arial" w:cs="Arial" w:eastAsia="Arial" w:hAnsi="Arial"/>
          <w:sz w:val="18"/>
          <w:szCs w:val="18"/>
          <w:color w:val="auto"/>
        </w:rPr>
      </w:pPr>
    </w:p>
    <w:p>
      <w:pPr>
        <w:ind w:left="1300" w:hanging="482"/>
        <w:spacing w:after="0" w:line="286" w:lineRule="auto"/>
        <w:tabs>
          <w:tab w:leader="none" w:pos="12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40" w:hanging="482"/>
        <w:spacing w:after="0" w:line="277" w:lineRule="auto"/>
        <w:tabs>
          <w:tab w:leader="none" w:pos="12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48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52"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97"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184" w:lineRule="exact"/>
        <w:rPr>
          <w:sz w:val="20"/>
          <w:szCs w:val="20"/>
          <w:color w:val="auto"/>
        </w:rPr>
      </w:pPr>
    </w:p>
    <w:p>
      <w:pPr>
        <w:ind w:right="180" w:firstLine="810"/>
        <w:spacing w:after="0" w:line="273" w:lineRule="auto"/>
        <w:rPr>
          <w:sz w:val="20"/>
          <w:szCs w:val="20"/>
          <w:color w:val="auto"/>
        </w:rPr>
      </w:pPr>
      <w:r>
        <w:rPr>
          <w:rFonts w:ascii="Arial" w:cs="Arial" w:eastAsia="Arial" w:hAnsi="Arial"/>
          <w:sz w:val="17"/>
          <w:szCs w:val="17"/>
          <w:color w:val="auto"/>
        </w:rPr>
        <w:t>Initially, in accounting for the issuance of the Notes,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$88.5 million and was recorded as a debt discount, which was being amortized to interest expense at an effective interest rate of 9.9%. In addition, the Company allocated $2.7 million of debt issuance costs to the equity component and the remaining debt issuance costs of $6.1 million were allocated to the liability component, which were being amortized to interest expense under the effective interest rate method.</w:t>
      </w:r>
    </w:p>
    <w:p>
      <w:pPr>
        <w:spacing w:after="0" w:line="178"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 xml:space="preserve">On January 1, 2021, the Company early adopted ASU No. 2020-06, </w:t>
      </w:r>
      <w:r>
        <w:rPr>
          <w:rFonts w:ascii="Arial" w:cs="Arial" w:eastAsia="Arial" w:hAnsi="Arial"/>
          <w:sz w:val="17"/>
          <w:szCs w:val="17"/>
          <w:i w:val="1"/>
          <w:iCs w:val="1"/>
          <w:color w:val="auto"/>
        </w:rPr>
        <w:t>Accounting for Convertible Instruments and Contracts in an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which is intended to simplify the accounting for convertible instruments. The ASU eliminates the cash conversion feature models in ASC 470-20,</w:t>
      </w:r>
      <w:r>
        <w:rPr>
          <w:rFonts w:ascii="Arial" w:cs="Arial" w:eastAsia="Arial" w:hAnsi="Arial"/>
          <w:sz w:val="17"/>
          <w:szCs w:val="17"/>
          <w:i w:val="1"/>
          <w:iCs w:val="1"/>
          <w:color w:val="auto"/>
        </w:rPr>
        <w:t xml:space="preserve"> Debt with Conversion and Other Options</w:t>
      </w:r>
      <w:r>
        <w:rPr>
          <w:rFonts w:ascii="Arial" w:cs="Arial" w:eastAsia="Arial" w:hAnsi="Arial"/>
          <w:sz w:val="17"/>
          <w:szCs w:val="17"/>
          <w:color w:val="auto"/>
        </w:rPr>
        <w:t>, which required an issuer of certain convertible debt to separately account for embedded conversion features as a</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equity. Instead, an issuer will account for these securities as a single unit of account, unless the conversion feature meets certain criteria. The Company adopted the new standard using the modified retrospective method, and recorded a net reduction to accumulated deficit of $9.0 million, a decrease to additional paid-in capital of $85.8 million, and an increase to convertible senior notes, net - long-term of $76.8 million to reflect the impact of the accounting change. The Notes are now accounted for as a single liability measured at amortized cost, as no other embedded features require bifurcation and recognition as derivatives.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8" w:name="page109"/>
    <w:bookmarkEnd w:id="108"/>
    <w:p>
      <w:pPr>
        <w:ind w:left="820"/>
        <w:spacing w:after="0"/>
        <w:rPr>
          <w:sz w:val="20"/>
          <w:szCs w:val="20"/>
          <w:color w:val="auto"/>
        </w:rPr>
      </w:pPr>
      <w:r>
        <w:rPr>
          <w:rFonts w:ascii="Arial" w:cs="Arial" w:eastAsia="Arial" w:hAnsi="Arial"/>
          <w:sz w:val="18"/>
          <w:szCs w:val="18"/>
          <w:color w:val="auto"/>
        </w:rPr>
        <w:t>The liability and equity components of the Notes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226"/>
        </w:trPr>
        <w:tc>
          <w:tcPr>
            <w:tcW w:w="7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w:t>
            </w:r>
          </w:p>
        </w:tc>
        <w:tc>
          <w:tcPr>
            <w:tcW w:w="22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00"/>
              <w:spacing w:after="0"/>
              <w:rPr>
                <w:sz w:val="20"/>
                <w:szCs w:val="20"/>
                <w:color w:val="auto"/>
              </w:rPr>
            </w:pPr>
            <w:r>
              <w:rPr>
                <w:rFonts w:ascii="Arial" w:cs="Arial" w:eastAsia="Arial" w:hAnsi="Arial"/>
                <w:sz w:val="18"/>
                <w:szCs w:val="18"/>
                <w:color w:val="auto"/>
              </w:rPr>
              <w:t>Principal amount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287,500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287,500</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Unamortized debt issuance costs</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48"/>
        </w:trPr>
        <w:tc>
          <w:tcPr>
            <w:tcW w:w="72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carrying amount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281,467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202,984</w:t>
            </w:r>
          </w:p>
        </w:tc>
        <w:tc>
          <w:tcPr>
            <w:tcW w:w="0" w:type="dxa"/>
            <w:vAlign w:val="bottom"/>
          </w:tcPr>
          <w:p>
            <w:pPr>
              <w:spacing w:after="0"/>
              <w:rPr>
                <w:sz w:val="1"/>
                <w:szCs w:val="1"/>
                <w:color w:val="auto"/>
              </w:rPr>
            </w:pPr>
          </w:p>
        </w:tc>
      </w:tr>
      <w:tr>
        <w:trPr>
          <w:trHeight w:val="20"/>
        </w:trPr>
        <w:tc>
          <w:tcPr>
            <w:tcW w:w="7280" w:type="dxa"/>
            <w:vAlign w:val="bottom"/>
            <w:tcBorders>
              <w:top w:val="single" w:sz="8" w:color="CFF0FC"/>
            </w:tcBorders>
            <w:vMerge w:val="restart"/>
          </w:tcPr>
          <w:p>
            <w:pPr>
              <w:ind w:left="20"/>
              <w:spacing w:after="0"/>
              <w:rPr>
                <w:sz w:val="20"/>
                <w:szCs w:val="20"/>
                <w:color w:val="auto"/>
              </w:rPr>
            </w:pPr>
            <w:r>
              <w:rPr>
                <w:rFonts w:ascii="Arial" w:cs="Arial" w:eastAsia="Arial" w:hAnsi="Arial"/>
                <w:sz w:val="18"/>
                <w:szCs w:val="18"/>
                <w:color w:val="auto"/>
              </w:rPr>
              <w:t>Carrying amount of the equity component</w:t>
            </w:r>
          </w:p>
        </w:tc>
        <w:tc>
          <w:tcPr>
            <w:tcW w:w="22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Borders>
              <w:top w:val="single" w:sz="8" w:color="CFF0FC"/>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85,803</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As of December 31, 2021, the unamortized debt issuance costs of $6.0 million associated with the Notes will be amortized to interest expense, at an effective interest rate of 2.2% over the remaining period of approximately 3.3 years.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details interest expense recognized related to the Notes for the years ended December 31, 2021 and 2020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8"/>
                <w:szCs w:val="18"/>
                <w:color w:val="auto"/>
              </w:rPr>
            </w:pPr>
          </w:p>
        </w:tc>
        <w:tc>
          <w:tcPr>
            <w:tcW w:w="1920" w:type="dxa"/>
            <w:vAlign w:val="bottom"/>
          </w:tcPr>
          <w:p>
            <w:pPr>
              <w:jc w:val="right"/>
              <w:ind w:right="352"/>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2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r>
      <w:tr>
        <w:trPr>
          <w:trHeight w:val="223"/>
        </w:trPr>
        <w:tc>
          <w:tcPr>
            <w:tcW w:w="678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12,805</w:t>
            </w: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auto"/>
        </w:rPr>
        <w:t>The Notes will have a dilutive effect to the extent the average market price per share of common stock for a given reporting period exceeds the conversion price of $112.57. As of December 31, 2021, the if-converted value of the Notes exceeded the principal amount by $96.9 million. As of December 31, 2020, the “if-converted value” did not exceed the principal amount of 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219"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consolidated balance sheet and will not be remeasured.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8.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shares of the Company's common stock were reserved for future issuance at December 31, 2021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issuance upon conversion of Convertible Senior Notes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outstanding warrants</w:t>
            </w:r>
          </w:p>
        </w:tc>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outstanding stock 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unvested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authorized for future equity award grants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December 31, 2021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ind w:left="2120"/>
              <w:spacing w:after="0"/>
              <w:rPr>
                <w:sz w:val="20"/>
                <w:szCs w:val="20"/>
                <w:color w:val="auto"/>
              </w:rPr>
            </w:pPr>
            <w:r>
              <w:rPr>
                <w:rFonts w:ascii="Arial" w:cs="Arial" w:eastAsia="Arial" w:hAnsi="Arial"/>
                <w:sz w:val="16"/>
                <w:szCs w:val="16"/>
                <w:b w:val="1"/>
                <w:bCs w:val="1"/>
                <w:color w:val="auto"/>
              </w:rPr>
              <w:t>Issue Date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Exercise Price Per</w:t>
            </w: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Warrants</w:t>
            </w:r>
          </w:p>
        </w:tc>
        <w:tc>
          <w:tcPr>
            <w:tcW w:w="12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Expiration Date of Warrants Outstanding</w:t>
            </w:r>
          </w:p>
        </w:tc>
        <w:tc>
          <w:tcPr>
            <w:tcW w:w="0" w:type="dxa"/>
            <w:vAlign w:val="bottom"/>
          </w:tcPr>
          <w:p>
            <w:pPr>
              <w:spacing w:after="0"/>
              <w:rPr>
                <w:sz w:val="1"/>
                <w:szCs w:val="1"/>
                <w:color w:val="auto"/>
              </w:rPr>
            </w:pPr>
          </w:p>
        </w:tc>
      </w:tr>
      <w:tr>
        <w:trPr>
          <w:trHeight w:val="213"/>
        </w:trPr>
        <w:tc>
          <w:tcPr>
            <w:tcW w:w="508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October 2017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$3.50</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March 2017</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$23.50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193,788</w:t>
            </w:r>
          </w:p>
        </w:tc>
        <w:tc>
          <w:tcPr>
            <w:tcW w:w="1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August 2011 - August 2012</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$73.73</w:t>
            </w:r>
          </w:p>
        </w:tc>
        <w:tc>
          <w:tcPr>
            <w:tcW w:w="10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19,722</w:t>
            </w:r>
          </w:p>
        </w:tc>
        <w:tc>
          <w:tcPr>
            <w:tcW w:w="120" w:type="dxa"/>
            <w:vAlign w:val="bottom"/>
            <w:shd w:val="clear" w:color="auto" w:fill="CFF0FC"/>
          </w:tcPr>
          <w:p>
            <w:pPr>
              <w:spacing w:after="0"/>
              <w:rPr>
                <w:sz w:val="19"/>
                <w:szCs w:val="19"/>
                <w:color w:val="auto"/>
              </w:rPr>
            </w:pPr>
          </w:p>
        </w:tc>
        <w:tc>
          <w:tcPr>
            <w:tcW w:w="3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May 2022 - August 2022</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214,510</w:t>
            </w: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80" w:firstLine="810"/>
        <w:spacing w:after="0" w:line="263" w:lineRule="auto"/>
        <w:rPr>
          <w:sz w:val="20"/>
          <w:szCs w:val="20"/>
          <w:color w:val="auto"/>
        </w:rPr>
      </w:pPr>
      <w:r>
        <w:rPr>
          <w:rFonts w:ascii="Arial" w:cs="Arial" w:eastAsia="Arial" w:hAnsi="Arial"/>
          <w:sz w:val="18"/>
          <w:szCs w:val="18"/>
          <w:color w:val="auto"/>
        </w:rPr>
        <w:t>Each warrant allows the holder to purchase one share of the Company's common stock at the exercise price per share of the respective warrant. The Company issued 155,517 and 295,526 shares of its common stock upon the exercise of warrants during the years ended December 31,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right="80" w:firstLine="810"/>
        <w:spacing w:after="0" w:line="301" w:lineRule="auto"/>
        <w:rPr>
          <w:sz w:val="20"/>
          <w:szCs w:val="20"/>
          <w:color w:val="auto"/>
        </w:rPr>
      </w:pPr>
      <w:r>
        <w:rPr>
          <w:rFonts w:ascii="Arial" w:cs="Arial" w:eastAsia="Arial" w:hAnsi="Arial"/>
          <w:sz w:val="16"/>
          <w:szCs w:val="16"/>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 In June 2019, the Company received approval from its stockholders to increase the number of shares of its common stock reserved for issuance under the 2013 Plan by an additional 5,000,000 shares.</w:t>
      </w:r>
    </w:p>
    <w:p>
      <w:pPr>
        <w:spacing w:after="0" w:line="130" w:lineRule="exact"/>
        <w:rPr>
          <w:sz w:val="20"/>
          <w:szCs w:val="20"/>
          <w:color w:val="auto"/>
        </w:rPr>
      </w:pPr>
    </w:p>
    <w:p>
      <w:pPr>
        <w:jc w:val="both"/>
        <w:ind w:right="280" w:firstLine="810"/>
        <w:spacing w:after="0" w:line="263" w:lineRule="auto"/>
        <w:rPr>
          <w:sz w:val="20"/>
          <w:szCs w:val="20"/>
          <w:color w:val="auto"/>
        </w:rPr>
      </w:pPr>
      <w:r>
        <w:rPr>
          <w:rFonts w:ascii="Arial" w:cs="Arial" w:eastAsia="Arial" w:hAnsi="Arial"/>
          <w:sz w:val="18"/>
          <w:szCs w:val="18"/>
          <w:color w:val="auto"/>
        </w:rPr>
        <w:t>The Company issued 1,128,791 and 2,339,467 shares of its common stock, respectively, upon the exercise of stock options during the years ended December 31, 2021 and 2020. During the years ended December 31, 2021 and 2020, the Company issued 38,156 and 1,892 shares of its common stock, respectively, upon the vesting of RSUs.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Common Stock Options</w:t>
      </w:r>
    </w:p>
    <w:p>
      <w:pPr>
        <w:spacing w:after="0" w:line="185" w:lineRule="exact"/>
        <w:rPr>
          <w:sz w:val="20"/>
          <w:szCs w:val="20"/>
          <w:color w:val="auto"/>
        </w:rPr>
      </w:pPr>
    </w:p>
    <w:p>
      <w:pPr>
        <w:ind w:right="400" w:firstLine="810"/>
        <w:spacing w:after="0" w:line="311" w:lineRule="auto"/>
        <w:rPr>
          <w:sz w:val="20"/>
          <w:szCs w:val="20"/>
          <w:color w:val="auto"/>
        </w:rPr>
      </w:pPr>
      <w:r>
        <w:rPr>
          <w:rFonts w:ascii="Arial" w:cs="Arial" w:eastAsia="Arial" w:hAnsi="Arial"/>
          <w:sz w:val="16"/>
          <w:szCs w:val="16"/>
          <w:color w:val="auto"/>
        </w:rPr>
        <w:t>The maximum term of stock options granted under the 2006 Plan and 2013 Plan is ten years. Common stock options have an exercise price equal to the closing price of the Company's common stock on the applicable award date, and generally vest over a four year period as to 25% of the underlying shares on the first anniversary of the award, with the balance of the options vesting monthly over the following three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0" w:name="page111"/>
    <w:bookmarkEnd w:id="110"/>
    <w:p>
      <w:pPr>
        <w:ind w:left="820"/>
        <w:spacing w:after="0"/>
        <w:rPr>
          <w:sz w:val="20"/>
          <w:szCs w:val="20"/>
          <w:color w:val="auto"/>
        </w:rPr>
      </w:pPr>
      <w:r>
        <w:rPr>
          <w:rFonts w:ascii="Arial" w:cs="Arial" w:eastAsia="Arial" w:hAnsi="Arial"/>
          <w:sz w:val="18"/>
          <w:szCs w:val="18"/>
          <w:color w:val="auto"/>
        </w:rPr>
        <w:t>The following table summarizes stock option activities for the 2006 Plan and 2013 Plan: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200" w:type="dxa"/>
            <w:vAlign w:val="bottom"/>
          </w:tcPr>
          <w:p>
            <w:pPr>
              <w:spacing w:after="0"/>
              <w:rPr>
                <w:sz w:val="16"/>
                <w:szCs w:val="16"/>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8"/>
              </w:rPr>
              <w:t>Average</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120" w:type="dxa"/>
            <w:vAlign w:val="bottom"/>
          </w:tcPr>
          <w:p>
            <w:pPr>
              <w:jc w:val="center"/>
              <w:ind w:right="113"/>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Price Per</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4"/>
                <w:szCs w:val="14"/>
                <w:color w:val="auto"/>
              </w:rPr>
            </w:pPr>
          </w:p>
        </w:tc>
        <w:tc>
          <w:tcPr>
            <w:tcW w:w="1120" w:type="dxa"/>
            <w:vAlign w:val="bottom"/>
          </w:tcPr>
          <w:p>
            <w:pPr>
              <w:jc w:val="center"/>
              <w:ind w:right="133"/>
              <w:spacing w:after="0" w:line="162" w:lineRule="exact"/>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(in years)</w:t>
            </w:r>
          </w:p>
        </w:tc>
        <w:tc>
          <w:tcPr>
            <w:tcW w:w="20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7,174,927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181,408</w:t>
            </w:r>
          </w:p>
        </w:tc>
        <w:tc>
          <w:tcPr>
            <w:tcW w:w="0" w:type="dxa"/>
            <w:vAlign w:val="bottom"/>
          </w:tcPr>
          <w:p>
            <w:pPr>
              <w:spacing w:after="0"/>
              <w:rPr>
                <w:sz w:val="1"/>
                <w:szCs w:val="1"/>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1,130,040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83.55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(2,339,467)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161,688</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(161,995)</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5,803,505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268,649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86.68</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355,008</w:t>
            </w:r>
          </w:p>
        </w:tc>
        <w:tc>
          <w:tcPr>
            <w:tcW w:w="3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(1,128,791)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86,149</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(215,372)</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4,814,350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452,081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December 31, 2021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56.95</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448,460</w:t>
            </w: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4,769,317</w:t>
            </w:r>
          </w:p>
        </w:tc>
        <w:tc>
          <w:tcPr>
            <w:tcW w:w="3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3,013,030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307,235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ind w:right="100" w:firstLine="810"/>
        <w:spacing w:after="0" w:line="293" w:lineRule="auto"/>
        <w:rPr>
          <w:sz w:val="20"/>
          <w:szCs w:val="20"/>
          <w:color w:val="auto"/>
        </w:rPr>
      </w:pPr>
      <w:r>
        <w:rPr>
          <w:rFonts w:ascii="Arial" w:cs="Arial" w:eastAsia="Arial" w:hAnsi="Arial"/>
          <w:sz w:val="16"/>
          <w:szCs w:val="16"/>
          <w:color w:val="auto"/>
        </w:rPr>
        <w:t>Restricted stock units (RSUs) have a grant price equal to the closing price of the Company’s common stock on the award date, and generally vest over a four year period based only on service as to 25% of the underlying shares on the first anniversary of the award, with the balance of the RSUs vesting quarterly over the following three years. In addition, the Company granted 25,674 performance-based RSUs during the year ended December 31, 2021. The performance-based RSUs have a grant value equal to the closing price of the Company’s common stock on the award date, and vest upon the Company’s actual performance relative to predefined performance metrics and subject to the awardee’s continuing service through the December 31, 2024 measurement date. A summary of RSU activity for the years ended December 31, 2021 and 2020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94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 RSUs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Weighted-Average Grant</w:t>
            </w:r>
          </w:p>
        </w:tc>
        <w:tc>
          <w:tcPr>
            <w:tcW w:w="19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6"/>
              </w:rPr>
              <w:t>Aggregate Intrinsic Value</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Date Fair Value</w:t>
            </w:r>
          </w:p>
        </w:tc>
        <w:tc>
          <w:tcPr>
            <w:tcW w:w="300" w:type="dxa"/>
            <w:vAlign w:val="bottom"/>
          </w:tcPr>
          <w:p>
            <w:pPr>
              <w:spacing w:after="0"/>
              <w:rPr>
                <w:sz w:val="18"/>
                <w:szCs w:val="18"/>
                <w:color w:val="auto"/>
              </w:rPr>
            </w:pPr>
          </w:p>
        </w:tc>
        <w:tc>
          <w:tcPr>
            <w:tcW w:w="1680" w:type="dxa"/>
            <w:vAlign w:val="bottom"/>
          </w:tcPr>
          <w:p>
            <w:pPr>
              <w:jc w:val="right"/>
              <w:ind w:right="412"/>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outstanding at December 31, 2019</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134,694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Unvested awards outstanding at December 31, 2020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(53,957)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82.74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Canceled/forfeited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Unvested awards outstanding at December 31, 2021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95.11</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92,144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Employee Stock Purchase Plan</w:t>
      </w:r>
    </w:p>
    <w:p>
      <w:pPr>
        <w:spacing w:after="0" w:line="198"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color w:val="auto"/>
        </w:rPr>
        <w:t>In October 2013, the Company adopted the ESPP, which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137"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During the years ended December 31, 2021 and 2020, 172,694 shares and 302,509 shares of our common stock, respectively, were purchased under the ESPP for proceeds of $11.1 million and $9.1 million,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consolidated statements of operations for all stock-based compensation arrangements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Selling, general &amp;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42,857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r>
      <w:tr>
        <w:trPr>
          <w:trHeight w:val="223"/>
        </w:trPr>
        <w:tc>
          <w:tcPr>
            <w:tcW w:w="70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58,071</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80" w:firstLine="810"/>
        <w:spacing w:after="0" w:line="277" w:lineRule="auto"/>
        <w:rPr>
          <w:sz w:val="20"/>
          <w:szCs w:val="20"/>
          <w:color w:val="auto"/>
        </w:rPr>
      </w:pPr>
      <w:r>
        <w:rPr>
          <w:rFonts w:ascii="Arial" w:cs="Arial" w:eastAsia="Arial" w:hAnsi="Arial"/>
          <w:sz w:val="18"/>
          <w:szCs w:val="18"/>
          <w:color w:val="auto"/>
        </w:rPr>
        <w:t>The total stock-based compensation capitalized as part of the cost of the Company’s inventories was $1.0 million and $0.6 million at December 31, 2021 and 2020, respectively.</w:t>
      </w:r>
    </w:p>
    <w:p>
      <w:pPr>
        <w:spacing w:after="0" w:line="143"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At December 31, 2021, the total unamortized stock-based compensation expense of approximately $129.2 million will be recognized over the remaining weighted average vesting term of approximately 2.6 years.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0"/>
              </w:rPr>
              <w:t>Stock Options</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0"/>
          </w:tcPr>
          <w:p>
            <w:pPr>
              <w:jc w:val="center"/>
              <w:ind w:left="633"/>
              <w:spacing w:after="0"/>
              <w:rPr>
                <w:sz w:val="20"/>
                <w:szCs w:val="20"/>
                <w:color w:val="auto"/>
              </w:rPr>
            </w:pPr>
            <w:r>
              <w:rPr>
                <w:rFonts w:ascii="Arial" w:cs="Arial" w:eastAsia="Arial" w:hAnsi="Arial"/>
                <w:sz w:val="16"/>
                <w:szCs w:val="16"/>
                <w:b w:val="1"/>
                <w:bCs w:val="1"/>
                <w:color w:val="auto"/>
                <w:w w:val="91"/>
              </w:rPr>
              <w:t>Year Ended December 31,</w:t>
            </w: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39.06</w:t>
            </w:r>
          </w:p>
        </w:tc>
        <w:tc>
          <w:tcPr>
            <w:tcW w:w="40" w:type="dxa"/>
            <w:vAlign w:val="bottom"/>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0" w:type="dxa"/>
            <w:vAlign w:val="bottom"/>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71.8 %</w:t>
            </w:r>
          </w:p>
        </w:tc>
        <w:tc>
          <w:tcPr>
            <w:tcW w:w="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r>
      <w:tr>
        <w:trPr>
          <w:trHeight w:val="321"/>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6"/>
                <w:szCs w:val="16"/>
                <w:b w:val="1"/>
                <w:bCs w:val="1"/>
                <w:color w:val="auto"/>
                <w:w w:val="93"/>
              </w:rPr>
              <w:t>ESPP</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0"/>
        </w:trPr>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0"/>
          </w:tcPr>
          <w:p>
            <w:pPr>
              <w:jc w:val="center"/>
              <w:ind w:left="713"/>
              <w:spacing w:after="0"/>
              <w:rPr>
                <w:sz w:val="20"/>
                <w:szCs w:val="20"/>
                <w:color w:val="auto"/>
              </w:rPr>
            </w:pPr>
            <w:r>
              <w:rPr>
                <w:rFonts w:ascii="Arial" w:cs="Arial" w:eastAsia="Arial" w:hAnsi="Arial"/>
                <w:sz w:val="16"/>
                <w:szCs w:val="16"/>
                <w:b w:val="1"/>
                <w:bCs w:val="1"/>
                <w:color w:val="auto"/>
                <w:w w:val="91"/>
              </w:rPr>
              <w:t>Year Ended December 31,</w:t>
            </w: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60.3 %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69.9 %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323" w:lineRule="exact"/>
        <w:rPr>
          <w:sz w:val="20"/>
          <w:szCs w:val="20"/>
          <w:color w:val="auto"/>
        </w:rPr>
      </w:pPr>
    </w:p>
    <w:p>
      <w:pPr>
        <w:ind w:right="340" w:firstLine="81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the United States Treasury’s rates for U.S. Treasury zero-coupon</w:t>
      </w:r>
      <w:r>
        <w:rPr>
          <w:rFonts w:ascii="Arial" w:cs="Arial" w:eastAsia="Arial" w:hAnsi="Arial"/>
          <w:sz w:val="18"/>
          <w:szCs w:val="18"/>
          <w:i w:val="1"/>
          <w:iCs w:val="1"/>
          <w:color w:val="auto"/>
        </w:rPr>
        <w:t xml:space="preserve"> </w:t>
      </w:r>
      <w:r>
        <w:rPr>
          <w:rFonts w:ascii="Arial" w:cs="Arial" w:eastAsia="Arial" w:hAnsi="Arial"/>
          <w:sz w:val="18"/>
          <w:szCs w:val="18"/>
          <w:color w:val="auto"/>
        </w:rPr>
        <w:t>bonds with maturities similar to those of the expected term of the award being valued.</w:t>
      </w:r>
    </w:p>
    <w:p>
      <w:pPr>
        <w:spacing w:after="0" w:line="130"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zero because the Company has never declared or paid any cash dividends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presently plan to pay cash dividends in the foreseeable future.</w:t>
      </w:r>
    </w:p>
    <w:p>
      <w:pPr>
        <w:spacing w:after="0" w:line="143"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The expected volatility for 2021 was estimated based on a weighted-average of the Company’s actual historical volatility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common stock measured over the expected term. During 2020, the Company transitioned to solely using the expected volatility of its own common stock. Prior to this transition, the expected volatility was estimated based on a weighted-average of the Company’s actual historical volatility since its initial public offering in November 2013, and the historical stock volatilities of a peer group of similar companies whose share prices were publicly available. The peer group consisted of publicly traded companies in the same industry and in a similar stage of development.</w:t>
      </w:r>
    </w:p>
    <w:p>
      <w:pPr>
        <w:spacing w:after="0" w:line="136" w:lineRule="exact"/>
        <w:rPr>
          <w:sz w:val="20"/>
          <w:szCs w:val="20"/>
          <w:color w:val="auto"/>
        </w:rPr>
      </w:pPr>
    </w:p>
    <w:p>
      <w:pPr>
        <w:ind w:right="200" w:firstLine="810"/>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utilized the simplified method for estimating the expected term of stock option grants. Under this approach,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2" w:name="page113"/>
    <w:bookmarkEnd w:id="112"/>
    <w:p>
      <w:pPr>
        <w:ind w:right="20" w:firstLine="810"/>
        <w:spacing w:after="0" w:line="263" w:lineRule="auto"/>
        <w:rPr>
          <w:sz w:val="20"/>
          <w:szCs w:val="20"/>
          <w:color w:val="auto"/>
        </w:rPr>
      </w:pPr>
      <w:r>
        <w:rPr>
          <w:rFonts w:ascii="Arial" w:cs="Arial" w:eastAsia="Arial" w:hAnsi="Arial"/>
          <w:sz w:val="18"/>
          <w:szCs w:val="18"/>
          <w:color w:val="auto"/>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18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the Company may elect to match a discretionary percentage of employee contributions. The Company did not provide a matching contribution during the three years ended December 31, 2021, but approved a discretionary match to begin in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income (loss) before provision for income taxes for the Company’s domestic and international operations was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9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9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9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15,901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380" w:type="dxa"/>
            <w:vAlign w:val="bottom"/>
            <w:gridSpan w:val="3"/>
          </w:tcPr>
          <w:p>
            <w:pPr>
              <w:ind w:left="820"/>
              <w:spacing w:after="0"/>
              <w:rPr>
                <w:sz w:val="20"/>
                <w:szCs w:val="20"/>
                <w:color w:val="auto"/>
              </w:rPr>
            </w:pPr>
            <w:r>
              <w:rPr>
                <w:rFonts w:ascii="Arial" w:cs="Arial" w:eastAsia="Arial" w:hAnsi="Arial"/>
                <w:sz w:val="18"/>
                <w:szCs w:val="18"/>
                <w:color w:val="auto"/>
              </w:rPr>
              <w:t>The components of income tax expense (benefit) were as follows (in thousands):</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90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19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19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State</w:t>
            </w: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benefit</w:t>
            </w:r>
          </w:p>
        </w:tc>
        <w:tc>
          <w:tcPr>
            <w:tcW w:w="196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9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112</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3" w:name="page114"/>
    <w:bookmarkEnd w:id="113"/>
    <w:p>
      <w:pPr>
        <w:ind w:right="140" w:firstLine="810"/>
        <w:spacing w:after="0" w:line="277" w:lineRule="auto"/>
        <w:rPr>
          <w:sz w:val="20"/>
          <w:szCs w:val="20"/>
          <w:color w:val="auto"/>
        </w:rPr>
      </w:pPr>
      <w:r>
        <w:rPr>
          <w:rFonts w:ascii="Arial" w:cs="Arial" w:eastAsia="Arial" w:hAnsi="Arial"/>
          <w:sz w:val="18"/>
          <w:szCs w:val="18"/>
          <w:color w:val="auto"/>
        </w:rPr>
        <w:t>The expense (benefit) for income taxes reconciles to the amount computed by applying the federal statutory rate to loss before taxes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0"/>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226"/>
        </w:trPr>
        <w:tc>
          <w:tcPr>
            <w:tcW w:w="64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Income tax expense (benefit) at federal statutory rate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revaluation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382 limitation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25,043</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(7,609)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(8,974)</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compensation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(13,919)</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1"/>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For the years ended December 31, 2021, 2020 and 2019, the federal statutory tax rate was 21%.</w:t>
      </w:r>
    </w:p>
    <w:p>
      <w:pPr>
        <w:spacing w:after="0" w:line="185"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Significant components of the Company’s net deferred income tax assets at December 31, 2021 and 2020 are shown below (in thousands). The Company assesses all available positive and negative evidence to estimate whether sufficient future taxable income will be generated to permit use of the existing deferred tax assets. A significant piece of objective negative evidence evaluated was the cumulative book loss incurred over the three-year period ended December 31, 2021. Such objective evidence limits the ability to consider other subjective evidence, such as projections for future growth. On the basis of this analysis, a valuation allowance of $146.4 million and $121.6 million at December 31, 2021 and 2020, respectively, has been recorded to offset the net deferred tax asset as realization of such asset is uncertain. The amount of the deferred tax asset considered realizable, however, could be adjusted if estimates of future taxable income during the carryforward period are increased, or if objective negative evidence in the form of cumulative losses is no longer present and additional weight is given to subjective evidence such as the Company’s projections for future growth.</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Net operating loss (NOL) carryforwards</w:t>
            </w:r>
          </w:p>
        </w:tc>
        <w:tc>
          <w:tcPr>
            <w:tcW w:w="3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78,961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tax credits carryforwards</w:t>
            </w:r>
          </w:p>
        </w:tc>
        <w:tc>
          <w:tcPr>
            <w:tcW w:w="3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Capitalized research and development expenses</w:t>
            </w:r>
          </w:p>
        </w:tc>
        <w:tc>
          <w:tcPr>
            <w:tcW w:w="3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3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3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3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158,447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Convertible senior notes</w:t>
            </w:r>
          </w:p>
        </w:tc>
        <w:tc>
          <w:tcPr>
            <w:tcW w:w="3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3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valuation allowance</w:t>
            </w:r>
          </w:p>
        </w:tc>
        <w:tc>
          <w:tcPr>
            <w:tcW w:w="3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130"/>
              <w:spacing w:after="0"/>
              <w:rPr>
                <w:sz w:val="20"/>
                <w:szCs w:val="20"/>
                <w:color w:val="auto"/>
              </w:rPr>
            </w:pPr>
            <w:r>
              <w:rPr>
                <w:rFonts w:ascii="Arial" w:cs="Arial" w:eastAsia="Arial" w:hAnsi="Arial"/>
                <w:sz w:val="18"/>
                <w:szCs w:val="18"/>
                <w:color w:val="auto"/>
              </w:rPr>
              <w:t>113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4" w:name="page115"/>
    <w:bookmarkEnd w:id="114"/>
    <w:p>
      <w:pPr>
        <w:ind w:right="60" w:firstLine="810"/>
        <w:spacing w:after="0" w:line="255" w:lineRule="auto"/>
        <w:rPr>
          <w:sz w:val="20"/>
          <w:szCs w:val="20"/>
          <w:color w:val="auto"/>
        </w:rPr>
      </w:pPr>
      <w:r>
        <w:rPr>
          <w:rFonts w:ascii="Arial" w:cs="Arial" w:eastAsia="Arial" w:hAnsi="Arial"/>
          <w:sz w:val="18"/>
          <w:szCs w:val="18"/>
          <w:color w:val="auto"/>
        </w:rPr>
        <w:t>As of December 31, 2021, the Company had accumulated federal and state NOL carryforwards of approximately $301.2 million, and $291.0 million, respectively, Of the total federal net operating loss carryforwards, approximately $112.1 million were generated after January 1, 2018, and therefore do not expire. NOL generated after January 1, 2018, is subject to 80% limitation in accordance with the Tax Cuts and Jobs Act of 2017. The remaining federal net operating loss carryforwards of $189.1 million will begin to expire in 2026, and state tax loss carryforwards continue to expire in 2022, unless previously utilized. The remaining California NOL carryforwards of $171.8 million will begin expiring in 2028. The Company has no foreign tax loss carryforwards as of December 31, 2021.</w:t>
      </w:r>
    </w:p>
    <w:p>
      <w:pPr>
        <w:spacing w:after="0" w:line="165"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 Company also has federal and California research credit carryforwards of approximately $12.9 million and $15.5 million, respectively, as of December 31, 2021. The federal research credit carryforwards will begin expiring in 2038, unless previously utilized. The California research credit will carry forward indefinitely.</w:t>
      </w:r>
    </w:p>
    <w:p>
      <w:pPr>
        <w:spacing w:after="0" w:line="143" w:lineRule="exact"/>
        <w:rPr>
          <w:sz w:val="20"/>
          <w:szCs w:val="20"/>
          <w:color w:val="auto"/>
        </w:rPr>
      </w:pPr>
    </w:p>
    <w:p>
      <w:pPr>
        <w:ind w:right="80" w:firstLine="810"/>
        <w:spacing w:after="0" w:line="253" w:lineRule="auto"/>
        <w:rPr>
          <w:sz w:val="20"/>
          <w:szCs w:val="20"/>
          <w:color w:val="auto"/>
        </w:rPr>
      </w:pPr>
      <w:r>
        <w:rPr>
          <w:rFonts w:ascii="Arial" w:cs="Arial" w:eastAsia="Arial" w:hAnsi="Arial"/>
          <w:sz w:val="18"/>
          <w:szCs w:val="18"/>
          <w:color w:val="auto"/>
        </w:rPr>
        <w:t>Utilization of the Company's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The Company has completed analyses through December 31, 2020 to determine whether its net operating losses and credits are likely to be limited by Section 382. Based on the 2018 study completed in 2019, the Company determined that an ownership change, as defined under Section 382, occurred in 2018 and the resulting limitation significantly reduced the Company’s ability to utilize its net operating loss and credit carryovers before they expire. As a result, in 2019 the Company reduced its deferred tax assets for the net operating loss and research credit carryforwards that were projected to expire unused with a corresponding offset to the valuation allowance recorded against such assets. Additionally, future ownership changes under Section 382 may also limit the Company's ability to fully utilize any remaining tax benefits.</w:t>
      </w:r>
    </w:p>
    <w:p>
      <w:pPr>
        <w:spacing w:after="0" w:line="156"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65"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2021, 2020 and 2019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the beginning of the year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8,824</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Increases related to current year positions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88"/>
              </w:rPr>
              <w:t>1,076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(decreases) related to prior year positions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4"/>
              </w:rPr>
              <w:t>(3,320)</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Gross unrecognized tax benefits at the end of the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center"/>
              <w:ind w:left="452"/>
              <w:spacing w:after="0"/>
              <w:rPr>
                <w:sz w:val="20"/>
                <w:szCs w:val="20"/>
                <w:color w:val="auto"/>
              </w:rPr>
            </w:pPr>
            <w:r>
              <w:rPr>
                <w:rFonts w:ascii="Arial" w:cs="Arial" w:eastAsia="Arial" w:hAnsi="Arial"/>
                <w:sz w:val="18"/>
                <w:szCs w:val="18"/>
                <w:color w:val="auto"/>
                <w:w w:val="88"/>
              </w:rPr>
              <w:t>6,580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60" w:firstLine="810"/>
        <w:spacing w:after="0" w:line="277" w:lineRule="auto"/>
        <w:rPr>
          <w:sz w:val="20"/>
          <w:szCs w:val="20"/>
          <w:color w:val="auto"/>
        </w:rPr>
      </w:pPr>
      <w:r>
        <w:rPr>
          <w:rFonts w:ascii="Arial" w:cs="Arial" w:eastAsia="Arial" w:hAnsi="Arial"/>
          <w:sz w:val="18"/>
          <w:szCs w:val="18"/>
          <w:color w:val="auto"/>
        </w:rPr>
        <w:t>As of December 31, 2021, the Company had $11.8 million of unrecognized tax benefits that, if recognized and realized would impact the effective tax rate, subject to the valuation allowance.</w:t>
      </w:r>
    </w:p>
    <w:p>
      <w:pPr>
        <w:spacing w:after="0" w:line="143"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color w:val="auto"/>
        </w:rPr>
        <w:t>The Company’s practice is to recognize interest and penalties related to income tax matters in income tax expense. The Company had no accrual for interest and penalties on the Company’s consolidated balance sheets and has not recognized interest and penalties in the consolidated statements of operations for the years ended December 31, 2021 and 2020. The Company does not expect any significant increases or decreases, other than the potential reduction as a result of the Section 382 limitation, to its unrecognized tax benefits within the next 12 months.</w:t>
      </w:r>
    </w:p>
    <w:p>
      <w:pPr>
        <w:spacing w:after="0" w:line="131"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The Company is subject to taxation in the United States and various other state jurisdictions and, starting with 2018, Canada. Prior to 2018, the losses were all domestic. The Company’s tax years from 2006 (inception) are subject to examination by the United States and state authorities due to the carry forward of unutilized NOLs and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11. Business Segment and Geographic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jc w:val="both"/>
        <w:ind w:right="100" w:firstLine="810"/>
        <w:spacing w:after="0" w:line="301" w:lineRule="auto"/>
        <w:rPr>
          <w:sz w:val="20"/>
          <w:szCs w:val="20"/>
          <w:color w:val="auto"/>
        </w:rPr>
      </w:pPr>
      <w:r>
        <w:rPr>
          <w:rFonts w:ascii="Arial" w:cs="Arial" w:eastAsia="Arial" w:hAnsi="Arial"/>
          <w:sz w:val="16"/>
          <w:szCs w:val="16"/>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Saudi Arabia and South Africa. In the United States and Canada, the Company utilizes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Region and Customer Sales Channel</w:t>
      </w:r>
    </w:p>
    <w:p>
      <w:pPr>
        <w:spacing w:after="0" w:line="185"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During the years ended December 31, 2021, 2020 and 2019,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rPr>
              <w:t>For the 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302,084</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362,305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Sales to distributors accounted for 67%, 70%, and 73% of the Company’s total domestic sales for the years ended December 31, 2021, 2020 and 2019, respectively. Sales to distributors accounted for 95%, 94%, and 92% of the Company’s total international sales for the years ended December 31, 2021, 2020 and 2019, respectively.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In April 2020, the Company was named as a defendant in four federal class action lawsuits relating to a data breach it experienced in January 2020, each of which was subsequently dismissed.</w:t>
      </w:r>
    </w:p>
    <w:p>
      <w:pPr>
        <w:spacing w:after="0" w:line="197" w:lineRule="exact"/>
        <w:rPr>
          <w:sz w:val="20"/>
          <w:szCs w:val="20"/>
          <w:color w:val="auto"/>
        </w:rPr>
      </w:pPr>
    </w:p>
    <w:p>
      <w:pPr>
        <w:ind w:right="40" w:firstLine="810"/>
        <w:spacing w:after="0" w:line="268" w:lineRule="auto"/>
        <w:rPr>
          <w:sz w:val="20"/>
          <w:szCs w:val="20"/>
          <w:color w:val="auto"/>
        </w:rPr>
      </w:pPr>
      <w:r>
        <w:rPr>
          <w:rFonts w:ascii="Arial" w:cs="Arial" w:eastAsia="Arial" w:hAnsi="Arial"/>
          <w:sz w:val="17"/>
          <w:szCs w:val="17"/>
          <w:color w:val="auto"/>
        </w:rPr>
        <w:t xml:space="preserve">In addition, in May 2020 the Company was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the Company. On July 24, 2020, these three pending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w:t>
      </w:r>
      <w:r>
        <w:rPr>
          <w:rFonts w:ascii="Arial" w:cs="Arial" w:eastAsia="Arial" w:hAnsi="Arial"/>
          <w:sz w:val="17"/>
          <w:szCs w:val="17"/>
          <w:color w:val="auto"/>
        </w:rPr>
        <w:t xml:space="preserve"> </w:t>
      </w:r>
      <w:r>
        <w:rPr>
          <w:rFonts w:ascii="Arial" w:cs="Arial" w:eastAsia="Arial" w:hAnsi="Arial"/>
          <w:sz w:val="17"/>
          <w:szCs w:val="17"/>
          <w:i w:val="1"/>
          <w:iCs w:val="1"/>
          <w:color w:val="auto"/>
        </w:rPr>
        <w:t>Diabetes Care, Inc</w:t>
      </w:r>
      <w:r>
        <w:rPr>
          <w:rFonts w:ascii="Arial" w:cs="Arial" w:eastAsia="Arial" w:hAnsi="Arial"/>
          <w:sz w:val="17"/>
          <w:szCs w:val="17"/>
          <w:color w:val="auto"/>
        </w:rPr>
        <w:t>. The consolidated case alleges violations of the Confidentiality of Medical Information Act (CMIA), California Consumer Privacy Act</w:t>
      </w:r>
      <w:r>
        <w:rPr>
          <w:rFonts w:ascii="Arial" w:cs="Arial" w:eastAsia="Arial" w:hAnsi="Arial"/>
          <w:sz w:val="17"/>
          <w:szCs w:val="17"/>
          <w:i w:val="1"/>
          <w:iCs w:val="1"/>
          <w:color w:val="auto"/>
        </w:rPr>
        <w:t xml:space="preserve"> </w:t>
      </w:r>
      <w:r>
        <w:rPr>
          <w:rFonts w:ascii="Arial" w:cs="Arial" w:eastAsia="Arial" w:hAnsi="Arial"/>
          <w:sz w:val="17"/>
          <w:szCs w:val="17"/>
          <w:color w:val="auto"/>
        </w:rPr>
        <w:t>(CCPA), California’s Unfair Competition Law (UCL), and breach of contract. The Company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either failing to allege cognizable damages or injuries-in-fact, resulting in two remaining plaintiffs. Although the Company intends to vigorously defend against these claims, there is no guarantee that the Company will prevail. The Company presently is unable to determine the ultimate outcome of these lawsuits or determine the amount (or range) of possible losses associated with the lawsuits.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6" w:name="page117"/>
    <w:bookmarkEnd w:id="116"/>
    <w:p>
      <w:pPr>
        <w:ind w:firstLine="810"/>
        <w:spacing w:after="0" w:line="268" w:lineRule="auto"/>
        <w:rPr>
          <w:sz w:val="20"/>
          <w:szCs w:val="20"/>
          <w:color w:val="auto"/>
        </w:rPr>
      </w:pPr>
      <w:r>
        <w:rPr>
          <w:rFonts w:ascii="Arial" w:cs="Arial" w:eastAsia="Arial" w:hAnsi="Arial"/>
          <w:sz w:val="17"/>
          <w:szCs w:val="17"/>
          <w:color w:val="auto"/>
        </w:rPr>
        <w:t>In September 2020, the Company was named as a defendant in a lawsuit entitled Buck Walsh, individually and on behalf of others similarly situated v. Tandem Diabetes Care, Inc., which was filed in the Superior Court of the State of California in the County of San Diego. The alleged violations include business and professions code and labor code violations for failure to compensate wages, unpaid meal and rest periods, and failure to reimburse for necessary business-related expenses. The case was brought as a class action and was later amended to also include a representative action under the California Private Attorney General Act, or PAGA. The class of plaintiffs includes hourly paid or non-exempt employees of the Company who were employed from April 6, 2016 through the date of adjudication. The parties recently agreed to resolve all claims in the lawsuit. The settlement of claims covered by the PAGA matter were approved by the Superior Court of the State of California in the County of San Diego on September 21, 2021 and settlement amounts were disbursed in 2021. In October 2021, a settlement of the class action related claims was preliminarily approved by an independent arbitrator mutually acceptable to both parties. The class action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is subject to the completion of a number of conditions, as well as final approval by the independent arbitrator. There is no guarantee that the conditions will be met or that final approval will be obtained. If the final class settlement is not approved, or if other conditions to approval of the settlement are not met, the case will continue and the Company will continue to vigorously defend against the claims.</w:t>
      </w:r>
    </w:p>
    <w:p>
      <w:pPr>
        <w:spacing w:after="0" w:line="211"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From time to time, the Company is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Although the results of legal proceedings, disputes and other claims cannot be predicted with certainty, the Company believes it is not currently a party to any legal proceeding(s) which, if determined adversely to the Company, would, individually or taken together, have a material adverse effect on the Company’s business, operating results, financial condition or cash flows. However, regardless of the merit of the claims raised or the outcome, legal proceedings may have an adverse impact on the Company as a result of defense and settlement costs, diversion of management time and resources, and other factors.</w:t>
      </w:r>
    </w:p>
    <w:p>
      <w:pPr>
        <w:spacing w:after="0" w:line="195" w:lineRule="exact"/>
        <w:rPr>
          <w:sz w:val="20"/>
          <w:szCs w:val="20"/>
          <w:color w:val="auto"/>
        </w:rPr>
      </w:pPr>
    </w:p>
    <w:p>
      <w:pPr>
        <w:ind w:right="440" w:firstLine="810"/>
        <w:spacing w:after="0" w:line="301" w:lineRule="auto"/>
        <w:rPr>
          <w:sz w:val="20"/>
          <w:szCs w:val="20"/>
          <w:color w:val="auto"/>
        </w:rPr>
      </w:pPr>
      <w:r>
        <w:rPr>
          <w:rFonts w:ascii="Arial" w:cs="Arial" w:eastAsia="Arial" w:hAnsi="Arial"/>
          <w:sz w:val="16"/>
          <w:szCs w:val="16"/>
          <w:color w:val="auto"/>
        </w:rPr>
        <w:t>Except as set forth above, as of December 31, 2021 and December 31, 2020,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8" w:lineRule="exact"/>
        <w:rPr>
          <w:sz w:val="20"/>
          <w:szCs w:val="20"/>
          <w:color w:val="auto"/>
        </w:rPr>
      </w:pPr>
    </w:p>
    <w:p>
      <w:pPr>
        <w:ind w:right="300" w:firstLine="810"/>
        <w:spacing w:after="0" w:line="279" w:lineRule="auto"/>
        <w:rPr>
          <w:sz w:val="20"/>
          <w:szCs w:val="20"/>
          <w:color w:val="auto"/>
        </w:rPr>
      </w:pPr>
      <w:r>
        <w:rPr>
          <w:rFonts w:ascii="Arial" w:cs="Arial" w:eastAsia="Arial" w:hAnsi="Arial"/>
          <w:sz w:val="17"/>
          <w:szCs w:val="17"/>
          <w:color w:val="auto"/>
        </w:rPr>
        <w:t>The Company leases general office space, laboratory, manufacturing and warehouse facilities, and equipment under noncancelable operating leases for use in our operations (see Note 6, “Leases”). In connection with one of the operating leases, the Company has a $4.9 million unsecured irrevocable standby letter of credit arrangement with a bank, under which the landlord of the building is the beneficiary. The Company is required to maintain the standby letter of credit throughout the term of the lease, which is currently expected to expire in April 2035.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85" w:lineRule="exact"/>
        <w:rPr>
          <w:sz w:val="20"/>
          <w:szCs w:val="20"/>
          <w:color w:val="auto"/>
        </w:rPr>
      </w:pPr>
    </w:p>
    <w:p>
      <w:pPr>
        <w:ind w:right="160" w:firstLine="810"/>
        <w:spacing w:after="0" w:line="296" w:lineRule="auto"/>
        <w:rPr>
          <w:sz w:val="20"/>
          <w:szCs w:val="20"/>
          <w:color w:val="auto"/>
        </w:rPr>
      </w:pPr>
      <w:r>
        <w:rPr>
          <w:rFonts w:ascii="Arial" w:cs="Arial" w:eastAsia="Arial" w:hAnsi="Arial"/>
          <w:sz w:val="16"/>
          <w:szCs w:val="16"/>
          <w:color w:val="auto"/>
        </w:rPr>
        <w:t>The Company has agreements with suppliers and other parties to purchase inventory, other goods and services and long-lived assets. Product inventory obligations consist primarily of purchase order commitments for raw materials used in the production of insulin pumps and cartridges, and finished goods infusion sets. Cancellation of outstanding purchase orders is generally allowed under the standard terms of our purchase order agreements, but may require payment of costs incurred through the date of cancellation. At December 31, 2021, obligations under our purchase agreements totaled approximately $255 million, of which approximately $251 million is scheduled to be received and become payable within one-year.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13. Fourth Quarter Financial Data (Unaudited)</w:t>
      </w:r>
    </w:p>
    <w:p>
      <w:pPr>
        <w:spacing w:after="0" w:line="202" w:lineRule="exact"/>
        <w:rPr>
          <w:sz w:val="20"/>
          <w:szCs w:val="20"/>
          <w:color w:val="auto"/>
        </w:rPr>
      </w:pPr>
    </w:p>
    <w:p>
      <w:pPr>
        <w:jc w:val="both"/>
        <w:ind w:right="40" w:firstLine="810"/>
        <w:spacing w:after="0" w:line="342" w:lineRule="auto"/>
        <w:rPr>
          <w:sz w:val="20"/>
          <w:szCs w:val="20"/>
          <w:color w:val="auto"/>
        </w:rPr>
      </w:pPr>
      <w:r>
        <w:rPr>
          <w:rFonts w:ascii="Arial" w:cs="Arial" w:eastAsia="Arial" w:hAnsi="Arial"/>
          <w:sz w:val="16"/>
          <w:szCs w:val="16"/>
          <w:color w:val="auto"/>
        </w:rPr>
        <w:t>The financial information for the three months ended December 31, 2021 and 2020 presented in the following table reflects all normal recurring adjustments that are, in the opinion of management, necessary for a fair statement of the results of the interim periods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6"/>
                <w:szCs w:val="16"/>
                <w:b w:val="1"/>
                <w:bCs w:val="1"/>
                <w:color w:val="auto"/>
              </w:rPr>
              <w:t>For the Quarter Ended</w:t>
            </w:r>
          </w:p>
        </w:tc>
      </w:tr>
      <w:tr>
        <w:trPr>
          <w:trHeight w:val="210"/>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168,065</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113,729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90,556</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71,894</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12,738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18,662</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numerator and denominator of the basic and diluted net income per share computations are calculated as follows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6"/>
                <w:szCs w:val="16"/>
                <w:b w:val="1"/>
                <w:bCs w:val="1"/>
                <w:color w:val="auto"/>
              </w:rPr>
              <w:t>For the Quarter Ended</w:t>
            </w:r>
          </w:p>
        </w:tc>
      </w:tr>
      <w:tr>
        <w:trPr>
          <w:trHeight w:val="210"/>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change in fair value of common stock warrants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62,249</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Dilutive common share equivalents: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to purchase common stock</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Unvested restricted stock units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to purchase common stock</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Awards to be granted under the ESPP</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 (if-converted)</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65,678</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3620"/>
        <w:spacing w:after="0"/>
        <w:tabs>
          <w:tab w:leader="none" w:pos="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jc w:val="center"/>
        <w:ind w:right="8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ind w:right="8420"/>
        <w:spacing w:after="0"/>
        <w:tabs>
          <w:tab w:leader="none" w:pos="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right="180" w:firstLine="810"/>
        <w:spacing w:after="0" w:line="284"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2" w:lineRule="exact"/>
        <w:rPr>
          <w:sz w:val="20"/>
          <w:szCs w:val="20"/>
          <w:color w:val="auto"/>
        </w:rPr>
      </w:pPr>
    </w:p>
    <w:p>
      <w:pPr>
        <w:ind w:right="120" w:firstLine="810"/>
        <w:spacing w:after="0" w:line="243" w:lineRule="auto"/>
        <w:rPr>
          <w:sz w:val="20"/>
          <w:szCs w:val="20"/>
          <w:color w:val="auto"/>
        </w:rPr>
      </w:pPr>
      <w:r>
        <w:rPr>
          <w:rFonts w:ascii="Arial" w:cs="Arial" w:eastAsia="Arial" w:hAnsi="Arial"/>
          <w:sz w:val="18"/>
          <w:szCs w:val="18"/>
          <w:color w:val="auto"/>
        </w:rPr>
        <w:t>As of December 31, 2021,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December 31,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2"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management, including our principal executive officer and principle financial officer, to provide reasonable assurance regarding the reliability of financial reporting and the preparation of consolidated financial statements for external purposes in accordance with accounting principles generally accepted in the United States of America.</w:t>
      </w:r>
    </w:p>
    <w:p>
      <w:pPr>
        <w:spacing w:after="0" w:line="147" w:lineRule="exact"/>
        <w:rPr>
          <w:sz w:val="20"/>
          <w:szCs w:val="20"/>
          <w:color w:val="auto"/>
        </w:rPr>
      </w:pPr>
    </w:p>
    <w:p>
      <w:pPr>
        <w:ind w:right="100" w:firstLine="810"/>
        <w:spacing w:after="0" w:line="311" w:lineRule="auto"/>
        <w:rPr>
          <w:sz w:val="20"/>
          <w:szCs w:val="20"/>
          <w:color w:val="auto"/>
        </w:rPr>
      </w:pPr>
      <w:r>
        <w:rPr>
          <w:rFonts w:ascii="Arial" w:cs="Arial" w:eastAsia="Arial" w:hAnsi="Arial"/>
          <w:sz w:val="16"/>
          <w:szCs w:val="16"/>
          <w:color w:val="auto"/>
        </w:rPr>
        <w:t>As of December 31, 2021, our management assessed the effectiveness of our internal control over financial reporting using the criteria set forth by the Committee of Sponsoring Organizations of the Treadway Commission in Internal Control-Integrated Framework (2013 Framework) (the COSO criteria). Based on this assessment, our management concluded that, as of December 31, 2021, our internal control over financial reporting was effective.</w:t>
      </w:r>
    </w:p>
    <w:p>
      <w:pPr>
        <w:spacing w:after="0" w:line="108"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as of December 31, 2021 as stated in its report, which is included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our last fiscal quarter that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Effectiveness of Controls</w:t>
      </w:r>
    </w:p>
    <w:p>
      <w:pPr>
        <w:spacing w:after="0" w:line="202"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designing and evaluating our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As discussed above,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our policies and procedures, the existence of this relationship may create additional risk, or the perception of additional risk, that our controls and procedures may not be effective.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9" w:name="page120"/>
    <w:bookmarkEnd w:id="119"/>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Tandem Diabetes Care,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We have audited Tandem Diabetes Care, Inc.’s internal control over financial reporting as of December 31, 2021, based on criteria established in Internal Control—Integrated Framework issued by the Committee of Sponsoring Organizations of the Treadway Commission (2013 framework), (the COSO criteria). In our opinion, Tandem Diabetes Care, Inc. (the Company) maintained, in all material respects, effective internal control over financial reporting as of December 31, 2021, based on the COSO criteria.</w:t>
      </w:r>
    </w:p>
    <w:p>
      <w:pPr>
        <w:spacing w:after="0" w:line="20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income (loss), stockholders‘ equity, and cash flows, for each of the three years in the period ended December 31, 2021, and the related notes and our report dated February 22, 2022 expressed an unqualified opinion thereon.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320"/>
        <w:spacing w:after="0" w:line="25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Certain information regarding our executive officers and family relationships is set forth in the section of this Annual Report entitled “Business” in Part I, Item 1.</w:t>
      </w:r>
    </w:p>
    <w:p>
      <w:pPr>
        <w:spacing w:after="0" w:line="130"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Section 406 of Regulation S-K and the rules promulgated thereunder. We will promptly disclose on our website (i) the nature of any amendment to this Code of Ethics (Senior Financial Officers) that applies to any covered person, and (ii) the nature of any waiver, including an implicit waiver, from a provision of this Code of Ethics (Senior Financial Officers) that is granted to one of the covered persons. 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spacing w:after="0" w:line="14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The information required by this item that is not referenced or set forth above, will be set forth in our definitive Proxy Statement for our 2022 Annual Meeting of Stockholders, or our Proxy Statement, or in an amendment to this Annual Report, to be filed with the SEC not later than 120 days after the end of the fiscal year ended December 31, 2021, and is incorporated herein by reference.</w:t>
      </w:r>
    </w:p>
    <w:p>
      <w:pPr>
        <w:spacing w:after="0" w:line="1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89"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2"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89"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The following documents are included in Part II, Item 8 of this Annual Report and are incorporated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20" w:type="dxa"/>
            <w:vAlign w:val="bottom"/>
            <w:shd w:val="clear" w:color="auto" w:fill="CCEEFF"/>
          </w:tcPr>
          <w:p>
            <w:pPr>
              <w:spacing w:after="0"/>
              <w:rPr>
                <w:sz w:val="18"/>
                <w:szCs w:val="18"/>
                <w:color w:val="auto"/>
              </w:rPr>
            </w:pPr>
          </w:p>
        </w:tc>
        <w:tc>
          <w:tcPr>
            <w:tcW w:w="8120" w:type="dxa"/>
            <w:vAlign w:val="bottom"/>
            <w:gridSpan w:val="7"/>
            <w:shd w:val="clear" w:color="auto" w:fill="CCEEFF"/>
          </w:tcPr>
          <w:p>
            <w:pPr>
              <w:spacing w:after="0" w:line="195" w:lineRule="exact"/>
              <w:rPr>
                <w:rFonts w:ascii="Arial" w:cs="Arial" w:eastAsia="Arial" w:hAnsi="Arial"/>
                <w:sz w:val="18"/>
                <w:szCs w:val="18"/>
                <w:color w:val="0000FF"/>
              </w:rPr>
            </w:pPr>
            <w:hyperlink w:anchor="page86">
              <w:r>
                <w:rPr>
                  <w:rFonts w:ascii="Arial" w:cs="Arial" w:eastAsia="Arial" w:hAnsi="Arial"/>
                  <w:sz w:val="18"/>
                  <w:szCs w:val="18"/>
                  <w:color w:val="0000FF"/>
                </w:rPr>
                <w:t>Report of Independent Registered Public Accounting Firm</w:t>
              </w:r>
            </w:hyperlink>
          </w:p>
        </w:tc>
        <w:tc>
          <w:tcPr>
            <w:tcW w:w="3060" w:type="dxa"/>
            <w:vAlign w:val="bottom"/>
            <w:shd w:val="clear" w:color="auto" w:fill="CCEEFF"/>
          </w:tcPr>
          <w:p>
            <w:pPr>
              <w:jc w:val="right"/>
              <w:spacing w:after="0" w:line="195" w:lineRule="exact"/>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5"/>
          </w:tcPr>
          <w:p>
            <w:pPr>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Consolidated Balance Sheets</w:t>
              </w:r>
            </w:hyperlink>
          </w:p>
        </w:tc>
        <w:tc>
          <w:tcPr>
            <w:tcW w:w="3900" w:type="dxa"/>
            <w:vAlign w:val="bottom"/>
            <w:tcBorders>
              <w:top w:val="single" w:sz="8" w:color="CCEEFF"/>
            </w:tcBorders>
            <w:gridSpan w:val="2"/>
          </w:tcPr>
          <w:p>
            <w:pPr>
              <w:spacing w:after="0"/>
              <w:rPr>
                <w:sz w:val="16"/>
                <w:szCs w:val="16"/>
                <w:color w:val="auto"/>
              </w:rPr>
            </w:pPr>
          </w:p>
        </w:tc>
        <w:tc>
          <w:tcPr>
            <w:tcW w:w="3060" w:type="dxa"/>
            <w:vAlign w:val="bottom"/>
            <w:tcBorders>
              <w:top w:val="single" w:sz="8" w:color="CCEEFF"/>
            </w:tcBorders>
          </w:tcPr>
          <w:p>
            <w:pPr>
              <w:jc w:val="right"/>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88</w:t>
              </w:r>
            </w:hyperlink>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20" w:type="dxa"/>
            <w:vAlign w:val="bottom"/>
            <w:gridSpan w:val="7"/>
            <w:shd w:val="clear" w:color="auto" w:fill="CCEEFF"/>
          </w:tcPr>
          <w:p>
            <w:pPr>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 xml:space="preserve">Consolidated Statements of Operations and Comprehensive Income </w:t>
              </w:r>
            </w:hyperlink>
            <w:r>
              <w:rPr>
                <w:rFonts w:ascii="Arial" w:cs="Arial" w:eastAsia="Arial" w:hAnsi="Arial"/>
                <w:sz w:val="18"/>
                <w:szCs w:val="18"/>
                <w:color w:val="0000FF"/>
              </w:rPr>
              <w:t>(Loss)</w:t>
            </w:r>
          </w:p>
        </w:tc>
        <w:tc>
          <w:tcPr>
            <w:tcW w:w="3060" w:type="dxa"/>
            <w:vAlign w:val="bottom"/>
            <w:shd w:val="clear" w:color="auto" w:fill="CCEEFF"/>
          </w:tcPr>
          <w:p>
            <w:pPr>
              <w:jc w:val="right"/>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r>
      <w:tr>
        <w:trPr>
          <w:trHeight w:val="189"/>
        </w:trPr>
        <w:tc>
          <w:tcPr>
            <w:tcW w:w="20" w:type="dxa"/>
            <w:vAlign w:val="bottom"/>
            <w:tcBorders>
              <w:top w:val="single" w:sz="8" w:color="CCEEFF"/>
            </w:tcBorders>
          </w:tcPr>
          <w:p>
            <w:pPr>
              <w:spacing w:after="0"/>
              <w:rPr>
                <w:sz w:val="16"/>
                <w:szCs w:val="16"/>
                <w:color w:val="auto"/>
              </w:rPr>
            </w:pPr>
          </w:p>
        </w:tc>
        <w:tc>
          <w:tcPr>
            <w:tcW w:w="5380" w:type="dxa"/>
            <w:vAlign w:val="bottom"/>
            <w:tcBorders>
              <w:top w:val="single" w:sz="8" w:color="0000FF"/>
            </w:tcBorders>
            <w:gridSpan w:val="6"/>
          </w:tcPr>
          <w:p>
            <w:pPr>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Consolidated Statements of Stockholders’ Equity</w:t>
              </w:r>
            </w:hyperlink>
          </w:p>
        </w:tc>
        <w:tc>
          <w:tcPr>
            <w:tcW w:w="274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jc w:val="right"/>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Consolidated Statements of Cash Flows</w:t>
              </w:r>
            </w:hyperlink>
          </w:p>
        </w:tc>
        <w:tc>
          <w:tcPr>
            <w:tcW w:w="5240" w:type="dxa"/>
            <w:vAlign w:val="bottom"/>
            <w:tcBorders>
              <w:bottom w:val="single" w:sz="8" w:color="CCEEFF"/>
            </w:tcBorders>
            <w:gridSpan w:val="5"/>
            <w:shd w:val="clear" w:color="auto" w:fill="CCEEFF"/>
          </w:tcPr>
          <w:p>
            <w:pPr>
              <w:spacing w:after="0"/>
              <w:rPr>
                <w:sz w:val="18"/>
                <w:szCs w:val="18"/>
                <w:color w:val="auto"/>
              </w:rPr>
            </w:pPr>
          </w:p>
        </w:tc>
        <w:tc>
          <w:tcPr>
            <w:tcW w:w="30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r>
      <w:tr>
        <w:trPr>
          <w:trHeight w:val="189"/>
        </w:trPr>
        <w:tc>
          <w:tcPr>
            <w:tcW w:w="20" w:type="dxa"/>
            <w:vAlign w:val="bottom"/>
          </w:tcPr>
          <w:p>
            <w:pPr>
              <w:spacing w:after="0"/>
              <w:rPr>
                <w:sz w:val="16"/>
                <w:szCs w:val="16"/>
                <w:color w:val="auto"/>
              </w:rPr>
            </w:pPr>
          </w:p>
        </w:tc>
        <w:tc>
          <w:tcPr>
            <w:tcW w:w="3160" w:type="dxa"/>
            <w:vAlign w:val="bottom"/>
            <w:tcBorders>
              <w:bottom w:val="single" w:sz="8" w:color="0000FF"/>
            </w:tcBorders>
            <w:gridSpan w:val="3"/>
          </w:tcPr>
          <w:p>
            <w:pPr>
              <w:spacing w:after="0" w:line="189"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Notes to Consolidated Financial Statements</w:t>
              </w:r>
            </w:hyperlink>
          </w:p>
        </w:tc>
        <w:tc>
          <w:tcPr>
            <w:tcW w:w="4960" w:type="dxa"/>
            <w:vAlign w:val="bottom"/>
            <w:gridSpan w:val="4"/>
          </w:tcPr>
          <w:p>
            <w:pPr>
              <w:spacing w:after="0"/>
              <w:rPr>
                <w:sz w:val="16"/>
                <w:szCs w:val="16"/>
                <w:color w:val="auto"/>
              </w:rPr>
            </w:pPr>
          </w:p>
        </w:tc>
        <w:tc>
          <w:tcPr>
            <w:tcW w:w="3060" w:type="dxa"/>
            <w:vAlign w:val="bottom"/>
          </w:tcPr>
          <w:p>
            <w:pPr>
              <w:jc w:val="right"/>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r>
    </w:tbl>
    <w:p>
      <w:pPr>
        <w:spacing w:after="0" w:line="283" w:lineRule="exact"/>
        <w:rPr>
          <w:sz w:val="20"/>
          <w:szCs w:val="20"/>
          <w:color w:val="auto"/>
        </w:rPr>
      </w:pPr>
    </w:p>
    <w:p>
      <w:pPr>
        <w:ind w:right="240" w:firstLine="818"/>
        <w:spacing w:after="0" w:line="277" w:lineRule="auto"/>
        <w:tabs>
          <w:tab w:leader="none" w:pos="99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Financial statement schedules have been omitted because they are not required or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information is shown in the consolidated financial statements or notes thereto.</w:t>
      </w:r>
    </w:p>
    <w:p>
      <w:pPr>
        <w:spacing w:after="0" w:line="197" w:lineRule="exact"/>
        <w:rPr>
          <w:rFonts w:ascii="Arial" w:cs="Arial" w:eastAsia="Arial" w:hAnsi="Arial"/>
          <w:sz w:val="18"/>
          <w:szCs w:val="18"/>
          <w:color w:val="auto"/>
        </w:rPr>
      </w:pPr>
    </w:p>
    <w:p>
      <w:pPr>
        <w:ind w:left="1000" w:hanging="182"/>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Borders>
              <w:top w:val="single" w:sz="8" w:color="auto"/>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4"/>
                <w:szCs w:val="14"/>
                <w:color w:val="auto"/>
              </w:rPr>
            </w:pPr>
          </w:p>
        </w:tc>
        <w:tc>
          <w:tcPr>
            <w:tcW w:w="3380" w:type="dxa"/>
            <w:vAlign w:val="bottom"/>
            <w:gridSpan w:val="27"/>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File No.</w:t>
            </w:r>
          </w:p>
        </w:tc>
        <w:tc>
          <w:tcPr>
            <w:tcW w:w="12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Date of First</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3"/>
              </w:rPr>
              <w:t>Exhibit</w:t>
            </w:r>
          </w:p>
        </w:tc>
        <w:tc>
          <w:tcPr>
            <w:tcW w:w="1200" w:type="dxa"/>
            <w:vAlign w:val="bottom"/>
          </w:tcPr>
          <w:p>
            <w:pPr>
              <w:ind w:left="260"/>
              <w:spacing w:after="0" w:line="169" w:lineRule="exact"/>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230"/>
        </w:trPr>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9"/>
                <w:szCs w:val="19"/>
                <w:color w:val="auto"/>
              </w:rPr>
            </w:pPr>
          </w:p>
        </w:tc>
        <w:tc>
          <w:tcPr>
            <w:tcW w:w="3380" w:type="dxa"/>
            <w:vAlign w:val="bottom"/>
            <w:gridSpan w:val="27"/>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Filing</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83"/>
        </w:trPr>
        <w:tc>
          <w:tcPr>
            <w:tcW w:w="1240" w:type="dxa"/>
            <w:vAlign w:val="bottom"/>
            <w:tcBorders>
              <w:top w:val="single" w:sz="8" w:color="auto"/>
            </w:tcBorders>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80" w:type="dxa"/>
            <w:vAlign w:val="bottom"/>
            <w:tcBorders>
              <w:top w:val="single" w:sz="8" w:color="auto"/>
            </w:tcBorders>
            <w:gridSpan w:val="26"/>
            <w:shd w:val="clear" w:color="auto" w:fill="CCEEFF"/>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Amended and Restated Certificate of</w:t>
              </w:r>
            </w:hyperlink>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10-Q</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001-36189</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1-Nov-18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60" w:type="dxa"/>
            <w:vAlign w:val="bottom"/>
            <w:tcBorders>
              <w:top w:val="single" w:sz="8" w:color="auto"/>
            </w:tcBorders>
            <w:gridSpan w:val="11"/>
            <w:shd w:val="clear" w:color="auto" w:fill="CCEEFF"/>
          </w:tcPr>
          <w:p>
            <w:pPr>
              <w:spacing w:after="0" w:line="156" w:lineRule="exact"/>
              <w:rPr>
                <w:rFonts w:ascii="Arial" w:cs="Arial" w:eastAsia="Arial" w:hAnsi="Arial"/>
                <w:sz w:val="18"/>
                <w:szCs w:val="18"/>
                <w:color w:val="auto"/>
                <w:w w:val="93"/>
              </w:rPr>
            </w:pPr>
            <w:hyperlink r:id="rId153">
              <w:r>
                <w:rPr>
                  <w:rFonts w:ascii="Arial" w:cs="Arial" w:eastAsia="Arial" w:hAnsi="Arial"/>
                  <w:sz w:val="18"/>
                  <w:szCs w:val="18"/>
                  <w:color w:val="auto"/>
                  <w:w w:val="93"/>
                </w:rPr>
                <w:t>Incorporation (as amended through</w:t>
              </w:r>
            </w:hyperlink>
          </w:p>
        </w:tc>
        <w:tc>
          <w:tcPr>
            <w:tcW w:w="720" w:type="dxa"/>
            <w:vAlign w:val="bottom"/>
            <w:tcBorders>
              <w:top w:val="single" w:sz="8" w:color="CCEEFF"/>
            </w:tcBorders>
            <w:gridSpan w:val="16"/>
            <w:shd w:val="clear" w:color="auto" w:fill="CCEEFF"/>
          </w:tcPr>
          <w:p>
            <w:pPr>
              <w:spacing w:after="0" w:line="156" w:lineRule="exact"/>
              <w:rPr>
                <w:rFonts w:ascii="Arial" w:cs="Arial" w:eastAsia="Arial" w:hAnsi="Arial"/>
                <w:sz w:val="18"/>
                <w:szCs w:val="18"/>
                <w:color w:val="auto"/>
              </w:rPr>
            </w:pPr>
            <w:hyperlink r:id="rId153">
              <w:r>
                <w:rPr>
                  <w:rFonts w:ascii="Arial" w:cs="Arial" w:eastAsia="Arial" w:hAnsi="Arial"/>
                  <w:sz w:val="18"/>
                  <w:szCs w:val="18"/>
                  <w:color w:val="auto"/>
                </w:rPr>
                <w:t>August</w:t>
              </w:r>
            </w:hyperlink>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100" w:type="dxa"/>
            <w:vAlign w:val="bottom"/>
            <w:tcBorders>
              <w:top w:val="single" w:sz="8" w:color="auto"/>
            </w:tcBorders>
            <w:gridSpan w:val="21"/>
            <w:shd w:val="clear" w:color="auto" w:fill="CCEEFF"/>
          </w:tcPr>
          <w:p>
            <w:pPr>
              <w:spacing w:after="0" w:line="156" w:lineRule="exact"/>
              <w:rPr>
                <w:rFonts w:ascii="Arial" w:cs="Arial" w:eastAsia="Arial" w:hAnsi="Arial"/>
                <w:sz w:val="18"/>
                <w:szCs w:val="18"/>
                <w:color w:val="auto"/>
              </w:rPr>
            </w:pPr>
            <w:hyperlink r:id="rId153">
              <w:r>
                <w:rPr>
                  <w:rFonts w:ascii="Arial" w:cs="Arial" w:eastAsia="Arial" w:hAnsi="Arial"/>
                  <w:sz w:val="18"/>
                  <w:szCs w:val="18"/>
                  <w:color w:val="auto"/>
                </w:rPr>
                <w:t>17, 2018 and currently in effect).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7"/>
          </w:tcPr>
          <w:p>
            <w:pPr>
              <w:spacing w:after="0" w:line="189" w:lineRule="exact"/>
              <w:rPr>
                <w:rFonts w:ascii="Arial" w:cs="Arial" w:eastAsia="Arial" w:hAnsi="Arial"/>
                <w:sz w:val="18"/>
                <w:szCs w:val="18"/>
                <w:color w:val="auto"/>
                <w:w w:val="93"/>
              </w:rPr>
            </w:pPr>
            <w:hyperlink r:id="rId154">
              <w:r>
                <w:rPr>
                  <w:rFonts w:ascii="Arial" w:cs="Arial" w:eastAsia="Arial" w:hAnsi="Arial"/>
                  <w:sz w:val="18"/>
                  <w:szCs w:val="18"/>
                  <w:color w:val="auto"/>
                  <w:w w:val="93"/>
                </w:rPr>
                <w:t>Amended and Restated Bylaws (as amended</w:t>
              </w:r>
            </w:hyperlink>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9"/>
              </w:rPr>
              <w:t>24-Feb-21</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auto"/>
            </w:tcBorders>
            <w:gridSpan w:val="25"/>
          </w:tcPr>
          <w:p>
            <w:pPr>
              <w:spacing w:after="0" w:line="156" w:lineRule="exact"/>
              <w:rPr>
                <w:rFonts w:ascii="Arial" w:cs="Arial" w:eastAsia="Arial" w:hAnsi="Arial"/>
                <w:sz w:val="18"/>
                <w:szCs w:val="18"/>
                <w:color w:val="auto"/>
                <w:w w:val="96"/>
              </w:rPr>
            </w:pPr>
            <w:hyperlink r:id="rId154">
              <w:r>
                <w:rPr>
                  <w:rFonts w:ascii="Arial" w:cs="Arial" w:eastAsia="Arial" w:hAnsi="Arial"/>
                  <w:sz w:val="18"/>
                  <w:szCs w:val="18"/>
                  <w:color w:val="auto"/>
                  <w:w w:val="96"/>
                </w:rPr>
                <w:t>through February 4, 2021 and currently in</w:t>
              </w:r>
            </w:hyperlink>
          </w:p>
        </w:tc>
        <w:tc>
          <w:tcPr>
            <w:tcW w:w="180" w:type="dxa"/>
            <w:vAlign w:val="bottom"/>
            <w:gridSpan w:val="2"/>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auto"/>
            </w:tcBorders>
            <w:gridSpan w:val="19"/>
          </w:tcPr>
          <w:p>
            <w:pPr>
              <w:spacing w:after="0" w:line="156" w:lineRule="exact"/>
              <w:rPr>
                <w:rFonts w:ascii="Arial" w:cs="Arial" w:eastAsia="Arial" w:hAnsi="Arial"/>
                <w:sz w:val="18"/>
                <w:szCs w:val="18"/>
                <w:color w:val="auto"/>
              </w:rPr>
            </w:pPr>
            <w:hyperlink r:id="rId154">
              <w:r>
                <w:rPr>
                  <w:rFonts w:ascii="Arial" w:cs="Arial" w:eastAsia="Arial" w:hAnsi="Arial"/>
                  <w:sz w:val="18"/>
                  <w:szCs w:val="18"/>
                  <w:color w:val="auto"/>
                </w:rPr>
                <w:t>effect).</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27"/>
            <w:shd w:val="clear" w:color="auto" w:fill="CCEEFF"/>
          </w:tcPr>
          <w:p>
            <w:pPr>
              <w:spacing w:after="0" w:line="189" w:lineRule="exact"/>
              <w:rPr>
                <w:rFonts w:ascii="Arial" w:cs="Arial" w:eastAsia="Arial" w:hAnsi="Arial"/>
                <w:sz w:val="18"/>
                <w:szCs w:val="18"/>
                <w:color w:val="auto"/>
              </w:rPr>
            </w:pPr>
            <w:hyperlink r:id="rId155">
              <w:r>
                <w:rPr>
                  <w:rFonts w:ascii="Arial" w:cs="Arial" w:eastAsia="Arial" w:hAnsi="Arial"/>
                  <w:sz w:val="18"/>
                  <w:szCs w:val="18"/>
                  <w:color w:val="auto"/>
                </w:rPr>
                <w:t>Description of Capital Stock</w:t>
              </w:r>
            </w:hyperlink>
            <w:r>
              <w:rPr>
                <w:rFonts w:ascii="Arial" w:cs="Arial" w:eastAsia="Arial" w:hAnsi="Arial"/>
                <w:sz w:val="18"/>
                <w:szCs w:val="18"/>
                <w:color w:val="auto"/>
              </w:rPr>
              <w:t>.</w:t>
            </w:r>
          </w:p>
        </w:tc>
        <w:tc>
          <w:tcPr>
            <w:tcW w:w="13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89"/>
              </w:rPr>
              <w:t>24-Feb-20</w:t>
            </w: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7"/>
          </w:tcPr>
          <w:p>
            <w:pPr>
              <w:spacing w:after="0" w:line="189" w:lineRule="exact"/>
              <w:rPr>
                <w:rFonts w:ascii="Arial" w:cs="Arial" w:eastAsia="Arial" w:hAnsi="Arial"/>
                <w:sz w:val="18"/>
                <w:szCs w:val="18"/>
                <w:color w:val="auto"/>
              </w:rPr>
            </w:pPr>
            <w:hyperlink r:id="rId156">
              <w:r>
                <w:rPr>
                  <w:rFonts w:ascii="Arial" w:cs="Arial" w:eastAsia="Arial" w:hAnsi="Arial"/>
                  <w:sz w:val="18"/>
                  <w:szCs w:val="18"/>
                  <w:color w:val="auto"/>
                </w:rPr>
                <w:t>Form of Common Stock Certificate.</w:t>
              </w:r>
            </w:hyperlink>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4"/>
              </w:rPr>
              <w:t>1-Nov-13</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80" w:type="dxa"/>
            <w:vAlign w:val="bottom"/>
            <w:tcBorders>
              <w:bottom w:val="single" w:sz="8" w:color="auto"/>
            </w:tcBorders>
            <w:gridSpan w:val="16"/>
            <w:shd w:val="clear" w:color="auto" w:fill="CCEEFF"/>
          </w:tcPr>
          <w:p>
            <w:pPr>
              <w:spacing w:after="0" w:line="189" w:lineRule="exact"/>
              <w:rPr>
                <w:rFonts w:ascii="Arial" w:cs="Arial" w:eastAsia="Arial" w:hAnsi="Arial"/>
                <w:sz w:val="18"/>
                <w:szCs w:val="18"/>
                <w:color w:val="auto"/>
                <w:w w:val="90"/>
              </w:rPr>
            </w:pPr>
            <w:hyperlink r:id="rId157">
              <w:r>
                <w:rPr>
                  <w:rFonts w:ascii="Arial" w:cs="Arial" w:eastAsia="Arial" w:hAnsi="Arial"/>
                  <w:sz w:val="18"/>
                  <w:szCs w:val="18"/>
                  <w:color w:val="auto"/>
                  <w:w w:val="90"/>
                </w:rPr>
                <w:t>Third Amended and Restated Investors’</w:t>
              </w:r>
            </w:hyperlink>
          </w:p>
        </w:tc>
        <w:tc>
          <w:tcPr>
            <w:tcW w:w="500" w:type="dxa"/>
            <w:vAlign w:val="bottom"/>
            <w:tcBorders>
              <w:bottom w:val="single" w:sz="8" w:color="CCEEFF"/>
            </w:tcBorders>
            <w:gridSpan w:val="11"/>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80" w:type="dxa"/>
            <w:vAlign w:val="bottom"/>
            <w:tcBorders>
              <w:bottom w:val="single" w:sz="8" w:color="auto"/>
            </w:tcBorders>
            <w:gridSpan w:val="20"/>
            <w:shd w:val="clear" w:color="auto" w:fill="CCEEFF"/>
          </w:tcPr>
          <w:p>
            <w:pPr>
              <w:spacing w:after="0" w:line="156" w:lineRule="exact"/>
              <w:rPr>
                <w:rFonts w:ascii="Arial" w:cs="Arial" w:eastAsia="Arial" w:hAnsi="Arial"/>
                <w:sz w:val="18"/>
                <w:szCs w:val="18"/>
                <w:color w:val="auto"/>
                <w:w w:val="89"/>
              </w:rPr>
            </w:pPr>
            <w:hyperlink r:id="rId157">
              <w:r>
                <w:rPr>
                  <w:rFonts w:ascii="Arial" w:cs="Arial" w:eastAsia="Arial" w:hAnsi="Arial"/>
                  <w:sz w:val="18"/>
                  <w:szCs w:val="18"/>
                  <w:color w:val="auto"/>
                  <w:w w:val="89"/>
                </w:rPr>
                <w:t>Rights Agreement, dated August 30, 2012.</w:t>
              </w:r>
            </w:hyperlink>
          </w:p>
        </w:tc>
        <w:tc>
          <w:tcPr>
            <w:tcW w:w="300" w:type="dxa"/>
            <w:vAlign w:val="bottom"/>
            <w:tcBorders>
              <w:bottom w:val="single" w:sz="8" w:color="CCEEFF"/>
            </w:tcBorders>
            <w:gridSpan w:val="7"/>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7"/>
          </w:tcPr>
          <w:p>
            <w:pPr>
              <w:spacing w:after="0" w:line="189" w:lineRule="exact"/>
              <w:rPr>
                <w:rFonts w:ascii="Arial" w:cs="Arial" w:eastAsia="Arial" w:hAnsi="Arial"/>
                <w:sz w:val="18"/>
                <w:szCs w:val="18"/>
                <w:color w:val="auto"/>
              </w:rPr>
            </w:pPr>
            <w:hyperlink r:id="rId158">
              <w:r>
                <w:rPr>
                  <w:rFonts w:ascii="Arial" w:cs="Arial" w:eastAsia="Arial" w:hAnsi="Arial"/>
                  <w:sz w:val="18"/>
                  <w:szCs w:val="18"/>
                  <w:color w:val="auto"/>
                </w:rPr>
                <w:t>Form of Warrant to Purchase Stock</w:t>
              </w:r>
            </w:hyperlink>
            <w:r>
              <w:rPr>
                <w:rFonts w:ascii="Arial" w:cs="Arial" w:eastAsia="Arial" w:hAnsi="Arial"/>
                <w:sz w:val="18"/>
                <w:szCs w:val="18"/>
                <w:color w:val="auto"/>
              </w:rPr>
              <w:t>.</w:t>
            </w:r>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89"/>
              </w:rPr>
              <w:t>333-216531</w:t>
            </w:r>
          </w:p>
        </w:tc>
        <w:tc>
          <w:tcPr>
            <w:tcW w:w="120" w:type="dxa"/>
            <w:vAlign w:val="bottom"/>
          </w:tcPr>
          <w:p>
            <w:pPr>
              <w:spacing w:after="0"/>
              <w:rPr>
                <w:sz w:val="16"/>
                <w:szCs w:val="16"/>
                <w:color w:val="auto"/>
              </w:rPr>
            </w:pPr>
          </w:p>
        </w:tc>
        <w:tc>
          <w:tcPr>
            <w:tcW w:w="1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3"/>
              </w:rPr>
              <w:t>8-Mar-17</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Borders>
              <w:bottom w:val="single" w:sz="8" w:color="CCEEFF"/>
            </w:tcBorders>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auto"/>
            </w:tcBorders>
            <w:gridSpan w:val="8"/>
            <w:shd w:val="clear" w:color="auto" w:fill="CCEEFF"/>
          </w:tcPr>
          <w:p>
            <w:pPr>
              <w:spacing w:after="0" w:line="189" w:lineRule="exact"/>
              <w:rPr>
                <w:rFonts w:ascii="Arial" w:cs="Arial" w:eastAsia="Arial" w:hAnsi="Arial"/>
                <w:sz w:val="18"/>
                <w:szCs w:val="18"/>
                <w:color w:val="auto"/>
                <w:w w:val="90"/>
              </w:rPr>
            </w:pPr>
            <w:hyperlink r:id="rId159">
              <w:r>
                <w:rPr>
                  <w:rFonts w:ascii="Arial" w:cs="Arial" w:eastAsia="Arial" w:hAnsi="Arial"/>
                  <w:sz w:val="18"/>
                  <w:szCs w:val="18"/>
                  <w:color w:val="auto"/>
                  <w:w w:val="90"/>
                </w:rPr>
                <w:t>Form of Preferred Stock Warrant.</w:t>
              </w:r>
            </w:hyperlink>
          </w:p>
        </w:tc>
        <w:tc>
          <w:tcPr>
            <w:tcW w:w="960" w:type="dxa"/>
            <w:vAlign w:val="bottom"/>
            <w:tcBorders>
              <w:bottom w:val="single" w:sz="8" w:color="CCEEFF"/>
            </w:tcBorders>
            <w:gridSpan w:val="19"/>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4.4</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7"/>
          </w:tcPr>
          <w:p>
            <w:pPr>
              <w:spacing w:after="0" w:line="189" w:lineRule="exact"/>
              <w:rPr>
                <w:rFonts w:ascii="Arial" w:cs="Arial" w:eastAsia="Arial" w:hAnsi="Arial"/>
                <w:sz w:val="18"/>
                <w:szCs w:val="18"/>
                <w:color w:val="auto"/>
              </w:rPr>
            </w:pPr>
            <w:hyperlink r:id="rId160">
              <w:r>
                <w:rPr>
                  <w:rFonts w:ascii="Arial" w:cs="Arial" w:eastAsia="Arial" w:hAnsi="Arial"/>
                  <w:sz w:val="18"/>
                  <w:szCs w:val="18"/>
                  <w:color w:val="auto"/>
                </w:rPr>
                <w:t>Form of Series A Warrant to Purchase</w:t>
              </w:r>
            </w:hyperlink>
          </w:p>
        </w:tc>
        <w:tc>
          <w:tcPr>
            <w:tcW w:w="13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2"/>
              </w:rPr>
              <w:t>13-Oct-17</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auto"/>
            </w:tcBorders>
            <w:gridSpan w:val="13"/>
          </w:tcPr>
          <w:p>
            <w:pPr>
              <w:spacing w:after="0" w:line="156" w:lineRule="exact"/>
              <w:rPr>
                <w:rFonts w:ascii="Arial" w:cs="Arial" w:eastAsia="Arial" w:hAnsi="Arial"/>
                <w:sz w:val="18"/>
                <w:szCs w:val="18"/>
                <w:color w:val="auto"/>
              </w:rPr>
            </w:pPr>
            <w:hyperlink r:id="rId160">
              <w:r>
                <w:rPr>
                  <w:rFonts w:ascii="Arial" w:cs="Arial" w:eastAsia="Arial" w:hAnsi="Arial"/>
                  <w:sz w:val="18"/>
                  <w:szCs w:val="18"/>
                  <w:color w:val="auto"/>
                </w:rPr>
                <w:t>Common Stock.</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27"/>
            <w:shd w:val="clear" w:color="auto" w:fill="CCEEFF"/>
          </w:tcPr>
          <w:p>
            <w:pPr>
              <w:spacing w:after="0" w:line="189" w:lineRule="exact"/>
              <w:rPr>
                <w:rFonts w:ascii="Arial" w:cs="Arial" w:eastAsia="Arial" w:hAnsi="Arial"/>
                <w:sz w:val="18"/>
                <w:szCs w:val="18"/>
                <w:color w:val="auto"/>
              </w:rPr>
            </w:pPr>
            <w:hyperlink r:id="rId161">
              <w:r>
                <w:rPr>
                  <w:rFonts w:ascii="Arial" w:cs="Arial" w:eastAsia="Arial" w:hAnsi="Arial"/>
                  <w:sz w:val="18"/>
                  <w:szCs w:val="18"/>
                  <w:color w:val="auto"/>
                </w:rPr>
                <w:t>Indenture dated May 15, 2020 by and</w:t>
              </w:r>
            </w:hyperlink>
          </w:p>
        </w:tc>
        <w:tc>
          <w:tcPr>
            <w:tcW w:w="130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5"/>
              </w:rPr>
              <w:t>15-May-20</w:t>
            </w: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700" w:type="dxa"/>
            <w:vAlign w:val="bottom"/>
            <w:tcBorders>
              <w:top w:val="single" w:sz="8" w:color="auto"/>
            </w:tcBorders>
            <w:gridSpan w:val="12"/>
            <w:shd w:val="clear" w:color="auto" w:fill="CCEEFF"/>
          </w:tcPr>
          <w:p>
            <w:pPr>
              <w:spacing w:after="0" w:line="156" w:lineRule="exact"/>
              <w:rPr>
                <w:rFonts w:ascii="Arial" w:cs="Arial" w:eastAsia="Arial" w:hAnsi="Arial"/>
                <w:sz w:val="18"/>
                <w:szCs w:val="18"/>
                <w:color w:val="auto"/>
                <w:w w:val="89"/>
              </w:rPr>
            </w:pPr>
            <w:hyperlink r:id="rId161">
              <w:r>
                <w:rPr>
                  <w:rFonts w:ascii="Arial" w:cs="Arial" w:eastAsia="Arial" w:hAnsi="Arial"/>
                  <w:sz w:val="18"/>
                  <w:szCs w:val="18"/>
                  <w:color w:val="auto"/>
                  <w:w w:val="89"/>
                </w:rPr>
                <w:t>between Tandem Diabetes Care, Inc.</w:t>
              </w:r>
            </w:hyperlink>
          </w:p>
        </w:tc>
        <w:tc>
          <w:tcPr>
            <w:tcW w:w="680" w:type="dxa"/>
            <w:vAlign w:val="bottom"/>
            <w:tcBorders>
              <w:top w:val="single" w:sz="8" w:color="CCEEFF"/>
            </w:tcBorders>
            <w:gridSpan w:val="15"/>
            <w:shd w:val="clear" w:color="auto" w:fill="CCEEFF"/>
          </w:tcPr>
          <w:p>
            <w:pPr>
              <w:spacing w:after="0" w:line="156" w:lineRule="exact"/>
              <w:rPr>
                <w:rFonts w:ascii="Arial" w:cs="Arial" w:eastAsia="Arial" w:hAnsi="Arial"/>
                <w:sz w:val="18"/>
                <w:szCs w:val="18"/>
                <w:color w:val="auto"/>
              </w:rPr>
            </w:pPr>
            <w:hyperlink r:id="rId161">
              <w:r>
                <w:rPr>
                  <w:rFonts w:ascii="Arial" w:cs="Arial" w:eastAsia="Arial" w:hAnsi="Arial"/>
                  <w:sz w:val="18"/>
                  <w:szCs w:val="18"/>
                  <w:color w:val="auto"/>
                </w:rPr>
                <w:t>and</w:t>
              </w:r>
            </w:hyperlink>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auto"/>
            </w:tcBorders>
            <w:gridSpan w:val="18"/>
            <w:shd w:val="clear" w:color="auto" w:fill="CCEEFF"/>
          </w:tcPr>
          <w:p>
            <w:pPr>
              <w:spacing w:after="0" w:line="156" w:lineRule="exact"/>
              <w:rPr>
                <w:rFonts w:ascii="Arial" w:cs="Arial" w:eastAsia="Arial" w:hAnsi="Arial"/>
                <w:sz w:val="18"/>
                <w:szCs w:val="18"/>
                <w:color w:val="auto"/>
              </w:rPr>
            </w:pPr>
            <w:hyperlink r:id="rId161">
              <w:r>
                <w:rPr>
                  <w:rFonts w:ascii="Arial" w:cs="Arial" w:eastAsia="Arial" w:hAnsi="Arial"/>
                  <w:sz w:val="18"/>
                  <w:szCs w:val="18"/>
                  <w:color w:val="auto"/>
                </w:rPr>
                <w:t>U.S. Bank National Association.</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7"/>
          </w:tcPr>
          <w:p>
            <w:pPr>
              <w:spacing w:after="0" w:line="189" w:lineRule="exact"/>
              <w:rPr>
                <w:rFonts w:ascii="Arial" w:cs="Arial" w:eastAsia="Arial" w:hAnsi="Arial"/>
                <w:sz w:val="18"/>
                <w:szCs w:val="18"/>
                <w:color w:val="auto"/>
                <w:w w:val="97"/>
              </w:rPr>
            </w:pPr>
            <w:hyperlink r:id="rId161">
              <w:r>
                <w:rPr>
                  <w:rFonts w:ascii="Arial" w:cs="Arial" w:eastAsia="Arial" w:hAnsi="Arial"/>
                  <w:sz w:val="18"/>
                  <w:szCs w:val="18"/>
                  <w:color w:val="auto"/>
                  <w:w w:val="97"/>
                </w:rPr>
                <w:t>Form of Global Note, representing Tandem</w:t>
              </w:r>
            </w:hyperlink>
          </w:p>
        </w:tc>
        <w:tc>
          <w:tcPr>
            <w:tcW w:w="13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15-May-20</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auto"/>
              <w:bottom w:val="single" w:sz="8" w:color="auto"/>
            </w:tcBorders>
            <w:gridSpan w:val="17"/>
          </w:tcPr>
          <w:p>
            <w:pPr>
              <w:spacing w:after="0" w:line="156" w:lineRule="exact"/>
              <w:rPr>
                <w:rFonts w:ascii="Arial" w:cs="Arial" w:eastAsia="Arial" w:hAnsi="Arial"/>
                <w:sz w:val="18"/>
                <w:szCs w:val="18"/>
                <w:color w:val="auto"/>
                <w:w w:val="90"/>
              </w:rPr>
            </w:pPr>
            <w:hyperlink r:id="rId161">
              <w:r>
                <w:rPr>
                  <w:rFonts w:ascii="Arial" w:cs="Arial" w:eastAsia="Arial" w:hAnsi="Arial"/>
                  <w:sz w:val="18"/>
                  <w:szCs w:val="18"/>
                  <w:color w:val="auto"/>
                  <w:w w:val="90"/>
                </w:rPr>
                <w:t>Diabetes Care, Inc.’s 1.50% Convertible</w:t>
              </w:r>
            </w:hyperlink>
          </w:p>
        </w:tc>
        <w:tc>
          <w:tcPr>
            <w:tcW w:w="220" w:type="dxa"/>
            <w:vAlign w:val="bottom"/>
            <w:tcBorders>
              <w:top w:val="single" w:sz="8" w:color="auto"/>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27"/>
          </w:tcPr>
          <w:p>
            <w:pPr>
              <w:spacing w:after="0" w:line="156" w:lineRule="exact"/>
              <w:rPr>
                <w:rFonts w:ascii="Arial" w:cs="Arial" w:eastAsia="Arial" w:hAnsi="Arial"/>
                <w:sz w:val="18"/>
                <w:szCs w:val="18"/>
                <w:color w:val="auto"/>
                <w:w w:val="97"/>
              </w:rPr>
            </w:pPr>
            <w:hyperlink r:id="rId161">
              <w:r>
                <w:rPr>
                  <w:rFonts w:ascii="Arial" w:cs="Arial" w:eastAsia="Arial" w:hAnsi="Arial"/>
                  <w:sz w:val="18"/>
                  <w:szCs w:val="18"/>
                  <w:color w:val="auto"/>
                  <w:w w:val="97"/>
                </w:rPr>
                <w:t>Senior Notes due 2025 (included as Exhibit</w:t>
              </w:r>
            </w:hyperlink>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auto"/>
            </w:tcBorders>
            <w:gridSpan w:val="23"/>
          </w:tcPr>
          <w:p>
            <w:pPr>
              <w:spacing w:after="0" w:line="156" w:lineRule="exact"/>
              <w:rPr>
                <w:rFonts w:ascii="Arial" w:cs="Arial" w:eastAsia="Arial" w:hAnsi="Arial"/>
                <w:sz w:val="18"/>
                <w:szCs w:val="18"/>
                <w:color w:val="auto"/>
              </w:rPr>
            </w:pPr>
            <w:hyperlink r:id="rId161">
              <w:r>
                <w:rPr>
                  <w:rFonts w:ascii="Arial" w:cs="Arial" w:eastAsia="Arial" w:hAnsi="Arial"/>
                  <w:sz w:val="18"/>
                  <w:szCs w:val="18"/>
                  <w:color w:val="auto"/>
                </w:rPr>
                <w:t>A to the Indenture filed as Exhibit 4.1).</w:t>
              </w:r>
            </w:hyperlink>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27"/>
            <w:shd w:val="clear" w:color="auto" w:fill="CCEEFF"/>
          </w:tcPr>
          <w:p>
            <w:pPr>
              <w:spacing w:after="0" w:line="189" w:lineRule="exact"/>
              <w:rPr>
                <w:rFonts w:ascii="Arial" w:cs="Arial" w:eastAsia="Arial" w:hAnsi="Arial"/>
                <w:sz w:val="18"/>
                <w:szCs w:val="18"/>
                <w:color w:val="auto"/>
              </w:rPr>
            </w:pPr>
            <w:hyperlink r:id="rId162">
              <w:r>
                <w:rPr>
                  <w:rFonts w:ascii="Arial" w:cs="Arial" w:eastAsia="Arial" w:hAnsi="Arial"/>
                  <w:sz w:val="18"/>
                  <w:szCs w:val="18"/>
                  <w:color w:val="auto"/>
                </w:rPr>
                <w:t>Tandem Diabetes Care, Inc. 2006 Stock</w:t>
              </w:r>
            </w:hyperlink>
          </w:p>
        </w:tc>
        <w:tc>
          <w:tcPr>
            <w:tcW w:w="13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gridSpan w:val="2"/>
            <w:shd w:val="clear" w:color="auto" w:fill="CCEEFF"/>
          </w:tcPr>
          <w:p>
            <w:pPr>
              <w:spacing w:after="0" w:line="156" w:lineRule="exact"/>
              <w:rPr>
                <w:rFonts w:ascii="Arial" w:cs="Arial" w:eastAsia="Arial" w:hAnsi="Arial"/>
                <w:sz w:val="18"/>
                <w:szCs w:val="18"/>
                <w:color w:val="auto"/>
                <w:w w:val="89"/>
              </w:rPr>
            </w:pPr>
            <w:hyperlink r:id="rId162">
              <w:r>
                <w:rPr>
                  <w:rFonts w:ascii="Arial" w:cs="Arial" w:eastAsia="Arial" w:hAnsi="Arial"/>
                  <w:sz w:val="18"/>
                  <w:szCs w:val="18"/>
                  <w:color w:val="auto"/>
                  <w:w w:val="89"/>
                </w:rPr>
                <w:t>Incentive Plan.</w:t>
              </w:r>
            </w:hyperlink>
          </w:p>
        </w:tc>
        <w:tc>
          <w:tcPr>
            <w:tcW w:w="1780" w:type="dxa"/>
            <w:vAlign w:val="bottom"/>
            <w:tcBorders>
              <w:top w:val="single" w:sz="8" w:color="auto"/>
              <w:bottom w:val="single" w:sz="8" w:color="CCEEFF"/>
            </w:tcBorders>
            <w:gridSpan w:val="13"/>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7"/>
          </w:tcPr>
          <w:p>
            <w:pPr>
              <w:spacing w:after="0" w:line="189" w:lineRule="exact"/>
              <w:rPr>
                <w:rFonts w:ascii="Arial" w:cs="Arial" w:eastAsia="Arial" w:hAnsi="Arial"/>
                <w:sz w:val="18"/>
                <w:szCs w:val="18"/>
                <w:color w:val="auto"/>
                <w:w w:val="97"/>
              </w:rPr>
            </w:pPr>
            <w:hyperlink r:id="rId163">
              <w:r>
                <w:rPr>
                  <w:rFonts w:ascii="Arial" w:cs="Arial" w:eastAsia="Arial" w:hAnsi="Arial"/>
                  <w:sz w:val="18"/>
                  <w:szCs w:val="18"/>
                  <w:color w:val="auto"/>
                  <w:w w:val="97"/>
                </w:rPr>
                <w:t>Form of Stock Option Agreement under the</w:t>
              </w:r>
            </w:hyperlink>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auto"/>
            </w:tcBorders>
            <w:gridSpan w:val="24"/>
          </w:tcPr>
          <w:p>
            <w:pPr>
              <w:spacing w:after="0" w:line="156" w:lineRule="exact"/>
              <w:rPr>
                <w:rFonts w:ascii="Arial" w:cs="Arial" w:eastAsia="Arial" w:hAnsi="Arial"/>
                <w:sz w:val="18"/>
                <w:szCs w:val="18"/>
                <w:color w:val="auto"/>
              </w:rPr>
            </w:pPr>
            <w:hyperlink r:id="rId163">
              <w:r>
                <w:rPr>
                  <w:rFonts w:ascii="Arial" w:cs="Arial" w:eastAsia="Arial" w:hAnsi="Arial"/>
                  <w:sz w:val="18"/>
                  <w:szCs w:val="18"/>
                  <w:color w:val="auto"/>
                </w:rPr>
                <w:t>2006 Stock Incentive Plan.</w:t>
              </w:r>
            </w:hyperlink>
          </w:p>
        </w:tc>
        <w:tc>
          <w:tcPr>
            <w:tcW w:w="2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10.3*</w:t>
            </w:r>
          </w:p>
        </w:tc>
        <w:tc>
          <w:tcPr>
            <w:tcW w:w="3440" w:type="dxa"/>
            <w:vAlign w:val="bottom"/>
            <w:gridSpan w:val="30"/>
            <w:shd w:val="clear" w:color="auto" w:fill="CCEEFF"/>
          </w:tcPr>
          <w:p>
            <w:pPr>
              <w:spacing w:after="0"/>
              <w:rPr>
                <w:rFonts w:ascii="Arial" w:cs="Arial" w:eastAsia="Arial" w:hAnsi="Arial"/>
                <w:sz w:val="18"/>
                <w:szCs w:val="18"/>
                <w:color w:val="auto"/>
              </w:rPr>
            </w:pPr>
            <w:hyperlink r:id="rId166">
              <w:r>
                <w:rPr>
                  <w:rFonts w:ascii="Arial" w:cs="Arial" w:eastAsia="Arial" w:hAnsi="Arial"/>
                  <w:sz w:val="18"/>
                  <w:szCs w:val="18"/>
                  <w:color w:val="auto"/>
                </w:rPr>
                <w:t>Form of Restricted Stock Purchase</w:t>
              </w:r>
            </w:hyperlink>
          </w:p>
        </w:tc>
        <w:tc>
          <w:tcPr>
            <w:tcW w:w="11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S-1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333-191601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7-Oct-13</w:t>
            </w:r>
          </w:p>
        </w:tc>
        <w:tc>
          <w:tcPr>
            <w:tcW w:w="2560" w:type="dxa"/>
            <w:vAlign w:val="bottom"/>
            <w:shd w:val="clear" w:color="auto" w:fill="CCEEFF"/>
          </w:tcPr>
          <w:p>
            <w:pPr>
              <w:jc w:val="center"/>
              <w:ind w:right="1150"/>
              <w:spacing w:after="0"/>
              <w:rPr>
                <w:sz w:val="20"/>
                <w:szCs w:val="20"/>
                <w:color w:val="auto"/>
              </w:rPr>
            </w:pPr>
            <w:r>
              <w:rPr>
                <w:rFonts w:ascii="Arial" w:cs="Arial" w:eastAsia="Arial" w:hAnsi="Arial"/>
                <w:sz w:val="18"/>
                <w:szCs w:val="18"/>
                <w:color w:val="auto"/>
                <w:w w:val="91"/>
              </w:rPr>
              <w:t>10.5</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auto"/>
            </w:tcBorders>
            <w:gridSpan w:val="10"/>
            <w:shd w:val="clear" w:color="auto" w:fill="CCEEFF"/>
          </w:tcPr>
          <w:p>
            <w:pPr>
              <w:spacing w:after="0" w:line="156" w:lineRule="exact"/>
              <w:rPr>
                <w:rFonts w:ascii="Arial" w:cs="Arial" w:eastAsia="Arial" w:hAnsi="Arial"/>
                <w:sz w:val="18"/>
                <w:szCs w:val="18"/>
                <w:color w:val="auto"/>
                <w:w w:val="93"/>
              </w:rPr>
            </w:pPr>
            <w:hyperlink r:id="rId166">
              <w:r>
                <w:rPr>
                  <w:rFonts w:ascii="Arial" w:cs="Arial" w:eastAsia="Arial" w:hAnsi="Arial"/>
                  <w:sz w:val="18"/>
                  <w:szCs w:val="18"/>
                  <w:color w:val="auto"/>
                  <w:w w:val="93"/>
                </w:rPr>
                <w:t>Agreement under the 2006 Stock</w:t>
              </w:r>
            </w:hyperlink>
          </w:p>
        </w:tc>
        <w:tc>
          <w:tcPr>
            <w:tcW w:w="940" w:type="dxa"/>
            <w:vAlign w:val="bottom"/>
            <w:tcBorders>
              <w:top w:val="single" w:sz="8" w:color="CCEEFF"/>
            </w:tcBorders>
            <w:gridSpan w:val="20"/>
            <w:shd w:val="clear" w:color="auto" w:fill="CCEEFF"/>
          </w:tcPr>
          <w:p>
            <w:pPr>
              <w:spacing w:after="0" w:line="156" w:lineRule="exact"/>
              <w:rPr>
                <w:rFonts w:ascii="Arial" w:cs="Arial" w:eastAsia="Arial" w:hAnsi="Arial"/>
                <w:sz w:val="18"/>
                <w:szCs w:val="18"/>
                <w:color w:val="auto"/>
              </w:rPr>
            </w:pPr>
            <w:hyperlink r:id="rId166">
              <w:r>
                <w:rPr>
                  <w:rFonts w:ascii="Arial" w:cs="Arial" w:eastAsia="Arial" w:hAnsi="Arial"/>
                  <w:sz w:val="18"/>
                  <w:szCs w:val="18"/>
                  <w:color w:val="auto"/>
                </w:rPr>
                <w:t>Incentive</w:t>
              </w:r>
            </w:hyperlink>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auto"/>
            </w:tcBorders>
            <w:gridSpan w:val="24"/>
            <w:shd w:val="clear" w:color="auto" w:fill="CCEEFF"/>
          </w:tcPr>
          <w:p>
            <w:pPr>
              <w:spacing w:after="0" w:line="156" w:lineRule="exact"/>
              <w:rPr>
                <w:rFonts w:ascii="Arial" w:cs="Arial" w:eastAsia="Arial" w:hAnsi="Arial"/>
                <w:sz w:val="18"/>
                <w:szCs w:val="18"/>
                <w:color w:val="auto"/>
              </w:rPr>
            </w:pPr>
            <w:hyperlink r:id="rId166">
              <w:r>
                <w:rPr>
                  <w:rFonts w:ascii="Arial" w:cs="Arial" w:eastAsia="Arial" w:hAnsi="Arial"/>
                  <w:sz w:val="18"/>
                  <w:szCs w:val="18"/>
                  <w:color w:val="auto"/>
                </w:rPr>
                <w:t>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10.4*</w:t>
            </w:r>
          </w:p>
        </w:tc>
        <w:tc>
          <w:tcPr>
            <w:tcW w:w="3440" w:type="dxa"/>
            <w:vAlign w:val="bottom"/>
            <w:gridSpan w:val="30"/>
          </w:tcPr>
          <w:p>
            <w:pPr>
              <w:spacing w:after="0" w:line="189" w:lineRule="exact"/>
              <w:rPr>
                <w:rFonts w:ascii="Arial" w:cs="Arial" w:eastAsia="Arial" w:hAnsi="Arial"/>
                <w:sz w:val="18"/>
                <w:szCs w:val="18"/>
                <w:color w:val="auto"/>
                <w:w w:val="99"/>
              </w:rPr>
            </w:pPr>
            <w:hyperlink r:id="rId167">
              <w:r>
                <w:rPr>
                  <w:rFonts w:ascii="Arial" w:cs="Arial" w:eastAsia="Arial" w:hAnsi="Arial"/>
                  <w:sz w:val="18"/>
                  <w:szCs w:val="18"/>
                  <w:color w:val="auto"/>
                  <w:w w:val="99"/>
                </w:rPr>
                <w:t>Tandem Diabetes Care, Inc. Amended and</w:t>
              </w:r>
            </w:hyperlink>
          </w:p>
        </w:tc>
        <w:tc>
          <w:tcPr>
            <w:tcW w:w="11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5"/>
              </w:rPr>
              <w:t>DEF 14A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4"/>
              </w:rPr>
              <w:t>26-Apr-18</w:t>
            </w:r>
          </w:p>
        </w:tc>
        <w:tc>
          <w:tcPr>
            <w:tcW w:w="2560" w:type="dxa"/>
            <w:vAlign w:val="bottom"/>
          </w:tcPr>
          <w:p>
            <w:pPr>
              <w:ind w:left="220"/>
              <w:spacing w:after="0" w:line="189" w:lineRule="exact"/>
              <w:rPr>
                <w:sz w:val="20"/>
                <w:szCs w:val="20"/>
                <w:color w:val="auto"/>
              </w:rPr>
            </w:pPr>
            <w:r>
              <w:rPr>
                <w:rFonts w:ascii="Arial" w:cs="Arial" w:eastAsia="Arial" w:hAnsi="Arial"/>
                <w:sz w:val="18"/>
                <w:szCs w:val="18"/>
                <w:color w:val="auto"/>
              </w:rPr>
              <w:t>Appendix B</w:t>
            </w:r>
          </w:p>
        </w:tc>
      </w:tr>
      <w:tr>
        <w:trPr>
          <w:trHeight w:val="156"/>
        </w:trPr>
        <w:tc>
          <w:tcPr>
            <w:tcW w:w="1380" w:type="dxa"/>
            <w:vAlign w:val="bottom"/>
          </w:tcPr>
          <w:p>
            <w:pPr>
              <w:spacing w:after="0"/>
              <w:rPr>
                <w:sz w:val="13"/>
                <w:szCs w:val="13"/>
                <w:color w:val="auto"/>
              </w:rPr>
            </w:pPr>
          </w:p>
        </w:tc>
        <w:tc>
          <w:tcPr>
            <w:tcW w:w="3080" w:type="dxa"/>
            <w:vAlign w:val="bottom"/>
            <w:tcBorders>
              <w:top w:val="single" w:sz="8" w:color="auto"/>
            </w:tcBorders>
            <w:gridSpan w:val="22"/>
          </w:tcPr>
          <w:p>
            <w:pPr>
              <w:spacing w:after="0" w:line="156" w:lineRule="exact"/>
              <w:rPr>
                <w:rFonts w:ascii="Arial" w:cs="Arial" w:eastAsia="Arial" w:hAnsi="Arial"/>
                <w:sz w:val="18"/>
                <w:szCs w:val="18"/>
                <w:color w:val="auto"/>
              </w:rPr>
            </w:pPr>
            <w:hyperlink r:id="rId167">
              <w:r>
                <w:rPr>
                  <w:rFonts w:ascii="Arial" w:cs="Arial" w:eastAsia="Arial" w:hAnsi="Arial"/>
                  <w:sz w:val="18"/>
                  <w:szCs w:val="18"/>
                  <w:color w:val="auto"/>
                </w:rPr>
                <w:t>Restated 2013 Stock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10.5*</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9"/>
              </w:rPr>
            </w:pPr>
            <w:hyperlink r:id="rId168">
              <w:r>
                <w:rPr>
                  <w:rFonts w:ascii="Arial" w:cs="Arial" w:eastAsia="Arial" w:hAnsi="Arial"/>
                  <w:sz w:val="18"/>
                  <w:szCs w:val="18"/>
                  <w:color w:val="auto"/>
                  <w:w w:val="99"/>
                </w:rPr>
                <w:t>Tandem Diabetes Care, Inc. Amended and</w:t>
              </w:r>
            </w:hyperlink>
          </w:p>
        </w:tc>
        <w:tc>
          <w:tcPr>
            <w:tcW w:w="116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4"/>
              </w:rPr>
              <w:t>10-Q</w:t>
            </w:r>
          </w:p>
        </w:tc>
        <w:tc>
          <w:tcPr>
            <w:tcW w:w="13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001-36189</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30-Jul-2020</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91"/>
              </w:rPr>
              <w:t>10.2</w:t>
            </w: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600" w:type="dxa"/>
            <w:vAlign w:val="bottom"/>
            <w:tcBorders>
              <w:top w:val="single" w:sz="8" w:color="auto"/>
              <w:bottom w:val="single" w:sz="8" w:color="auto"/>
            </w:tcBorders>
            <w:gridSpan w:val="12"/>
            <w:shd w:val="clear" w:color="auto" w:fill="CCEEFF"/>
          </w:tcPr>
          <w:p>
            <w:pPr>
              <w:spacing w:after="0" w:line="156" w:lineRule="exact"/>
              <w:rPr>
                <w:rFonts w:ascii="Arial" w:cs="Arial" w:eastAsia="Arial" w:hAnsi="Arial"/>
                <w:sz w:val="18"/>
                <w:szCs w:val="18"/>
                <w:color w:val="auto"/>
                <w:w w:val="88"/>
              </w:rPr>
            </w:pPr>
            <w:hyperlink r:id="rId168">
              <w:r>
                <w:rPr>
                  <w:rFonts w:ascii="Arial" w:cs="Arial" w:eastAsia="Arial" w:hAnsi="Arial"/>
                  <w:sz w:val="18"/>
                  <w:szCs w:val="18"/>
                  <w:color w:val="auto"/>
                  <w:w w:val="88"/>
                </w:rPr>
                <w:t>Restated 2013 Stock Incentive Plan.</w:t>
              </w:r>
            </w:hyperlink>
          </w:p>
        </w:tc>
        <w:tc>
          <w:tcPr>
            <w:tcW w:w="480" w:type="dxa"/>
            <w:vAlign w:val="bottom"/>
            <w:tcBorders>
              <w:top w:val="single" w:sz="8" w:color="auto"/>
              <w:bottom w:val="single" w:sz="8" w:color="CCEEFF"/>
            </w:tcBorders>
            <w:gridSpan w:val="1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10.6*</w:t>
            </w:r>
          </w:p>
        </w:tc>
        <w:tc>
          <w:tcPr>
            <w:tcW w:w="3020" w:type="dxa"/>
            <w:vAlign w:val="bottom"/>
            <w:tcBorders>
              <w:bottom w:val="single" w:sz="8" w:color="auto"/>
            </w:tcBorders>
            <w:gridSpan w:val="19"/>
          </w:tcPr>
          <w:p>
            <w:pPr>
              <w:spacing w:after="0" w:line="189" w:lineRule="exact"/>
              <w:rPr>
                <w:rFonts w:ascii="Arial" w:cs="Arial" w:eastAsia="Arial" w:hAnsi="Arial"/>
                <w:sz w:val="18"/>
                <w:szCs w:val="18"/>
                <w:color w:val="auto"/>
                <w:w w:val="91"/>
              </w:rPr>
            </w:pPr>
            <w:hyperlink r:id="rId169">
              <w:r>
                <w:rPr>
                  <w:rFonts w:ascii="Arial" w:cs="Arial" w:eastAsia="Arial" w:hAnsi="Arial"/>
                  <w:sz w:val="18"/>
                  <w:szCs w:val="18"/>
                  <w:color w:val="auto"/>
                  <w:w w:val="91"/>
                </w:rPr>
                <w:t>Form of Restricted Stock Unit Agreement</w:t>
              </w:r>
            </w:hyperlink>
          </w:p>
        </w:tc>
        <w:tc>
          <w:tcPr>
            <w:tcW w:w="420" w:type="dxa"/>
            <w:vAlign w:val="bottom"/>
            <w:gridSpan w:val="11"/>
          </w:tcPr>
          <w:p>
            <w:pPr>
              <w:spacing w:after="0"/>
              <w:rPr>
                <w:sz w:val="16"/>
                <w:szCs w:val="16"/>
                <w:color w:val="auto"/>
              </w:rPr>
            </w:pPr>
          </w:p>
        </w:tc>
        <w:tc>
          <w:tcPr>
            <w:tcW w:w="11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0"/>
              </w:rPr>
              <w:t>30-Jul-2020</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10.1</w:t>
            </w:r>
          </w:p>
        </w:tc>
      </w:tr>
      <w:tr>
        <w:trPr>
          <w:trHeight w:val="142"/>
        </w:trPr>
        <w:tc>
          <w:tcPr>
            <w:tcW w:w="1380" w:type="dxa"/>
            <w:vAlign w:val="bottom"/>
          </w:tcPr>
          <w:p>
            <w:pPr>
              <w:spacing w:after="0"/>
              <w:rPr>
                <w:sz w:val="12"/>
                <w:szCs w:val="12"/>
                <w:color w:val="auto"/>
              </w:rPr>
            </w:pPr>
          </w:p>
        </w:tc>
        <w:tc>
          <w:tcPr>
            <w:tcW w:w="3440" w:type="dxa"/>
            <w:vAlign w:val="bottom"/>
            <w:gridSpan w:val="30"/>
          </w:tcPr>
          <w:p>
            <w:pPr>
              <w:spacing w:after="0" w:line="142" w:lineRule="exact"/>
              <w:rPr>
                <w:sz w:val="20"/>
                <w:szCs w:val="20"/>
                <w:color w:val="auto"/>
              </w:rPr>
            </w:pPr>
            <w:r>
              <w:rPr>
                <w:rFonts w:ascii="Arial" w:cs="Arial" w:eastAsia="Arial" w:hAnsi="Arial"/>
                <w:sz w:val="16"/>
                <w:szCs w:val="16"/>
                <w:color w:val="auto"/>
              </w:rPr>
              <w:t>under the Amended and Restated 2013 Stock</w:t>
            </w:r>
          </w:p>
        </w:tc>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229"/>
        </w:trPr>
        <w:tc>
          <w:tcPr>
            <w:tcW w:w="1380" w:type="dxa"/>
            <w:vAlign w:val="bottom"/>
          </w:tcPr>
          <w:p>
            <w:pPr>
              <w:spacing w:after="0"/>
              <w:rPr>
                <w:sz w:val="19"/>
                <w:szCs w:val="19"/>
                <w:color w:val="auto"/>
              </w:rPr>
            </w:pPr>
          </w:p>
        </w:tc>
        <w:tc>
          <w:tcPr>
            <w:tcW w:w="3440" w:type="dxa"/>
            <w:vAlign w:val="bottom"/>
            <w:gridSpan w:val="30"/>
          </w:tcPr>
          <w:p>
            <w:pPr>
              <w:spacing w:after="0"/>
              <w:rPr>
                <w:sz w:val="20"/>
                <w:szCs w:val="20"/>
                <w:color w:val="auto"/>
              </w:rPr>
            </w:pPr>
            <w:r>
              <w:rPr>
                <w:rFonts w:ascii="Arial" w:cs="Arial" w:eastAsia="Arial" w:hAnsi="Arial"/>
                <w:sz w:val="18"/>
                <w:szCs w:val="18"/>
                <w:color w:val="auto"/>
              </w:rPr>
              <w:t>Incentive Plan.</w:t>
            </w: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10.7*</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9"/>
              </w:rPr>
            </w:pPr>
            <w:hyperlink r:id="rId170">
              <w:r>
                <w:rPr>
                  <w:rFonts w:ascii="Arial" w:cs="Arial" w:eastAsia="Arial" w:hAnsi="Arial"/>
                  <w:sz w:val="18"/>
                  <w:szCs w:val="18"/>
                  <w:color w:val="auto"/>
                  <w:w w:val="99"/>
                </w:rPr>
                <w:t>Form of Stock Option Agreement under the</w:t>
              </w:r>
            </w:hyperlink>
          </w:p>
        </w:tc>
        <w:tc>
          <w:tcPr>
            <w:tcW w:w="116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3"/>
              </w:rPr>
              <w:t>S-1/A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1-Nov-13</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91"/>
              </w:rPr>
              <w:t>10.7</w:t>
            </w: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3140" w:type="dxa"/>
            <w:vAlign w:val="bottom"/>
            <w:tcBorders>
              <w:top w:val="single" w:sz="8" w:color="auto"/>
              <w:bottom w:val="single" w:sz="8" w:color="auto"/>
            </w:tcBorders>
            <w:gridSpan w:val="25"/>
            <w:shd w:val="clear" w:color="auto" w:fill="CCEEFF"/>
          </w:tcPr>
          <w:p>
            <w:pPr>
              <w:spacing w:after="0" w:line="156" w:lineRule="exact"/>
              <w:rPr>
                <w:rFonts w:ascii="Arial" w:cs="Arial" w:eastAsia="Arial" w:hAnsi="Arial"/>
                <w:sz w:val="18"/>
                <w:szCs w:val="18"/>
                <w:color w:val="auto"/>
                <w:w w:val="86"/>
              </w:rPr>
            </w:pPr>
            <w:hyperlink r:id="rId170">
              <w:r>
                <w:rPr>
                  <w:rFonts w:ascii="Arial" w:cs="Arial" w:eastAsia="Arial" w:hAnsi="Arial"/>
                  <w:sz w:val="18"/>
                  <w:szCs w:val="18"/>
                  <w:color w:val="auto"/>
                  <w:w w:val="86"/>
                </w:rPr>
                <w:t>Amended and Restated 2013 Stock Incentive</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25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3240" w:type="dxa"/>
            <w:vAlign w:val="bottom"/>
            <w:gridSpan w:val="29"/>
            <w:shd w:val="clear" w:color="auto" w:fill="CCEEFF"/>
          </w:tcPr>
          <w:p>
            <w:pPr>
              <w:spacing w:after="0" w:line="156" w:lineRule="exact"/>
              <w:rPr>
                <w:rFonts w:ascii="Arial" w:cs="Arial" w:eastAsia="Arial" w:hAnsi="Arial"/>
                <w:sz w:val="18"/>
                <w:szCs w:val="18"/>
                <w:color w:val="auto"/>
              </w:rPr>
            </w:pPr>
            <w:hyperlink r:id="rId170">
              <w:r>
                <w:rPr>
                  <w:rFonts w:ascii="Arial" w:cs="Arial" w:eastAsia="Arial" w:hAnsi="Arial"/>
                  <w:sz w:val="18"/>
                  <w:szCs w:val="18"/>
                  <w:color w:val="auto"/>
                </w:rPr>
                <w:t>Plan.</w:t>
              </w:r>
            </w:hyperlink>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10.8*</w:t>
            </w:r>
          </w:p>
        </w:tc>
        <w:tc>
          <w:tcPr>
            <w:tcW w:w="3440" w:type="dxa"/>
            <w:vAlign w:val="bottom"/>
            <w:gridSpan w:val="30"/>
          </w:tcPr>
          <w:p>
            <w:pPr>
              <w:spacing w:after="0" w:line="189" w:lineRule="exact"/>
              <w:rPr>
                <w:rFonts w:ascii="Arial" w:cs="Arial" w:eastAsia="Arial" w:hAnsi="Arial"/>
                <w:sz w:val="18"/>
                <w:szCs w:val="18"/>
                <w:color w:val="auto"/>
                <w:w w:val="99"/>
              </w:rPr>
            </w:pPr>
            <w:hyperlink r:id="rId171">
              <w:r>
                <w:rPr>
                  <w:rFonts w:ascii="Arial" w:cs="Arial" w:eastAsia="Arial" w:hAnsi="Arial"/>
                  <w:sz w:val="18"/>
                  <w:szCs w:val="18"/>
                  <w:color w:val="auto"/>
                  <w:w w:val="99"/>
                </w:rPr>
                <w:t>Form of Stock Option Agreement under the</w:t>
              </w:r>
            </w:hyperlink>
          </w:p>
        </w:tc>
        <w:tc>
          <w:tcPr>
            <w:tcW w:w="11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4"/>
              </w:rPr>
              <w:t>1-Nov-13</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10.8</w:t>
            </w:r>
          </w:p>
        </w:tc>
      </w:tr>
      <w:tr>
        <w:trPr>
          <w:trHeight w:val="156"/>
        </w:trPr>
        <w:tc>
          <w:tcPr>
            <w:tcW w:w="1380" w:type="dxa"/>
            <w:vAlign w:val="bottom"/>
          </w:tcPr>
          <w:p>
            <w:pPr>
              <w:spacing w:after="0"/>
              <w:rPr>
                <w:sz w:val="13"/>
                <w:szCs w:val="13"/>
                <w:color w:val="auto"/>
              </w:rPr>
            </w:pPr>
          </w:p>
        </w:tc>
        <w:tc>
          <w:tcPr>
            <w:tcW w:w="3140" w:type="dxa"/>
            <w:vAlign w:val="bottom"/>
            <w:tcBorders>
              <w:top w:val="single" w:sz="8" w:color="auto"/>
            </w:tcBorders>
            <w:gridSpan w:val="25"/>
          </w:tcPr>
          <w:p>
            <w:pPr>
              <w:spacing w:after="0" w:line="156" w:lineRule="exact"/>
              <w:rPr>
                <w:rFonts w:ascii="Arial" w:cs="Arial" w:eastAsia="Arial" w:hAnsi="Arial"/>
                <w:sz w:val="18"/>
                <w:szCs w:val="18"/>
                <w:color w:val="auto"/>
                <w:w w:val="86"/>
              </w:rPr>
            </w:pPr>
            <w:hyperlink r:id="rId171">
              <w:r>
                <w:rPr>
                  <w:rFonts w:ascii="Arial" w:cs="Arial" w:eastAsia="Arial" w:hAnsi="Arial"/>
                  <w:sz w:val="18"/>
                  <w:szCs w:val="18"/>
                  <w:color w:val="auto"/>
                  <w:w w:val="86"/>
                </w:rPr>
                <w:t>Amended and Restated 2013 Stock Incentive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40" w:type="dxa"/>
            <w:vAlign w:val="bottom"/>
            <w:tcBorders>
              <w:top w:val="single" w:sz="8" w:color="auto"/>
            </w:tcBorders>
            <w:gridSpan w:val="29"/>
          </w:tcPr>
          <w:p>
            <w:pPr>
              <w:spacing w:after="0" w:line="156" w:lineRule="exact"/>
              <w:rPr>
                <w:rFonts w:ascii="Arial" w:cs="Arial" w:eastAsia="Arial" w:hAnsi="Arial"/>
                <w:sz w:val="18"/>
                <w:szCs w:val="18"/>
                <w:color w:val="auto"/>
              </w:rPr>
            </w:pPr>
            <w:hyperlink r:id="rId171">
              <w:r>
                <w:rPr>
                  <w:rFonts w:ascii="Arial" w:cs="Arial" w:eastAsia="Arial" w:hAnsi="Arial"/>
                  <w:sz w:val="18"/>
                  <w:szCs w:val="18"/>
                  <w:color w:val="auto"/>
                </w:rPr>
                <w:t>Plan (Non-Employee Directors).</w:t>
              </w:r>
            </w:hyperlink>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10.9*</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9"/>
              </w:rPr>
            </w:pPr>
            <w:hyperlink r:id="rId172">
              <w:r>
                <w:rPr>
                  <w:rFonts w:ascii="Arial" w:cs="Arial" w:eastAsia="Arial" w:hAnsi="Arial"/>
                  <w:sz w:val="18"/>
                  <w:szCs w:val="18"/>
                  <w:color w:val="auto"/>
                  <w:w w:val="99"/>
                </w:rPr>
                <w:t>Tandem Diabetes Care, Inc. Amended and</w:t>
              </w:r>
            </w:hyperlink>
          </w:p>
        </w:tc>
        <w:tc>
          <w:tcPr>
            <w:tcW w:w="116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5"/>
              </w:rPr>
              <w:t>DEF 14A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26-Apr-18</w:t>
            </w:r>
          </w:p>
        </w:tc>
        <w:tc>
          <w:tcPr>
            <w:tcW w:w="25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Appendix C</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auto"/>
            </w:tcBorders>
            <w:gridSpan w:val="22"/>
            <w:shd w:val="clear" w:color="auto" w:fill="CCEEFF"/>
          </w:tcPr>
          <w:p>
            <w:pPr>
              <w:spacing w:after="0" w:line="156" w:lineRule="exact"/>
              <w:rPr>
                <w:rFonts w:ascii="Arial" w:cs="Arial" w:eastAsia="Arial" w:hAnsi="Arial"/>
                <w:sz w:val="18"/>
                <w:szCs w:val="18"/>
                <w:color w:val="auto"/>
                <w:w w:val="91"/>
              </w:rPr>
            </w:pPr>
            <w:hyperlink r:id="rId172">
              <w:r>
                <w:rPr>
                  <w:rFonts w:ascii="Arial" w:cs="Arial" w:eastAsia="Arial" w:hAnsi="Arial"/>
                  <w:sz w:val="18"/>
                  <w:szCs w:val="18"/>
                  <w:color w:val="auto"/>
                  <w:w w:val="91"/>
                </w:rPr>
                <w:t>Restated 2013 Employee Stock Purchase</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auto"/>
            </w:tcBorders>
            <w:gridSpan w:val="16"/>
            <w:shd w:val="clear" w:color="auto" w:fill="CCEEFF"/>
          </w:tcPr>
          <w:p>
            <w:pPr>
              <w:spacing w:after="0" w:line="156" w:lineRule="exact"/>
              <w:rPr>
                <w:rFonts w:ascii="Arial" w:cs="Arial" w:eastAsia="Arial" w:hAnsi="Arial"/>
                <w:sz w:val="18"/>
                <w:szCs w:val="18"/>
                <w:color w:val="auto"/>
              </w:rPr>
            </w:pPr>
            <w:hyperlink r:id="rId172">
              <w:r>
                <w:rPr>
                  <w:rFonts w:ascii="Arial" w:cs="Arial" w:eastAsia="Arial" w:hAnsi="Arial"/>
                  <w:sz w:val="18"/>
                  <w:szCs w:val="18"/>
                  <w:color w:val="auto"/>
                </w:rPr>
                <w:t>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10.10*</w:t>
            </w:r>
          </w:p>
        </w:tc>
        <w:tc>
          <w:tcPr>
            <w:tcW w:w="3440" w:type="dxa"/>
            <w:vAlign w:val="bottom"/>
            <w:gridSpan w:val="30"/>
          </w:tcPr>
          <w:p>
            <w:pPr>
              <w:spacing w:after="0" w:line="189" w:lineRule="exact"/>
              <w:rPr>
                <w:rFonts w:ascii="Arial" w:cs="Arial" w:eastAsia="Arial" w:hAnsi="Arial"/>
                <w:sz w:val="18"/>
                <w:szCs w:val="18"/>
                <w:color w:val="auto"/>
              </w:rPr>
            </w:pPr>
            <w:hyperlink r:id="rId173">
              <w:r>
                <w:rPr>
                  <w:rFonts w:ascii="Arial" w:cs="Arial" w:eastAsia="Arial" w:hAnsi="Arial"/>
                  <w:sz w:val="18"/>
                  <w:szCs w:val="18"/>
                  <w:color w:val="auto"/>
                </w:rPr>
                <w:t>Tandem Diabetes Care, Inc. 2021 S</w:t>
              </w:r>
              <w:r>
                <w:rPr>
                  <w:rFonts w:ascii="Arial" w:cs="Arial" w:eastAsia="Arial" w:hAnsi="Arial"/>
                  <w:sz w:val="18"/>
                  <w:szCs w:val="18"/>
                  <w:color w:val="0000FF"/>
                </w:rPr>
                <w:t>r.</w:t>
              </w:r>
            </w:hyperlink>
          </w:p>
        </w:tc>
        <w:tc>
          <w:tcPr>
            <w:tcW w:w="11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3"/>
              </w:rPr>
              <w:t>5-May-2021</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10.2</w:t>
            </w:r>
          </w:p>
        </w:tc>
      </w:tr>
      <w:tr>
        <w:trPr>
          <w:trHeight w:val="135"/>
        </w:trPr>
        <w:tc>
          <w:tcPr>
            <w:tcW w:w="1380" w:type="dxa"/>
            <w:vAlign w:val="bottom"/>
          </w:tcPr>
          <w:p>
            <w:pPr>
              <w:spacing w:after="0"/>
              <w:rPr>
                <w:sz w:val="11"/>
                <w:szCs w:val="11"/>
                <w:color w:val="auto"/>
              </w:rPr>
            </w:pPr>
          </w:p>
        </w:tc>
        <w:tc>
          <w:tcPr>
            <w:tcW w:w="2540" w:type="dxa"/>
            <w:vAlign w:val="bottom"/>
            <w:tcBorders>
              <w:top w:val="single" w:sz="8" w:color="auto"/>
            </w:tcBorders>
            <w:gridSpan w:val="11"/>
          </w:tcPr>
          <w:p>
            <w:pPr>
              <w:spacing w:after="0" w:line="136" w:lineRule="exact"/>
              <w:rPr>
                <w:rFonts w:ascii="Arial" w:cs="Arial" w:eastAsia="Arial" w:hAnsi="Arial"/>
                <w:sz w:val="15"/>
                <w:szCs w:val="15"/>
                <w:color w:val="auto"/>
              </w:rPr>
            </w:pPr>
            <w:hyperlink r:id="rId173">
              <w:r>
                <w:rPr>
                  <w:rFonts w:ascii="Arial" w:cs="Arial" w:eastAsia="Arial" w:hAnsi="Arial"/>
                  <w:sz w:val="15"/>
                  <w:szCs w:val="15"/>
                  <w:color w:val="auto"/>
                </w:rPr>
                <w:t>Management Cash Bonus Plan.</w:t>
              </w:r>
            </w:hyperlink>
          </w:p>
        </w:tc>
        <w:tc>
          <w:tcPr>
            <w:tcW w:w="100" w:type="dxa"/>
            <w:vAlign w:val="bottom"/>
            <w:tcBorders>
              <w:top w:val="single" w:sz="8" w:color="0000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560" w:type="dxa"/>
            <w:vAlign w:val="bottom"/>
          </w:tcPr>
          <w:p>
            <w:pPr>
              <w:spacing w:after="0"/>
              <w:rPr>
                <w:sz w:val="11"/>
                <w:szCs w:val="11"/>
                <w:color w:val="auto"/>
              </w:rPr>
            </w:pPr>
          </w:p>
        </w:tc>
      </w:tr>
      <w:tr>
        <w:trPr>
          <w:trHeight w:val="21"/>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10.11*</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6"/>
              </w:rPr>
            </w:pPr>
            <w:hyperlink r:id="rId174">
              <w:r>
                <w:rPr>
                  <w:rFonts w:ascii="Arial" w:cs="Arial" w:eastAsia="Arial" w:hAnsi="Arial"/>
                  <w:sz w:val="18"/>
                  <w:szCs w:val="18"/>
                  <w:color w:val="auto"/>
                  <w:w w:val="96"/>
                </w:rPr>
                <w:t>Employee Offer Letter, dated June 28, 2013,</w:t>
              </w:r>
            </w:hyperlink>
          </w:p>
        </w:tc>
        <w:tc>
          <w:tcPr>
            <w:tcW w:w="116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2"/>
              </w:rPr>
              <w:t>S-1</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7-Oct-13</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10.12</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200" w:type="dxa"/>
            <w:vAlign w:val="bottom"/>
            <w:tcBorders>
              <w:top w:val="single" w:sz="8" w:color="auto"/>
            </w:tcBorders>
            <w:gridSpan w:val="27"/>
            <w:shd w:val="clear" w:color="auto" w:fill="CCEEFF"/>
          </w:tcPr>
          <w:p>
            <w:pPr>
              <w:spacing w:after="0" w:line="156" w:lineRule="exact"/>
              <w:rPr>
                <w:rFonts w:ascii="Arial" w:cs="Arial" w:eastAsia="Arial" w:hAnsi="Arial"/>
                <w:sz w:val="18"/>
                <w:szCs w:val="18"/>
                <w:color w:val="auto"/>
                <w:w w:val="89"/>
              </w:rPr>
            </w:pPr>
            <w:hyperlink r:id="rId174">
              <w:r>
                <w:rPr>
                  <w:rFonts w:ascii="Arial" w:cs="Arial" w:eastAsia="Arial" w:hAnsi="Arial"/>
                  <w:sz w:val="18"/>
                  <w:szCs w:val="18"/>
                  <w:color w:val="auto"/>
                  <w:w w:val="89"/>
                </w:rPr>
                <w:t>by and between Tandem Diabetes Care,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gridSpan w:val="3"/>
            <w:shd w:val="clear" w:color="auto" w:fill="CCEEFF"/>
          </w:tcPr>
          <w:p>
            <w:pPr>
              <w:spacing w:after="0" w:line="156" w:lineRule="exact"/>
              <w:rPr>
                <w:rFonts w:ascii="Arial" w:cs="Arial" w:eastAsia="Arial" w:hAnsi="Arial"/>
                <w:sz w:val="18"/>
                <w:szCs w:val="18"/>
                <w:color w:val="auto"/>
                <w:w w:val="89"/>
              </w:rPr>
            </w:pPr>
            <w:hyperlink r:id="rId174">
              <w:r>
                <w:rPr>
                  <w:rFonts w:ascii="Arial" w:cs="Arial" w:eastAsia="Arial" w:hAnsi="Arial"/>
                  <w:sz w:val="18"/>
                  <w:szCs w:val="18"/>
                  <w:color w:val="auto"/>
                  <w:w w:val="89"/>
                </w:rPr>
                <w:t>and David B. Berger.</w:t>
              </w:r>
            </w:hyperlink>
          </w:p>
        </w:tc>
        <w:tc>
          <w:tcPr>
            <w:tcW w:w="1660" w:type="dxa"/>
            <w:vAlign w:val="bottom"/>
            <w:tcBorders>
              <w:top w:val="single" w:sz="8" w:color="auto"/>
              <w:bottom w:val="single" w:sz="8" w:color="CCEEFF"/>
            </w:tcBorders>
            <w:gridSpan w:val="2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10.12*</w:t>
            </w:r>
          </w:p>
        </w:tc>
        <w:tc>
          <w:tcPr>
            <w:tcW w:w="3440" w:type="dxa"/>
            <w:vAlign w:val="bottom"/>
            <w:gridSpan w:val="30"/>
          </w:tcPr>
          <w:p>
            <w:pPr>
              <w:spacing w:after="0" w:line="189" w:lineRule="exact"/>
              <w:rPr>
                <w:rFonts w:ascii="Arial" w:cs="Arial" w:eastAsia="Arial" w:hAnsi="Arial"/>
                <w:sz w:val="18"/>
                <w:szCs w:val="18"/>
                <w:color w:val="auto"/>
              </w:rPr>
            </w:pPr>
            <w:hyperlink r:id="rId175">
              <w:r>
                <w:rPr>
                  <w:rFonts w:ascii="Arial" w:cs="Arial" w:eastAsia="Arial" w:hAnsi="Arial"/>
                  <w:sz w:val="18"/>
                  <w:szCs w:val="18"/>
                  <w:color w:val="auto"/>
                </w:rPr>
                <w:t>Employee Offer Letter, dated January 29,</w:t>
              </w:r>
            </w:hyperlink>
          </w:p>
        </w:tc>
        <w:tc>
          <w:tcPr>
            <w:tcW w:w="11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4"/>
              </w:rPr>
              <w:t>7-Oct-13</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88"/>
              </w:rPr>
              <w:t>10.13</w:t>
            </w:r>
          </w:p>
        </w:tc>
      </w:tr>
      <w:tr>
        <w:trPr>
          <w:trHeight w:val="156"/>
        </w:trPr>
        <w:tc>
          <w:tcPr>
            <w:tcW w:w="1380" w:type="dxa"/>
            <w:vAlign w:val="bottom"/>
          </w:tcPr>
          <w:p>
            <w:pPr>
              <w:spacing w:after="0"/>
              <w:rPr>
                <w:sz w:val="13"/>
                <w:szCs w:val="13"/>
                <w:color w:val="auto"/>
              </w:rPr>
            </w:pPr>
          </w:p>
        </w:tc>
        <w:tc>
          <w:tcPr>
            <w:tcW w:w="2140" w:type="dxa"/>
            <w:vAlign w:val="bottom"/>
            <w:tcBorders>
              <w:top w:val="single" w:sz="8" w:color="auto"/>
            </w:tcBorders>
            <w:gridSpan w:val="4"/>
          </w:tcPr>
          <w:p>
            <w:pPr>
              <w:spacing w:after="0" w:line="156" w:lineRule="exact"/>
              <w:rPr>
                <w:rFonts w:ascii="Arial" w:cs="Arial" w:eastAsia="Arial" w:hAnsi="Arial"/>
                <w:sz w:val="18"/>
                <w:szCs w:val="18"/>
                <w:color w:val="auto"/>
                <w:w w:val="85"/>
              </w:rPr>
            </w:pPr>
            <w:hyperlink r:id="rId175">
              <w:r>
                <w:rPr>
                  <w:rFonts w:ascii="Arial" w:cs="Arial" w:eastAsia="Arial" w:hAnsi="Arial"/>
                  <w:sz w:val="18"/>
                  <w:szCs w:val="18"/>
                  <w:color w:val="auto"/>
                  <w:w w:val="85"/>
                </w:rPr>
                <w:t>2013, by and between Tandem</w:t>
              </w:r>
            </w:hyperlink>
          </w:p>
        </w:tc>
        <w:tc>
          <w:tcPr>
            <w:tcW w:w="840" w:type="dxa"/>
            <w:vAlign w:val="bottom"/>
            <w:tcBorders>
              <w:top w:val="single" w:sz="8" w:color="auto"/>
            </w:tcBorders>
            <w:gridSpan w:val="14"/>
          </w:tcPr>
          <w:p>
            <w:pPr>
              <w:ind w:left="100"/>
              <w:spacing w:after="0" w:line="156" w:lineRule="exact"/>
              <w:rPr>
                <w:rFonts w:ascii="Arial" w:cs="Arial" w:eastAsia="Arial" w:hAnsi="Arial"/>
                <w:sz w:val="18"/>
                <w:szCs w:val="18"/>
                <w:color w:val="auto"/>
              </w:rPr>
            </w:pPr>
            <w:hyperlink r:id="rId175">
              <w:r>
                <w:rPr>
                  <w:rFonts w:ascii="Arial" w:cs="Arial" w:eastAsia="Arial" w:hAnsi="Arial"/>
                  <w:sz w:val="18"/>
                  <w:szCs w:val="18"/>
                  <w:color w:val="auto"/>
                </w:rPr>
                <w:t>Diabetes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880" w:type="dxa"/>
            <w:vAlign w:val="bottom"/>
            <w:tcBorders>
              <w:top w:val="single" w:sz="8" w:color="auto"/>
            </w:tcBorders>
            <w:gridSpan w:val="15"/>
          </w:tcPr>
          <w:p>
            <w:pPr>
              <w:spacing w:after="0" w:line="156" w:lineRule="exact"/>
              <w:rPr>
                <w:rFonts w:ascii="Arial" w:cs="Arial" w:eastAsia="Arial" w:hAnsi="Arial"/>
                <w:sz w:val="18"/>
                <w:szCs w:val="18"/>
                <w:color w:val="auto"/>
              </w:rPr>
            </w:pPr>
            <w:hyperlink r:id="rId175">
              <w:r>
                <w:rPr>
                  <w:rFonts w:ascii="Arial" w:cs="Arial" w:eastAsia="Arial" w:hAnsi="Arial"/>
                  <w:sz w:val="18"/>
                  <w:szCs w:val="18"/>
                  <w:color w:val="auto"/>
                </w:rPr>
                <w:t>Care, Inc. and John F. Sheridan.</w:t>
              </w:r>
            </w:hyperlink>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10.13*</w:t>
            </w:r>
          </w:p>
        </w:tc>
        <w:tc>
          <w:tcPr>
            <w:tcW w:w="3440" w:type="dxa"/>
            <w:vAlign w:val="bottom"/>
            <w:gridSpan w:val="30"/>
            <w:shd w:val="clear" w:color="auto" w:fill="CCEEFF"/>
          </w:tcPr>
          <w:p>
            <w:pPr>
              <w:spacing w:after="0" w:line="189" w:lineRule="exact"/>
              <w:rPr>
                <w:rFonts w:ascii="Arial" w:cs="Arial" w:eastAsia="Arial" w:hAnsi="Arial"/>
                <w:sz w:val="18"/>
                <w:szCs w:val="18"/>
                <w:color w:val="auto"/>
              </w:rPr>
            </w:pPr>
            <w:hyperlink r:id="rId176">
              <w:r>
                <w:rPr>
                  <w:rFonts w:ascii="Arial" w:cs="Arial" w:eastAsia="Arial" w:hAnsi="Arial"/>
                  <w:sz w:val="18"/>
                  <w:szCs w:val="18"/>
                  <w:color w:val="auto"/>
                </w:rPr>
                <w:t>Employee Offer Letter, dated January 11,</w:t>
              </w:r>
            </w:hyperlink>
          </w:p>
        </w:tc>
        <w:tc>
          <w:tcPr>
            <w:tcW w:w="11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2-Feb-16</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91"/>
              </w:rPr>
              <w:t>10.1</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auto"/>
            </w:tcBorders>
            <w:gridSpan w:val="18"/>
            <w:shd w:val="clear" w:color="auto" w:fill="CCEEFF"/>
          </w:tcPr>
          <w:p>
            <w:pPr>
              <w:spacing w:after="0" w:line="156" w:lineRule="exact"/>
              <w:rPr>
                <w:rFonts w:ascii="Arial" w:cs="Arial" w:eastAsia="Arial" w:hAnsi="Arial"/>
                <w:sz w:val="18"/>
                <w:szCs w:val="18"/>
                <w:color w:val="auto"/>
                <w:w w:val="91"/>
              </w:rPr>
            </w:pPr>
            <w:hyperlink r:id="rId176">
              <w:r>
                <w:rPr>
                  <w:rFonts w:ascii="Arial" w:cs="Arial" w:eastAsia="Arial" w:hAnsi="Arial"/>
                  <w:sz w:val="18"/>
                  <w:szCs w:val="18"/>
                  <w:color w:val="auto"/>
                  <w:w w:val="91"/>
                </w:rPr>
                <w:t>2016, by and between Tandem Diabetes</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auto"/>
            </w:tcBorders>
            <w:gridSpan w:val="15"/>
            <w:shd w:val="clear" w:color="auto" w:fill="CCEEFF"/>
          </w:tcPr>
          <w:p>
            <w:pPr>
              <w:spacing w:after="0" w:line="156" w:lineRule="exact"/>
              <w:rPr>
                <w:rFonts w:ascii="Arial" w:cs="Arial" w:eastAsia="Arial" w:hAnsi="Arial"/>
                <w:sz w:val="18"/>
                <w:szCs w:val="18"/>
                <w:color w:val="auto"/>
              </w:rPr>
            </w:pPr>
            <w:hyperlink r:id="rId176">
              <w:r>
                <w:rPr>
                  <w:rFonts w:ascii="Arial" w:cs="Arial" w:eastAsia="Arial" w:hAnsi="Arial"/>
                  <w:sz w:val="18"/>
                  <w:szCs w:val="18"/>
                  <w:color w:val="auto"/>
                </w:rPr>
                <w:t>Care, Inc. and Brian B. Hansen.</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10.14*</w:t>
            </w:r>
          </w:p>
        </w:tc>
        <w:tc>
          <w:tcPr>
            <w:tcW w:w="3440" w:type="dxa"/>
            <w:vAlign w:val="bottom"/>
            <w:gridSpan w:val="30"/>
          </w:tcPr>
          <w:p>
            <w:pPr>
              <w:spacing w:after="0" w:line="189" w:lineRule="exact"/>
              <w:rPr>
                <w:rFonts w:ascii="Arial" w:cs="Arial" w:eastAsia="Arial" w:hAnsi="Arial"/>
                <w:sz w:val="18"/>
                <w:szCs w:val="18"/>
                <w:color w:val="auto"/>
              </w:rPr>
            </w:pPr>
            <w:hyperlink r:id="rId177">
              <w:r>
                <w:rPr>
                  <w:rFonts w:ascii="Arial" w:cs="Arial" w:eastAsia="Arial" w:hAnsi="Arial"/>
                  <w:sz w:val="18"/>
                  <w:szCs w:val="18"/>
                  <w:color w:val="auto"/>
                </w:rPr>
                <w:t>Employment Severance Agreement, dated</w:t>
              </w:r>
            </w:hyperlink>
          </w:p>
        </w:tc>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0"/>
              </w:rPr>
              <w:t>2-Feb-16</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10.2</w:t>
            </w:r>
          </w:p>
        </w:tc>
      </w:tr>
      <w:tr>
        <w:trPr>
          <w:trHeight w:val="156"/>
        </w:trPr>
        <w:tc>
          <w:tcPr>
            <w:tcW w:w="1380" w:type="dxa"/>
            <w:vAlign w:val="bottom"/>
          </w:tcPr>
          <w:p>
            <w:pPr>
              <w:spacing w:after="0"/>
              <w:rPr>
                <w:sz w:val="13"/>
                <w:szCs w:val="13"/>
                <w:color w:val="auto"/>
              </w:rPr>
            </w:pPr>
          </w:p>
        </w:tc>
        <w:tc>
          <w:tcPr>
            <w:tcW w:w="3040" w:type="dxa"/>
            <w:vAlign w:val="bottom"/>
            <w:tcBorders>
              <w:top w:val="single" w:sz="8" w:color="auto"/>
              <w:bottom w:val="single" w:sz="8" w:color="auto"/>
            </w:tcBorders>
            <w:gridSpan w:val="20"/>
          </w:tcPr>
          <w:p>
            <w:pPr>
              <w:spacing w:after="0" w:line="156" w:lineRule="exact"/>
              <w:rPr>
                <w:rFonts w:ascii="Arial" w:cs="Arial" w:eastAsia="Arial" w:hAnsi="Arial"/>
                <w:sz w:val="18"/>
                <w:szCs w:val="18"/>
                <w:color w:val="auto"/>
                <w:w w:val="87"/>
              </w:rPr>
            </w:pPr>
            <w:hyperlink r:id="rId177">
              <w:r>
                <w:rPr>
                  <w:rFonts w:ascii="Arial" w:cs="Arial" w:eastAsia="Arial" w:hAnsi="Arial"/>
                  <w:sz w:val="18"/>
                  <w:szCs w:val="18"/>
                  <w:color w:val="auto"/>
                  <w:w w:val="87"/>
                </w:rPr>
                <w:t>February 1, 2016, by and between Tandem</w:t>
              </w:r>
            </w:hyperlink>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100" w:type="dxa"/>
            <w:vAlign w:val="bottom"/>
            <w:gridSpan w:val="23"/>
          </w:tcPr>
          <w:p>
            <w:pPr>
              <w:spacing w:after="0" w:line="156" w:lineRule="exact"/>
              <w:rPr>
                <w:rFonts w:ascii="Arial" w:cs="Arial" w:eastAsia="Arial" w:hAnsi="Arial"/>
                <w:sz w:val="18"/>
                <w:szCs w:val="18"/>
                <w:color w:val="auto"/>
                <w:w w:val="93"/>
              </w:rPr>
            </w:pPr>
            <w:hyperlink r:id="rId177">
              <w:r>
                <w:rPr>
                  <w:rFonts w:ascii="Arial" w:cs="Arial" w:eastAsia="Arial" w:hAnsi="Arial"/>
                  <w:sz w:val="18"/>
                  <w:szCs w:val="18"/>
                  <w:color w:val="auto"/>
                  <w:w w:val="93"/>
                </w:rPr>
                <w:t>Diabetes Care, Inc. and Brian B. Hansen.</w:t>
              </w:r>
            </w:hyperlink>
          </w:p>
        </w:tc>
        <w:tc>
          <w:tcPr>
            <w:tcW w:w="120" w:type="dxa"/>
            <w:vAlign w:val="bottom"/>
            <w:gridSpan w:val="5"/>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10.15*</w:t>
            </w:r>
          </w:p>
        </w:tc>
        <w:tc>
          <w:tcPr>
            <w:tcW w:w="2640" w:type="dxa"/>
            <w:vAlign w:val="bottom"/>
            <w:tcBorders>
              <w:bottom w:val="single" w:sz="8" w:color="auto"/>
            </w:tcBorders>
            <w:gridSpan w:val="13"/>
            <w:shd w:val="clear" w:color="auto" w:fill="CCEEFF"/>
          </w:tcPr>
          <w:p>
            <w:pPr>
              <w:spacing w:after="0" w:line="189" w:lineRule="exact"/>
              <w:rPr>
                <w:rFonts w:ascii="Arial" w:cs="Arial" w:eastAsia="Arial" w:hAnsi="Arial"/>
                <w:sz w:val="18"/>
                <w:szCs w:val="18"/>
                <w:color w:val="auto"/>
                <w:w w:val="89"/>
              </w:rPr>
            </w:pPr>
            <w:hyperlink r:id="rId178">
              <w:r>
                <w:rPr>
                  <w:rFonts w:ascii="Arial" w:cs="Arial" w:eastAsia="Arial" w:hAnsi="Arial"/>
                  <w:sz w:val="18"/>
                  <w:szCs w:val="18"/>
                  <w:color w:val="auto"/>
                  <w:w w:val="89"/>
                </w:rPr>
                <w:t>Amended and Restated Employment</w:t>
              </w:r>
            </w:hyperlink>
          </w:p>
        </w:tc>
        <w:tc>
          <w:tcPr>
            <w:tcW w:w="800" w:type="dxa"/>
            <w:vAlign w:val="bottom"/>
            <w:tcBorders>
              <w:bottom w:val="single" w:sz="8" w:color="CCEEFF"/>
            </w:tcBorders>
            <w:gridSpan w:val="17"/>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3"/>
              </w:rPr>
              <w:t>S-1/A</w:t>
            </w:r>
          </w:p>
        </w:tc>
        <w:tc>
          <w:tcPr>
            <w:tcW w:w="13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8-Nov-13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10.17</w:t>
            </w:r>
          </w:p>
        </w:tc>
      </w:tr>
      <w:tr>
        <w:trPr>
          <w:trHeight w:val="156"/>
        </w:trPr>
        <w:tc>
          <w:tcPr>
            <w:tcW w:w="1380" w:type="dxa"/>
            <w:vAlign w:val="bottom"/>
            <w:shd w:val="clear" w:color="auto" w:fill="CCEEFF"/>
          </w:tcPr>
          <w:p>
            <w:pPr>
              <w:spacing w:after="0"/>
              <w:rPr>
                <w:sz w:val="13"/>
                <w:szCs w:val="13"/>
                <w:color w:val="auto"/>
              </w:rPr>
            </w:pPr>
          </w:p>
        </w:tc>
        <w:tc>
          <w:tcPr>
            <w:tcW w:w="3440" w:type="dxa"/>
            <w:vAlign w:val="bottom"/>
            <w:gridSpan w:val="30"/>
            <w:shd w:val="clear" w:color="auto" w:fill="CCEEFF"/>
          </w:tcPr>
          <w:p>
            <w:pPr>
              <w:spacing w:after="0" w:line="156" w:lineRule="exact"/>
              <w:rPr>
                <w:rFonts w:ascii="Arial" w:cs="Arial" w:eastAsia="Arial" w:hAnsi="Arial"/>
                <w:sz w:val="18"/>
                <w:szCs w:val="18"/>
                <w:color w:val="auto"/>
                <w:w w:val="99"/>
              </w:rPr>
            </w:pPr>
            <w:hyperlink r:id="rId178">
              <w:r>
                <w:rPr>
                  <w:rFonts w:ascii="Arial" w:cs="Arial" w:eastAsia="Arial" w:hAnsi="Arial"/>
                  <w:sz w:val="18"/>
                  <w:szCs w:val="18"/>
                  <w:color w:val="auto"/>
                  <w:w w:val="99"/>
                </w:rPr>
                <w:t>Severance Agreement, dated November 4,</w:t>
              </w:r>
            </w:hyperlink>
          </w:p>
        </w:tc>
        <w:tc>
          <w:tcPr>
            <w:tcW w:w="1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60" w:type="dxa"/>
            <w:vAlign w:val="bottom"/>
            <w:tcBorders>
              <w:top w:val="single" w:sz="8" w:color="auto"/>
            </w:tcBorders>
            <w:gridSpan w:val="21"/>
            <w:shd w:val="clear" w:color="auto" w:fill="CCEEFF"/>
          </w:tcPr>
          <w:p>
            <w:pPr>
              <w:spacing w:after="0" w:line="156" w:lineRule="exact"/>
              <w:rPr>
                <w:rFonts w:ascii="Arial" w:cs="Arial" w:eastAsia="Arial" w:hAnsi="Arial"/>
                <w:sz w:val="18"/>
                <w:szCs w:val="18"/>
                <w:color w:val="auto"/>
                <w:w w:val="93"/>
              </w:rPr>
            </w:pPr>
            <w:hyperlink r:id="rId178">
              <w:r>
                <w:rPr>
                  <w:rFonts w:ascii="Arial" w:cs="Arial" w:eastAsia="Arial" w:hAnsi="Arial"/>
                  <w:sz w:val="18"/>
                  <w:szCs w:val="18"/>
                  <w:color w:val="auto"/>
                  <w:w w:val="93"/>
                </w:rPr>
                <w:t>2013, by and between Tandem Diabetes</w:t>
              </w:r>
            </w:hyperlink>
          </w:p>
        </w:tc>
        <w:tc>
          <w:tcPr>
            <w:tcW w:w="160" w:type="dxa"/>
            <w:vAlign w:val="bottom"/>
            <w:tcBorders>
              <w:top w:val="single" w:sz="8" w:color="CCEEFF"/>
            </w:tcBorders>
            <w:gridSpan w:val="7"/>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300" w:type="dxa"/>
            <w:vAlign w:val="bottom"/>
            <w:tcBorders>
              <w:top w:val="single" w:sz="8" w:color="auto"/>
              <w:bottom w:val="single" w:sz="8" w:color="auto"/>
            </w:tcBorders>
            <w:gridSpan w:val="7"/>
            <w:shd w:val="clear" w:color="auto" w:fill="CCEEFF"/>
          </w:tcPr>
          <w:p>
            <w:pPr>
              <w:spacing w:after="0" w:line="156" w:lineRule="exact"/>
              <w:rPr>
                <w:rFonts w:ascii="Arial" w:cs="Arial" w:eastAsia="Arial" w:hAnsi="Arial"/>
                <w:sz w:val="18"/>
                <w:szCs w:val="18"/>
                <w:color w:val="auto"/>
                <w:w w:val="87"/>
              </w:rPr>
            </w:pPr>
            <w:hyperlink r:id="rId178">
              <w:r>
                <w:rPr>
                  <w:rFonts w:ascii="Arial" w:cs="Arial" w:eastAsia="Arial" w:hAnsi="Arial"/>
                  <w:sz w:val="18"/>
                  <w:szCs w:val="18"/>
                  <w:color w:val="auto"/>
                  <w:w w:val="87"/>
                </w:rPr>
                <w:t>Care, Inc. and John F. Sheridan.</w:t>
              </w:r>
            </w:hyperlink>
          </w:p>
        </w:tc>
        <w:tc>
          <w:tcPr>
            <w:tcW w:w="580" w:type="dxa"/>
            <w:vAlign w:val="bottom"/>
            <w:tcBorders>
              <w:top w:val="single" w:sz="8" w:color="auto"/>
              <w:bottom w:val="single" w:sz="8" w:color="CCEEFF"/>
            </w:tcBorders>
            <w:gridSpan w:val="8"/>
            <w:shd w:val="clear" w:color="auto" w:fill="CCEEFF"/>
          </w:tcPr>
          <w:p>
            <w:pPr>
              <w:spacing w:after="0"/>
              <w:rPr>
                <w:sz w:val="15"/>
                <w:szCs w:val="15"/>
                <w:color w:val="auto"/>
              </w:rPr>
            </w:pPr>
          </w:p>
        </w:tc>
        <w:tc>
          <w:tcPr>
            <w:tcW w:w="340" w:type="dxa"/>
            <w:vAlign w:val="bottom"/>
            <w:tcBorders>
              <w:top w:val="single" w:sz="8" w:color="CCEEFF"/>
              <w:bottom w:val="single" w:sz="8" w:color="CCEEFF"/>
            </w:tcBorders>
            <w:gridSpan w:val="13"/>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10.16*</w:t>
            </w:r>
          </w:p>
        </w:tc>
        <w:tc>
          <w:tcPr>
            <w:tcW w:w="2640" w:type="dxa"/>
            <w:vAlign w:val="bottom"/>
            <w:tcBorders>
              <w:bottom w:val="single" w:sz="8" w:color="auto"/>
            </w:tcBorders>
            <w:gridSpan w:val="13"/>
          </w:tcPr>
          <w:p>
            <w:pPr>
              <w:spacing w:after="0" w:line="189" w:lineRule="exact"/>
              <w:rPr>
                <w:rFonts w:ascii="Arial" w:cs="Arial" w:eastAsia="Arial" w:hAnsi="Arial"/>
                <w:sz w:val="18"/>
                <w:szCs w:val="18"/>
                <w:color w:val="auto"/>
                <w:w w:val="89"/>
              </w:rPr>
            </w:pPr>
            <w:hyperlink r:id="rId179">
              <w:r>
                <w:rPr>
                  <w:rFonts w:ascii="Arial" w:cs="Arial" w:eastAsia="Arial" w:hAnsi="Arial"/>
                  <w:sz w:val="18"/>
                  <w:szCs w:val="18"/>
                  <w:color w:val="auto"/>
                  <w:w w:val="89"/>
                </w:rPr>
                <w:t>Amended and Restated Employment</w:t>
              </w:r>
            </w:hyperlink>
          </w:p>
        </w:tc>
        <w:tc>
          <w:tcPr>
            <w:tcW w:w="800" w:type="dxa"/>
            <w:vAlign w:val="bottom"/>
            <w:gridSpan w:val="17"/>
          </w:tcPr>
          <w:p>
            <w:pPr>
              <w:spacing w:after="0"/>
              <w:rPr>
                <w:sz w:val="16"/>
                <w:szCs w:val="16"/>
                <w:color w:val="auto"/>
              </w:rPr>
            </w:pPr>
          </w:p>
        </w:tc>
        <w:tc>
          <w:tcPr>
            <w:tcW w:w="11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4"/>
              </w:rPr>
              <w:t>8-Nov-13</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88"/>
              </w:rPr>
              <w:t>10.18</w:t>
            </w:r>
          </w:p>
        </w:tc>
      </w:tr>
      <w:tr>
        <w:trPr>
          <w:trHeight w:val="155"/>
        </w:trPr>
        <w:tc>
          <w:tcPr>
            <w:tcW w:w="1380" w:type="dxa"/>
            <w:vAlign w:val="bottom"/>
          </w:tcPr>
          <w:p>
            <w:pPr>
              <w:spacing w:after="0"/>
              <w:rPr>
                <w:sz w:val="13"/>
                <w:szCs w:val="13"/>
                <w:color w:val="auto"/>
              </w:rPr>
            </w:pPr>
          </w:p>
        </w:tc>
        <w:tc>
          <w:tcPr>
            <w:tcW w:w="3440" w:type="dxa"/>
            <w:vAlign w:val="bottom"/>
            <w:gridSpan w:val="30"/>
          </w:tcPr>
          <w:p>
            <w:pPr>
              <w:spacing w:after="0" w:line="156" w:lineRule="exact"/>
              <w:rPr>
                <w:rFonts w:ascii="Arial" w:cs="Arial" w:eastAsia="Arial" w:hAnsi="Arial"/>
                <w:sz w:val="18"/>
                <w:szCs w:val="18"/>
                <w:color w:val="auto"/>
                <w:w w:val="99"/>
              </w:rPr>
            </w:pPr>
            <w:hyperlink r:id="rId179">
              <w:r>
                <w:rPr>
                  <w:rFonts w:ascii="Arial" w:cs="Arial" w:eastAsia="Arial" w:hAnsi="Arial"/>
                  <w:sz w:val="18"/>
                  <w:szCs w:val="18"/>
                  <w:color w:val="auto"/>
                  <w:w w:val="99"/>
                </w:rPr>
                <w:t>Severance Agreement, dated November 4,</w:t>
              </w:r>
            </w:hyperlink>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060" w:type="dxa"/>
            <w:vAlign w:val="bottom"/>
            <w:tcBorders>
              <w:top w:val="single" w:sz="8" w:color="auto"/>
            </w:tcBorders>
            <w:gridSpan w:val="21"/>
          </w:tcPr>
          <w:p>
            <w:pPr>
              <w:spacing w:after="0" w:line="156" w:lineRule="exact"/>
              <w:rPr>
                <w:rFonts w:ascii="Arial" w:cs="Arial" w:eastAsia="Arial" w:hAnsi="Arial"/>
                <w:sz w:val="18"/>
                <w:szCs w:val="18"/>
                <w:color w:val="auto"/>
                <w:w w:val="93"/>
              </w:rPr>
            </w:pPr>
            <w:hyperlink r:id="rId179">
              <w:r>
                <w:rPr>
                  <w:rFonts w:ascii="Arial" w:cs="Arial" w:eastAsia="Arial" w:hAnsi="Arial"/>
                  <w:sz w:val="18"/>
                  <w:szCs w:val="18"/>
                  <w:color w:val="auto"/>
                  <w:w w:val="93"/>
                </w:rPr>
                <w:t>2013, by and between Tandem Diabetes</w:t>
              </w:r>
            </w:hyperlink>
          </w:p>
        </w:tc>
        <w:tc>
          <w:tcPr>
            <w:tcW w:w="160" w:type="dxa"/>
            <w:vAlign w:val="bottom"/>
            <w:gridSpan w:val="7"/>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2880" w:type="dxa"/>
            <w:vAlign w:val="bottom"/>
            <w:tcBorders>
              <w:top w:val="single" w:sz="8" w:color="auto"/>
            </w:tcBorders>
            <w:gridSpan w:val="15"/>
          </w:tcPr>
          <w:p>
            <w:pPr>
              <w:spacing w:after="0" w:line="156" w:lineRule="exact"/>
              <w:rPr>
                <w:rFonts w:ascii="Arial" w:cs="Arial" w:eastAsia="Arial" w:hAnsi="Arial"/>
                <w:sz w:val="18"/>
                <w:szCs w:val="18"/>
                <w:color w:val="auto"/>
              </w:rPr>
            </w:pPr>
            <w:hyperlink r:id="rId179">
              <w:r>
                <w:rPr>
                  <w:rFonts w:ascii="Arial" w:cs="Arial" w:eastAsia="Arial" w:hAnsi="Arial"/>
                  <w:sz w:val="18"/>
                  <w:szCs w:val="18"/>
                  <w:color w:val="auto"/>
                </w:rPr>
                <w:t>Care, Inc. and David B. Berger.</w:t>
              </w:r>
            </w:hyperlink>
          </w:p>
        </w:tc>
        <w:tc>
          <w:tcPr>
            <w:tcW w:w="340" w:type="dxa"/>
            <w:vAlign w:val="bottom"/>
            <w:gridSpan w:val="13"/>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10.17*</w:t>
            </w:r>
          </w:p>
        </w:tc>
        <w:tc>
          <w:tcPr>
            <w:tcW w:w="2640" w:type="dxa"/>
            <w:vAlign w:val="bottom"/>
            <w:tcBorders>
              <w:bottom w:val="single" w:sz="8" w:color="auto"/>
            </w:tcBorders>
            <w:gridSpan w:val="13"/>
            <w:shd w:val="clear" w:color="auto" w:fill="CCEEFF"/>
          </w:tcPr>
          <w:p>
            <w:pPr>
              <w:spacing w:after="0" w:line="189" w:lineRule="exact"/>
              <w:rPr>
                <w:rFonts w:ascii="Arial" w:cs="Arial" w:eastAsia="Arial" w:hAnsi="Arial"/>
                <w:sz w:val="18"/>
                <w:szCs w:val="18"/>
                <w:color w:val="auto"/>
                <w:w w:val="89"/>
              </w:rPr>
            </w:pPr>
            <w:hyperlink r:id="rId180">
              <w:r>
                <w:rPr>
                  <w:rFonts w:ascii="Arial" w:cs="Arial" w:eastAsia="Arial" w:hAnsi="Arial"/>
                  <w:sz w:val="18"/>
                  <w:szCs w:val="18"/>
                  <w:color w:val="auto"/>
                  <w:w w:val="89"/>
                </w:rPr>
                <w:t>Amended and Restated Employment</w:t>
              </w:r>
            </w:hyperlink>
          </w:p>
        </w:tc>
        <w:tc>
          <w:tcPr>
            <w:tcW w:w="800" w:type="dxa"/>
            <w:vAlign w:val="bottom"/>
            <w:tcBorders>
              <w:bottom w:val="single" w:sz="8" w:color="CCEEFF"/>
            </w:tcBorders>
            <w:gridSpan w:val="17"/>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3"/>
              </w:rPr>
              <w:t>S-1/A</w:t>
            </w:r>
          </w:p>
        </w:tc>
        <w:tc>
          <w:tcPr>
            <w:tcW w:w="13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8-Nov-13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10.19</w:t>
            </w:r>
          </w:p>
        </w:tc>
      </w:tr>
      <w:tr>
        <w:trPr>
          <w:trHeight w:val="155"/>
        </w:trPr>
        <w:tc>
          <w:tcPr>
            <w:tcW w:w="1380" w:type="dxa"/>
            <w:vAlign w:val="bottom"/>
            <w:shd w:val="clear" w:color="auto" w:fill="CCEEFF"/>
          </w:tcPr>
          <w:p>
            <w:pPr>
              <w:spacing w:after="0"/>
              <w:rPr>
                <w:sz w:val="13"/>
                <w:szCs w:val="13"/>
                <w:color w:val="auto"/>
              </w:rPr>
            </w:pPr>
          </w:p>
        </w:tc>
        <w:tc>
          <w:tcPr>
            <w:tcW w:w="3440" w:type="dxa"/>
            <w:vAlign w:val="bottom"/>
            <w:gridSpan w:val="30"/>
            <w:shd w:val="clear" w:color="auto" w:fill="CCEEFF"/>
          </w:tcPr>
          <w:p>
            <w:pPr>
              <w:spacing w:after="0" w:line="156" w:lineRule="exact"/>
              <w:rPr>
                <w:rFonts w:ascii="Arial" w:cs="Arial" w:eastAsia="Arial" w:hAnsi="Arial"/>
                <w:sz w:val="18"/>
                <w:szCs w:val="18"/>
                <w:color w:val="auto"/>
                <w:w w:val="99"/>
              </w:rPr>
            </w:pPr>
            <w:hyperlink r:id="rId180">
              <w:r>
                <w:rPr>
                  <w:rFonts w:ascii="Arial" w:cs="Arial" w:eastAsia="Arial" w:hAnsi="Arial"/>
                  <w:sz w:val="18"/>
                  <w:szCs w:val="18"/>
                  <w:color w:val="auto"/>
                  <w:w w:val="99"/>
                </w:rPr>
                <w:t>Severance Agreement, dated November 4,</w:t>
              </w:r>
            </w:hyperlink>
          </w:p>
        </w:tc>
        <w:tc>
          <w:tcPr>
            <w:tcW w:w="1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060" w:type="dxa"/>
            <w:vAlign w:val="bottom"/>
            <w:tcBorders>
              <w:top w:val="single" w:sz="8" w:color="auto"/>
            </w:tcBorders>
            <w:gridSpan w:val="21"/>
            <w:shd w:val="clear" w:color="auto" w:fill="CCEEFF"/>
          </w:tcPr>
          <w:p>
            <w:pPr>
              <w:spacing w:after="0" w:line="156" w:lineRule="exact"/>
              <w:rPr>
                <w:rFonts w:ascii="Arial" w:cs="Arial" w:eastAsia="Arial" w:hAnsi="Arial"/>
                <w:sz w:val="18"/>
                <w:szCs w:val="18"/>
                <w:color w:val="auto"/>
                <w:w w:val="93"/>
              </w:rPr>
            </w:pPr>
            <w:hyperlink r:id="rId180">
              <w:r>
                <w:rPr>
                  <w:rFonts w:ascii="Arial" w:cs="Arial" w:eastAsia="Arial" w:hAnsi="Arial"/>
                  <w:sz w:val="18"/>
                  <w:szCs w:val="18"/>
                  <w:color w:val="auto"/>
                  <w:w w:val="93"/>
                </w:rPr>
                <w:t>2013, by and between Tandem Diabetes</w:t>
              </w:r>
            </w:hyperlink>
          </w:p>
        </w:tc>
        <w:tc>
          <w:tcPr>
            <w:tcW w:w="160" w:type="dxa"/>
            <w:vAlign w:val="bottom"/>
            <w:tcBorders>
              <w:top w:val="single" w:sz="8" w:color="CCEEFF"/>
            </w:tcBorders>
            <w:gridSpan w:val="7"/>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auto"/>
            </w:tcBorders>
            <w:gridSpan w:val="15"/>
            <w:shd w:val="clear" w:color="auto" w:fill="CCEEFF"/>
          </w:tcPr>
          <w:p>
            <w:pPr>
              <w:spacing w:after="0" w:line="156" w:lineRule="exact"/>
              <w:rPr>
                <w:rFonts w:ascii="Arial" w:cs="Arial" w:eastAsia="Arial" w:hAnsi="Arial"/>
                <w:sz w:val="18"/>
                <w:szCs w:val="18"/>
                <w:color w:val="auto"/>
              </w:rPr>
            </w:pPr>
            <w:hyperlink r:id="rId180">
              <w:r>
                <w:rPr>
                  <w:rFonts w:ascii="Arial" w:cs="Arial" w:eastAsia="Arial" w:hAnsi="Arial"/>
                  <w:sz w:val="18"/>
                  <w:szCs w:val="18"/>
                  <w:color w:val="auto"/>
                </w:rPr>
                <w:t>Care, Inc. and Susan M. Morrison.</w:t>
              </w:r>
            </w:hyperlink>
          </w:p>
        </w:tc>
        <w:tc>
          <w:tcPr>
            <w:tcW w:w="340" w:type="dxa"/>
            <w:vAlign w:val="bottom"/>
            <w:tcBorders>
              <w:top w:val="single" w:sz="8" w:color="CCEEFF"/>
            </w:tcBorders>
            <w:gridSpan w:val="13"/>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10.18*</w:t>
            </w:r>
          </w:p>
        </w:tc>
        <w:tc>
          <w:tcPr>
            <w:tcW w:w="3440" w:type="dxa"/>
            <w:vAlign w:val="bottom"/>
            <w:gridSpan w:val="30"/>
          </w:tcPr>
          <w:p>
            <w:pPr>
              <w:spacing w:after="0" w:line="189" w:lineRule="exact"/>
              <w:rPr>
                <w:rFonts w:ascii="Arial" w:cs="Arial" w:eastAsia="Arial" w:hAnsi="Arial"/>
                <w:sz w:val="18"/>
                <w:szCs w:val="18"/>
                <w:color w:val="auto"/>
              </w:rPr>
            </w:pPr>
            <w:hyperlink r:id="rId181">
              <w:r>
                <w:rPr>
                  <w:rFonts w:ascii="Arial" w:cs="Arial" w:eastAsia="Arial" w:hAnsi="Arial"/>
                  <w:sz w:val="18"/>
                  <w:szCs w:val="18"/>
                  <w:color w:val="auto"/>
                </w:rPr>
                <w:t>Amended and Restated Employment</w:t>
              </w:r>
            </w:hyperlink>
          </w:p>
        </w:tc>
        <w:tc>
          <w:tcPr>
            <w:tcW w:w="11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89"/>
              </w:rPr>
              <w:t>333-222553</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8"/>
              </w:rPr>
              <w:t>16-Jan-18</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88"/>
              </w:rPr>
              <w:t>10.25</w:t>
            </w:r>
          </w:p>
        </w:tc>
      </w:tr>
      <w:tr>
        <w:trPr>
          <w:trHeight w:val="155"/>
        </w:trPr>
        <w:tc>
          <w:tcPr>
            <w:tcW w:w="1380" w:type="dxa"/>
            <w:vAlign w:val="bottom"/>
          </w:tcPr>
          <w:p>
            <w:pPr>
              <w:spacing w:after="0"/>
              <w:rPr>
                <w:sz w:val="13"/>
                <w:szCs w:val="13"/>
                <w:color w:val="auto"/>
              </w:rPr>
            </w:pPr>
          </w:p>
        </w:tc>
        <w:tc>
          <w:tcPr>
            <w:tcW w:w="2640" w:type="dxa"/>
            <w:vAlign w:val="bottom"/>
            <w:tcBorders>
              <w:top w:val="single" w:sz="8" w:color="auto"/>
            </w:tcBorders>
            <w:gridSpan w:val="13"/>
          </w:tcPr>
          <w:p>
            <w:pPr>
              <w:spacing w:after="0" w:line="156" w:lineRule="exact"/>
              <w:rPr>
                <w:rFonts w:ascii="Arial" w:cs="Arial" w:eastAsia="Arial" w:hAnsi="Arial"/>
                <w:sz w:val="18"/>
                <w:szCs w:val="18"/>
                <w:color w:val="auto"/>
                <w:w w:val="90"/>
              </w:rPr>
            </w:pPr>
            <w:hyperlink r:id="rId181">
              <w:r>
                <w:rPr>
                  <w:rFonts w:ascii="Arial" w:cs="Arial" w:eastAsia="Arial" w:hAnsi="Arial"/>
                  <w:sz w:val="18"/>
                  <w:szCs w:val="18"/>
                  <w:color w:val="auto"/>
                  <w:w w:val="90"/>
                </w:rPr>
                <w:t>Severance Agreement dated August</w:t>
              </w:r>
            </w:hyperlink>
          </w:p>
        </w:tc>
        <w:tc>
          <w:tcPr>
            <w:tcW w:w="800" w:type="dxa"/>
            <w:vAlign w:val="bottom"/>
            <w:gridSpan w:val="17"/>
          </w:tcPr>
          <w:p>
            <w:pPr>
              <w:jc w:val="right"/>
              <w:ind w:right="240"/>
              <w:spacing w:after="0" w:line="156" w:lineRule="exact"/>
              <w:rPr>
                <w:rFonts w:ascii="Arial" w:cs="Arial" w:eastAsia="Arial" w:hAnsi="Arial"/>
                <w:sz w:val="18"/>
                <w:szCs w:val="18"/>
                <w:color w:val="auto"/>
                <w:w w:val="82"/>
              </w:rPr>
            </w:pPr>
            <w:hyperlink r:id="rId181">
              <w:r>
                <w:rPr>
                  <w:rFonts w:ascii="Arial" w:cs="Arial" w:eastAsia="Arial" w:hAnsi="Arial"/>
                  <w:sz w:val="18"/>
                  <w:szCs w:val="18"/>
                  <w:color w:val="auto"/>
                  <w:w w:val="82"/>
                </w:rPr>
                <w:t>2, 2017,</w:t>
              </w:r>
            </w:hyperlink>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20" w:type="dxa"/>
            <w:vAlign w:val="bottom"/>
            <w:tcBorders>
              <w:top w:val="single" w:sz="8" w:color="auto"/>
            </w:tcBorders>
            <w:gridSpan w:val="28"/>
          </w:tcPr>
          <w:p>
            <w:pPr>
              <w:spacing w:after="0" w:line="156" w:lineRule="exact"/>
              <w:rPr>
                <w:rFonts w:ascii="Arial" w:cs="Arial" w:eastAsia="Arial" w:hAnsi="Arial"/>
                <w:sz w:val="18"/>
                <w:szCs w:val="18"/>
                <w:color w:val="auto"/>
                <w:w w:val="89"/>
              </w:rPr>
            </w:pPr>
            <w:hyperlink r:id="rId181">
              <w:r>
                <w:rPr>
                  <w:rFonts w:ascii="Arial" w:cs="Arial" w:eastAsia="Arial" w:hAnsi="Arial"/>
                  <w:sz w:val="18"/>
                  <w:szCs w:val="18"/>
                  <w:color w:val="auto"/>
                  <w:w w:val="89"/>
                </w:rPr>
                <w:t>by and between Tandem Diabetes Care, Inc.</w:t>
              </w:r>
            </w:hyperlink>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180" w:type="dxa"/>
            <w:vAlign w:val="bottom"/>
            <w:tcBorders>
              <w:top w:val="single" w:sz="8" w:color="auto"/>
            </w:tcBorders>
            <w:gridSpan w:val="26"/>
          </w:tcPr>
          <w:p>
            <w:pPr>
              <w:spacing w:after="0" w:line="156" w:lineRule="exact"/>
              <w:rPr>
                <w:rFonts w:ascii="Arial" w:cs="Arial" w:eastAsia="Arial" w:hAnsi="Arial"/>
                <w:sz w:val="18"/>
                <w:szCs w:val="18"/>
                <w:color w:val="auto"/>
              </w:rPr>
            </w:pPr>
            <w:hyperlink r:id="rId181">
              <w:r>
                <w:rPr>
                  <w:rFonts w:ascii="Arial" w:cs="Arial" w:eastAsia="Arial" w:hAnsi="Arial"/>
                  <w:sz w:val="18"/>
                  <w:szCs w:val="18"/>
                  <w:color w:val="auto"/>
                </w:rPr>
                <w:t>and Leigh Vosseller.</w:t>
              </w:r>
            </w:hyperlink>
          </w:p>
        </w:tc>
        <w:tc>
          <w:tcPr>
            <w:tcW w:w="26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10"/>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10.19*</w:t>
            </w:r>
          </w:p>
        </w:tc>
        <w:tc>
          <w:tcPr>
            <w:tcW w:w="3440" w:type="dxa"/>
            <w:vAlign w:val="bottom"/>
            <w:gridSpan w:val="30"/>
            <w:shd w:val="clear" w:color="auto" w:fill="CCEEFF"/>
          </w:tcPr>
          <w:p>
            <w:pPr>
              <w:spacing w:after="0" w:line="189" w:lineRule="exact"/>
              <w:rPr>
                <w:rFonts w:ascii="Arial" w:cs="Arial" w:eastAsia="Arial" w:hAnsi="Arial"/>
                <w:sz w:val="18"/>
                <w:szCs w:val="18"/>
                <w:color w:val="auto"/>
              </w:rPr>
            </w:pPr>
            <w:hyperlink r:id="rId182">
              <w:r>
                <w:rPr>
                  <w:rFonts w:ascii="Arial" w:cs="Arial" w:eastAsia="Arial" w:hAnsi="Arial"/>
                  <w:sz w:val="18"/>
                  <w:szCs w:val="18"/>
                  <w:color w:val="auto"/>
                </w:rPr>
                <w:t>Form of Indemnification Agreement.</w:t>
              </w:r>
            </w:hyperlink>
          </w:p>
        </w:tc>
        <w:tc>
          <w:tcPr>
            <w:tcW w:w="116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2"/>
              </w:rPr>
              <w:t>S-1</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7-Oct-13</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10.11</w:t>
            </w:r>
          </w:p>
        </w:tc>
      </w:tr>
      <w:tr>
        <w:trPr>
          <w:trHeight w:val="850"/>
        </w:trPr>
        <w:tc>
          <w:tcPr>
            <w:tcW w:w="13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123</w:t>
            </w:r>
          </w:p>
        </w:tc>
        <w:tc>
          <w:tcPr>
            <w:tcW w:w="134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10.20</w:t>
            </w:r>
          </w:p>
        </w:tc>
        <w:tc>
          <w:tcPr>
            <w:tcW w:w="3480" w:type="dxa"/>
            <w:vAlign w:val="bottom"/>
            <w:gridSpan w:val="38"/>
          </w:tcPr>
          <w:p>
            <w:pPr>
              <w:spacing w:after="0"/>
              <w:rPr>
                <w:rFonts w:ascii="Arial" w:cs="Arial" w:eastAsia="Arial" w:hAnsi="Arial"/>
                <w:sz w:val="18"/>
                <w:szCs w:val="18"/>
                <w:color w:val="auto"/>
              </w:rPr>
            </w:pPr>
            <w:hyperlink r:id="rId185">
              <w:r>
                <w:rPr>
                  <w:rFonts w:ascii="Arial" w:cs="Arial" w:eastAsia="Arial" w:hAnsi="Arial"/>
                  <w:sz w:val="18"/>
                  <w:szCs w:val="18"/>
                  <w:color w:val="auto"/>
                </w:rPr>
                <w:t>Confidential Intellectual Property</w:t>
              </w:r>
            </w:hyperlink>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4"/>
              </w:rPr>
              <w:t>8-Nov-13</w:t>
            </w:r>
          </w:p>
        </w:tc>
        <w:tc>
          <w:tcPr>
            <w:tcW w:w="2440" w:type="dxa"/>
            <w:vAlign w:val="bottom"/>
          </w:tcPr>
          <w:p>
            <w:pPr>
              <w:jc w:val="center"/>
              <w:ind w:right="1250"/>
              <w:spacing w:after="0"/>
              <w:rPr>
                <w:sz w:val="20"/>
                <w:szCs w:val="20"/>
                <w:color w:val="auto"/>
              </w:rPr>
            </w:pPr>
            <w:r>
              <w:rPr>
                <w:rFonts w:ascii="Arial" w:cs="Arial" w:eastAsia="Arial" w:hAnsi="Arial"/>
                <w:sz w:val="18"/>
                <w:szCs w:val="18"/>
                <w:color w:val="auto"/>
                <w:w w:val="93"/>
              </w:rPr>
              <w:t>10.20</w:t>
            </w:r>
          </w:p>
        </w:tc>
      </w:tr>
      <w:tr>
        <w:trPr>
          <w:trHeight w:val="156"/>
        </w:trPr>
        <w:tc>
          <w:tcPr>
            <w:tcW w:w="1380" w:type="dxa"/>
            <w:vAlign w:val="bottom"/>
          </w:tcPr>
          <w:p>
            <w:pPr>
              <w:spacing w:after="0"/>
              <w:rPr>
                <w:sz w:val="13"/>
                <w:szCs w:val="13"/>
                <w:color w:val="auto"/>
              </w:rPr>
            </w:pPr>
          </w:p>
        </w:tc>
        <w:tc>
          <w:tcPr>
            <w:tcW w:w="2420" w:type="dxa"/>
            <w:vAlign w:val="bottom"/>
            <w:tcBorders>
              <w:top w:val="single" w:sz="8" w:color="auto"/>
            </w:tcBorders>
            <w:gridSpan w:val="9"/>
          </w:tcPr>
          <w:p>
            <w:pPr>
              <w:spacing w:after="0" w:line="156" w:lineRule="exact"/>
              <w:rPr>
                <w:rFonts w:ascii="Arial" w:cs="Arial" w:eastAsia="Arial" w:hAnsi="Arial"/>
                <w:sz w:val="18"/>
                <w:szCs w:val="18"/>
                <w:color w:val="auto"/>
                <w:w w:val="92"/>
              </w:rPr>
            </w:pPr>
            <w:hyperlink r:id="rId185">
              <w:r>
                <w:rPr>
                  <w:rFonts w:ascii="Arial" w:cs="Arial" w:eastAsia="Arial" w:hAnsi="Arial"/>
                  <w:sz w:val="18"/>
                  <w:szCs w:val="18"/>
                  <w:color w:val="auto"/>
                  <w:w w:val="92"/>
                </w:rPr>
                <w:t>Agreement, dated July 10, 2012,</w:t>
              </w:r>
            </w:hyperlink>
          </w:p>
        </w:tc>
        <w:tc>
          <w:tcPr>
            <w:tcW w:w="1060" w:type="dxa"/>
            <w:vAlign w:val="bottom"/>
            <w:gridSpan w:val="29"/>
          </w:tcPr>
          <w:p>
            <w:pPr>
              <w:spacing w:after="0" w:line="156" w:lineRule="exact"/>
              <w:rPr>
                <w:rFonts w:ascii="Arial" w:cs="Arial" w:eastAsia="Arial" w:hAnsi="Arial"/>
                <w:sz w:val="18"/>
                <w:szCs w:val="18"/>
                <w:color w:val="auto"/>
              </w:rPr>
            </w:pPr>
            <w:hyperlink r:id="rId185">
              <w:r>
                <w:rPr>
                  <w:rFonts w:ascii="Arial" w:cs="Arial" w:eastAsia="Arial" w:hAnsi="Arial"/>
                  <w:sz w:val="18"/>
                  <w:szCs w:val="18"/>
                  <w:color w:val="auto"/>
                </w:rPr>
                <w:t>by and</w:t>
              </w:r>
            </w:hyperlink>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3480" w:type="dxa"/>
            <w:vAlign w:val="bottom"/>
            <w:gridSpan w:val="38"/>
          </w:tcPr>
          <w:p>
            <w:pPr>
              <w:spacing w:after="0" w:line="156" w:lineRule="exact"/>
              <w:rPr>
                <w:rFonts w:ascii="Arial" w:cs="Arial" w:eastAsia="Arial" w:hAnsi="Arial"/>
                <w:sz w:val="18"/>
                <w:szCs w:val="18"/>
                <w:color w:val="auto"/>
              </w:rPr>
            </w:pPr>
            <w:hyperlink r:id="rId185">
              <w:r>
                <w:rPr>
                  <w:rFonts w:ascii="Arial" w:cs="Arial" w:eastAsia="Arial" w:hAnsi="Arial"/>
                  <w:sz w:val="18"/>
                  <w:szCs w:val="18"/>
                  <w:color w:val="auto"/>
                </w:rPr>
                <w:t>between Tandem Diabetes Care, Inc. and</w:t>
              </w:r>
            </w:hyperlink>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940" w:type="dxa"/>
            <w:vAlign w:val="bottom"/>
            <w:tcBorders>
              <w:top w:val="single" w:sz="8" w:color="auto"/>
            </w:tcBorders>
            <w:gridSpan w:val="18"/>
          </w:tcPr>
          <w:p>
            <w:pPr>
              <w:spacing w:after="0" w:line="156" w:lineRule="exact"/>
              <w:rPr>
                <w:rFonts w:ascii="Arial" w:cs="Arial" w:eastAsia="Arial" w:hAnsi="Arial"/>
                <w:sz w:val="18"/>
                <w:szCs w:val="18"/>
                <w:color w:val="auto"/>
              </w:rPr>
            </w:pPr>
            <w:hyperlink r:id="rId185">
              <w:r>
                <w:rPr>
                  <w:rFonts w:ascii="Arial" w:cs="Arial" w:eastAsia="Arial" w:hAnsi="Arial"/>
                  <w:sz w:val="18"/>
                  <w:szCs w:val="18"/>
                  <w:color w:val="auto"/>
                </w:rPr>
                <w:t>Smiths Medical ASD,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8"/>
              </w:rPr>
              <w:t>10.21**</w:t>
            </w:r>
          </w:p>
        </w:tc>
        <w:tc>
          <w:tcPr>
            <w:tcW w:w="3480" w:type="dxa"/>
            <w:vAlign w:val="bottom"/>
            <w:gridSpan w:val="38"/>
            <w:shd w:val="clear" w:color="auto" w:fill="CCEEFF"/>
          </w:tcPr>
          <w:p>
            <w:pPr>
              <w:spacing w:after="0" w:line="189" w:lineRule="exact"/>
              <w:rPr>
                <w:rFonts w:ascii="Arial" w:cs="Arial" w:eastAsia="Arial" w:hAnsi="Arial"/>
                <w:sz w:val="18"/>
                <w:szCs w:val="18"/>
                <w:color w:val="auto"/>
              </w:rPr>
            </w:pPr>
            <w:hyperlink r:id="rId186">
              <w:r>
                <w:rPr>
                  <w:rFonts w:ascii="Arial" w:cs="Arial" w:eastAsia="Arial" w:hAnsi="Arial"/>
                  <w:sz w:val="18"/>
                  <w:szCs w:val="18"/>
                  <w:color w:val="auto"/>
                </w:rPr>
                <w:t>Amended and Restated Development and</w:t>
              </w:r>
            </w:hyperlink>
          </w:p>
        </w:tc>
        <w:tc>
          <w:tcPr>
            <w:tcW w:w="11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2"/>
              </w:rPr>
              <w:t>29-Oct-15</w:t>
            </w:r>
          </w:p>
        </w:tc>
        <w:tc>
          <w:tcPr>
            <w:tcW w:w="2440" w:type="dxa"/>
            <w:vAlign w:val="bottom"/>
            <w:shd w:val="clear" w:color="auto" w:fill="CCEEFF"/>
          </w:tcPr>
          <w:p>
            <w:pPr>
              <w:jc w:val="center"/>
              <w:ind w:right="1250"/>
              <w:spacing w:after="0" w:line="189" w:lineRule="exact"/>
              <w:rPr>
                <w:sz w:val="20"/>
                <w:szCs w:val="20"/>
                <w:color w:val="auto"/>
              </w:rPr>
            </w:pPr>
            <w:r>
              <w:rPr>
                <w:rFonts w:ascii="Arial" w:cs="Arial" w:eastAsia="Arial" w:hAnsi="Arial"/>
                <w:sz w:val="18"/>
                <w:szCs w:val="18"/>
                <w:color w:val="auto"/>
                <w:w w:val="85"/>
              </w:rPr>
              <w:t>10.1</w:t>
            </w: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2720" w:type="dxa"/>
            <w:vAlign w:val="bottom"/>
            <w:tcBorders>
              <w:top w:val="single" w:sz="8" w:color="auto"/>
              <w:bottom w:val="single" w:sz="8" w:color="auto"/>
            </w:tcBorders>
            <w:gridSpan w:val="14"/>
            <w:shd w:val="clear" w:color="auto" w:fill="CCEEFF"/>
          </w:tcPr>
          <w:p>
            <w:pPr>
              <w:spacing w:after="0" w:line="156" w:lineRule="exact"/>
              <w:rPr>
                <w:rFonts w:ascii="Arial" w:cs="Arial" w:eastAsia="Arial" w:hAnsi="Arial"/>
                <w:sz w:val="18"/>
                <w:szCs w:val="18"/>
                <w:color w:val="auto"/>
                <w:w w:val="91"/>
              </w:rPr>
            </w:pPr>
            <w:hyperlink r:id="rId186">
              <w:r>
                <w:rPr>
                  <w:rFonts w:ascii="Arial" w:cs="Arial" w:eastAsia="Arial" w:hAnsi="Arial"/>
                  <w:sz w:val="18"/>
                  <w:szCs w:val="18"/>
                  <w:color w:val="auto"/>
                  <w:w w:val="91"/>
                </w:rPr>
                <w:t>Commercialization Agreement, dated</w:t>
              </w:r>
            </w:hyperlink>
          </w:p>
        </w:tc>
        <w:tc>
          <w:tcPr>
            <w:tcW w:w="280" w:type="dxa"/>
            <w:vAlign w:val="bottom"/>
            <w:tcBorders>
              <w:top w:val="single" w:sz="8" w:color="auto"/>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24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3480" w:type="dxa"/>
            <w:vAlign w:val="bottom"/>
            <w:gridSpan w:val="38"/>
            <w:shd w:val="clear" w:color="auto" w:fill="CCEEFF"/>
          </w:tcPr>
          <w:p>
            <w:pPr>
              <w:spacing w:after="0" w:line="156" w:lineRule="exact"/>
              <w:rPr>
                <w:rFonts w:ascii="Arial" w:cs="Arial" w:eastAsia="Arial" w:hAnsi="Arial"/>
                <w:sz w:val="18"/>
                <w:szCs w:val="18"/>
                <w:color w:val="auto"/>
              </w:rPr>
            </w:pPr>
            <w:hyperlink r:id="rId186">
              <w:r>
                <w:rPr>
                  <w:rFonts w:ascii="Arial" w:cs="Arial" w:eastAsia="Arial" w:hAnsi="Arial"/>
                  <w:sz w:val="18"/>
                  <w:szCs w:val="18"/>
                  <w:color w:val="auto"/>
                </w:rPr>
                <w:t>January 4, 2013, by and between Tandem</w:t>
              </w:r>
            </w:hyperlink>
          </w:p>
        </w:tc>
        <w:tc>
          <w:tcPr>
            <w:tcW w:w="1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740" w:type="dxa"/>
            <w:vAlign w:val="bottom"/>
            <w:tcBorders>
              <w:top w:val="single" w:sz="8" w:color="auto"/>
              <w:bottom w:val="single" w:sz="8" w:color="auto"/>
            </w:tcBorders>
            <w:gridSpan w:val="15"/>
            <w:shd w:val="clear" w:color="auto" w:fill="CCEEFF"/>
          </w:tcPr>
          <w:p>
            <w:pPr>
              <w:spacing w:after="0" w:line="156" w:lineRule="exact"/>
              <w:rPr>
                <w:rFonts w:ascii="Arial" w:cs="Arial" w:eastAsia="Arial" w:hAnsi="Arial"/>
                <w:sz w:val="18"/>
                <w:szCs w:val="18"/>
                <w:color w:val="auto"/>
                <w:w w:val="89"/>
              </w:rPr>
            </w:pPr>
            <w:hyperlink r:id="rId186">
              <w:r>
                <w:rPr>
                  <w:rFonts w:ascii="Arial" w:cs="Arial" w:eastAsia="Arial" w:hAnsi="Arial"/>
                  <w:sz w:val="18"/>
                  <w:szCs w:val="18"/>
                  <w:color w:val="auto"/>
                  <w:w w:val="89"/>
                </w:rPr>
                <w:t>Diabetes Care, Inc. and DexCom, Inc.</w:t>
              </w:r>
            </w:hyperlink>
          </w:p>
        </w:tc>
        <w:tc>
          <w:tcPr>
            <w:tcW w:w="240" w:type="dxa"/>
            <w:vAlign w:val="bottom"/>
            <w:tcBorders>
              <w:top w:val="single" w:sz="8" w:color="auto"/>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8"/>
              </w:rPr>
              <w:t>10.22**</w:t>
            </w:r>
          </w:p>
        </w:tc>
        <w:tc>
          <w:tcPr>
            <w:tcW w:w="3480" w:type="dxa"/>
            <w:vAlign w:val="bottom"/>
            <w:gridSpan w:val="38"/>
          </w:tcPr>
          <w:p>
            <w:pPr>
              <w:spacing w:after="0" w:line="189" w:lineRule="exact"/>
              <w:rPr>
                <w:rFonts w:ascii="Arial" w:cs="Arial" w:eastAsia="Arial" w:hAnsi="Arial"/>
                <w:sz w:val="18"/>
                <w:szCs w:val="18"/>
                <w:color w:val="auto"/>
                <w:w w:val="96"/>
              </w:rPr>
            </w:pPr>
            <w:hyperlink r:id="rId187">
              <w:r>
                <w:rPr>
                  <w:rFonts w:ascii="Arial" w:cs="Arial" w:eastAsia="Arial" w:hAnsi="Arial"/>
                  <w:sz w:val="18"/>
                  <w:szCs w:val="18"/>
                  <w:color w:val="auto"/>
                  <w:w w:val="96"/>
                </w:rPr>
                <w:t>Amendment No. 1 to Amended and Restated</w:t>
              </w:r>
            </w:hyperlink>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2"/>
              </w:rPr>
              <w:t>29-Oct-15</w:t>
            </w:r>
          </w:p>
        </w:tc>
        <w:tc>
          <w:tcPr>
            <w:tcW w:w="2440" w:type="dxa"/>
            <w:vAlign w:val="bottom"/>
          </w:tcPr>
          <w:p>
            <w:pPr>
              <w:jc w:val="center"/>
              <w:ind w:right="1250"/>
              <w:spacing w:after="0" w:line="189" w:lineRule="exact"/>
              <w:rPr>
                <w:sz w:val="20"/>
                <w:szCs w:val="20"/>
                <w:color w:val="auto"/>
              </w:rPr>
            </w:pPr>
            <w:r>
              <w:rPr>
                <w:rFonts w:ascii="Arial" w:cs="Arial" w:eastAsia="Arial" w:hAnsi="Arial"/>
                <w:sz w:val="18"/>
                <w:szCs w:val="18"/>
                <w:color w:val="auto"/>
                <w:w w:val="85"/>
              </w:rPr>
              <w:t>10.2</w:t>
            </w:r>
          </w:p>
        </w:tc>
      </w:tr>
      <w:tr>
        <w:trPr>
          <w:trHeight w:val="155"/>
        </w:trPr>
        <w:tc>
          <w:tcPr>
            <w:tcW w:w="1380" w:type="dxa"/>
            <w:vAlign w:val="bottom"/>
          </w:tcPr>
          <w:p>
            <w:pPr>
              <w:spacing w:after="0"/>
              <w:rPr>
                <w:sz w:val="13"/>
                <w:szCs w:val="13"/>
                <w:color w:val="auto"/>
              </w:rPr>
            </w:pPr>
          </w:p>
        </w:tc>
        <w:tc>
          <w:tcPr>
            <w:tcW w:w="2700" w:type="dxa"/>
            <w:vAlign w:val="bottom"/>
            <w:tcBorders>
              <w:top w:val="single" w:sz="8" w:color="auto"/>
              <w:bottom w:val="single" w:sz="8" w:color="auto"/>
            </w:tcBorders>
            <w:gridSpan w:val="13"/>
          </w:tcPr>
          <w:p>
            <w:pPr>
              <w:spacing w:after="0" w:line="156" w:lineRule="exact"/>
              <w:rPr>
                <w:rFonts w:ascii="Arial" w:cs="Arial" w:eastAsia="Arial" w:hAnsi="Arial"/>
                <w:sz w:val="18"/>
                <w:szCs w:val="18"/>
                <w:color w:val="auto"/>
                <w:w w:val="91"/>
              </w:rPr>
            </w:pPr>
            <w:hyperlink r:id="rId187">
              <w:r>
                <w:rPr>
                  <w:rFonts w:ascii="Arial" w:cs="Arial" w:eastAsia="Arial" w:hAnsi="Arial"/>
                  <w:sz w:val="18"/>
                  <w:szCs w:val="18"/>
                  <w:color w:val="auto"/>
                  <w:w w:val="91"/>
                </w:rPr>
                <w:t>Development and Commercialization</w:t>
              </w:r>
            </w:hyperlink>
          </w:p>
        </w:tc>
        <w:tc>
          <w:tcPr>
            <w:tcW w:w="540" w:type="dxa"/>
            <w:vAlign w:val="bottom"/>
            <w:tcBorders>
              <w:top w:val="single" w:sz="8" w:color="auto"/>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480" w:type="dxa"/>
            <w:vAlign w:val="bottom"/>
            <w:gridSpan w:val="38"/>
          </w:tcPr>
          <w:p>
            <w:pPr>
              <w:spacing w:after="0" w:line="156" w:lineRule="exact"/>
              <w:rPr>
                <w:rFonts w:ascii="Arial" w:cs="Arial" w:eastAsia="Arial" w:hAnsi="Arial"/>
                <w:sz w:val="18"/>
                <w:szCs w:val="18"/>
                <w:color w:val="auto"/>
              </w:rPr>
            </w:pPr>
            <w:hyperlink r:id="rId187">
              <w:r>
                <w:rPr>
                  <w:rFonts w:ascii="Arial" w:cs="Arial" w:eastAsia="Arial" w:hAnsi="Arial"/>
                  <w:sz w:val="18"/>
                  <w:szCs w:val="18"/>
                  <w:color w:val="auto"/>
                </w:rPr>
                <w:t>Agreement, dated September 24, 2015, by</w:t>
              </w:r>
            </w:hyperlink>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040" w:type="dxa"/>
            <w:vAlign w:val="bottom"/>
            <w:tcBorders>
              <w:top w:val="single" w:sz="8" w:color="auto"/>
            </w:tcBorders>
            <w:gridSpan w:val="22"/>
          </w:tcPr>
          <w:p>
            <w:pPr>
              <w:spacing w:after="0" w:line="156" w:lineRule="exact"/>
              <w:rPr>
                <w:rFonts w:ascii="Arial" w:cs="Arial" w:eastAsia="Arial" w:hAnsi="Arial"/>
                <w:sz w:val="18"/>
                <w:szCs w:val="18"/>
                <w:color w:val="auto"/>
                <w:w w:val="90"/>
              </w:rPr>
            </w:pPr>
            <w:hyperlink r:id="rId187">
              <w:r>
                <w:rPr>
                  <w:rFonts w:ascii="Arial" w:cs="Arial" w:eastAsia="Arial" w:hAnsi="Arial"/>
                  <w:sz w:val="18"/>
                  <w:szCs w:val="18"/>
                  <w:color w:val="auto"/>
                  <w:w w:val="90"/>
                </w:rPr>
                <w:t>and between Tandem Diabetes Care, Inc.</w:t>
              </w:r>
            </w:hyperlink>
          </w:p>
        </w:tc>
        <w:tc>
          <w:tcPr>
            <w:tcW w:w="440" w:type="dxa"/>
            <w:vAlign w:val="bottom"/>
            <w:gridSpan w:val="16"/>
          </w:tcPr>
          <w:p>
            <w:pPr>
              <w:jc w:val="right"/>
              <w:ind w:right="220"/>
              <w:spacing w:after="0" w:line="155" w:lineRule="exact"/>
              <w:rPr>
                <w:rFonts w:ascii="Arial" w:cs="Arial" w:eastAsia="Arial" w:hAnsi="Arial"/>
                <w:sz w:val="17"/>
                <w:szCs w:val="17"/>
                <w:color w:val="auto"/>
                <w:w w:val="70"/>
              </w:rPr>
            </w:pPr>
            <w:hyperlink r:id="rId187">
              <w:r>
                <w:rPr>
                  <w:rFonts w:ascii="Arial" w:cs="Arial" w:eastAsia="Arial" w:hAnsi="Arial"/>
                  <w:sz w:val="17"/>
                  <w:szCs w:val="17"/>
                  <w:color w:val="auto"/>
                  <w:w w:val="70"/>
                </w:rPr>
                <w:t>and</w:t>
              </w:r>
            </w:hyperlink>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80" w:type="dxa"/>
            <w:vAlign w:val="bottom"/>
            <w:tcBorders>
              <w:top w:val="single" w:sz="8" w:color="auto"/>
            </w:tcBorders>
            <w:gridSpan w:val="35"/>
          </w:tcPr>
          <w:p>
            <w:pPr>
              <w:spacing w:after="0" w:line="156" w:lineRule="exact"/>
              <w:rPr>
                <w:rFonts w:ascii="Arial" w:cs="Arial" w:eastAsia="Arial" w:hAnsi="Arial"/>
                <w:sz w:val="18"/>
                <w:szCs w:val="18"/>
                <w:color w:val="auto"/>
              </w:rPr>
            </w:pPr>
            <w:hyperlink r:id="rId187">
              <w:r>
                <w:rPr>
                  <w:rFonts w:ascii="Arial" w:cs="Arial" w:eastAsia="Arial" w:hAnsi="Arial"/>
                  <w:sz w:val="18"/>
                  <w:szCs w:val="18"/>
                  <w:color w:val="auto"/>
                </w:rPr>
                <w:t>DexCom,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8"/>
              </w:rPr>
              <w:t>10.23**</w:t>
            </w:r>
          </w:p>
        </w:tc>
        <w:tc>
          <w:tcPr>
            <w:tcW w:w="3480" w:type="dxa"/>
            <w:vAlign w:val="bottom"/>
            <w:gridSpan w:val="38"/>
            <w:shd w:val="clear" w:color="auto" w:fill="CCEEFF"/>
          </w:tcPr>
          <w:p>
            <w:pPr>
              <w:spacing w:after="0" w:line="189" w:lineRule="exact"/>
              <w:rPr>
                <w:rFonts w:ascii="Arial" w:cs="Arial" w:eastAsia="Arial" w:hAnsi="Arial"/>
                <w:sz w:val="18"/>
                <w:szCs w:val="18"/>
                <w:color w:val="auto"/>
                <w:w w:val="95"/>
              </w:rPr>
            </w:pPr>
            <w:hyperlink r:id="rId188">
              <w:r>
                <w:rPr>
                  <w:rFonts w:ascii="Arial" w:cs="Arial" w:eastAsia="Arial" w:hAnsi="Arial"/>
                  <w:sz w:val="18"/>
                  <w:szCs w:val="18"/>
                  <w:color w:val="auto"/>
                  <w:w w:val="95"/>
                </w:rPr>
                <w:t>Development Agreement, dated June 4, 2015</w:t>
              </w:r>
            </w:hyperlink>
          </w:p>
        </w:tc>
        <w:tc>
          <w:tcPr>
            <w:tcW w:w="11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4"/>
              </w:rPr>
              <w:t>10-Q/A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4"/>
              </w:rPr>
              <w:t>9-Nov-18</w:t>
            </w:r>
          </w:p>
        </w:tc>
        <w:tc>
          <w:tcPr>
            <w:tcW w:w="2440" w:type="dxa"/>
            <w:vAlign w:val="bottom"/>
            <w:shd w:val="clear" w:color="auto" w:fill="CCEEFF"/>
          </w:tcPr>
          <w:p>
            <w:pPr>
              <w:jc w:val="center"/>
              <w:ind w:right="1250"/>
              <w:spacing w:after="0" w:line="189" w:lineRule="exact"/>
              <w:rPr>
                <w:sz w:val="20"/>
                <w:szCs w:val="20"/>
                <w:color w:val="auto"/>
              </w:rPr>
            </w:pPr>
            <w:r>
              <w:rPr>
                <w:rFonts w:ascii="Arial" w:cs="Arial" w:eastAsia="Arial" w:hAnsi="Arial"/>
                <w:sz w:val="18"/>
                <w:szCs w:val="18"/>
                <w:color w:val="auto"/>
                <w:w w:val="85"/>
              </w:rPr>
              <w:t>10.5</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260" w:type="dxa"/>
            <w:vAlign w:val="bottom"/>
            <w:tcBorders>
              <w:top w:val="single" w:sz="8" w:color="auto"/>
            </w:tcBorders>
            <w:gridSpan w:val="34"/>
            <w:shd w:val="clear" w:color="auto" w:fill="CCEEFF"/>
          </w:tcPr>
          <w:p>
            <w:pPr>
              <w:spacing w:after="0" w:line="156" w:lineRule="exact"/>
              <w:rPr>
                <w:rFonts w:ascii="Arial" w:cs="Arial" w:eastAsia="Arial" w:hAnsi="Arial"/>
                <w:sz w:val="18"/>
                <w:szCs w:val="18"/>
                <w:color w:val="auto"/>
                <w:w w:val="90"/>
              </w:rPr>
            </w:pPr>
            <w:hyperlink r:id="rId188">
              <w:r>
                <w:rPr>
                  <w:rFonts w:ascii="Arial" w:cs="Arial" w:eastAsia="Arial" w:hAnsi="Arial"/>
                  <w:sz w:val="18"/>
                  <w:szCs w:val="18"/>
                  <w:color w:val="auto"/>
                  <w:w w:val="90"/>
                </w:rPr>
                <w:t>by and between Tandem Diabetes Care, Inc.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4"/>
            <w:shd w:val="clear" w:color="auto" w:fill="CCEEFF"/>
          </w:tcPr>
          <w:p>
            <w:pPr>
              <w:spacing w:after="0" w:line="156" w:lineRule="exact"/>
              <w:rPr>
                <w:rFonts w:ascii="Arial" w:cs="Arial" w:eastAsia="Arial" w:hAnsi="Arial"/>
                <w:sz w:val="18"/>
                <w:szCs w:val="18"/>
                <w:color w:val="auto"/>
                <w:w w:val="90"/>
              </w:rPr>
            </w:pPr>
            <w:hyperlink r:id="rId188">
              <w:r>
                <w:rPr>
                  <w:rFonts w:ascii="Arial" w:cs="Arial" w:eastAsia="Arial" w:hAnsi="Arial"/>
                  <w:sz w:val="18"/>
                  <w:szCs w:val="18"/>
                  <w:color w:val="auto"/>
                  <w:w w:val="90"/>
                </w:rPr>
                <w:t>and DexCom, Inc.</w:t>
              </w:r>
            </w:hyperlink>
          </w:p>
        </w:tc>
        <w:tc>
          <w:tcPr>
            <w:tcW w:w="1860" w:type="dxa"/>
            <w:vAlign w:val="bottom"/>
            <w:tcBorders>
              <w:top w:val="single" w:sz="8" w:color="auto"/>
              <w:bottom w:val="single" w:sz="8" w:color="CCEEFF"/>
            </w:tcBorders>
            <w:gridSpan w:val="2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10.24†</w:t>
            </w:r>
          </w:p>
        </w:tc>
        <w:tc>
          <w:tcPr>
            <w:tcW w:w="3480" w:type="dxa"/>
            <w:vAlign w:val="bottom"/>
            <w:gridSpan w:val="38"/>
          </w:tcPr>
          <w:p>
            <w:pPr>
              <w:spacing w:after="0" w:line="189" w:lineRule="exact"/>
              <w:rPr>
                <w:rFonts w:ascii="Arial" w:cs="Arial" w:eastAsia="Arial" w:hAnsi="Arial"/>
                <w:sz w:val="18"/>
                <w:szCs w:val="18"/>
                <w:color w:val="auto"/>
              </w:rPr>
            </w:pPr>
            <w:hyperlink r:id="rId189">
              <w:r>
                <w:rPr>
                  <w:rFonts w:ascii="Arial" w:cs="Arial" w:eastAsia="Arial" w:hAnsi="Arial"/>
                  <w:sz w:val="18"/>
                  <w:szCs w:val="18"/>
                  <w:color w:val="auto"/>
                </w:rPr>
                <w:t>Development Agreement, dated November</w:t>
              </w:r>
            </w:hyperlink>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9"/>
              </w:rPr>
              <w:t>24-Feb-21</w:t>
            </w:r>
          </w:p>
        </w:tc>
        <w:tc>
          <w:tcPr>
            <w:tcW w:w="2440" w:type="dxa"/>
            <w:vAlign w:val="bottom"/>
          </w:tcPr>
          <w:p>
            <w:pPr>
              <w:jc w:val="center"/>
              <w:ind w:right="1250"/>
              <w:spacing w:after="0" w:line="189" w:lineRule="exact"/>
              <w:rPr>
                <w:sz w:val="20"/>
                <w:szCs w:val="20"/>
                <w:color w:val="auto"/>
              </w:rPr>
            </w:pPr>
            <w:r>
              <w:rPr>
                <w:rFonts w:ascii="Arial" w:cs="Arial" w:eastAsia="Arial" w:hAnsi="Arial"/>
                <w:sz w:val="18"/>
                <w:szCs w:val="18"/>
                <w:color w:val="auto"/>
                <w:w w:val="93"/>
              </w:rPr>
              <w:t>10.24</w:t>
            </w:r>
          </w:p>
        </w:tc>
      </w:tr>
      <w:tr>
        <w:trPr>
          <w:trHeight w:val="169"/>
        </w:trPr>
        <w:tc>
          <w:tcPr>
            <w:tcW w:w="1380" w:type="dxa"/>
            <w:vAlign w:val="bottom"/>
          </w:tcPr>
          <w:p>
            <w:pPr>
              <w:spacing w:after="0"/>
              <w:rPr>
                <w:sz w:val="14"/>
                <w:szCs w:val="14"/>
                <w:color w:val="auto"/>
              </w:rPr>
            </w:pPr>
          </w:p>
        </w:tc>
        <w:tc>
          <w:tcPr>
            <w:tcW w:w="3120" w:type="dxa"/>
            <w:vAlign w:val="bottom"/>
            <w:tcBorders>
              <w:top w:val="single" w:sz="8" w:color="auto"/>
              <w:bottom w:val="single" w:sz="8" w:color="auto"/>
            </w:tcBorders>
            <w:gridSpan w:val="26"/>
          </w:tcPr>
          <w:p>
            <w:pPr>
              <w:spacing w:after="0" w:line="169" w:lineRule="exact"/>
              <w:rPr>
                <w:rFonts w:ascii="Arial" w:cs="Arial" w:eastAsia="Arial" w:hAnsi="Arial"/>
                <w:sz w:val="18"/>
                <w:szCs w:val="18"/>
                <w:color w:val="auto"/>
                <w:w w:val="87"/>
              </w:rPr>
            </w:pPr>
            <w:hyperlink r:id="rId189">
              <w:r>
                <w:rPr>
                  <w:rFonts w:ascii="Arial" w:cs="Arial" w:eastAsia="Arial" w:hAnsi="Arial"/>
                  <w:sz w:val="18"/>
                  <w:szCs w:val="18"/>
                  <w:color w:val="auto"/>
                  <w:w w:val="87"/>
                </w:rPr>
                <w:t>20, 2020, by and between Tandem Diabetes</w:t>
              </w:r>
            </w:hyperlink>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140" w:type="dxa"/>
            <w:vAlign w:val="bottom"/>
            <w:gridSpan w:val="27"/>
          </w:tcPr>
          <w:p>
            <w:pPr>
              <w:spacing w:after="0" w:line="169" w:lineRule="exact"/>
              <w:rPr>
                <w:rFonts w:ascii="Arial" w:cs="Arial" w:eastAsia="Arial" w:hAnsi="Arial"/>
                <w:sz w:val="18"/>
                <w:szCs w:val="18"/>
                <w:color w:val="auto"/>
              </w:rPr>
            </w:pPr>
            <w:hyperlink r:id="rId189">
              <w:r>
                <w:rPr>
                  <w:rFonts w:ascii="Arial" w:cs="Arial" w:eastAsia="Arial" w:hAnsi="Arial"/>
                  <w:sz w:val="18"/>
                  <w:szCs w:val="18"/>
                  <w:color w:val="auto"/>
                </w:rPr>
                <w:t>Care, Inc. and DexCom, Inc.</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4"/>
        </w:trPr>
        <w:tc>
          <w:tcPr>
            <w:tcW w:w="1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0"/>
              </w:rPr>
              <w:t>10.25†</w:t>
            </w:r>
          </w:p>
        </w:tc>
        <w:tc>
          <w:tcPr>
            <w:tcW w:w="3480" w:type="dxa"/>
            <w:vAlign w:val="bottom"/>
            <w:gridSpan w:val="38"/>
            <w:shd w:val="clear" w:color="auto" w:fill="CCEEFF"/>
          </w:tcPr>
          <w:p>
            <w:pPr>
              <w:spacing w:after="0" w:line="189" w:lineRule="exact"/>
              <w:rPr>
                <w:rFonts w:ascii="Arial" w:cs="Arial" w:eastAsia="Arial" w:hAnsi="Arial"/>
                <w:sz w:val="18"/>
                <w:szCs w:val="18"/>
                <w:color w:val="auto"/>
              </w:rPr>
            </w:pPr>
            <w:hyperlink r:id="rId190">
              <w:r>
                <w:rPr>
                  <w:rFonts w:ascii="Arial" w:cs="Arial" w:eastAsia="Arial" w:hAnsi="Arial"/>
                  <w:sz w:val="18"/>
                  <w:szCs w:val="18"/>
                  <w:color w:val="auto"/>
                </w:rPr>
                <w:t>Commercialization Agreement, dated</w:t>
              </w:r>
            </w:hyperlink>
          </w:p>
        </w:tc>
        <w:tc>
          <w:tcPr>
            <w:tcW w:w="11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9"/>
              </w:rPr>
              <w:t>24-Feb-21</w:t>
            </w:r>
          </w:p>
        </w:tc>
        <w:tc>
          <w:tcPr>
            <w:tcW w:w="2440" w:type="dxa"/>
            <w:vAlign w:val="bottom"/>
            <w:shd w:val="clear" w:color="auto" w:fill="CCEEFF"/>
          </w:tcPr>
          <w:p>
            <w:pPr>
              <w:jc w:val="center"/>
              <w:ind w:right="1250"/>
              <w:spacing w:after="0" w:line="189" w:lineRule="exact"/>
              <w:rPr>
                <w:sz w:val="20"/>
                <w:szCs w:val="20"/>
                <w:color w:val="auto"/>
              </w:rPr>
            </w:pPr>
            <w:r>
              <w:rPr>
                <w:rFonts w:ascii="Arial" w:cs="Arial" w:eastAsia="Arial" w:hAnsi="Arial"/>
                <w:sz w:val="18"/>
                <w:szCs w:val="18"/>
                <w:color w:val="auto"/>
                <w:w w:val="93"/>
              </w:rPr>
              <w:t>10.25</w:t>
            </w: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gridSpan w:val="13"/>
            <w:shd w:val="clear" w:color="auto" w:fill="CCEEFF"/>
          </w:tcPr>
          <w:p>
            <w:pPr>
              <w:spacing w:after="0" w:line="169" w:lineRule="exact"/>
              <w:rPr>
                <w:rFonts w:ascii="Arial" w:cs="Arial" w:eastAsia="Arial" w:hAnsi="Arial"/>
                <w:sz w:val="18"/>
                <w:szCs w:val="18"/>
                <w:color w:val="auto"/>
                <w:w w:val="90"/>
              </w:rPr>
            </w:pPr>
            <w:hyperlink r:id="rId190">
              <w:r>
                <w:rPr>
                  <w:rFonts w:ascii="Arial" w:cs="Arial" w:eastAsia="Arial" w:hAnsi="Arial"/>
                  <w:sz w:val="18"/>
                  <w:szCs w:val="18"/>
                  <w:color w:val="auto"/>
                  <w:w w:val="90"/>
                </w:rPr>
                <w:t>November 20, 2020, by and between</w:t>
              </w:r>
            </w:hyperlink>
          </w:p>
        </w:tc>
        <w:tc>
          <w:tcPr>
            <w:tcW w:w="180" w:type="dxa"/>
            <w:vAlign w:val="bottom"/>
            <w:tcBorders>
              <w:top w:val="single" w:sz="8" w:color="CCEEFF"/>
            </w:tcBorders>
            <w:gridSpan w:val="4"/>
            <w:shd w:val="clear" w:color="auto" w:fill="CCEEFF"/>
          </w:tcPr>
          <w:p>
            <w:pPr>
              <w:spacing w:after="0"/>
              <w:rPr>
                <w:sz w:val="14"/>
                <w:szCs w:val="14"/>
                <w:color w:val="auto"/>
              </w:rPr>
            </w:pPr>
          </w:p>
        </w:tc>
        <w:tc>
          <w:tcPr>
            <w:tcW w:w="14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CCEEFF"/>
            </w:tcBorders>
            <w:shd w:val="clear" w:color="auto" w:fill="CCEEFF"/>
          </w:tcPr>
          <w:p>
            <w:pPr>
              <w:spacing w:after="0"/>
              <w:rPr>
                <w:sz w:val="14"/>
                <w:szCs w:val="14"/>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5"/>
            <w:shd w:val="clear" w:color="auto" w:fill="CCEE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3480" w:type="dxa"/>
            <w:vAlign w:val="bottom"/>
            <w:gridSpan w:val="38"/>
            <w:shd w:val="clear" w:color="auto" w:fill="CCEEFF"/>
          </w:tcPr>
          <w:p>
            <w:pPr>
              <w:spacing w:after="0" w:line="169" w:lineRule="exact"/>
              <w:rPr>
                <w:rFonts w:ascii="Arial" w:cs="Arial" w:eastAsia="Arial" w:hAnsi="Arial"/>
                <w:sz w:val="18"/>
                <w:szCs w:val="18"/>
                <w:color w:val="auto"/>
              </w:rPr>
            </w:pPr>
            <w:hyperlink r:id="rId190">
              <w:r>
                <w:rPr>
                  <w:rFonts w:ascii="Arial" w:cs="Arial" w:eastAsia="Arial" w:hAnsi="Arial"/>
                  <w:sz w:val="18"/>
                  <w:szCs w:val="18"/>
                  <w:color w:val="auto"/>
                </w:rPr>
                <w:t>Tandem Diabetes Care, Inc. and DexCom,</w:t>
              </w:r>
            </w:hyperlink>
          </w:p>
        </w:tc>
        <w:tc>
          <w:tcPr>
            <w:tcW w:w="1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69" w:lineRule="exact"/>
              <w:rPr>
                <w:rFonts w:ascii="Arial" w:cs="Arial" w:eastAsia="Arial" w:hAnsi="Arial"/>
                <w:sz w:val="18"/>
                <w:szCs w:val="18"/>
                <w:color w:val="auto"/>
                <w:w w:val="89"/>
              </w:rPr>
            </w:pPr>
            <w:hyperlink r:id="rId190">
              <w:r>
                <w:rPr>
                  <w:rFonts w:ascii="Arial" w:cs="Arial" w:eastAsia="Arial" w:hAnsi="Arial"/>
                  <w:sz w:val="18"/>
                  <w:szCs w:val="18"/>
                  <w:color w:val="auto"/>
                  <w:w w:val="89"/>
                </w:rPr>
                <w:t>Inc.</w:t>
              </w:r>
            </w:hyperlink>
          </w:p>
        </w:tc>
        <w:tc>
          <w:tcPr>
            <w:tcW w:w="2780" w:type="dxa"/>
            <w:vAlign w:val="bottom"/>
            <w:tcBorders>
              <w:top w:val="single" w:sz="8" w:color="auto"/>
              <w:bottom w:val="single" w:sz="8" w:color="CCEEFF"/>
            </w:tcBorders>
            <w:gridSpan w:val="2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10.26</w:t>
            </w:r>
          </w:p>
        </w:tc>
        <w:tc>
          <w:tcPr>
            <w:tcW w:w="3080" w:type="dxa"/>
            <w:vAlign w:val="bottom"/>
            <w:tcBorders>
              <w:bottom w:val="single" w:sz="8" w:color="auto"/>
            </w:tcBorders>
            <w:gridSpan w:val="24"/>
          </w:tcPr>
          <w:p>
            <w:pPr>
              <w:spacing w:after="0" w:line="189" w:lineRule="exact"/>
              <w:rPr>
                <w:rFonts w:ascii="Arial" w:cs="Arial" w:eastAsia="Arial" w:hAnsi="Arial"/>
                <w:sz w:val="18"/>
                <w:szCs w:val="18"/>
                <w:color w:val="auto"/>
                <w:w w:val="88"/>
              </w:rPr>
            </w:pPr>
            <w:hyperlink r:id="rId191">
              <w:r>
                <w:rPr>
                  <w:rFonts w:ascii="Arial" w:cs="Arial" w:eastAsia="Arial" w:hAnsi="Arial"/>
                  <w:sz w:val="18"/>
                  <w:szCs w:val="18"/>
                  <w:color w:val="auto"/>
                  <w:w w:val="88"/>
                </w:rPr>
                <w:t>Lease Agreement, dated March 7, 2012, as</w:t>
              </w:r>
            </w:hyperlink>
          </w:p>
        </w:tc>
        <w:tc>
          <w:tcPr>
            <w:tcW w:w="400" w:type="dxa"/>
            <w:vAlign w:val="bottom"/>
            <w:gridSpan w:val="14"/>
          </w:tcPr>
          <w:p>
            <w:pPr>
              <w:spacing w:after="0"/>
              <w:rPr>
                <w:sz w:val="16"/>
                <w:szCs w:val="16"/>
                <w:color w:val="auto"/>
              </w:rPr>
            </w:pPr>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1"/>
              </w:rPr>
              <w:t>333-191601</w:t>
            </w:r>
          </w:p>
        </w:tc>
        <w:tc>
          <w:tcPr>
            <w:tcW w:w="146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8-Nov-13</w:t>
            </w:r>
          </w:p>
        </w:tc>
        <w:tc>
          <w:tcPr>
            <w:tcW w:w="2440" w:type="dxa"/>
            <w:vAlign w:val="bottom"/>
          </w:tcPr>
          <w:p>
            <w:pPr>
              <w:jc w:val="center"/>
              <w:ind w:right="1250"/>
              <w:spacing w:after="0" w:line="189" w:lineRule="exact"/>
              <w:rPr>
                <w:sz w:val="20"/>
                <w:szCs w:val="20"/>
                <w:color w:val="auto"/>
              </w:rPr>
            </w:pPr>
            <w:r>
              <w:rPr>
                <w:rFonts w:ascii="Arial" w:cs="Arial" w:eastAsia="Arial" w:hAnsi="Arial"/>
                <w:sz w:val="18"/>
                <w:szCs w:val="18"/>
                <w:color w:val="auto"/>
                <w:w w:val="85"/>
              </w:rPr>
              <w:t>10.1</w:t>
            </w:r>
          </w:p>
        </w:tc>
      </w:tr>
      <w:tr>
        <w:trPr>
          <w:trHeight w:val="156"/>
        </w:trPr>
        <w:tc>
          <w:tcPr>
            <w:tcW w:w="1380" w:type="dxa"/>
            <w:vAlign w:val="bottom"/>
          </w:tcPr>
          <w:p>
            <w:pPr>
              <w:spacing w:after="0"/>
              <w:rPr>
                <w:sz w:val="13"/>
                <w:szCs w:val="13"/>
                <w:color w:val="auto"/>
              </w:rPr>
            </w:pPr>
          </w:p>
        </w:tc>
        <w:tc>
          <w:tcPr>
            <w:tcW w:w="3480" w:type="dxa"/>
            <w:vAlign w:val="bottom"/>
            <w:gridSpan w:val="38"/>
          </w:tcPr>
          <w:p>
            <w:pPr>
              <w:spacing w:after="0" w:line="156" w:lineRule="exact"/>
              <w:rPr>
                <w:rFonts w:ascii="Arial" w:cs="Arial" w:eastAsia="Arial" w:hAnsi="Arial"/>
                <w:sz w:val="18"/>
                <w:szCs w:val="18"/>
                <w:color w:val="auto"/>
                <w:w w:val="96"/>
              </w:rPr>
            </w:pPr>
            <w:hyperlink r:id="rId191">
              <w:r>
                <w:rPr>
                  <w:rFonts w:ascii="Arial" w:cs="Arial" w:eastAsia="Arial" w:hAnsi="Arial"/>
                  <w:sz w:val="18"/>
                  <w:szCs w:val="18"/>
                  <w:color w:val="auto"/>
                  <w:w w:val="96"/>
                </w:rPr>
                <w:t>amended through November 5, 2013, by and</w:t>
              </w:r>
            </w:hyperlink>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20" w:type="dxa"/>
            <w:vAlign w:val="bottom"/>
            <w:tcBorders>
              <w:top w:val="single" w:sz="8" w:color="auto"/>
            </w:tcBorders>
            <w:gridSpan w:val="32"/>
          </w:tcPr>
          <w:p>
            <w:pPr>
              <w:spacing w:after="0" w:line="156" w:lineRule="exact"/>
              <w:rPr>
                <w:rFonts w:ascii="Arial" w:cs="Arial" w:eastAsia="Arial" w:hAnsi="Arial"/>
                <w:sz w:val="18"/>
                <w:szCs w:val="18"/>
                <w:color w:val="auto"/>
                <w:w w:val="96"/>
              </w:rPr>
            </w:pPr>
            <w:hyperlink r:id="rId191">
              <w:r>
                <w:rPr>
                  <w:rFonts w:ascii="Arial" w:cs="Arial" w:eastAsia="Arial" w:hAnsi="Arial"/>
                  <w:sz w:val="18"/>
                  <w:szCs w:val="18"/>
                  <w:color w:val="auto"/>
                  <w:w w:val="96"/>
                </w:rPr>
                <w:t>between Tandem Diabetes Care, Inc. and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2940" w:type="dxa"/>
            <w:vAlign w:val="bottom"/>
            <w:tcBorders>
              <w:top w:val="single" w:sz="8" w:color="auto"/>
            </w:tcBorders>
            <w:gridSpan w:val="18"/>
          </w:tcPr>
          <w:p>
            <w:pPr>
              <w:spacing w:after="0" w:line="156" w:lineRule="exact"/>
              <w:rPr>
                <w:rFonts w:ascii="Arial" w:cs="Arial" w:eastAsia="Arial" w:hAnsi="Arial"/>
                <w:sz w:val="18"/>
                <w:szCs w:val="18"/>
                <w:color w:val="auto"/>
                <w:w w:val="92"/>
              </w:rPr>
            </w:pPr>
            <w:hyperlink r:id="rId191">
              <w:r>
                <w:rPr>
                  <w:rFonts w:ascii="Arial" w:cs="Arial" w:eastAsia="Arial" w:hAnsi="Arial"/>
                  <w:sz w:val="18"/>
                  <w:szCs w:val="18"/>
                  <w:color w:val="auto"/>
                  <w:w w:val="92"/>
                </w:rPr>
                <w:t>ARE-11025/11075 Roselle Street, LLC.</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3"/>
              </w:rPr>
              <w:t>10.27</w:t>
            </w:r>
          </w:p>
        </w:tc>
        <w:tc>
          <w:tcPr>
            <w:tcW w:w="3480" w:type="dxa"/>
            <w:vAlign w:val="bottom"/>
            <w:gridSpan w:val="38"/>
            <w:shd w:val="clear" w:color="auto" w:fill="CCEEFF"/>
          </w:tcPr>
          <w:p>
            <w:pPr>
              <w:spacing w:after="0" w:line="189" w:lineRule="exact"/>
              <w:rPr>
                <w:rFonts w:ascii="Arial" w:cs="Arial" w:eastAsia="Arial" w:hAnsi="Arial"/>
                <w:sz w:val="18"/>
                <w:szCs w:val="18"/>
                <w:color w:val="auto"/>
              </w:rPr>
            </w:pPr>
            <w:hyperlink r:id="rId192">
              <w:r>
                <w:rPr>
                  <w:rFonts w:ascii="Arial" w:cs="Arial" w:eastAsia="Arial" w:hAnsi="Arial"/>
                  <w:sz w:val="18"/>
                  <w:szCs w:val="18"/>
                  <w:color w:val="auto"/>
                </w:rPr>
                <w:t>Fourth Amendment to Lease, dated</w:t>
              </w:r>
            </w:hyperlink>
          </w:p>
        </w:tc>
        <w:tc>
          <w:tcPr>
            <w:tcW w:w="114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7"/>
              </w:rPr>
              <w:t>3-Jan-18</w:t>
            </w:r>
          </w:p>
        </w:tc>
        <w:tc>
          <w:tcPr>
            <w:tcW w:w="2440" w:type="dxa"/>
            <w:vAlign w:val="bottom"/>
            <w:shd w:val="clear" w:color="auto" w:fill="CCEEFF"/>
          </w:tcPr>
          <w:p>
            <w:pPr>
              <w:jc w:val="center"/>
              <w:ind w:right="1250"/>
              <w:spacing w:after="0" w:line="189" w:lineRule="exact"/>
              <w:rPr>
                <w:sz w:val="20"/>
                <w:szCs w:val="20"/>
                <w:color w:val="auto"/>
              </w:rPr>
            </w:pPr>
            <w:r>
              <w:rPr>
                <w:rFonts w:ascii="Arial" w:cs="Arial" w:eastAsia="Arial" w:hAnsi="Arial"/>
                <w:sz w:val="18"/>
                <w:szCs w:val="18"/>
                <w:color w:val="auto"/>
                <w:w w:val="85"/>
              </w:rPr>
              <w:t>10.2</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540" w:type="dxa"/>
            <w:vAlign w:val="bottom"/>
            <w:tcBorders>
              <w:top w:val="single" w:sz="8" w:color="auto"/>
            </w:tcBorders>
            <w:gridSpan w:val="11"/>
            <w:shd w:val="clear" w:color="auto" w:fill="CCEEFF"/>
          </w:tcPr>
          <w:p>
            <w:pPr>
              <w:spacing w:after="0" w:line="156" w:lineRule="exact"/>
              <w:rPr>
                <w:rFonts w:ascii="Arial" w:cs="Arial" w:eastAsia="Arial" w:hAnsi="Arial"/>
                <w:sz w:val="18"/>
                <w:szCs w:val="18"/>
                <w:color w:val="auto"/>
                <w:w w:val="85"/>
              </w:rPr>
            </w:pPr>
            <w:hyperlink r:id="rId192">
              <w:r>
                <w:rPr>
                  <w:rFonts w:ascii="Arial" w:cs="Arial" w:eastAsia="Arial" w:hAnsi="Arial"/>
                  <w:sz w:val="18"/>
                  <w:szCs w:val="18"/>
                  <w:color w:val="auto"/>
                  <w:w w:val="85"/>
                </w:rPr>
                <w:t>December 27, 2017, by and between</w:t>
              </w:r>
            </w:hyperlink>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840" w:type="dxa"/>
            <w:vAlign w:val="bottom"/>
            <w:tcBorders>
              <w:top w:val="single" w:sz="8" w:color="CCEEFF"/>
            </w:tcBorders>
            <w:gridSpan w:val="26"/>
            <w:shd w:val="clear" w:color="auto" w:fill="CCEEFF"/>
          </w:tcPr>
          <w:p>
            <w:pPr>
              <w:jc w:val="right"/>
              <w:ind w:right="220"/>
              <w:spacing w:after="0" w:line="156" w:lineRule="exact"/>
              <w:rPr>
                <w:rFonts w:ascii="Arial" w:cs="Arial" w:eastAsia="Arial" w:hAnsi="Arial"/>
                <w:sz w:val="18"/>
                <w:szCs w:val="18"/>
                <w:color w:val="auto"/>
                <w:w w:val="90"/>
              </w:rPr>
            </w:pPr>
            <w:hyperlink r:id="rId192">
              <w:r>
                <w:rPr>
                  <w:rFonts w:ascii="Arial" w:cs="Arial" w:eastAsia="Arial" w:hAnsi="Arial"/>
                  <w:sz w:val="18"/>
                  <w:szCs w:val="18"/>
                  <w:color w:val="auto"/>
                  <w:w w:val="90"/>
                </w:rPr>
                <w:t>Tandem</w:t>
              </w:r>
            </w:hyperlink>
          </w:p>
        </w:tc>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300" w:type="dxa"/>
            <w:vAlign w:val="bottom"/>
            <w:tcBorders>
              <w:top w:val="single" w:sz="8" w:color="auto"/>
            </w:tcBorders>
            <w:gridSpan w:val="36"/>
            <w:shd w:val="clear" w:color="auto" w:fill="CCEEFF"/>
          </w:tcPr>
          <w:p>
            <w:pPr>
              <w:spacing w:after="0" w:line="156" w:lineRule="exact"/>
              <w:rPr>
                <w:rFonts w:ascii="Arial" w:cs="Arial" w:eastAsia="Arial" w:hAnsi="Arial"/>
                <w:sz w:val="18"/>
                <w:szCs w:val="18"/>
                <w:color w:val="auto"/>
                <w:w w:val="95"/>
              </w:rPr>
            </w:pPr>
            <w:hyperlink r:id="rId192">
              <w:r>
                <w:rPr>
                  <w:rFonts w:ascii="Arial" w:cs="Arial" w:eastAsia="Arial" w:hAnsi="Arial"/>
                  <w:sz w:val="18"/>
                  <w:szCs w:val="18"/>
                  <w:color w:val="auto"/>
                  <w:w w:val="95"/>
                </w:rPr>
                <w:t>Diabetes Care, Inc. and ARE-11025/11075</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gridSpan w:val="5"/>
            <w:shd w:val="clear" w:color="auto" w:fill="CCEEFF"/>
          </w:tcPr>
          <w:p>
            <w:pPr>
              <w:spacing w:after="0" w:line="156" w:lineRule="exact"/>
              <w:rPr>
                <w:rFonts w:ascii="Arial" w:cs="Arial" w:eastAsia="Arial" w:hAnsi="Arial"/>
                <w:sz w:val="18"/>
                <w:szCs w:val="18"/>
                <w:color w:val="auto"/>
                <w:w w:val="90"/>
              </w:rPr>
            </w:pPr>
            <w:hyperlink r:id="rId192">
              <w:r>
                <w:rPr>
                  <w:rFonts w:ascii="Arial" w:cs="Arial" w:eastAsia="Arial" w:hAnsi="Arial"/>
                  <w:sz w:val="18"/>
                  <w:szCs w:val="18"/>
                  <w:color w:val="auto"/>
                  <w:w w:val="90"/>
                </w:rPr>
                <w:t>Roselle Street, LLC</w:t>
              </w:r>
            </w:hyperlink>
          </w:p>
        </w:tc>
        <w:tc>
          <w:tcPr>
            <w:tcW w:w="1660" w:type="dxa"/>
            <w:vAlign w:val="bottom"/>
            <w:tcBorders>
              <w:top w:val="single" w:sz="8" w:color="auto"/>
              <w:bottom w:val="single" w:sz="8" w:color="CCEEFF"/>
            </w:tcBorders>
            <w:gridSpan w:val="20"/>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10.28</w:t>
            </w:r>
          </w:p>
        </w:tc>
        <w:tc>
          <w:tcPr>
            <w:tcW w:w="3480" w:type="dxa"/>
            <w:vAlign w:val="bottom"/>
            <w:gridSpan w:val="38"/>
          </w:tcPr>
          <w:p>
            <w:pPr>
              <w:spacing w:after="0" w:line="189" w:lineRule="exact"/>
              <w:rPr>
                <w:rFonts w:ascii="Arial" w:cs="Arial" w:eastAsia="Arial" w:hAnsi="Arial"/>
                <w:sz w:val="18"/>
                <w:szCs w:val="18"/>
                <w:color w:val="auto"/>
                <w:w w:val="97"/>
              </w:rPr>
            </w:pPr>
            <w:hyperlink r:id="rId193">
              <w:r>
                <w:rPr>
                  <w:rFonts w:ascii="Arial" w:cs="Arial" w:eastAsia="Arial" w:hAnsi="Arial"/>
                  <w:sz w:val="18"/>
                  <w:szCs w:val="18"/>
                  <w:color w:val="auto"/>
                  <w:w w:val="97"/>
                </w:rPr>
                <w:t>Lease Agreement, dated November 5, 2013,</w:t>
              </w:r>
            </w:hyperlink>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1"/>
              </w:rPr>
              <w:t>333-191601</w:t>
            </w:r>
          </w:p>
        </w:tc>
        <w:tc>
          <w:tcPr>
            <w:tcW w:w="146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8-Nov-13</w:t>
            </w:r>
          </w:p>
        </w:tc>
        <w:tc>
          <w:tcPr>
            <w:tcW w:w="2440" w:type="dxa"/>
            <w:vAlign w:val="bottom"/>
          </w:tcPr>
          <w:p>
            <w:pPr>
              <w:jc w:val="center"/>
              <w:ind w:right="1250"/>
              <w:spacing w:after="0" w:line="189" w:lineRule="exact"/>
              <w:rPr>
                <w:sz w:val="20"/>
                <w:szCs w:val="20"/>
                <w:color w:val="auto"/>
              </w:rPr>
            </w:pPr>
            <w:r>
              <w:rPr>
                <w:rFonts w:ascii="Arial" w:cs="Arial" w:eastAsia="Arial" w:hAnsi="Arial"/>
                <w:sz w:val="18"/>
                <w:szCs w:val="18"/>
                <w:color w:val="auto"/>
                <w:w w:val="93"/>
              </w:rPr>
              <w:t>10.21</w:t>
            </w:r>
          </w:p>
        </w:tc>
      </w:tr>
      <w:tr>
        <w:trPr>
          <w:trHeight w:val="155"/>
        </w:trPr>
        <w:tc>
          <w:tcPr>
            <w:tcW w:w="1380" w:type="dxa"/>
            <w:vAlign w:val="bottom"/>
          </w:tcPr>
          <w:p>
            <w:pPr>
              <w:spacing w:after="0"/>
              <w:rPr>
                <w:sz w:val="13"/>
                <w:szCs w:val="13"/>
                <w:color w:val="auto"/>
              </w:rPr>
            </w:pPr>
          </w:p>
        </w:tc>
        <w:tc>
          <w:tcPr>
            <w:tcW w:w="3220" w:type="dxa"/>
            <w:vAlign w:val="bottom"/>
            <w:tcBorders>
              <w:top w:val="single" w:sz="8" w:color="auto"/>
            </w:tcBorders>
            <w:gridSpan w:val="31"/>
          </w:tcPr>
          <w:p>
            <w:pPr>
              <w:spacing w:after="0" w:line="156" w:lineRule="exact"/>
              <w:rPr>
                <w:rFonts w:ascii="Arial" w:cs="Arial" w:eastAsia="Arial" w:hAnsi="Arial"/>
                <w:sz w:val="18"/>
                <w:szCs w:val="18"/>
                <w:color w:val="auto"/>
                <w:w w:val="89"/>
              </w:rPr>
            </w:pPr>
            <w:hyperlink r:id="rId193">
              <w:r>
                <w:rPr>
                  <w:rFonts w:ascii="Arial" w:cs="Arial" w:eastAsia="Arial" w:hAnsi="Arial"/>
                  <w:sz w:val="18"/>
                  <w:szCs w:val="18"/>
                  <w:color w:val="auto"/>
                  <w:w w:val="89"/>
                </w:rPr>
                <w:t>by and between Tandem Diabetes Care, Inc.</w:t>
              </w:r>
            </w:hyperlink>
          </w:p>
        </w:tc>
        <w:tc>
          <w:tcPr>
            <w:tcW w:w="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200" w:type="dxa"/>
            <w:vAlign w:val="bottom"/>
            <w:tcBorders>
              <w:top w:val="single" w:sz="8" w:color="auto"/>
              <w:bottom w:val="single" w:sz="8" w:color="auto"/>
            </w:tcBorders>
            <w:gridSpan w:val="30"/>
          </w:tcPr>
          <w:p>
            <w:pPr>
              <w:spacing w:after="0" w:line="156" w:lineRule="exact"/>
              <w:rPr>
                <w:rFonts w:ascii="Arial" w:cs="Arial" w:eastAsia="Arial" w:hAnsi="Arial"/>
                <w:sz w:val="18"/>
                <w:szCs w:val="18"/>
                <w:color w:val="auto"/>
                <w:w w:val="91"/>
              </w:rPr>
            </w:pPr>
            <w:hyperlink r:id="rId193">
              <w:r>
                <w:rPr>
                  <w:rFonts w:ascii="Arial" w:cs="Arial" w:eastAsia="Arial" w:hAnsi="Arial"/>
                  <w:sz w:val="18"/>
                  <w:szCs w:val="18"/>
                  <w:color w:val="auto"/>
                  <w:w w:val="91"/>
                </w:rPr>
                <w:t>and ARE-11025/11075 Roselle Street, LLC.</w:t>
              </w:r>
            </w:hyperlink>
          </w:p>
        </w:tc>
        <w:tc>
          <w:tcPr>
            <w:tcW w:w="20" w:type="dxa"/>
            <w:vAlign w:val="bottom"/>
            <w:tcBorders>
              <w:bottom w:val="single" w:sz="8" w:color="auto"/>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3"/>
              </w:rPr>
              <w:t>10.29</w:t>
            </w:r>
          </w:p>
        </w:tc>
        <w:tc>
          <w:tcPr>
            <w:tcW w:w="3480" w:type="dxa"/>
            <w:vAlign w:val="bottom"/>
            <w:gridSpan w:val="38"/>
            <w:shd w:val="clear" w:color="auto" w:fill="CCEEFF"/>
          </w:tcPr>
          <w:p>
            <w:pPr>
              <w:spacing w:after="0" w:line="189" w:lineRule="exact"/>
              <w:rPr>
                <w:rFonts w:ascii="Arial" w:cs="Arial" w:eastAsia="Arial" w:hAnsi="Arial"/>
                <w:sz w:val="18"/>
                <w:szCs w:val="18"/>
                <w:color w:val="auto"/>
                <w:w w:val="97"/>
              </w:rPr>
            </w:pPr>
            <w:hyperlink r:id="rId194">
              <w:r>
                <w:rPr>
                  <w:rFonts w:ascii="Arial" w:cs="Arial" w:eastAsia="Arial" w:hAnsi="Arial"/>
                  <w:sz w:val="18"/>
                  <w:szCs w:val="18"/>
                  <w:color w:val="auto"/>
                  <w:w w:val="97"/>
                </w:rPr>
                <w:t>First Amendment to Lease, dated December</w:t>
              </w:r>
            </w:hyperlink>
          </w:p>
        </w:tc>
        <w:tc>
          <w:tcPr>
            <w:tcW w:w="114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7"/>
              </w:rPr>
              <w:t>3-Jan-18</w:t>
            </w:r>
          </w:p>
        </w:tc>
        <w:tc>
          <w:tcPr>
            <w:tcW w:w="2440" w:type="dxa"/>
            <w:vAlign w:val="bottom"/>
            <w:shd w:val="clear" w:color="auto" w:fill="CCEEFF"/>
          </w:tcPr>
          <w:p>
            <w:pPr>
              <w:jc w:val="center"/>
              <w:ind w:right="1250"/>
              <w:spacing w:after="0" w:line="189" w:lineRule="exact"/>
              <w:rPr>
                <w:sz w:val="20"/>
                <w:szCs w:val="20"/>
                <w:color w:val="auto"/>
              </w:rPr>
            </w:pPr>
            <w:r>
              <w:rPr>
                <w:rFonts w:ascii="Arial" w:cs="Arial" w:eastAsia="Arial" w:hAnsi="Arial"/>
                <w:sz w:val="18"/>
                <w:szCs w:val="18"/>
                <w:color w:val="auto"/>
                <w:w w:val="85"/>
              </w:rPr>
              <w:t>10.1</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220" w:type="dxa"/>
            <w:vAlign w:val="bottom"/>
            <w:tcBorders>
              <w:top w:val="single" w:sz="8" w:color="auto"/>
            </w:tcBorders>
            <w:gridSpan w:val="31"/>
            <w:shd w:val="clear" w:color="auto" w:fill="CCEEFF"/>
          </w:tcPr>
          <w:p>
            <w:pPr>
              <w:spacing w:after="0" w:line="156" w:lineRule="exact"/>
              <w:rPr>
                <w:rFonts w:ascii="Arial" w:cs="Arial" w:eastAsia="Arial" w:hAnsi="Arial"/>
                <w:sz w:val="18"/>
                <w:szCs w:val="18"/>
                <w:color w:val="auto"/>
                <w:w w:val="90"/>
              </w:rPr>
            </w:pPr>
            <w:hyperlink r:id="rId194">
              <w:r>
                <w:rPr>
                  <w:rFonts w:ascii="Arial" w:cs="Arial" w:eastAsia="Arial" w:hAnsi="Arial"/>
                  <w:sz w:val="18"/>
                  <w:szCs w:val="18"/>
                  <w:color w:val="auto"/>
                  <w:w w:val="90"/>
                </w:rPr>
                <w:t>27, 2017, by and between Tandem Diabetes</w:t>
              </w:r>
            </w:hyperlink>
          </w:p>
        </w:tc>
        <w:tc>
          <w:tcPr>
            <w:tcW w:w="100" w:type="dxa"/>
            <w:vAlign w:val="bottom"/>
            <w:tcBorders>
              <w:top w:val="single" w:sz="8" w:color="CCEEFF"/>
            </w:tcBorders>
            <w:gridSpan w:val="6"/>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auto"/>
            </w:tcBorders>
            <w:gridSpan w:val="27"/>
            <w:shd w:val="clear" w:color="auto" w:fill="CCEEFF"/>
          </w:tcPr>
          <w:p>
            <w:pPr>
              <w:spacing w:after="0" w:line="156" w:lineRule="exact"/>
              <w:rPr>
                <w:rFonts w:ascii="Arial" w:cs="Arial" w:eastAsia="Arial" w:hAnsi="Arial"/>
                <w:sz w:val="18"/>
                <w:szCs w:val="18"/>
                <w:color w:val="auto"/>
                <w:w w:val="94"/>
              </w:rPr>
            </w:pPr>
            <w:hyperlink r:id="rId194">
              <w:r>
                <w:rPr>
                  <w:rFonts w:ascii="Arial" w:cs="Arial" w:eastAsia="Arial" w:hAnsi="Arial"/>
                  <w:sz w:val="18"/>
                  <w:szCs w:val="18"/>
                  <w:color w:val="auto"/>
                  <w:w w:val="94"/>
                </w:rPr>
                <w:t>Care, Inc. and ARE-11025/11075 Roselle</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9"/>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20" w:type="dxa"/>
            <w:vAlign w:val="bottom"/>
            <w:tcBorders>
              <w:top w:val="single" w:sz="8" w:color="auto"/>
            </w:tcBorders>
            <w:gridSpan w:val="21"/>
            <w:shd w:val="clear" w:color="auto" w:fill="CCEEFF"/>
          </w:tcPr>
          <w:p>
            <w:pPr>
              <w:spacing w:after="0" w:line="156" w:lineRule="exact"/>
              <w:rPr>
                <w:rFonts w:ascii="Arial" w:cs="Arial" w:eastAsia="Arial" w:hAnsi="Arial"/>
                <w:sz w:val="18"/>
                <w:szCs w:val="18"/>
                <w:color w:val="auto"/>
              </w:rPr>
            </w:pPr>
            <w:hyperlink r:id="rId194">
              <w:r>
                <w:rPr>
                  <w:rFonts w:ascii="Arial" w:cs="Arial" w:eastAsia="Arial" w:hAnsi="Arial"/>
                  <w:sz w:val="18"/>
                  <w:szCs w:val="18"/>
                  <w:color w:val="auto"/>
                </w:rPr>
                <w:t>Street, LLC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160" w:type="dxa"/>
            <w:vAlign w:val="bottom"/>
            <w:tcBorders>
              <w:top w:val="single" w:sz="8" w:color="CCEEFF"/>
            </w:tcBorders>
            <w:gridSpan w:val="9"/>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10.30</w:t>
            </w:r>
          </w:p>
        </w:tc>
        <w:tc>
          <w:tcPr>
            <w:tcW w:w="3080" w:type="dxa"/>
            <w:vAlign w:val="bottom"/>
            <w:tcBorders>
              <w:bottom w:val="single" w:sz="8" w:color="auto"/>
            </w:tcBorders>
            <w:gridSpan w:val="24"/>
          </w:tcPr>
          <w:p>
            <w:pPr>
              <w:spacing w:after="0" w:line="189" w:lineRule="exact"/>
              <w:rPr>
                <w:rFonts w:ascii="Arial" w:cs="Arial" w:eastAsia="Arial" w:hAnsi="Arial"/>
                <w:sz w:val="18"/>
                <w:szCs w:val="18"/>
                <w:color w:val="auto"/>
                <w:w w:val="88"/>
              </w:rPr>
            </w:pPr>
            <w:hyperlink r:id="rId195">
              <w:r>
                <w:rPr>
                  <w:rFonts w:ascii="Arial" w:cs="Arial" w:eastAsia="Arial" w:hAnsi="Arial"/>
                  <w:sz w:val="18"/>
                  <w:szCs w:val="18"/>
                  <w:color w:val="auto"/>
                  <w:w w:val="88"/>
                </w:rPr>
                <w:t>Lease Agreement, dated June 30, 2016, by</w:t>
              </w:r>
            </w:hyperlink>
          </w:p>
        </w:tc>
        <w:tc>
          <w:tcPr>
            <w:tcW w:w="400" w:type="dxa"/>
            <w:vAlign w:val="bottom"/>
            <w:gridSpan w:val="14"/>
          </w:tcPr>
          <w:p>
            <w:pPr>
              <w:spacing w:after="0"/>
              <w:rPr>
                <w:sz w:val="16"/>
                <w:szCs w:val="16"/>
                <w:color w:val="auto"/>
              </w:rPr>
            </w:pPr>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28-Jul-16</w:t>
            </w:r>
          </w:p>
        </w:tc>
        <w:tc>
          <w:tcPr>
            <w:tcW w:w="2440" w:type="dxa"/>
            <w:vAlign w:val="bottom"/>
          </w:tcPr>
          <w:p>
            <w:pPr>
              <w:jc w:val="center"/>
              <w:ind w:right="1250"/>
              <w:spacing w:after="0" w:line="189" w:lineRule="exact"/>
              <w:rPr>
                <w:sz w:val="20"/>
                <w:szCs w:val="20"/>
                <w:color w:val="auto"/>
              </w:rPr>
            </w:pPr>
            <w:r>
              <w:rPr>
                <w:rFonts w:ascii="Arial" w:cs="Arial" w:eastAsia="Arial" w:hAnsi="Arial"/>
                <w:sz w:val="18"/>
                <w:szCs w:val="18"/>
                <w:color w:val="auto"/>
                <w:w w:val="85"/>
              </w:rPr>
              <w:t>10.3</w:t>
            </w:r>
          </w:p>
        </w:tc>
      </w:tr>
      <w:tr>
        <w:trPr>
          <w:trHeight w:val="155"/>
        </w:trPr>
        <w:tc>
          <w:tcPr>
            <w:tcW w:w="1380" w:type="dxa"/>
            <w:vAlign w:val="bottom"/>
          </w:tcPr>
          <w:p>
            <w:pPr>
              <w:spacing w:after="0"/>
              <w:rPr>
                <w:sz w:val="13"/>
                <w:szCs w:val="13"/>
                <w:color w:val="auto"/>
              </w:rPr>
            </w:pPr>
          </w:p>
        </w:tc>
        <w:tc>
          <w:tcPr>
            <w:tcW w:w="3480" w:type="dxa"/>
            <w:vAlign w:val="bottom"/>
            <w:gridSpan w:val="38"/>
          </w:tcPr>
          <w:p>
            <w:pPr>
              <w:spacing w:after="0" w:line="156" w:lineRule="exact"/>
              <w:rPr>
                <w:rFonts w:ascii="Arial" w:cs="Arial" w:eastAsia="Arial" w:hAnsi="Arial"/>
                <w:sz w:val="18"/>
                <w:szCs w:val="18"/>
                <w:color w:val="auto"/>
                <w:w w:val="93"/>
              </w:rPr>
            </w:pPr>
            <w:hyperlink r:id="rId195">
              <w:r>
                <w:rPr>
                  <w:rFonts w:ascii="Arial" w:cs="Arial" w:eastAsia="Arial" w:hAnsi="Arial"/>
                  <w:sz w:val="18"/>
                  <w:szCs w:val="18"/>
                  <w:color w:val="auto"/>
                  <w:w w:val="93"/>
                </w:rPr>
                <w:t>and between Tandem Diabetes Care, Inc. and</w:t>
              </w:r>
            </w:hyperlink>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280" w:type="dxa"/>
            <w:vAlign w:val="bottom"/>
            <w:tcBorders>
              <w:top w:val="single" w:sz="8" w:color="auto"/>
            </w:tcBorders>
            <w:gridSpan w:val="35"/>
          </w:tcPr>
          <w:p>
            <w:pPr>
              <w:spacing w:after="0" w:line="156" w:lineRule="exact"/>
              <w:rPr>
                <w:rFonts w:ascii="Arial" w:cs="Arial" w:eastAsia="Arial" w:hAnsi="Arial"/>
                <w:sz w:val="18"/>
                <w:szCs w:val="18"/>
                <w:color w:val="auto"/>
              </w:rPr>
            </w:pPr>
            <w:hyperlink r:id="rId195">
              <w:r>
                <w:rPr>
                  <w:rFonts w:ascii="Arial" w:cs="Arial" w:eastAsia="Arial" w:hAnsi="Arial"/>
                  <w:sz w:val="18"/>
                  <w:szCs w:val="18"/>
                  <w:color w:val="auto"/>
                </w:rPr>
                <w:t>ARE-SD REGION NO. 36, LLC.</w:t>
              </w:r>
            </w:hyperlink>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3"/>
              </w:rPr>
              <w:t>10.31</w:t>
            </w:r>
          </w:p>
        </w:tc>
        <w:tc>
          <w:tcPr>
            <w:tcW w:w="3480" w:type="dxa"/>
            <w:vAlign w:val="bottom"/>
            <w:gridSpan w:val="38"/>
            <w:shd w:val="clear" w:color="auto" w:fill="CCEEFF"/>
          </w:tcPr>
          <w:p>
            <w:pPr>
              <w:spacing w:after="0" w:line="189" w:lineRule="exact"/>
              <w:rPr>
                <w:rFonts w:ascii="Arial" w:cs="Arial" w:eastAsia="Arial" w:hAnsi="Arial"/>
                <w:sz w:val="18"/>
                <w:szCs w:val="18"/>
                <w:color w:val="auto"/>
                <w:w w:val="94"/>
              </w:rPr>
            </w:pPr>
            <w:hyperlink r:id="rId196">
              <w:r>
                <w:rPr>
                  <w:rFonts w:ascii="Arial" w:cs="Arial" w:eastAsia="Arial" w:hAnsi="Arial"/>
                  <w:sz w:val="18"/>
                  <w:szCs w:val="18"/>
                  <w:color w:val="auto"/>
                  <w:w w:val="94"/>
                </w:rPr>
                <w:t>Lease Agreement, dated November 14, 2019,</w:t>
              </w:r>
            </w:hyperlink>
          </w:p>
        </w:tc>
        <w:tc>
          <w:tcPr>
            <w:tcW w:w="11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9"/>
              </w:rPr>
              <w:t>24-Feb-20</w:t>
            </w:r>
          </w:p>
        </w:tc>
        <w:tc>
          <w:tcPr>
            <w:tcW w:w="2440" w:type="dxa"/>
            <w:vAlign w:val="bottom"/>
            <w:shd w:val="clear" w:color="auto" w:fill="CCEEFF"/>
          </w:tcPr>
          <w:p>
            <w:pPr>
              <w:jc w:val="center"/>
              <w:ind w:right="1250"/>
              <w:spacing w:after="0" w:line="189" w:lineRule="exact"/>
              <w:rPr>
                <w:sz w:val="20"/>
                <w:szCs w:val="20"/>
                <w:color w:val="auto"/>
              </w:rPr>
            </w:pPr>
            <w:r>
              <w:rPr>
                <w:rFonts w:ascii="Arial" w:cs="Arial" w:eastAsia="Arial" w:hAnsi="Arial"/>
                <w:sz w:val="18"/>
                <w:szCs w:val="18"/>
                <w:color w:val="auto"/>
                <w:w w:val="93"/>
              </w:rPr>
              <w:t>10.36</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320" w:type="dxa"/>
            <w:vAlign w:val="bottom"/>
            <w:tcBorders>
              <w:top w:val="single" w:sz="8" w:color="auto"/>
            </w:tcBorders>
            <w:gridSpan w:val="37"/>
            <w:shd w:val="clear" w:color="auto" w:fill="CCEEFF"/>
          </w:tcPr>
          <w:p>
            <w:pPr>
              <w:spacing w:after="0" w:line="156" w:lineRule="exact"/>
              <w:rPr>
                <w:rFonts w:ascii="Arial" w:cs="Arial" w:eastAsia="Arial" w:hAnsi="Arial"/>
                <w:sz w:val="18"/>
                <w:szCs w:val="18"/>
                <w:color w:val="auto"/>
                <w:w w:val="92"/>
              </w:rPr>
            </w:pPr>
            <w:hyperlink r:id="rId196">
              <w:r>
                <w:rPr>
                  <w:rFonts w:ascii="Arial" w:cs="Arial" w:eastAsia="Arial" w:hAnsi="Arial"/>
                  <w:sz w:val="18"/>
                  <w:szCs w:val="18"/>
                  <w:color w:val="auto"/>
                  <w:w w:val="92"/>
                </w:rPr>
                <w:t>by and between Tandem Diabetes Care, Inc.</w:t>
              </w:r>
            </w:hyperlink>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gridSpan w:val="6"/>
            <w:shd w:val="clear" w:color="auto" w:fill="CCEEFF"/>
          </w:tcPr>
          <w:p>
            <w:pPr>
              <w:spacing w:after="0" w:line="156" w:lineRule="exact"/>
              <w:rPr>
                <w:rFonts w:ascii="Arial" w:cs="Arial" w:eastAsia="Arial" w:hAnsi="Arial"/>
                <w:sz w:val="18"/>
                <w:szCs w:val="18"/>
                <w:color w:val="auto"/>
                <w:w w:val="92"/>
              </w:rPr>
            </w:pPr>
            <w:hyperlink r:id="rId196">
              <w:r>
                <w:rPr>
                  <w:rFonts w:ascii="Arial" w:cs="Arial" w:eastAsia="Arial" w:hAnsi="Arial"/>
                  <w:sz w:val="18"/>
                  <w:szCs w:val="18"/>
                  <w:color w:val="auto"/>
                  <w:w w:val="92"/>
                </w:rPr>
                <w:t>and Ameri Shore LLC.</w:t>
              </w:r>
            </w:hyperlink>
          </w:p>
        </w:tc>
        <w:tc>
          <w:tcPr>
            <w:tcW w:w="1520" w:type="dxa"/>
            <w:vAlign w:val="bottom"/>
            <w:tcBorders>
              <w:top w:val="single" w:sz="8" w:color="auto"/>
              <w:bottom w:val="single" w:sz="8" w:color="CCEEFF"/>
            </w:tcBorders>
            <w:gridSpan w:val="23"/>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24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10.32</w:t>
            </w:r>
          </w:p>
        </w:tc>
        <w:tc>
          <w:tcPr>
            <w:tcW w:w="3480" w:type="dxa"/>
            <w:vAlign w:val="bottom"/>
            <w:gridSpan w:val="38"/>
          </w:tcPr>
          <w:p>
            <w:pPr>
              <w:spacing w:after="0" w:line="189" w:lineRule="exact"/>
              <w:rPr>
                <w:rFonts w:ascii="Arial" w:cs="Arial" w:eastAsia="Arial" w:hAnsi="Arial"/>
                <w:sz w:val="18"/>
                <w:szCs w:val="18"/>
                <w:color w:val="auto"/>
              </w:rPr>
            </w:pPr>
            <w:hyperlink r:id="rId197">
              <w:r>
                <w:rPr>
                  <w:rFonts w:ascii="Arial" w:cs="Arial" w:eastAsia="Arial" w:hAnsi="Arial"/>
                  <w:sz w:val="18"/>
                  <w:szCs w:val="18"/>
                  <w:color w:val="auto"/>
                </w:rPr>
                <w:t>Second Amendment to Lease, dated</w:t>
              </w:r>
            </w:hyperlink>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4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3"/>
              </w:rPr>
              <w:t>5-Nov-2020</w:t>
            </w:r>
          </w:p>
        </w:tc>
        <w:tc>
          <w:tcPr>
            <w:tcW w:w="2440" w:type="dxa"/>
            <w:vAlign w:val="bottom"/>
          </w:tcPr>
          <w:p>
            <w:pPr>
              <w:jc w:val="center"/>
              <w:ind w:right="1250"/>
              <w:spacing w:after="0" w:line="189" w:lineRule="exact"/>
              <w:rPr>
                <w:sz w:val="20"/>
                <w:szCs w:val="20"/>
                <w:color w:val="auto"/>
              </w:rPr>
            </w:pPr>
            <w:r>
              <w:rPr>
                <w:rFonts w:ascii="Arial" w:cs="Arial" w:eastAsia="Arial" w:hAnsi="Arial"/>
                <w:sz w:val="18"/>
                <w:szCs w:val="18"/>
                <w:color w:val="auto"/>
                <w:w w:val="85"/>
              </w:rPr>
              <w:t>10.1</w:t>
            </w:r>
          </w:p>
        </w:tc>
      </w:tr>
      <w:tr>
        <w:trPr>
          <w:trHeight w:val="169"/>
        </w:trPr>
        <w:tc>
          <w:tcPr>
            <w:tcW w:w="1380" w:type="dxa"/>
            <w:vAlign w:val="bottom"/>
          </w:tcPr>
          <w:p>
            <w:pPr>
              <w:spacing w:after="0"/>
              <w:rPr>
                <w:sz w:val="14"/>
                <w:szCs w:val="14"/>
                <w:color w:val="auto"/>
              </w:rPr>
            </w:pPr>
          </w:p>
        </w:tc>
        <w:tc>
          <w:tcPr>
            <w:tcW w:w="2640" w:type="dxa"/>
            <w:vAlign w:val="bottom"/>
            <w:tcBorders>
              <w:top w:val="single" w:sz="8" w:color="auto"/>
            </w:tcBorders>
            <w:gridSpan w:val="12"/>
          </w:tcPr>
          <w:p>
            <w:pPr>
              <w:spacing w:after="0" w:line="169" w:lineRule="exact"/>
              <w:rPr>
                <w:rFonts w:ascii="Arial" w:cs="Arial" w:eastAsia="Arial" w:hAnsi="Arial"/>
                <w:sz w:val="18"/>
                <w:szCs w:val="18"/>
                <w:color w:val="auto"/>
                <w:w w:val="91"/>
              </w:rPr>
            </w:pPr>
            <w:hyperlink r:id="rId197">
              <w:r>
                <w:rPr>
                  <w:rFonts w:ascii="Arial" w:cs="Arial" w:eastAsia="Arial" w:hAnsi="Arial"/>
                  <w:sz w:val="18"/>
                  <w:szCs w:val="18"/>
                  <w:color w:val="auto"/>
                  <w:w w:val="91"/>
                </w:rPr>
                <w:t>September 2, 2020 by and between</w:t>
              </w:r>
            </w:hyperlink>
          </w:p>
        </w:tc>
        <w:tc>
          <w:tcPr>
            <w:tcW w:w="840" w:type="dxa"/>
            <w:vAlign w:val="bottom"/>
            <w:gridSpan w:val="26"/>
          </w:tcPr>
          <w:p>
            <w:pPr>
              <w:spacing w:after="0" w:line="169" w:lineRule="exact"/>
              <w:rPr>
                <w:rFonts w:ascii="Arial" w:cs="Arial" w:eastAsia="Arial" w:hAnsi="Arial"/>
                <w:sz w:val="18"/>
                <w:szCs w:val="18"/>
                <w:color w:val="auto"/>
              </w:rPr>
            </w:pPr>
            <w:hyperlink r:id="rId197">
              <w:r>
                <w:rPr>
                  <w:rFonts w:ascii="Arial" w:cs="Arial" w:eastAsia="Arial" w:hAnsi="Arial"/>
                  <w:sz w:val="18"/>
                  <w:szCs w:val="18"/>
                  <w:color w:val="auto"/>
                </w:rPr>
                <w:t>Tandem</w:t>
              </w:r>
            </w:hyperlink>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160" w:type="dxa"/>
            <w:vAlign w:val="bottom"/>
            <w:tcBorders>
              <w:top w:val="single" w:sz="8" w:color="auto"/>
            </w:tcBorders>
            <w:gridSpan w:val="28"/>
          </w:tcPr>
          <w:p>
            <w:pPr>
              <w:spacing w:after="0" w:line="169" w:lineRule="exact"/>
              <w:rPr>
                <w:rFonts w:ascii="Arial" w:cs="Arial" w:eastAsia="Arial" w:hAnsi="Arial"/>
                <w:sz w:val="18"/>
                <w:szCs w:val="18"/>
                <w:color w:val="auto"/>
                <w:w w:val="91"/>
              </w:rPr>
            </w:pPr>
            <w:hyperlink r:id="rId197">
              <w:r>
                <w:rPr>
                  <w:rFonts w:ascii="Arial" w:cs="Arial" w:eastAsia="Arial" w:hAnsi="Arial"/>
                  <w:sz w:val="18"/>
                  <w:szCs w:val="18"/>
                  <w:color w:val="auto"/>
                  <w:w w:val="91"/>
                </w:rPr>
                <w:t>Diabetes Care, Inc. and ARE-11025/11075</w:t>
              </w:r>
            </w:hyperlink>
          </w:p>
        </w:tc>
        <w:tc>
          <w:tcPr>
            <w:tcW w:w="320" w:type="dxa"/>
            <w:vAlign w:val="bottom"/>
            <w:gridSpan w:val="10"/>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08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7">
              <w:r>
                <w:rPr>
                  <w:rFonts w:ascii="Arial" w:cs="Arial" w:eastAsia="Arial" w:hAnsi="Arial"/>
                  <w:sz w:val="18"/>
                  <w:szCs w:val="18"/>
                  <w:color w:val="auto"/>
                </w:rPr>
                <w:t>ROSELLE STREET, LLC</w:t>
              </w:r>
            </w:hyperlink>
          </w:p>
        </w:tc>
        <w:tc>
          <w:tcPr>
            <w:tcW w:w="400" w:type="dxa"/>
            <w:vAlign w:val="bottom"/>
            <w:gridSpan w:val="14"/>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885"/>
        </w:trPr>
        <w:tc>
          <w:tcPr>
            <w:tcW w:w="1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10.33</w:t>
            </w:r>
          </w:p>
        </w:tc>
        <w:tc>
          <w:tcPr>
            <w:tcW w:w="3540" w:type="dxa"/>
            <w:vAlign w:val="bottom"/>
            <w:gridSpan w:val="32"/>
            <w:shd w:val="clear" w:color="auto" w:fill="CCEEFF"/>
          </w:tcPr>
          <w:p>
            <w:pPr>
              <w:spacing w:after="0"/>
              <w:rPr>
                <w:rFonts w:ascii="Arial" w:cs="Arial" w:eastAsia="Arial" w:hAnsi="Arial"/>
                <w:sz w:val="18"/>
                <w:szCs w:val="18"/>
                <w:color w:val="auto"/>
                <w:w w:val="99"/>
              </w:rPr>
            </w:pPr>
            <w:hyperlink r:id="rId200">
              <w:r>
                <w:rPr>
                  <w:rFonts w:ascii="Arial" w:cs="Arial" w:eastAsia="Arial" w:hAnsi="Arial"/>
                  <w:sz w:val="18"/>
                  <w:szCs w:val="18"/>
                  <w:color w:val="auto"/>
                  <w:w w:val="99"/>
                </w:rPr>
                <w:t>Fifth Amendment to Lease dated September</w:t>
              </w:r>
            </w:hyperlink>
          </w:p>
        </w:tc>
        <w:tc>
          <w:tcPr>
            <w:tcW w:w="1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10-Q</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001-36189</w:t>
            </w:r>
          </w:p>
        </w:tc>
        <w:tc>
          <w:tcPr>
            <w:tcW w:w="15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5-Nov-2020</w:t>
            </w:r>
          </w:p>
        </w:tc>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10.2</w:t>
            </w: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3040" w:type="dxa"/>
            <w:vAlign w:val="bottom"/>
            <w:tcBorders>
              <w:top w:val="single" w:sz="8" w:color="auto"/>
              <w:bottom w:val="single" w:sz="8" w:color="auto"/>
            </w:tcBorders>
            <w:gridSpan w:val="20"/>
            <w:shd w:val="clear" w:color="auto" w:fill="CCEEFF"/>
          </w:tcPr>
          <w:p>
            <w:pPr>
              <w:spacing w:after="0" w:line="156" w:lineRule="exact"/>
              <w:rPr>
                <w:rFonts w:ascii="Arial" w:cs="Arial" w:eastAsia="Arial" w:hAnsi="Arial"/>
                <w:sz w:val="18"/>
                <w:szCs w:val="18"/>
                <w:color w:val="auto"/>
                <w:w w:val="89"/>
              </w:rPr>
            </w:pPr>
            <w:hyperlink r:id="rId200">
              <w:r>
                <w:rPr>
                  <w:rFonts w:ascii="Arial" w:cs="Arial" w:eastAsia="Arial" w:hAnsi="Arial"/>
                  <w:sz w:val="18"/>
                  <w:szCs w:val="18"/>
                  <w:color w:val="auto"/>
                  <w:w w:val="89"/>
                </w:rPr>
                <w:t>2, 2020 by and between Tandem Diabetes</w:t>
              </w:r>
            </w:hyperlink>
          </w:p>
        </w:tc>
        <w:tc>
          <w:tcPr>
            <w:tcW w:w="160" w:type="dxa"/>
            <w:vAlign w:val="bottom"/>
            <w:tcBorders>
              <w:top w:val="single" w:sz="8" w:color="auto"/>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24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3540" w:type="dxa"/>
            <w:vAlign w:val="bottom"/>
            <w:gridSpan w:val="32"/>
            <w:shd w:val="clear" w:color="auto" w:fill="CCEEFF"/>
          </w:tcPr>
          <w:p>
            <w:pPr>
              <w:spacing w:after="0" w:line="156" w:lineRule="exact"/>
              <w:rPr>
                <w:rFonts w:ascii="Arial" w:cs="Arial" w:eastAsia="Arial" w:hAnsi="Arial"/>
                <w:sz w:val="18"/>
                <w:szCs w:val="18"/>
                <w:color w:val="auto"/>
                <w:w w:val="99"/>
              </w:rPr>
            </w:pPr>
            <w:hyperlink r:id="rId200">
              <w:r>
                <w:rPr>
                  <w:rFonts w:ascii="Arial" w:cs="Arial" w:eastAsia="Arial" w:hAnsi="Arial"/>
                  <w:sz w:val="18"/>
                  <w:szCs w:val="18"/>
                  <w:color w:val="auto"/>
                  <w:w w:val="99"/>
                </w:rPr>
                <w:t>Care, Inc. and ARE-11025/11075 ROSELLE</w:t>
              </w:r>
            </w:hyperlink>
          </w:p>
        </w:tc>
        <w:tc>
          <w:tcPr>
            <w:tcW w:w="1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260" w:type="dxa"/>
            <w:vAlign w:val="bottom"/>
            <w:tcBorders>
              <w:top w:val="single" w:sz="8" w:color="auto"/>
            </w:tcBorders>
            <w:gridSpan w:val="27"/>
            <w:shd w:val="clear" w:color="auto" w:fill="CCEEFF"/>
          </w:tcPr>
          <w:p>
            <w:pPr>
              <w:spacing w:after="0" w:line="156" w:lineRule="exact"/>
              <w:rPr>
                <w:rFonts w:ascii="Arial" w:cs="Arial" w:eastAsia="Arial" w:hAnsi="Arial"/>
                <w:sz w:val="18"/>
                <w:szCs w:val="18"/>
                <w:color w:val="auto"/>
              </w:rPr>
            </w:pPr>
            <w:hyperlink r:id="rId200">
              <w:r>
                <w:rPr>
                  <w:rFonts w:ascii="Arial" w:cs="Arial" w:eastAsia="Arial" w:hAnsi="Arial"/>
                  <w:sz w:val="18"/>
                  <w:szCs w:val="18"/>
                  <w:color w:val="auto"/>
                </w:rPr>
                <w:t>STREET,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10.34†</w:t>
            </w:r>
          </w:p>
        </w:tc>
        <w:tc>
          <w:tcPr>
            <w:tcW w:w="3540" w:type="dxa"/>
            <w:vAlign w:val="bottom"/>
            <w:gridSpan w:val="32"/>
          </w:tcPr>
          <w:p>
            <w:pPr>
              <w:spacing w:after="0" w:line="189" w:lineRule="exact"/>
              <w:rPr>
                <w:rFonts w:ascii="Arial" w:cs="Arial" w:eastAsia="Arial" w:hAnsi="Arial"/>
                <w:sz w:val="18"/>
                <w:szCs w:val="18"/>
                <w:color w:val="auto"/>
              </w:rPr>
            </w:pPr>
            <w:hyperlink r:id="rId201">
              <w:r>
                <w:rPr>
                  <w:rFonts w:ascii="Arial" w:cs="Arial" w:eastAsia="Arial" w:hAnsi="Arial"/>
                  <w:sz w:val="18"/>
                  <w:szCs w:val="18"/>
                  <w:color w:val="auto"/>
                </w:rPr>
                <w:t>License Agreement, dated July 14, 2016, by</w:t>
              </w:r>
            </w:hyperlink>
          </w:p>
        </w:tc>
        <w:tc>
          <w:tcPr>
            <w:tcW w:w="1100" w:type="dxa"/>
            <w:vAlign w:val="bottom"/>
          </w:tcPr>
          <w:p>
            <w:pPr>
              <w:ind w:left="260"/>
              <w:spacing w:after="0" w:line="189" w:lineRule="exact"/>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001-36189</w:t>
            </w:r>
          </w:p>
        </w:tc>
        <w:tc>
          <w:tcPr>
            <w:tcW w:w="15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30-Apr-2020</w:t>
            </w:r>
          </w:p>
        </w:tc>
        <w:tc>
          <w:tcPr>
            <w:tcW w:w="2400" w:type="dxa"/>
            <w:vAlign w:val="bottom"/>
          </w:tcPr>
          <w:p>
            <w:pPr>
              <w:ind w:left="360"/>
              <w:spacing w:after="0" w:line="189" w:lineRule="exact"/>
              <w:rPr>
                <w:sz w:val="20"/>
                <w:szCs w:val="20"/>
                <w:color w:val="auto"/>
              </w:rPr>
            </w:pPr>
            <w:r>
              <w:rPr>
                <w:rFonts w:ascii="Arial" w:cs="Arial" w:eastAsia="Arial" w:hAnsi="Arial"/>
                <w:sz w:val="18"/>
                <w:szCs w:val="18"/>
                <w:color w:val="auto"/>
              </w:rPr>
              <w:t>10.1</w:t>
            </w: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3540" w:type="dxa"/>
            <w:vAlign w:val="bottom"/>
            <w:gridSpan w:val="32"/>
          </w:tcPr>
          <w:p>
            <w:pPr>
              <w:spacing w:after="0" w:line="169" w:lineRule="exact"/>
              <w:rPr>
                <w:rFonts w:ascii="Arial" w:cs="Arial" w:eastAsia="Arial" w:hAnsi="Arial"/>
                <w:sz w:val="18"/>
                <w:szCs w:val="18"/>
                <w:color w:val="auto"/>
                <w:w w:val="95"/>
              </w:rPr>
            </w:pPr>
            <w:hyperlink r:id="rId201">
              <w:r>
                <w:rPr>
                  <w:rFonts w:ascii="Arial" w:cs="Arial" w:eastAsia="Arial" w:hAnsi="Arial"/>
                  <w:sz w:val="18"/>
                  <w:szCs w:val="18"/>
                  <w:color w:val="auto"/>
                  <w:w w:val="95"/>
                </w:rPr>
                <w:t>and between Tandem Diabetes Care, Inc. and</w:t>
              </w:r>
            </w:hyperlink>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300" w:type="dxa"/>
            <w:vAlign w:val="bottom"/>
            <w:tcBorders>
              <w:top w:val="single" w:sz="8" w:color="auto"/>
            </w:tcBorders>
            <w:gridSpan w:val="29"/>
          </w:tcPr>
          <w:p>
            <w:pPr>
              <w:spacing w:after="0" w:line="169" w:lineRule="exact"/>
              <w:rPr>
                <w:rFonts w:ascii="Arial" w:cs="Arial" w:eastAsia="Arial" w:hAnsi="Arial"/>
                <w:sz w:val="18"/>
                <w:szCs w:val="18"/>
                <w:color w:val="auto"/>
              </w:rPr>
            </w:pPr>
            <w:hyperlink r:id="rId201">
              <w:r>
                <w:rPr>
                  <w:rFonts w:ascii="Arial" w:cs="Arial" w:eastAsia="Arial" w:hAnsi="Arial"/>
                  <w:sz w:val="18"/>
                  <w:szCs w:val="18"/>
                  <w:color w:val="auto"/>
                </w:rPr>
                <w:t>TypeZero Technologies,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4"/>
        </w:trPr>
        <w:tc>
          <w:tcPr>
            <w:tcW w:w="13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0"/>
              </w:rPr>
              <w:t>10.35†</w:t>
            </w:r>
          </w:p>
        </w:tc>
        <w:tc>
          <w:tcPr>
            <w:tcW w:w="2720" w:type="dxa"/>
            <w:vAlign w:val="bottom"/>
            <w:tcBorders>
              <w:bottom w:val="single" w:sz="8" w:color="auto"/>
            </w:tcBorders>
            <w:gridSpan w:val="14"/>
            <w:shd w:val="clear" w:color="auto" w:fill="CCEEFF"/>
          </w:tcPr>
          <w:p>
            <w:pPr>
              <w:spacing w:after="0" w:line="189" w:lineRule="exact"/>
              <w:rPr>
                <w:rFonts w:ascii="Arial" w:cs="Arial" w:eastAsia="Arial" w:hAnsi="Arial"/>
                <w:sz w:val="18"/>
                <w:szCs w:val="18"/>
                <w:color w:val="auto"/>
                <w:w w:val="91"/>
              </w:rPr>
            </w:pPr>
            <w:hyperlink w:anchor="page130">
              <w:r>
                <w:rPr>
                  <w:rFonts w:ascii="Arial" w:cs="Arial" w:eastAsia="Arial" w:hAnsi="Arial"/>
                  <w:sz w:val="18"/>
                  <w:szCs w:val="18"/>
                  <w:color w:val="auto"/>
                  <w:w w:val="91"/>
                </w:rPr>
                <w:t>Commercialization Agreement, dated</w:t>
              </w:r>
            </w:hyperlink>
          </w:p>
        </w:tc>
        <w:tc>
          <w:tcPr>
            <w:tcW w:w="820" w:type="dxa"/>
            <w:vAlign w:val="bottom"/>
            <w:tcBorders>
              <w:bottom w:val="single" w:sz="8" w:color="CCEEFF"/>
            </w:tcBorders>
            <w:gridSpan w:val="18"/>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56"/>
        </w:trPr>
        <w:tc>
          <w:tcPr>
            <w:tcW w:w="1380" w:type="dxa"/>
            <w:vAlign w:val="bottom"/>
            <w:shd w:val="clear" w:color="auto" w:fill="CCEEFF"/>
          </w:tcPr>
          <w:p>
            <w:pPr>
              <w:spacing w:after="0"/>
              <w:rPr>
                <w:sz w:val="13"/>
                <w:szCs w:val="13"/>
                <w:color w:val="auto"/>
              </w:rPr>
            </w:pPr>
          </w:p>
        </w:tc>
        <w:tc>
          <w:tcPr>
            <w:tcW w:w="3540" w:type="dxa"/>
            <w:vAlign w:val="bottom"/>
            <w:gridSpan w:val="32"/>
            <w:shd w:val="clear" w:color="auto" w:fill="CCEEFF"/>
          </w:tcPr>
          <w:p>
            <w:pPr>
              <w:spacing w:after="0" w:line="156" w:lineRule="exact"/>
              <w:rPr>
                <w:rFonts w:ascii="Arial" w:cs="Arial" w:eastAsia="Arial" w:hAnsi="Arial"/>
                <w:sz w:val="18"/>
                <w:szCs w:val="18"/>
                <w:color w:val="auto"/>
              </w:rPr>
            </w:pPr>
            <w:hyperlink w:anchor="page130">
              <w:r>
                <w:rPr>
                  <w:rFonts w:ascii="Arial" w:cs="Arial" w:eastAsia="Arial" w:hAnsi="Arial"/>
                  <w:sz w:val="18"/>
                  <w:szCs w:val="18"/>
                  <w:color w:val="auto"/>
                </w:rPr>
                <w:t>January 14, 2022, by and between Tandem</w:t>
              </w:r>
            </w:hyperlink>
          </w:p>
        </w:tc>
        <w:tc>
          <w:tcPr>
            <w:tcW w:w="1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3020" w:type="dxa"/>
            <w:vAlign w:val="bottom"/>
            <w:tcBorders>
              <w:top w:val="single" w:sz="8" w:color="auto"/>
              <w:bottom w:val="single" w:sz="8" w:color="auto"/>
            </w:tcBorders>
            <w:gridSpan w:val="19"/>
            <w:shd w:val="clear" w:color="auto" w:fill="CCEEFF"/>
          </w:tcPr>
          <w:p>
            <w:pPr>
              <w:spacing w:after="0" w:line="156" w:lineRule="exact"/>
              <w:rPr>
                <w:rFonts w:ascii="Arial" w:cs="Arial" w:eastAsia="Arial" w:hAnsi="Arial"/>
                <w:sz w:val="18"/>
                <w:szCs w:val="18"/>
                <w:color w:val="auto"/>
                <w:w w:val="91"/>
              </w:rPr>
            </w:pPr>
            <w:hyperlink w:anchor="page130">
              <w:r>
                <w:rPr>
                  <w:rFonts w:ascii="Arial" w:cs="Arial" w:eastAsia="Arial" w:hAnsi="Arial"/>
                  <w:sz w:val="18"/>
                  <w:szCs w:val="18"/>
                  <w:color w:val="auto"/>
                  <w:w w:val="91"/>
                </w:rPr>
                <w:t>Diabetes Care, Inc. and Unomedical A/S.</w:t>
              </w:r>
            </w:hyperlink>
          </w:p>
        </w:tc>
        <w:tc>
          <w:tcPr>
            <w:tcW w:w="100" w:type="dxa"/>
            <w:vAlign w:val="bottom"/>
            <w:tcBorders>
              <w:top w:val="single" w:sz="8" w:color="auto"/>
              <w:bottom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88"/>
              </w:rPr>
              <w:t>10.36</w:t>
            </w:r>
          </w:p>
        </w:tc>
        <w:tc>
          <w:tcPr>
            <w:tcW w:w="3540" w:type="dxa"/>
            <w:vAlign w:val="bottom"/>
            <w:gridSpan w:val="32"/>
          </w:tcPr>
          <w:p>
            <w:pPr>
              <w:spacing w:after="0" w:line="189" w:lineRule="exact"/>
              <w:rPr>
                <w:rFonts w:ascii="Arial" w:cs="Arial" w:eastAsia="Arial" w:hAnsi="Arial"/>
                <w:sz w:val="18"/>
                <w:szCs w:val="18"/>
                <w:color w:val="auto"/>
              </w:rPr>
            </w:pPr>
            <w:hyperlink w:anchor="page149">
              <w:r>
                <w:rPr>
                  <w:rFonts w:ascii="Arial" w:cs="Arial" w:eastAsia="Arial" w:hAnsi="Arial"/>
                  <w:sz w:val="18"/>
                  <w:szCs w:val="18"/>
                  <w:color w:val="auto"/>
                </w:rPr>
                <w:t>Lease Agreement dated May 10, 2021 by</w:t>
              </w:r>
            </w:hyperlink>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55"/>
        </w:trPr>
        <w:tc>
          <w:tcPr>
            <w:tcW w:w="1380" w:type="dxa"/>
            <w:vAlign w:val="bottom"/>
          </w:tcPr>
          <w:p>
            <w:pPr>
              <w:spacing w:after="0"/>
              <w:rPr>
                <w:sz w:val="13"/>
                <w:szCs w:val="13"/>
                <w:color w:val="auto"/>
              </w:rPr>
            </w:pPr>
          </w:p>
        </w:tc>
        <w:tc>
          <w:tcPr>
            <w:tcW w:w="3000" w:type="dxa"/>
            <w:vAlign w:val="bottom"/>
            <w:tcBorders>
              <w:top w:val="single" w:sz="8" w:color="auto"/>
              <w:bottom w:val="single" w:sz="8" w:color="auto"/>
            </w:tcBorders>
            <w:gridSpan w:val="18"/>
          </w:tcPr>
          <w:p>
            <w:pPr>
              <w:spacing w:after="0" w:line="156" w:lineRule="exact"/>
              <w:rPr>
                <w:rFonts w:ascii="Arial" w:cs="Arial" w:eastAsia="Arial" w:hAnsi="Arial"/>
                <w:sz w:val="18"/>
                <w:szCs w:val="18"/>
                <w:color w:val="auto"/>
                <w:w w:val="88"/>
              </w:rPr>
            </w:pPr>
            <w:hyperlink w:anchor="page149">
              <w:r>
                <w:rPr>
                  <w:rFonts w:ascii="Arial" w:cs="Arial" w:eastAsia="Arial" w:hAnsi="Arial"/>
                  <w:sz w:val="18"/>
                  <w:szCs w:val="18"/>
                  <w:color w:val="auto"/>
                  <w:w w:val="88"/>
                </w:rPr>
                <w:t>and Between Tandem Diabetes Care, Inc.</w:t>
              </w:r>
            </w:hyperlink>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020" w:type="dxa"/>
            <w:vAlign w:val="bottom"/>
            <w:gridSpan w:val="19"/>
          </w:tcPr>
          <w:p>
            <w:pPr>
              <w:spacing w:after="0" w:line="156" w:lineRule="exact"/>
              <w:rPr>
                <w:rFonts w:ascii="Arial" w:cs="Arial" w:eastAsia="Arial" w:hAnsi="Arial"/>
                <w:sz w:val="18"/>
                <w:szCs w:val="18"/>
                <w:color w:val="auto"/>
              </w:rPr>
            </w:pPr>
            <w:hyperlink w:anchor="page149">
              <w:r>
                <w:rPr>
                  <w:rFonts w:ascii="Arial" w:cs="Arial" w:eastAsia="Arial" w:hAnsi="Arial"/>
                  <w:sz w:val="18"/>
                  <w:szCs w:val="18"/>
                  <w:color w:val="auto"/>
                </w:rPr>
                <w:t>and ONE DEL MAR LLC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88"/>
              </w:rPr>
              <w:t>10.37</w:t>
            </w:r>
          </w:p>
        </w:tc>
        <w:tc>
          <w:tcPr>
            <w:tcW w:w="3540" w:type="dxa"/>
            <w:vAlign w:val="bottom"/>
            <w:gridSpan w:val="32"/>
            <w:shd w:val="clear" w:color="auto" w:fill="CCEEFF"/>
          </w:tcPr>
          <w:p>
            <w:pPr>
              <w:spacing w:after="0" w:line="189" w:lineRule="exact"/>
              <w:rPr>
                <w:rFonts w:ascii="Arial" w:cs="Arial" w:eastAsia="Arial" w:hAnsi="Arial"/>
                <w:sz w:val="18"/>
                <w:szCs w:val="18"/>
                <w:color w:val="auto"/>
              </w:rPr>
            </w:pPr>
            <w:hyperlink r:id="rId202">
              <w:r>
                <w:rPr>
                  <w:rFonts w:ascii="Arial" w:cs="Arial" w:eastAsia="Arial" w:hAnsi="Arial"/>
                  <w:sz w:val="18"/>
                  <w:szCs w:val="18"/>
                  <w:color w:val="auto"/>
                </w:rPr>
                <w:t>Second Amendment to Lease dated March</w:t>
              </w:r>
            </w:hyperlink>
          </w:p>
        </w:tc>
        <w:tc>
          <w:tcPr>
            <w:tcW w:w="11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10-Q</w:t>
            </w:r>
          </w:p>
        </w:tc>
        <w:tc>
          <w:tcPr>
            <w:tcW w:w="128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001-36189</w:t>
            </w:r>
          </w:p>
        </w:tc>
        <w:tc>
          <w:tcPr>
            <w:tcW w:w="15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3"/>
              </w:rPr>
              <w:t>5-May-2021</w:t>
            </w:r>
          </w:p>
        </w:tc>
        <w:tc>
          <w:tcPr>
            <w:tcW w:w="24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10.2</w:t>
            </w:r>
          </w:p>
        </w:tc>
      </w:tr>
      <w:tr>
        <w:trPr>
          <w:trHeight w:val="155"/>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3080" w:type="dxa"/>
            <w:vAlign w:val="bottom"/>
            <w:tcBorders>
              <w:top w:val="single" w:sz="8" w:color="auto"/>
              <w:bottom w:val="single" w:sz="8" w:color="auto"/>
            </w:tcBorders>
            <w:gridSpan w:val="21"/>
            <w:shd w:val="clear" w:color="auto" w:fill="CCEEFF"/>
          </w:tcPr>
          <w:p>
            <w:pPr>
              <w:spacing w:after="0" w:line="156" w:lineRule="exact"/>
              <w:rPr>
                <w:rFonts w:ascii="Arial" w:cs="Arial" w:eastAsia="Arial" w:hAnsi="Arial"/>
                <w:sz w:val="18"/>
                <w:szCs w:val="18"/>
                <w:color w:val="auto"/>
                <w:w w:val="87"/>
              </w:rPr>
            </w:pPr>
            <w:hyperlink r:id="rId202">
              <w:r>
                <w:rPr>
                  <w:rFonts w:ascii="Arial" w:cs="Arial" w:eastAsia="Arial" w:hAnsi="Arial"/>
                  <w:sz w:val="18"/>
                  <w:szCs w:val="18"/>
                  <w:color w:val="auto"/>
                  <w:w w:val="87"/>
                </w:rPr>
                <w:t>11, 2021 by and between Tandem Diabetes</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auto"/>
              <w:right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24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380" w:type="dxa"/>
            <w:vAlign w:val="bottom"/>
            <w:shd w:val="clear" w:color="auto" w:fill="CCEEFF"/>
          </w:tcPr>
          <w:p>
            <w:pPr>
              <w:spacing w:after="0"/>
              <w:rPr>
                <w:sz w:val="13"/>
                <w:szCs w:val="13"/>
                <w:color w:val="auto"/>
              </w:rPr>
            </w:pPr>
          </w:p>
        </w:tc>
        <w:tc>
          <w:tcPr>
            <w:tcW w:w="3180" w:type="dxa"/>
            <w:vAlign w:val="bottom"/>
            <w:tcBorders>
              <w:right w:val="single" w:sz="8" w:color="CCEEFF"/>
            </w:tcBorders>
            <w:gridSpan w:val="24"/>
            <w:shd w:val="clear" w:color="auto" w:fill="CCEEFF"/>
          </w:tcPr>
          <w:p>
            <w:pPr>
              <w:spacing w:after="0" w:line="156" w:lineRule="exact"/>
              <w:rPr>
                <w:rFonts w:ascii="Arial" w:cs="Arial" w:eastAsia="Arial" w:hAnsi="Arial"/>
                <w:sz w:val="18"/>
                <w:szCs w:val="18"/>
                <w:color w:val="auto"/>
              </w:rPr>
            </w:pPr>
            <w:hyperlink r:id="rId202">
              <w:r>
                <w:rPr>
                  <w:rFonts w:ascii="Arial" w:cs="Arial" w:eastAsia="Arial" w:hAnsi="Arial"/>
                  <w:sz w:val="18"/>
                  <w:szCs w:val="18"/>
                  <w:color w:val="auto"/>
                </w:rPr>
                <w:t>Care, Inc. and TREA PACIFIC PLAZA,</w:t>
              </w:r>
            </w:hyperlink>
          </w:p>
        </w:tc>
        <w:tc>
          <w:tcPr>
            <w:tcW w:w="40" w:type="dxa"/>
            <w:vAlign w:val="bottom"/>
            <w:gridSpan w:val="2"/>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LLC</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gridSpan w:val="4"/>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r>
      <w:tr>
        <w:trPr>
          <w:trHeight w:val="189"/>
        </w:trPr>
        <w:tc>
          <w:tcPr>
            <w:tcW w:w="138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88"/>
              </w:rPr>
              <w:t>10.38</w:t>
            </w:r>
          </w:p>
        </w:tc>
        <w:tc>
          <w:tcPr>
            <w:tcW w:w="3540" w:type="dxa"/>
            <w:vAlign w:val="bottom"/>
            <w:gridSpan w:val="32"/>
          </w:tcPr>
          <w:p>
            <w:pPr>
              <w:spacing w:after="0" w:line="189" w:lineRule="exact"/>
              <w:rPr>
                <w:rFonts w:ascii="Arial" w:cs="Arial" w:eastAsia="Arial" w:hAnsi="Arial"/>
                <w:sz w:val="18"/>
                <w:szCs w:val="18"/>
                <w:color w:val="auto"/>
              </w:rPr>
            </w:pPr>
            <w:hyperlink r:id="rId203">
              <w:r>
                <w:rPr>
                  <w:rFonts w:ascii="Arial" w:cs="Arial" w:eastAsia="Arial" w:hAnsi="Arial"/>
                  <w:sz w:val="18"/>
                  <w:szCs w:val="18"/>
                  <w:color w:val="auto"/>
                </w:rPr>
                <w:t>Office Lease dated September 15, 2021 by</w:t>
              </w:r>
            </w:hyperlink>
          </w:p>
        </w:tc>
        <w:tc>
          <w:tcPr>
            <w:tcW w:w="1100" w:type="dxa"/>
            <w:vAlign w:val="bottom"/>
          </w:tcPr>
          <w:p>
            <w:pPr>
              <w:ind w:left="260"/>
              <w:spacing w:after="0" w:line="189" w:lineRule="exact"/>
              <w:rPr>
                <w:sz w:val="20"/>
                <w:szCs w:val="20"/>
                <w:color w:val="auto"/>
              </w:rPr>
            </w:pPr>
            <w:r>
              <w:rPr>
                <w:rFonts w:ascii="Arial" w:cs="Arial" w:eastAsia="Arial" w:hAnsi="Arial"/>
                <w:sz w:val="18"/>
                <w:szCs w:val="18"/>
                <w:color w:val="auto"/>
              </w:rPr>
              <w:t>10-Q</w:t>
            </w:r>
          </w:p>
        </w:tc>
        <w:tc>
          <w:tcPr>
            <w:tcW w:w="128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001-36189</w:t>
            </w:r>
          </w:p>
        </w:tc>
        <w:tc>
          <w:tcPr>
            <w:tcW w:w="154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3"/>
              </w:rPr>
              <w:t>3-Nov-2021</w:t>
            </w:r>
          </w:p>
        </w:tc>
        <w:tc>
          <w:tcPr>
            <w:tcW w:w="2400" w:type="dxa"/>
            <w:vAlign w:val="bottom"/>
          </w:tcPr>
          <w:p>
            <w:pPr>
              <w:ind w:left="360"/>
              <w:spacing w:after="0" w:line="189" w:lineRule="exact"/>
              <w:rPr>
                <w:sz w:val="20"/>
                <w:szCs w:val="20"/>
                <w:color w:val="auto"/>
              </w:rPr>
            </w:pPr>
            <w:r>
              <w:rPr>
                <w:rFonts w:ascii="Arial" w:cs="Arial" w:eastAsia="Arial" w:hAnsi="Arial"/>
                <w:sz w:val="18"/>
                <w:szCs w:val="18"/>
                <w:color w:val="auto"/>
              </w:rPr>
              <w:t>10.1</w:t>
            </w:r>
          </w:p>
        </w:tc>
      </w:tr>
      <w:tr>
        <w:trPr>
          <w:trHeight w:val="20"/>
        </w:trPr>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3540" w:type="dxa"/>
            <w:vAlign w:val="bottom"/>
            <w:gridSpan w:val="32"/>
          </w:tcPr>
          <w:p>
            <w:pPr>
              <w:spacing w:after="0" w:line="156" w:lineRule="exact"/>
              <w:rPr>
                <w:rFonts w:ascii="Arial" w:cs="Arial" w:eastAsia="Arial" w:hAnsi="Arial"/>
                <w:sz w:val="18"/>
                <w:szCs w:val="18"/>
                <w:color w:val="auto"/>
                <w:w w:val="95"/>
              </w:rPr>
            </w:pPr>
            <w:hyperlink r:id="rId203">
              <w:r>
                <w:rPr>
                  <w:rFonts w:ascii="Arial" w:cs="Arial" w:eastAsia="Arial" w:hAnsi="Arial"/>
                  <w:sz w:val="18"/>
                  <w:szCs w:val="18"/>
                  <w:color w:val="auto"/>
                  <w:w w:val="95"/>
                </w:rPr>
                <w:t>and between Tandem Diabetes Care, Inc. and</w:t>
              </w:r>
            </w:hyperlink>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80" w:type="dxa"/>
            <w:vAlign w:val="bottom"/>
            <w:tcBorders>
              <w:top w:val="single" w:sz="8" w:color="auto"/>
            </w:tcBorders>
            <w:gridSpan w:val="28"/>
          </w:tcPr>
          <w:p>
            <w:pPr>
              <w:spacing w:after="0" w:line="156" w:lineRule="exact"/>
              <w:rPr>
                <w:rFonts w:ascii="Arial" w:cs="Arial" w:eastAsia="Arial" w:hAnsi="Arial"/>
                <w:sz w:val="18"/>
                <w:szCs w:val="18"/>
                <w:color w:val="auto"/>
              </w:rPr>
            </w:pPr>
            <w:hyperlink r:id="rId203">
              <w:r>
                <w:rPr>
                  <w:rFonts w:ascii="Arial" w:cs="Arial" w:eastAsia="Arial" w:hAnsi="Arial"/>
                  <w:sz w:val="18"/>
                  <w:szCs w:val="18"/>
                  <w:color w:val="auto"/>
                </w:rPr>
                <w:t>Kilroy Realty L.P.</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1380" w:type="dxa"/>
            <w:vAlign w:val="bottom"/>
            <w:tcBorders>
              <w:bottom w:val="single" w:sz="8" w:color="CCEEFF"/>
            </w:tcBorders>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1"/>
              </w:rPr>
              <w:t>21.1</w:t>
            </w:r>
          </w:p>
        </w:tc>
        <w:tc>
          <w:tcPr>
            <w:tcW w:w="2140" w:type="dxa"/>
            <w:vAlign w:val="bottom"/>
            <w:tcBorders>
              <w:bottom w:val="single" w:sz="8" w:color="auto"/>
            </w:tcBorders>
            <w:gridSpan w:val="9"/>
            <w:shd w:val="clear" w:color="auto" w:fill="CCEEFF"/>
          </w:tcPr>
          <w:p>
            <w:pPr>
              <w:spacing w:after="0" w:line="189" w:lineRule="exact"/>
              <w:rPr>
                <w:rFonts w:ascii="Arial" w:cs="Arial" w:eastAsia="Arial" w:hAnsi="Arial"/>
                <w:sz w:val="18"/>
                <w:szCs w:val="18"/>
                <w:color w:val="auto"/>
                <w:w w:val="90"/>
              </w:rPr>
            </w:pPr>
            <w:hyperlink w:anchor="page182">
              <w:r>
                <w:rPr>
                  <w:rFonts w:ascii="Arial" w:cs="Arial" w:eastAsia="Arial" w:hAnsi="Arial"/>
                  <w:sz w:val="18"/>
                  <w:szCs w:val="18"/>
                  <w:color w:val="auto"/>
                  <w:w w:val="90"/>
                </w:rPr>
                <w:t>Subsidiaries of the Registrant</w:t>
              </w:r>
            </w:hyperlink>
          </w:p>
        </w:tc>
        <w:tc>
          <w:tcPr>
            <w:tcW w:w="1400" w:type="dxa"/>
            <w:vAlign w:val="bottom"/>
            <w:tcBorders>
              <w:bottom w:val="single" w:sz="8" w:color="CCEEFF"/>
            </w:tcBorders>
            <w:gridSpan w:val="23"/>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89"/>
        </w:trPr>
        <w:tc>
          <w:tcPr>
            <w:tcW w:w="138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1"/>
              </w:rPr>
              <w:t>23.1</w:t>
            </w:r>
          </w:p>
        </w:tc>
        <w:tc>
          <w:tcPr>
            <w:tcW w:w="3540" w:type="dxa"/>
            <w:vAlign w:val="bottom"/>
            <w:gridSpan w:val="32"/>
          </w:tcPr>
          <w:p>
            <w:pPr>
              <w:spacing w:after="0" w:line="189" w:lineRule="exact"/>
              <w:rPr>
                <w:rFonts w:ascii="Arial" w:cs="Arial" w:eastAsia="Arial" w:hAnsi="Arial"/>
                <w:sz w:val="18"/>
                <w:szCs w:val="18"/>
                <w:color w:val="auto"/>
              </w:rPr>
            </w:pPr>
            <w:hyperlink w:anchor="page183">
              <w:r>
                <w:rPr>
                  <w:rFonts w:ascii="Arial" w:cs="Arial" w:eastAsia="Arial" w:hAnsi="Arial"/>
                  <w:sz w:val="18"/>
                  <w:szCs w:val="18"/>
                  <w:color w:val="auto"/>
                </w:rPr>
                <w:t>Consent of Independent Registered Public</w:t>
              </w:r>
            </w:hyperlink>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56"/>
        </w:trPr>
        <w:tc>
          <w:tcPr>
            <w:tcW w:w="1380" w:type="dxa"/>
            <w:vAlign w:val="bottom"/>
          </w:tcPr>
          <w:p>
            <w:pPr>
              <w:spacing w:after="0"/>
              <w:rPr>
                <w:sz w:val="13"/>
                <w:szCs w:val="13"/>
                <w:color w:val="auto"/>
              </w:rPr>
            </w:pPr>
          </w:p>
        </w:tc>
        <w:tc>
          <w:tcPr>
            <w:tcW w:w="3040" w:type="dxa"/>
            <w:vAlign w:val="bottom"/>
            <w:tcBorders>
              <w:top w:val="single" w:sz="8" w:color="auto"/>
            </w:tcBorders>
            <w:gridSpan w:val="20"/>
          </w:tcPr>
          <w:p>
            <w:pPr>
              <w:spacing w:after="0" w:line="156" w:lineRule="exact"/>
              <w:rPr>
                <w:rFonts w:ascii="Arial" w:cs="Arial" w:eastAsia="Arial" w:hAnsi="Arial"/>
                <w:sz w:val="18"/>
                <w:szCs w:val="18"/>
                <w:color w:val="auto"/>
              </w:rPr>
            </w:pPr>
            <w:hyperlink w:anchor="page183">
              <w:r>
                <w:rPr>
                  <w:rFonts w:ascii="Arial" w:cs="Arial" w:eastAsia="Arial" w:hAnsi="Arial"/>
                  <w:sz w:val="18"/>
                  <w:szCs w:val="18"/>
                  <w:color w:val="auto"/>
                </w:rPr>
                <w:t>Accounting Firm.</w:t>
              </w:r>
            </w:hyperlink>
          </w:p>
        </w:tc>
        <w:tc>
          <w:tcPr>
            <w:tcW w:w="180" w:type="dxa"/>
            <w:vAlign w:val="bottom"/>
            <w:gridSpan w:val="6"/>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1"/>
              </w:rPr>
              <w:t>24.1</w:t>
            </w:r>
          </w:p>
        </w:tc>
        <w:tc>
          <w:tcPr>
            <w:tcW w:w="3540" w:type="dxa"/>
            <w:vAlign w:val="bottom"/>
            <w:gridSpan w:val="32"/>
            <w:shd w:val="clear" w:color="auto" w:fill="CCEEFF"/>
          </w:tcPr>
          <w:p>
            <w:pPr>
              <w:spacing w:after="0" w:line="189" w:lineRule="exact"/>
              <w:rPr>
                <w:rFonts w:ascii="Arial" w:cs="Arial" w:eastAsia="Arial" w:hAnsi="Arial"/>
                <w:sz w:val="18"/>
                <w:szCs w:val="18"/>
                <w:color w:val="auto"/>
                <w:w w:val="99"/>
              </w:rPr>
            </w:pPr>
            <w:hyperlink w:anchor="page127">
              <w:r>
                <w:rPr>
                  <w:rFonts w:ascii="Arial" w:cs="Arial" w:eastAsia="Arial" w:hAnsi="Arial"/>
                  <w:sz w:val="18"/>
                  <w:szCs w:val="18"/>
                  <w:color w:val="auto"/>
                  <w:w w:val="99"/>
                </w:rPr>
                <w:t>Power of Attorney (included on the signature</w:t>
              </w:r>
            </w:hyperlink>
          </w:p>
        </w:tc>
        <w:tc>
          <w:tcPr>
            <w:tcW w:w="1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0" w:type="dxa"/>
            <w:vAlign w:val="bottom"/>
            <w:shd w:val="clear" w:color="auto" w:fill="CCEEFF"/>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gridSpan w:val="2"/>
            <w:shd w:val="clear" w:color="auto" w:fill="CCEEFF"/>
          </w:tcPr>
          <w:p>
            <w:pPr>
              <w:spacing w:after="0" w:line="156" w:lineRule="exact"/>
              <w:rPr>
                <w:rFonts w:ascii="Arial" w:cs="Arial" w:eastAsia="Arial" w:hAnsi="Arial"/>
                <w:sz w:val="18"/>
                <w:szCs w:val="18"/>
                <w:color w:val="auto"/>
                <w:w w:val="86"/>
              </w:rPr>
            </w:pPr>
            <w:hyperlink w:anchor="page127">
              <w:r>
                <w:rPr>
                  <w:rFonts w:ascii="Arial" w:cs="Arial" w:eastAsia="Arial" w:hAnsi="Arial"/>
                  <w:sz w:val="18"/>
                  <w:szCs w:val="18"/>
                  <w:color w:val="auto"/>
                  <w:w w:val="86"/>
                </w:rPr>
                <w:t>page).</w:t>
              </w:r>
            </w:hyperlink>
          </w:p>
        </w:tc>
        <w:tc>
          <w:tcPr>
            <w:tcW w:w="2860" w:type="dxa"/>
            <w:vAlign w:val="bottom"/>
            <w:tcBorders>
              <w:top w:val="single" w:sz="8" w:color="auto"/>
              <w:bottom w:val="single" w:sz="8" w:color="CCEEFF"/>
            </w:tcBorders>
            <w:gridSpan w:val="2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1"/>
              </w:rPr>
              <w:t>31.1</w:t>
            </w:r>
          </w:p>
        </w:tc>
        <w:tc>
          <w:tcPr>
            <w:tcW w:w="3540" w:type="dxa"/>
            <w:vAlign w:val="bottom"/>
            <w:gridSpan w:val="32"/>
          </w:tcPr>
          <w:p>
            <w:pPr>
              <w:spacing w:after="0" w:line="189" w:lineRule="exact"/>
              <w:rPr>
                <w:rFonts w:ascii="Arial" w:cs="Arial" w:eastAsia="Arial" w:hAnsi="Arial"/>
                <w:sz w:val="18"/>
                <w:szCs w:val="18"/>
                <w:color w:val="auto"/>
              </w:rPr>
            </w:pPr>
            <w:hyperlink w:anchor="page184">
              <w:r>
                <w:rPr>
                  <w:rFonts w:ascii="Arial" w:cs="Arial" w:eastAsia="Arial" w:hAnsi="Arial"/>
                  <w:sz w:val="18"/>
                  <w:szCs w:val="18"/>
                  <w:color w:val="auto"/>
                </w:rPr>
                <w:t>Certification of John F. Sheridan, Chief</w:t>
              </w:r>
            </w:hyperlink>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56"/>
        </w:trPr>
        <w:tc>
          <w:tcPr>
            <w:tcW w:w="1380" w:type="dxa"/>
            <w:vAlign w:val="bottom"/>
          </w:tcPr>
          <w:p>
            <w:pPr>
              <w:spacing w:after="0"/>
              <w:rPr>
                <w:sz w:val="13"/>
                <w:szCs w:val="13"/>
                <w:color w:val="auto"/>
              </w:rPr>
            </w:pPr>
          </w:p>
        </w:tc>
        <w:tc>
          <w:tcPr>
            <w:tcW w:w="2860" w:type="dxa"/>
            <w:vAlign w:val="bottom"/>
            <w:tcBorders>
              <w:top w:val="single" w:sz="8" w:color="auto"/>
            </w:tcBorders>
            <w:gridSpan w:val="16"/>
          </w:tcPr>
          <w:p>
            <w:pPr>
              <w:spacing w:after="0" w:line="156" w:lineRule="exact"/>
              <w:rPr>
                <w:rFonts w:ascii="Arial" w:cs="Arial" w:eastAsia="Arial" w:hAnsi="Arial"/>
                <w:sz w:val="18"/>
                <w:szCs w:val="18"/>
                <w:color w:val="auto"/>
                <w:w w:val="94"/>
              </w:rPr>
            </w:pPr>
            <w:hyperlink w:anchor="page184">
              <w:r>
                <w:rPr>
                  <w:rFonts w:ascii="Arial" w:cs="Arial" w:eastAsia="Arial" w:hAnsi="Arial"/>
                  <w:sz w:val="18"/>
                  <w:szCs w:val="18"/>
                  <w:color w:val="auto"/>
                  <w:w w:val="94"/>
                </w:rPr>
                <w:t>Executive Officer, pursuant to Section</w:t>
              </w:r>
            </w:hyperlink>
          </w:p>
        </w:tc>
        <w:tc>
          <w:tcPr>
            <w:tcW w:w="680" w:type="dxa"/>
            <w:vAlign w:val="bottom"/>
            <w:gridSpan w:val="16"/>
          </w:tcPr>
          <w:p>
            <w:pPr>
              <w:spacing w:after="0" w:line="156" w:lineRule="exact"/>
              <w:rPr>
                <w:rFonts w:ascii="Arial" w:cs="Arial" w:eastAsia="Arial" w:hAnsi="Arial"/>
                <w:sz w:val="18"/>
                <w:szCs w:val="18"/>
                <w:color w:val="auto"/>
              </w:rPr>
            </w:pPr>
            <w:hyperlink w:anchor="page184">
              <w:r>
                <w:rPr>
                  <w:rFonts w:ascii="Arial" w:cs="Arial" w:eastAsia="Arial" w:hAnsi="Arial"/>
                  <w:sz w:val="18"/>
                  <w:szCs w:val="18"/>
                  <w:color w:val="auto"/>
                </w:rPr>
                <w:t>302 of</w:t>
              </w:r>
            </w:hyperlink>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340" w:type="dxa"/>
            <w:vAlign w:val="bottom"/>
            <w:tcBorders>
              <w:top w:val="single" w:sz="8" w:color="auto"/>
            </w:tcBorders>
            <w:gridSpan w:val="31"/>
          </w:tcPr>
          <w:p>
            <w:pPr>
              <w:spacing w:after="0" w:line="156" w:lineRule="exact"/>
              <w:rPr>
                <w:rFonts w:ascii="Arial" w:cs="Arial" w:eastAsia="Arial" w:hAnsi="Arial"/>
                <w:sz w:val="18"/>
                <w:szCs w:val="18"/>
                <w:color w:val="auto"/>
              </w:rPr>
            </w:pPr>
            <w:hyperlink w:anchor="page184">
              <w:r>
                <w:rPr>
                  <w:rFonts w:ascii="Arial" w:cs="Arial" w:eastAsia="Arial" w:hAnsi="Arial"/>
                  <w:sz w:val="18"/>
                  <w:szCs w:val="18"/>
                  <w:color w:val="auto"/>
                </w:rPr>
                <w:t>the Sarbanes-Oxley Act of 2002.</w:t>
              </w:r>
            </w:hyperlink>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1"/>
        </w:trPr>
        <w:tc>
          <w:tcPr>
            <w:tcW w:w="13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1"/>
              </w:rPr>
              <w:t>31.2</w:t>
            </w:r>
          </w:p>
        </w:tc>
        <w:tc>
          <w:tcPr>
            <w:tcW w:w="3540" w:type="dxa"/>
            <w:vAlign w:val="bottom"/>
            <w:gridSpan w:val="32"/>
            <w:shd w:val="clear" w:color="auto" w:fill="CCEEFF"/>
          </w:tcPr>
          <w:p>
            <w:pPr>
              <w:spacing w:after="0" w:line="189" w:lineRule="exact"/>
              <w:rPr>
                <w:rFonts w:ascii="Arial" w:cs="Arial" w:eastAsia="Arial" w:hAnsi="Arial"/>
                <w:sz w:val="18"/>
                <w:szCs w:val="18"/>
                <w:color w:val="auto"/>
              </w:rPr>
            </w:pPr>
            <w:hyperlink w:anchor="page185">
              <w:r>
                <w:rPr>
                  <w:rFonts w:ascii="Arial" w:cs="Arial" w:eastAsia="Arial" w:hAnsi="Arial"/>
                  <w:sz w:val="18"/>
                  <w:szCs w:val="18"/>
                  <w:color w:val="auto"/>
                </w:rPr>
                <w:t>Certification of Leigh A. Vosseller, Chief</w:t>
              </w:r>
            </w:hyperlink>
          </w:p>
        </w:tc>
        <w:tc>
          <w:tcPr>
            <w:tcW w:w="1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0" w:type="dxa"/>
            <w:vAlign w:val="bottom"/>
            <w:shd w:val="clear" w:color="auto" w:fill="CCEEFF"/>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00" w:type="dxa"/>
            <w:vAlign w:val="bottom"/>
            <w:tcBorders>
              <w:top w:val="single" w:sz="8" w:color="auto"/>
            </w:tcBorders>
            <w:gridSpan w:val="18"/>
            <w:shd w:val="clear" w:color="auto" w:fill="CCEEFF"/>
          </w:tcPr>
          <w:p>
            <w:pPr>
              <w:spacing w:after="0" w:line="156" w:lineRule="exact"/>
              <w:rPr>
                <w:rFonts w:ascii="Arial" w:cs="Arial" w:eastAsia="Arial" w:hAnsi="Arial"/>
                <w:sz w:val="18"/>
                <w:szCs w:val="18"/>
                <w:color w:val="auto"/>
                <w:w w:val="90"/>
              </w:rPr>
            </w:pPr>
            <w:hyperlink w:anchor="page185">
              <w:r>
                <w:rPr>
                  <w:rFonts w:ascii="Arial" w:cs="Arial" w:eastAsia="Arial" w:hAnsi="Arial"/>
                  <w:sz w:val="18"/>
                  <w:szCs w:val="18"/>
                  <w:color w:val="auto"/>
                  <w:w w:val="90"/>
                </w:rPr>
                <w:t>Financial Officer, pursuant to Section 302</w:t>
              </w:r>
            </w:hyperlink>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gridSpan w:val="13"/>
            <w:shd w:val="clear" w:color="auto" w:fill="CCEEFF"/>
          </w:tcPr>
          <w:p>
            <w:pPr>
              <w:ind w:left="60"/>
              <w:spacing w:after="0" w:line="156" w:lineRule="exact"/>
              <w:rPr>
                <w:rFonts w:ascii="Arial" w:cs="Arial" w:eastAsia="Arial" w:hAnsi="Arial"/>
                <w:sz w:val="18"/>
                <w:szCs w:val="18"/>
                <w:color w:val="auto"/>
              </w:rPr>
            </w:pPr>
            <w:hyperlink w:anchor="page185">
              <w:r>
                <w:rPr>
                  <w:rFonts w:ascii="Arial" w:cs="Arial" w:eastAsia="Arial" w:hAnsi="Arial"/>
                  <w:sz w:val="18"/>
                  <w:szCs w:val="18"/>
                  <w:color w:val="auto"/>
                </w:rPr>
                <w:t>of</w:t>
              </w:r>
            </w:hyperlink>
          </w:p>
        </w:tc>
        <w:tc>
          <w:tcPr>
            <w:tcW w:w="1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380" w:type="dxa"/>
            <w:vAlign w:val="bottom"/>
            <w:tcBorders>
              <w:top w:val="single" w:sz="8" w:color="auto"/>
              <w:bottom w:val="single" w:sz="8" w:color="auto"/>
            </w:tcBorders>
            <w:gridSpan w:val="10"/>
            <w:shd w:val="clear" w:color="auto" w:fill="CCEEFF"/>
          </w:tcPr>
          <w:p>
            <w:pPr>
              <w:spacing w:after="0" w:line="156" w:lineRule="exact"/>
              <w:rPr>
                <w:rFonts w:ascii="Arial" w:cs="Arial" w:eastAsia="Arial" w:hAnsi="Arial"/>
                <w:sz w:val="18"/>
                <w:szCs w:val="18"/>
                <w:color w:val="auto"/>
                <w:w w:val="90"/>
              </w:rPr>
            </w:pPr>
            <w:hyperlink w:anchor="page185">
              <w:r>
                <w:rPr>
                  <w:rFonts w:ascii="Arial" w:cs="Arial" w:eastAsia="Arial" w:hAnsi="Arial"/>
                  <w:sz w:val="18"/>
                  <w:szCs w:val="18"/>
                  <w:color w:val="auto"/>
                  <w:w w:val="90"/>
                </w:rPr>
                <w:t>the Sarbanes-Oxley Act of 2002.</w:t>
              </w:r>
            </w:hyperlink>
          </w:p>
        </w:tc>
        <w:tc>
          <w:tcPr>
            <w:tcW w:w="840" w:type="dxa"/>
            <w:vAlign w:val="bottom"/>
            <w:tcBorders>
              <w:top w:val="single" w:sz="8" w:color="auto"/>
              <w:bottom w:val="single" w:sz="8" w:color="CCEEFF"/>
            </w:tcBorders>
            <w:gridSpan w:val="16"/>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rPr>
              <w:t>32.1***</w:t>
            </w:r>
          </w:p>
        </w:tc>
        <w:tc>
          <w:tcPr>
            <w:tcW w:w="3540" w:type="dxa"/>
            <w:vAlign w:val="bottom"/>
            <w:gridSpan w:val="32"/>
          </w:tcPr>
          <w:p>
            <w:pPr>
              <w:spacing w:after="0" w:line="189" w:lineRule="exact"/>
              <w:rPr>
                <w:rFonts w:ascii="Arial" w:cs="Arial" w:eastAsia="Arial" w:hAnsi="Arial"/>
                <w:sz w:val="18"/>
                <w:szCs w:val="18"/>
                <w:color w:val="auto"/>
              </w:rPr>
            </w:pPr>
            <w:hyperlink w:anchor="page186">
              <w:r>
                <w:rPr>
                  <w:rFonts w:ascii="Arial" w:cs="Arial" w:eastAsia="Arial" w:hAnsi="Arial"/>
                  <w:sz w:val="18"/>
                  <w:szCs w:val="18"/>
                  <w:color w:val="auto"/>
                </w:rPr>
                <w:t>Certification of John F. Sheridan, Chief</w:t>
              </w:r>
            </w:hyperlink>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55"/>
        </w:trPr>
        <w:tc>
          <w:tcPr>
            <w:tcW w:w="1380" w:type="dxa"/>
            <w:vAlign w:val="bottom"/>
          </w:tcPr>
          <w:p>
            <w:pPr>
              <w:spacing w:after="0"/>
              <w:rPr>
                <w:sz w:val="13"/>
                <w:szCs w:val="13"/>
                <w:color w:val="auto"/>
              </w:rPr>
            </w:pPr>
          </w:p>
        </w:tc>
        <w:tc>
          <w:tcPr>
            <w:tcW w:w="2840" w:type="dxa"/>
            <w:vAlign w:val="bottom"/>
            <w:tcBorders>
              <w:top w:val="single" w:sz="8" w:color="auto"/>
            </w:tcBorders>
            <w:gridSpan w:val="15"/>
          </w:tcPr>
          <w:p>
            <w:pPr>
              <w:spacing w:after="0" w:line="156" w:lineRule="exact"/>
              <w:rPr>
                <w:rFonts w:ascii="Arial" w:cs="Arial" w:eastAsia="Arial" w:hAnsi="Arial"/>
                <w:sz w:val="18"/>
                <w:szCs w:val="18"/>
                <w:color w:val="auto"/>
                <w:w w:val="95"/>
              </w:rPr>
            </w:pPr>
            <w:hyperlink w:anchor="page186">
              <w:r>
                <w:rPr>
                  <w:rFonts w:ascii="Arial" w:cs="Arial" w:eastAsia="Arial" w:hAnsi="Arial"/>
                  <w:sz w:val="18"/>
                  <w:szCs w:val="18"/>
                  <w:color w:val="auto"/>
                  <w:w w:val="95"/>
                </w:rPr>
                <w:t>Executive Officer, pursuant to U.S.C.</w:t>
              </w:r>
            </w:hyperlink>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gridSpan w:val="13"/>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2680" w:type="dxa"/>
            <w:vAlign w:val="bottom"/>
            <w:tcBorders>
              <w:top w:val="single" w:sz="8" w:color="auto"/>
              <w:bottom w:val="single" w:sz="8" w:color="auto"/>
            </w:tcBorders>
            <w:gridSpan w:val="12"/>
          </w:tcPr>
          <w:p>
            <w:pPr>
              <w:spacing w:after="0" w:line="156" w:lineRule="exact"/>
              <w:rPr>
                <w:rFonts w:ascii="Arial" w:cs="Arial" w:eastAsia="Arial" w:hAnsi="Arial"/>
                <w:sz w:val="18"/>
                <w:szCs w:val="18"/>
                <w:color w:val="auto"/>
                <w:w w:val="88"/>
              </w:rPr>
            </w:pPr>
            <w:hyperlink w:anchor="page186">
              <w:r>
                <w:rPr>
                  <w:rFonts w:ascii="Arial" w:cs="Arial" w:eastAsia="Arial" w:hAnsi="Arial"/>
                  <w:sz w:val="18"/>
                  <w:szCs w:val="18"/>
                  <w:color w:val="auto"/>
                  <w:w w:val="88"/>
                </w:rPr>
                <w:t>Section 1350, as adopted pursuant to</w:t>
              </w:r>
            </w:hyperlink>
          </w:p>
        </w:tc>
        <w:tc>
          <w:tcPr>
            <w:tcW w:w="20" w:type="dxa"/>
            <w:vAlign w:val="bottom"/>
            <w:tcBorders>
              <w:top w:val="single" w:sz="8" w:color="auto"/>
            </w:tcBorders>
          </w:tcPr>
          <w:p>
            <w:pPr>
              <w:spacing w:after="0"/>
              <w:rPr>
                <w:sz w:val="13"/>
                <w:szCs w:val="13"/>
                <w:color w:val="auto"/>
              </w:rPr>
            </w:pPr>
          </w:p>
        </w:tc>
        <w:tc>
          <w:tcPr>
            <w:tcW w:w="2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gridSpan w:val="13"/>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540" w:type="dxa"/>
            <w:vAlign w:val="bottom"/>
            <w:gridSpan w:val="32"/>
          </w:tcPr>
          <w:p>
            <w:pPr>
              <w:spacing w:after="0" w:line="156" w:lineRule="exact"/>
              <w:rPr>
                <w:rFonts w:ascii="Arial" w:cs="Arial" w:eastAsia="Arial" w:hAnsi="Arial"/>
                <w:sz w:val="18"/>
                <w:szCs w:val="18"/>
                <w:color w:val="auto"/>
              </w:rPr>
            </w:pPr>
            <w:hyperlink w:anchor="page186">
              <w:r>
                <w:rPr>
                  <w:rFonts w:ascii="Arial" w:cs="Arial" w:eastAsia="Arial" w:hAnsi="Arial"/>
                  <w:sz w:val="18"/>
                  <w:szCs w:val="18"/>
                  <w:color w:val="auto"/>
                </w:rPr>
                <w:t>Section 906 of the Sarbanes-Oxley Act of</w:t>
              </w:r>
            </w:hyperlink>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line="156" w:lineRule="exact"/>
              <w:rPr>
                <w:rFonts w:ascii="Arial" w:cs="Arial" w:eastAsia="Arial" w:hAnsi="Arial"/>
                <w:sz w:val="18"/>
                <w:szCs w:val="18"/>
                <w:color w:val="auto"/>
                <w:w w:val="88"/>
              </w:rPr>
            </w:pPr>
            <w:hyperlink w:anchor="page186">
              <w:r>
                <w:rPr>
                  <w:rFonts w:ascii="Arial" w:cs="Arial" w:eastAsia="Arial" w:hAnsi="Arial"/>
                  <w:sz w:val="18"/>
                  <w:szCs w:val="18"/>
                  <w:color w:val="auto"/>
                  <w:w w:val="88"/>
                </w:rPr>
                <w:t>2002.</w:t>
              </w:r>
            </w:hyperlink>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rPr>
              <w:t>32.2***</w:t>
            </w:r>
          </w:p>
        </w:tc>
        <w:tc>
          <w:tcPr>
            <w:tcW w:w="3540" w:type="dxa"/>
            <w:vAlign w:val="bottom"/>
            <w:gridSpan w:val="32"/>
            <w:shd w:val="clear" w:color="auto" w:fill="CCEEFF"/>
          </w:tcPr>
          <w:p>
            <w:pPr>
              <w:spacing w:after="0" w:line="189" w:lineRule="exact"/>
              <w:rPr>
                <w:rFonts w:ascii="Arial" w:cs="Arial" w:eastAsia="Arial" w:hAnsi="Arial"/>
                <w:sz w:val="18"/>
                <w:szCs w:val="18"/>
                <w:color w:val="auto"/>
              </w:rPr>
            </w:pPr>
            <w:hyperlink w:anchor="page187">
              <w:r>
                <w:rPr>
                  <w:rFonts w:ascii="Arial" w:cs="Arial" w:eastAsia="Arial" w:hAnsi="Arial"/>
                  <w:sz w:val="18"/>
                  <w:szCs w:val="18"/>
                  <w:color w:val="auto"/>
                </w:rPr>
                <w:t>Certification of Leigh A. Vosseller, Chief</w:t>
              </w:r>
            </w:hyperlink>
          </w:p>
        </w:tc>
        <w:tc>
          <w:tcPr>
            <w:tcW w:w="1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0" w:type="dxa"/>
            <w:vAlign w:val="bottom"/>
            <w:shd w:val="clear" w:color="auto" w:fill="CCEEFF"/>
          </w:tcPr>
          <w:p>
            <w:pPr>
              <w:ind w:left="1740"/>
              <w:spacing w:after="0" w:line="189" w:lineRule="exact"/>
              <w:rPr>
                <w:sz w:val="20"/>
                <w:szCs w:val="20"/>
                <w:color w:val="auto"/>
              </w:rPr>
            </w:pPr>
            <w:r>
              <w:rPr>
                <w:rFonts w:ascii="Arial" w:cs="Arial" w:eastAsia="Arial" w:hAnsi="Arial"/>
                <w:sz w:val="18"/>
                <w:szCs w:val="18"/>
                <w:color w:val="auto"/>
              </w:rPr>
              <w:t>X</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auto"/>
            </w:tcBorders>
            <w:gridSpan w:val="17"/>
            <w:shd w:val="clear" w:color="auto" w:fill="CCEEFF"/>
          </w:tcPr>
          <w:p>
            <w:pPr>
              <w:spacing w:after="0" w:line="156" w:lineRule="exact"/>
              <w:rPr>
                <w:rFonts w:ascii="Arial" w:cs="Arial" w:eastAsia="Arial" w:hAnsi="Arial"/>
                <w:sz w:val="18"/>
                <w:szCs w:val="18"/>
                <w:color w:val="auto"/>
              </w:rPr>
            </w:pPr>
            <w:hyperlink w:anchor="page187">
              <w:r>
                <w:rPr>
                  <w:rFonts w:ascii="Arial" w:cs="Arial" w:eastAsia="Arial" w:hAnsi="Arial"/>
                  <w:sz w:val="18"/>
                  <w:szCs w:val="18"/>
                  <w:color w:val="auto"/>
                </w:rPr>
                <w:t>Financial Officer, pursuant to U.S.C.</w:t>
              </w:r>
            </w:hyperlink>
          </w:p>
        </w:tc>
        <w:tc>
          <w:tcPr>
            <w:tcW w:w="560" w:type="dxa"/>
            <w:vAlign w:val="bottom"/>
            <w:tcBorders>
              <w:top w:val="single" w:sz="8" w:color="CCEEFF"/>
            </w:tcBorders>
            <w:gridSpan w:val="15"/>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2660" w:type="dxa"/>
            <w:vAlign w:val="bottom"/>
            <w:tcBorders>
              <w:top w:val="single" w:sz="8" w:color="auto"/>
              <w:bottom w:val="single" w:sz="8" w:color="auto"/>
            </w:tcBorders>
            <w:gridSpan w:val="11"/>
            <w:shd w:val="clear" w:color="auto" w:fill="CCEEFF"/>
          </w:tcPr>
          <w:p>
            <w:pPr>
              <w:spacing w:after="0" w:line="156" w:lineRule="exact"/>
              <w:rPr>
                <w:rFonts w:ascii="Arial" w:cs="Arial" w:eastAsia="Arial" w:hAnsi="Arial"/>
                <w:sz w:val="18"/>
                <w:szCs w:val="18"/>
                <w:color w:val="auto"/>
                <w:w w:val="88"/>
              </w:rPr>
            </w:pPr>
            <w:hyperlink w:anchor="page187">
              <w:r>
                <w:rPr>
                  <w:rFonts w:ascii="Arial" w:cs="Arial" w:eastAsia="Arial" w:hAnsi="Arial"/>
                  <w:sz w:val="18"/>
                  <w:szCs w:val="18"/>
                  <w:color w:val="auto"/>
                  <w:w w:val="88"/>
                </w:rPr>
                <w:t>Section 1350, as adopted pursuant to</w:t>
              </w:r>
            </w:hyperlink>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gridSpan w:val="20"/>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540" w:type="dxa"/>
            <w:vAlign w:val="bottom"/>
            <w:tcBorders>
              <w:top w:val="single" w:sz="8" w:color="CCEEFF"/>
              <w:bottom w:val="single" w:sz="8" w:color="CCEEFF"/>
            </w:tcBorders>
            <w:shd w:val="clear" w:color="auto" w:fill="CCEEFF"/>
          </w:tcPr>
          <w:p>
            <w:pPr>
              <w:spacing w:after="0"/>
              <w:rPr>
                <w:sz w:val="13"/>
                <w:szCs w:val="13"/>
                <w:color w:val="auto"/>
              </w:rPr>
            </w:pPr>
          </w:p>
        </w:tc>
        <w:tc>
          <w:tcPr>
            <w:tcW w:w="24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3540" w:type="dxa"/>
            <w:vAlign w:val="bottom"/>
            <w:gridSpan w:val="32"/>
            <w:shd w:val="clear" w:color="auto" w:fill="CCEEFF"/>
          </w:tcPr>
          <w:p>
            <w:pPr>
              <w:spacing w:after="0" w:line="156" w:lineRule="exact"/>
              <w:rPr>
                <w:rFonts w:ascii="Arial" w:cs="Arial" w:eastAsia="Arial" w:hAnsi="Arial"/>
                <w:sz w:val="18"/>
                <w:szCs w:val="18"/>
                <w:color w:val="auto"/>
              </w:rPr>
            </w:pPr>
            <w:hyperlink w:anchor="page187">
              <w:r>
                <w:rPr>
                  <w:rFonts w:ascii="Arial" w:cs="Arial" w:eastAsia="Arial" w:hAnsi="Arial"/>
                  <w:sz w:val="18"/>
                  <w:szCs w:val="18"/>
                  <w:color w:val="auto"/>
                </w:rPr>
                <w:t>Section 906 of the Sarbanes-Oxley Act of</w:t>
              </w:r>
            </w:hyperlink>
          </w:p>
        </w:tc>
        <w:tc>
          <w:tcPr>
            <w:tcW w:w="1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r>
      <w:tr>
        <w:trPr>
          <w:trHeight w:val="181"/>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line="156" w:lineRule="exact"/>
              <w:rPr>
                <w:rFonts w:ascii="Arial" w:cs="Arial" w:eastAsia="Arial" w:hAnsi="Arial"/>
                <w:sz w:val="18"/>
                <w:szCs w:val="18"/>
                <w:color w:val="auto"/>
                <w:w w:val="88"/>
              </w:rPr>
            </w:pPr>
            <w:hyperlink w:anchor="page187">
              <w:r>
                <w:rPr>
                  <w:rFonts w:ascii="Arial" w:cs="Arial" w:eastAsia="Arial" w:hAnsi="Arial"/>
                  <w:sz w:val="18"/>
                  <w:szCs w:val="18"/>
                  <w:color w:val="auto"/>
                  <w:w w:val="88"/>
                </w:rPr>
                <w:t>2002.</w:t>
              </w:r>
            </w:hyperlink>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30"/>
        </w:trPr>
        <w:tc>
          <w:tcPr>
            <w:tcW w:w="1380" w:type="dxa"/>
            <w:vAlign w:val="bottom"/>
            <w:tcBorders>
              <w:top w:val="single" w:sz="8" w:color="CCEEFF"/>
            </w:tcBorders>
          </w:tcPr>
          <w:p>
            <w:pPr>
              <w:jc w:val="center"/>
              <w:ind w:right="10"/>
              <w:spacing w:after="0"/>
              <w:rPr>
                <w:sz w:val="20"/>
                <w:szCs w:val="20"/>
                <w:color w:val="auto"/>
              </w:rPr>
            </w:pPr>
            <w:r>
              <w:rPr>
                <w:rFonts w:ascii="Arial" w:cs="Arial" w:eastAsia="Arial" w:hAnsi="Arial"/>
                <w:sz w:val="18"/>
                <w:szCs w:val="18"/>
                <w:color w:val="auto"/>
                <w:w w:val="92"/>
              </w:rPr>
              <w:t>101.INS</w:t>
            </w:r>
          </w:p>
        </w:tc>
        <w:tc>
          <w:tcPr>
            <w:tcW w:w="3540" w:type="dxa"/>
            <w:vAlign w:val="bottom"/>
            <w:tcBorders>
              <w:top w:val="single" w:sz="8" w:color="CCEEFF"/>
            </w:tcBorders>
            <w:gridSpan w:val="32"/>
          </w:tcPr>
          <w:p>
            <w:pPr>
              <w:spacing w:after="0"/>
              <w:rPr>
                <w:sz w:val="20"/>
                <w:szCs w:val="20"/>
                <w:color w:val="auto"/>
              </w:rPr>
            </w:pPr>
            <w:r>
              <w:rPr>
                <w:rFonts w:ascii="Arial" w:cs="Arial" w:eastAsia="Arial" w:hAnsi="Arial"/>
                <w:sz w:val="18"/>
                <w:szCs w:val="18"/>
                <w:color w:val="auto"/>
              </w:rPr>
              <w:t>Inline XBRL Instance Document.</w:t>
            </w:r>
          </w:p>
        </w:tc>
        <w:tc>
          <w:tcPr>
            <w:tcW w:w="110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2400" w:type="dxa"/>
            <w:vAlign w:val="bottom"/>
            <w:tcBorders>
              <w:top w:val="single" w:sz="8" w:color="CCEEFF"/>
            </w:tcBorders>
          </w:tcPr>
          <w:p>
            <w:pPr>
              <w:ind w:left="1740"/>
              <w:spacing w:after="0"/>
              <w:rPr>
                <w:sz w:val="20"/>
                <w:szCs w:val="20"/>
                <w:color w:val="auto"/>
              </w:rPr>
            </w:pPr>
            <w:r>
              <w:rPr>
                <w:rFonts w:ascii="Arial" w:cs="Arial" w:eastAsia="Arial" w:hAnsi="Arial"/>
                <w:sz w:val="18"/>
                <w:szCs w:val="18"/>
                <w:color w:val="auto"/>
              </w:rPr>
              <w:t>X</w:t>
            </w:r>
          </w:p>
        </w:tc>
      </w:tr>
      <w:tr>
        <w:trPr>
          <w:trHeight w:val="175"/>
        </w:trPr>
        <w:tc>
          <w:tcPr>
            <w:tcW w:w="13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0"/>
              </w:rPr>
              <w:t>101.SCH</w:t>
            </w:r>
          </w:p>
        </w:tc>
        <w:tc>
          <w:tcPr>
            <w:tcW w:w="354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Schema</w:t>
            </w:r>
          </w:p>
        </w:tc>
        <w:tc>
          <w:tcPr>
            <w:tcW w:w="1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0" w:type="dxa"/>
            <w:vAlign w:val="bottom"/>
            <w:shd w:val="clear" w:color="auto" w:fill="CCEEFF"/>
          </w:tcPr>
          <w:p>
            <w:pPr>
              <w:ind w:left="1740"/>
              <w:spacing w:after="0" w:line="176" w:lineRule="exact"/>
              <w:rPr>
                <w:sz w:val="20"/>
                <w:szCs w:val="20"/>
                <w:color w:val="auto"/>
              </w:rPr>
            </w:pPr>
            <w:r>
              <w:rPr>
                <w:rFonts w:ascii="Arial" w:cs="Arial" w:eastAsia="Arial" w:hAnsi="Arial"/>
                <w:sz w:val="18"/>
                <w:szCs w:val="18"/>
                <w:color w:val="auto"/>
              </w:rPr>
              <w:t>X</w:t>
            </w:r>
          </w:p>
        </w:tc>
      </w:tr>
      <w:tr>
        <w:trPr>
          <w:trHeight w:val="230"/>
        </w:trPr>
        <w:tc>
          <w:tcPr>
            <w:tcW w:w="1380" w:type="dxa"/>
            <w:vAlign w:val="bottom"/>
            <w:shd w:val="clear" w:color="auto" w:fill="CCEEFF"/>
          </w:tcPr>
          <w:p>
            <w:pPr>
              <w:spacing w:after="0"/>
              <w:rPr>
                <w:sz w:val="19"/>
                <w:szCs w:val="19"/>
                <w:color w:val="auto"/>
              </w:rPr>
            </w:pPr>
          </w:p>
        </w:tc>
        <w:tc>
          <w:tcPr>
            <w:tcW w:w="354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Document.</w:t>
            </w:r>
          </w:p>
        </w:tc>
        <w:tc>
          <w:tcPr>
            <w:tcW w:w="1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175"/>
        </w:trPr>
        <w:tc>
          <w:tcPr>
            <w:tcW w:w="13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7"/>
              </w:rPr>
              <w:t>101.CAL</w:t>
            </w:r>
          </w:p>
        </w:tc>
        <w:tc>
          <w:tcPr>
            <w:tcW w:w="3540" w:type="dxa"/>
            <w:vAlign w:val="bottom"/>
            <w:gridSpan w:val="32"/>
          </w:tcPr>
          <w:p>
            <w:pPr>
              <w:spacing w:after="0" w:line="176" w:lineRule="exact"/>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0" w:type="dxa"/>
            <w:vAlign w:val="bottom"/>
          </w:tcPr>
          <w:p>
            <w:pPr>
              <w:ind w:left="1740"/>
              <w:spacing w:after="0" w:line="176" w:lineRule="exact"/>
              <w:rPr>
                <w:sz w:val="20"/>
                <w:szCs w:val="20"/>
                <w:color w:val="auto"/>
              </w:rPr>
            </w:pPr>
            <w:r>
              <w:rPr>
                <w:rFonts w:ascii="Arial" w:cs="Arial" w:eastAsia="Arial" w:hAnsi="Arial"/>
                <w:sz w:val="18"/>
                <w:szCs w:val="18"/>
                <w:color w:val="auto"/>
              </w:rPr>
              <w:t>X</w:t>
            </w:r>
          </w:p>
        </w:tc>
      </w:tr>
      <w:tr>
        <w:trPr>
          <w:trHeight w:val="230"/>
        </w:trPr>
        <w:tc>
          <w:tcPr>
            <w:tcW w:w="1380" w:type="dxa"/>
            <w:vAlign w:val="bottom"/>
          </w:tcPr>
          <w:p>
            <w:pPr>
              <w:spacing w:after="0"/>
              <w:rPr>
                <w:sz w:val="19"/>
                <w:szCs w:val="19"/>
                <w:color w:val="auto"/>
              </w:rPr>
            </w:pPr>
          </w:p>
        </w:tc>
        <w:tc>
          <w:tcPr>
            <w:tcW w:w="3540" w:type="dxa"/>
            <w:vAlign w:val="bottom"/>
            <w:gridSpan w:val="32"/>
          </w:tcPr>
          <w:p>
            <w:pPr>
              <w:spacing w:after="0"/>
              <w:rPr>
                <w:sz w:val="20"/>
                <w:szCs w:val="20"/>
                <w:color w:val="auto"/>
              </w:rPr>
            </w:pPr>
            <w:r>
              <w:rPr>
                <w:rFonts w:ascii="Arial" w:cs="Arial" w:eastAsia="Arial" w:hAnsi="Arial"/>
                <w:sz w:val="18"/>
                <w:szCs w:val="18"/>
                <w:color w:val="auto"/>
              </w:rPr>
              <w:t>Calculation Linkbase Document.</w:t>
            </w: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75"/>
        </w:trPr>
        <w:tc>
          <w:tcPr>
            <w:tcW w:w="13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101.DEF</w:t>
            </w:r>
          </w:p>
        </w:tc>
        <w:tc>
          <w:tcPr>
            <w:tcW w:w="354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w:t>
            </w:r>
          </w:p>
        </w:tc>
        <w:tc>
          <w:tcPr>
            <w:tcW w:w="1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0" w:type="dxa"/>
            <w:vAlign w:val="bottom"/>
            <w:shd w:val="clear" w:color="auto" w:fill="CCEEFF"/>
          </w:tcPr>
          <w:p>
            <w:pPr>
              <w:ind w:left="1740"/>
              <w:spacing w:after="0" w:line="176" w:lineRule="exact"/>
              <w:rPr>
                <w:sz w:val="20"/>
                <w:szCs w:val="20"/>
                <w:color w:val="auto"/>
              </w:rPr>
            </w:pPr>
            <w:r>
              <w:rPr>
                <w:rFonts w:ascii="Arial" w:cs="Arial" w:eastAsia="Arial" w:hAnsi="Arial"/>
                <w:sz w:val="18"/>
                <w:szCs w:val="18"/>
                <w:color w:val="auto"/>
              </w:rPr>
              <w:t>X</w:t>
            </w:r>
          </w:p>
        </w:tc>
      </w:tr>
      <w:tr>
        <w:trPr>
          <w:trHeight w:val="230"/>
        </w:trPr>
        <w:tc>
          <w:tcPr>
            <w:tcW w:w="1380" w:type="dxa"/>
            <w:vAlign w:val="bottom"/>
            <w:shd w:val="clear" w:color="auto" w:fill="CCEEFF"/>
          </w:tcPr>
          <w:p>
            <w:pPr>
              <w:spacing w:after="0"/>
              <w:rPr>
                <w:sz w:val="19"/>
                <w:szCs w:val="19"/>
                <w:color w:val="auto"/>
              </w:rPr>
            </w:pPr>
          </w:p>
        </w:tc>
        <w:tc>
          <w:tcPr>
            <w:tcW w:w="354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Definition Linkbase Document.</w:t>
            </w:r>
          </w:p>
        </w:tc>
        <w:tc>
          <w:tcPr>
            <w:tcW w:w="1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175"/>
        </w:trPr>
        <w:tc>
          <w:tcPr>
            <w:tcW w:w="13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8"/>
              </w:rPr>
              <w:t>101.LAB</w:t>
            </w:r>
          </w:p>
        </w:tc>
        <w:tc>
          <w:tcPr>
            <w:tcW w:w="3540" w:type="dxa"/>
            <w:vAlign w:val="bottom"/>
            <w:gridSpan w:val="32"/>
          </w:tcPr>
          <w:p>
            <w:pPr>
              <w:spacing w:after="0" w:line="176" w:lineRule="exact"/>
              <w:rPr>
                <w:sz w:val="20"/>
                <w:szCs w:val="20"/>
                <w:color w:val="auto"/>
              </w:rPr>
            </w:pPr>
            <w:r>
              <w:rPr>
                <w:rFonts w:ascii="Arial" w:cs="Arial" w:eastAsia="Arial" w:hAnsi="Arial"/>
                <w:sz w:val="18"/>
                <w:szCs w:val="18"/>
                <w:color w:val="auto"/>
              </w:rPr>
              <w:t>Inline XBRL Taxonomy Extension Label</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0" w:type="dxa"/>
            <w:vAlign w:val="bottom"/>
          </w:tcPr>
          <w:p>
            <w:pPr>
              <w:ind w:left="1740"/>
              <w:spacing w:after="0" w:line="176" w:lineRule="exact"/>
              <w:rPr>
                <w:sz w:val="20"/>
                <w:szCs w:val="20"/>
                <w:color w:val="auto"/>
              </w:rPr>
            </w:pPr>
            <w:r>
              <w:rPr>
                <w:rFonts w:ascii="Arial" w:cs="Arial" w:eastAsia="Arial" w:hAnsi="Arial"/>
                <w:sz w:val="18"/>
                <w:szCs w:val="18"/>
                <w:color w:val="auto"/>
              </w:rPr>
              <w:t>X</w:t>
            </w:r>
          </w:p>
        </w:tc>
      </w:tr>
      <w:tr>
        <w:trPr>
          <w:trHeight w:val="230"/>
        </w:trPr>
        <w:tc>
          <w:tcPr>
            <w:tcW w:w="1380" w:type="dxa"/>
            <w:vAlign w:val="bottom"/>
          </w:tcPr>
          <w:p>
            <w:pPr>
              <w:spacing w:after="0"/>
              <w:rPr>
                <w:sz w:val="19"/>
                <w:szCs w:val="19"/>
                <w:color w:val="auto"/>
              </w:rPr>
            </w:pPr>
          </w:p>
        </w:tc>
        <w:tc>
          <w:tcPr>
            <w:tcW w:w="3540" w:type="dxa"/>
            <w:vAlign w:val="bottom"/>
            <w:gridSpan w:val="32"/>
          </w:tcPr>
          <w:p>
            <w:pPr>
              <w:spacing w:after="0"/>
              <w:rPr>
                <w:sz w:val="20"/>
                <w:szCs w:val="20"/>
                <w:color w:val="auto"/>
              </w:rPr>
            </w:pPr>
            <w:r>
              <w:rPr>
                <w:rFonts w:ascii="Arial" w:cs="Arial" w:eastAsia="Arial" w:hAnsi="Arial"/>
                <w:sz w:val="18"/>
                <w:szCs w:val="18"/>
                <w:color w:val="auto"/>
              </w:rPr>
              <w:t>Linkbase Document.</w:t>
            </w: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75"/>
        </w:trPr>
        <w:tc>
          <w:tcPr>
            <w:tcW w:w="138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88"/>
              </w:rPr>
              <w:t>101.PRE</w:t>
            </w:r>
          </w:p>
        </w:tc>
        <w:tc>
          <w:tcPr>
            <w:tcW w:w="354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w:t>
            </w:r>
          </w:p>
        </w:tc>
        <w:tc>
          <w:tcPr>
            <w:tcW w:w="1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0" w:type="dxa"/>
            <w:vAlign w:val="bottom"/>
            <w:shd w:val="clear" w:color="auto" w:fill="CCEEFF"/>
          </w:tcPr>
          <w:p>
            <w:pPr>
              <w:ind w:left="1740"/>
              <w:spacing w:after="0" w:line="176" w:lineRule="exact"/>
              <w:rPr>
                <w:sz w:val="20"/>
                <w:szCs w:val="20"/>
                <w:color w:val="auto"/>
              </w:rPr>
            </w:pPr>
            <w:r>
              <w:rPr>
                <w:rFonts w:ascii="Arial" w:cs="Arial" w:eastAsia="Arial" w:hAnsi="Arial"/>
                <w:sz w:val="18"/>
                <w:szCs w:val="18"/>
                <w:color w:val="auto"/>
              </w:rPr>
              <w:t>X</w:t>
            </w:r>
          </w:p>
        </w:tc>
      </w:tr>
      <w:tr>
        <w:trPr>
          <w:trHeight w:val="230"/>
        </w:trPr>
        <w:tc>
          <w:tcPr>
            <w:tcW w:w="1380" w:type="dxa"/>
            <w:vAlign w:val="bottom"/>
            <w:shd w:val="clear" w:color="auto" w:fill="CCEEFF"/>
          </w:tcPr>
          <w:p>
            <w:pPr>
              <w:spacing w:after="0"/>
              <w:rPr>
                <w:sz w:val="19"/>
                <w:szCs w:val="19"/>
                <w:color w:val="auto"/>
              </w:rPr>
            </w:pPr>
          </w:p>
        </w:tc>
        <w:tc>
          <w:tcPr>
            <w:tcW w:w="354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Presentation Linkbase Document.</w:t>
            </w:r>
          </w:p>
        </w:tc>
        <w:tc>
          <w:tcPr>
            <w:tcW w:w="1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175"/>
        </w:trPr>
        <w:tc>
          <w:tcPr>
            <w:tcW w:w="13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104</w:t>
            </w:r>
          </w:p>
        </w:tc>
        <w:tc>
          <w:tcPr>
            <w:tcW w:w="3540" w:type="dxa"/>
            <w:vAlign w:val="bottom"/>
            <w:gridSpan w:val="32"/>
          </w:tcPr>
          <w:p>
            <w:pPr>
              <w:spacing w:after="0" w:line="176" w:lineRule="exact"/>
              <w:rPr>
                <w:sz w:val="20"/>
                <w:szCs w:val="20"/>
                <w:color w:val="auto"/>
              </w:rPr>
            </w:pPr>
            <w:r>
              <w:rPr>
                <w:rFonts w:ascii="Arial" w:cs="Arial" w:eastAsia="Arial" w:hAnsi="Arial"/>
                <w:sz w:val="18"/>
                <w:szCs w:val="18"/>
                <w:color w:val="auto"/>
                <w:w w:val="98"/>
              </w:rPr>
              <w:t>Cover Page Interactive Data File (embedded</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0" w:type="dxa"/>
            <w:vAlign w:val="bottom"/>
          </w:tcPr>
          <w:p>
            <w:pPr>
              <w:ind w:left="1740"/>
              <w:spacing w:after="0" w:line="176" w:lineRule="exact"/>
              <w:rPr>
                <w:sz w:val="20"/>
                <w:szCs w:val="20"/>
                <w:color w:val="auto"/>
              </w:rPr>
            </w:pPr>
            <w:r>
              <w:rPr>
                <w:rFonts w:ascii="Arial" w:cs="Arial" w:eastAsia="Arial" w:hAnsi="Arial"/>
                <w:sz w:val="18"/>
                <w:szCs w:val="18"/>
                <w:color w:val="auto"/>
              </w:rPr>
              <w:t>X</w:t>
            </w:r>
          </w:p>
        </w:tc>
      </w:tr>
      <w:tr>
        <w:trPr>
          <w:trHeight w:val="230"/>
        </w:trPr>
        <w:tc>
          <w:tcPr>
            <w:tcW w:w="1380" w:type="dxa"/>
            <w:vAlign w:val="bottom"/>
          </w:tcPr>
          <w:p>
            <w:pPr>
              <w:spacing w:after="0"/>
              <w:rPr>
                <w:sz w:val="20"/>
                <w:szCs w:val="20"/>
                <w:color w:val="auto"/>
              </w:rPr>
            </w:pPr>
          </w:p>
        </w:tc>
        <w:tc>
          <w:tcPr>
            <w:tcW w:w="3540" w:type="dxa"/>
            <w:vAlign w:val="bottom"/>
            <w:gridSpan w:val="32"/>
          </w:tcPr>
          <w:p>
            <w:pPr>
              <w:spacing w:after="0"/>
              <w:rPr>
                <w:sz w:val="20"/>
                <w:szCs w:val="20"/>
                <w:color w:val="auto"/>
              </w:rPr>
            </w:pPr>
            <w:r>
              <w:rPr>
                <w:rFonts w:ascii="Arial" w:cs="Arial" w:eastAsia="Arial" w:hAnsi="Arial"/>
                <w:sz w:val="18"/>
                <w:szCs w:val="18"/>
                <w:color w:val="auto"/>
              </w:rPr>
              <w:t>within the Inline XBRL document).</w:t>
            </w:r>
          </w:p>
        </w:tc>
        <w:tc>
          <w:tcPr>
            <w:tcW w:w="1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850"/>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rPr>
              <w:t>125</w:t>
            </w: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6" w:name="page127"/>
    <w:bookmarkEnd w:id="126"/>
    <w:p>
      <w:pPr>
        <w:ind w:left="340" w:right="120" w:hanging="332"/>
        <w:spacing w:after="0" w:line="274" w:lineRule="auto"/>
        <w:tabs>
          <w:tab w:leader="none" w:pos="286" w:val="left"/>
        </w:tabs>
        <w:numPr>
          <w:ilvl w:val="0"/>
          <w:numId w:val="66"/>
        </w:numPr>
        <w:rPr>
          <w:rFonts w:ascii="Arial" w:cs="Arial" w:eastAsia="Arial" w:hAnsi="Arial"/>
          <w:sz w:val="17"/>
          <w:szCs w:val="17"/>
          <w:color w:val="auto"/>
        </w:rPr>
      </w:pPr>
      <w:r>
        <w:rPr>
          <w:rFonts w:ascii="Arial" w:cs="Arial" w:eastAsia="Arial" w:hAnsi="Arial"/>
          <w:sz w:val="17"/>
          <w:szCs w:val="17"/>
          <w:color w:val="auto"/>
        </w:rPr>
        <w:t>Certain confidential portions of this exhibit have been redacted pursuant to Item 601(b)(10)(iv) of Regulation S-K. The Company has determined that such omitted information is (i) not material, and (ii) would likely cause competitive harm to the Company if publicly disclosed.</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9" w:lineRule="exact"/>
        <w:rPr>
          <w:sz w:val="20"/>
          <w:szCs w:val="20"/>
          <w:color w:val="auto"/>
        </w:rPr>
      </w:pPr>
    </w:p>
    <w:p>
      <w:pPr>
        <w:ind w:left="340" w:right="40" w:hanging="332"/>
        <w:spacing w:after="0" w:line="250" w:lineRule="auto"/>
        <w:tabs>
          <w:tab w:leader="none" w:pos="3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1" w:lineRule="exact"/>
        <w:rPr>
          <w:rFonts w:ascii="Arial" w:cs="Arial" w:eastAsia="Arial" w:hAnsi="Arial"/>
          <w:sz w:val="18"/>
          <w:szCs w:val="18"/>
          <w:color w:val="auto"/>
        </w:rPr>
      </w:pPr>
    </w:p>
    <w:p>
      <w:pPr>
        <w:ind w:left="340" w:hanging="332"/>
        <w:spacing w:after="0" w:line="255" w:lineRule="auto"/>
        <w:tabs>
          <w:tab w:leader="none" w:pos="4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Tandem Diabetes Care, Inc.</w:t>
      </w:r>
    </w:p>
    <w:p>
      <w:pPr>
        <w:spacing w:after="0" w:line="27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 Sheridan</w:t>
            </w:r>
          </w:p>
        </w:tc>
      </w:tr>
      <w:tr>
        <w:trPr>
          <w:trHeight w:val="222"/>
        </w:trPr>
        <w:tc>
          <w:tcPr>
            <w:tcW w:w="5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John F. Sheridan</w:t>
            </w:r>
          </w:p>
        </w:tc>
      </w:tr>
      <w:tr>
        <w:trPr>
          <w:trHeight w:val="229"/>
        </w:trPr>
        <w:tc>
          <w:tcPr>
            <w:tcW w:w="5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ind w:left="20"/>
        <w:spacing w:after="0"/>
        <w:rPr>
          <w:sz w:val="20"/>
          <w:szCs w:val="20"/>
          <w:color w:val="auto"/>
        </w:rPr>
      </w:pPr>
      <w:r>
        <w:rPr>
          <w:rFonts w:ascii="Arial" w:cs="Arial" w:eastAsia="Arial" w:hAnsi="Arial"/>
          <w:sz w:val="18"/>
          <w:szCs w:val="18"/>
          <w:color w:val="auto"/>
        </w:rPr>
        <w:t>Date: February 22,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John F. Sheridan and Leigh A. Vosseller, and each of them individually, his and her true and lawful attorneys-in-fact and agents, with full power of substitution and resubstitution, for him and her and in his and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26"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tcPr>
          <w:p>
            <w:pPr>
              <w:ind w:left="1560"/>
              <w:spacing w:after="0"/>
              <w:rPr>
                <w:sz w:val="20"/>
                <w:szCs w:val="20"/>
                <w:color w:val="auto"/>
              </w:rPr>
            </w:pPr>
            <w:r>
              <w:rPr>
                <w:rFonts w:ascii="Arial" w:cs="Arial" w:eastAsia="Arial" w:hAnsi="Arial"/>
                <w:sz w:val="14"/>
                <w:szCs w:val="14"/>
                <w:b w:val="1"/>
                <w:bCs w:val="1"/>
                <w:color w:val="auto"/>
              </w:rPr>
              <w:t>Signature</w:t>
            </w:r>
          </w:p>
        </w:tc>
        <w:tc>
          <w:tcPr>
            <w:tcW w:w="5640" w:type="dxa"/>
            <w:vAlign w:val="bottom"/>
            <w:gridSpan w:val="3"/>
          </w:tcPr>
          <w:p>
            <w:pPr>
              <w:ind w:left="2740"/>
              <w:spacing w:after="0"/>
              <w:rPr>
                <w:sz w:val="20"/>
                <w:szCs w:val="20"/>
                <w:color w:val="auto"/>
              </w:rPr>
            </w:pPr>
            <w:r>
              <w:rPr>
                <w:rFonts w:ascii="Arial" w:cs="Arial" w:eastAsia="Arial" w:hAnsi="Arial"/>
                <w:sz w:val="14"/>
                <w:szCs w:val="14"/>
                <w:b w:val="1"/>
                <w:bCs w:val="1"/>
                <w:color w:val="auto"/>
              </w:rPr>
              <w:t>Title</w:t>
            </w:r>
          </w:p>
        </w:tc>
        <w:tc>
          <w:tcPr>
            <w:tcW w:w="1480" w:type="dxa"/>
            <w:vAlign w:val="bottom"/>
            <w:gridSpan w:val="3"/>
          </w:tcPr>
          <w:p>
            <w:pPr>
              <w:ind w:left="8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0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/s/ JOHN F. SHERIDAN</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President, Chief Executive Officer and Director (Principal Executive</w:t>
            </w:r>
          </w:p>
        </w:tc>
        <w:tc>
          <w:tcPr>
            <w:tcW w:w="1480" w:type="dxa"/>
            <w:vAlign w:val="bottom"/>
            <w:gridSpan w:val="3"/>
            <w:vMerge w:val="restart"/>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34"/>
        </w:trPr>
        <w:tc>
          <w:tcPr>
            <w:tcW w:w="3700" w:type="dxa"/>
            <w:vAlign w:val="bottom"/>
            <w:tcBorders>
              <w:bottom w:val="single" w:sz="8" w:color="auto"/>
            </w:tcBorders>
            <w:gridSpan w:val="3"/>
            <w:vMerge w:val="continue"/>
          </w:tcPr>
          <w:p>
            <w:pPr>
              <w:spacing w:after="0"/>
              <w:rPr>
                <w:sz w:val="19"/>
                <w:szCs w:val="19"/>
                <w:color w:val="auto"/>
              </w:rPr>
            </w:pP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14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John F. Sheridan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70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/s/ LEIGH A. VOSSELLER</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w w:val="93"/>
              </w:rPr>
              <w:t>Executive Vice President, Chief Financial Officer and Treasurer (Principal</w:t>
            </w:r>
          </w:p>
        </w:tc>
        <w:tc>
          <w:tcPr>
            <w:tcW w:w="1480" w:type="dxa"/>
            <w:vAlign w:val="bottom"/>
            <w:gridSpan w:val="3"/>
            <w:vMerge w:val="restart"/>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34"/>
        </w:trPr>
        <w:tc>
          <w:tcPr>
            <w:tcW w:w="3700" w:type="dxa"/>
            <w:vAlign w:val="bottom"/>
            <w:tcBorders>
              <w:bottom w:val="single" w:sz="8" w:color="auto"/>
            </w:tcBorders>
            <w:gridSpan w:val="3"/>
            <w:vMerge w:val="continue"/>
          </w:tcPr>
          <w:p>
            <w:pPr>
              <w:spacing w:after="0"/>
              <w:rPr>
                <w:sz w:val="19"/>
                <w:szCs w:val="19"/>
                <w:color w:val="auto"/>
              </w:rPr>
            </w:pP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Financial and Accounting Officer)</w:t>
            </w:r>
          </w:p>
        </w:tc>
        <w:tc>
          <w:tcPr>
            <w:tcW w:w="14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Leigh A. Vosseller</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DICK P. ALLEN</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Lead Independent Director</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Dick P. Allen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KIM D. BLICKENSTAFF</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Chair of the Board</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Kim D. Blickenstaff</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PEYTON R. HOWELL</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Peyton R. Howell</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KATHLEEN MCGRODDY-GOETZ</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Kathleen McGroddy-Goetz</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REBECCA B. ROBERTSON</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Rebecca B. Robertson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DOUGLAS A. ROEDER</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Douglas A. Roeder</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RAJWANT S. SODHI</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Rajwant S. Sodhi</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CHRISTOPHER J. TWOMEY</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ind w:left="140"/>
              <w:spacing w:after="0"/>
              <w:rPr>
                <w:sz w:val="20"/>
                <w:szCs w:val="20"/>
                <w:color w:val="auto"/>
              </w:rPr>
            </w:pPr>
            <w:r>
              <w:rPr>
                <w:rFonts w:ascii="Arial" w:cs="Arial" w:eastAsia="Arial" w:hAnsi="Arial"/>
                <w:sz w:val="18"/>
                <w:szCs w:val="18"/>
                <w:color w:val="auto"/>
                <w:w w:val="89"/>
              </w:rPr>
              <w:t>February 21, 2022</w:t>
            </w:r>
          </w:p>
        </w:tc>
        <w:tc>
          <w:tcPr>
            <w:tcW w:w="0" w:type="dxa"/>
            <w:vAlign w:val="bottom"/>
          </w:tcPr>
          <w:p>
            <w:pPr>
              <w:spacing w:after="0"/>
              <w:rPr>
                <w:sz w:val="1"/>
                <w:szCs w:val="1"/>
                <w:color w:val="auto"/>
              </w:rPr>
            </w:pP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Christopher J. Twomey</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320" w:top="985" w:right="3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DISTRIBUTOR AGREEMENT</w:t>
      </w:r>
    </w:p>
    <w:p>
      <w:pPr>
        <w:spacing w:after="0" w:line="225" w:lineRule="exact"/>
        <w:rPr>
          <w:sz w:val="20"/>
          <w:szCs w:val="20"/>
          <w:color w:val="auto"/>
        </w:rPr>
      </w:pPr>
    </w:p>
    <w:p>
      <w:pPr>
        <w:jc w:val="center"/>
        <w:ind w:left="340" w:right="400"/>
        <w:spacing w:after="0" w:line="250" w:lineRule="auto"/>
        <w:rPr>
          <w:sz w:val="20"/>
          <w:szCs w:val="20"/>
          <w:color w:val="auto"/>
        </w:rPr>
      </w:pPr>
      <w:r>
        <w:rPr>
          <w:rFonts w:ascii="Arial" w:cs="Arial" w:eastAsia="Arial" w:hAnsi="Arial"/>
          <w:sz w:val="18"/>
          <w:szCs w:val="18"/>
          <w:b w:val="1"/>
          <w:bCs w:val="1"/>
          <w:color w:val="auto"/>
        </w:rPr>
        <w:t>[***]: Certain confidential portions of this exhibit were omitted by means of marking such portions with asterisks because the identified confidential portions (i) are not material, and (ii) would be competitively harmful if publicly disclosed.</w:t>
      </w:r>
    </w:p>
    <w:p>
      <w:pPr>
        <w:spacing w:after="0" w:line="19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Distributor Agreement</w:t>
      </w:r>
      <w:r>
        <w:rPr>
          <w:rFonts w:ascii="Arial" w:cs="Arial" w:eastAsia="Arial" w:hAnsi="Arial"/>
          <w:sz w:val="16"/>
          <w:szCs w:val="16"/>
          <w:color w:val="auto"/>
        </w:rPr>
        <w:t xml:space="preserve"> (the “Agreement”) is entered into effective as of January 14, 2022 (“Effective Date”), by and between </w:t>
      </w:r>
      <w:r>
        <w:rPr>
          <w:rFonts w:ascii="Arial" w:cs="Arial" w:eastAsia="Arial" w:hAnsi="Arial"/>
          <w:sz w:val="16"/>
          <w:szCs w:val="16"/>
          <w:b w:val="1"/>
          <w:bCs w:val="1"/>
          <w:color w:val="auto"/>
        </w:rPr>
        <w:t>Unomedical A/S,</w:t>
      </w:r>
      <w:r>
        <w:rPr>
          <w:rFonts w:ascii="Arial" w:cs="Arial" w:eastAsia="Arial" w:hAnsi="Arial"/>
          <w:sz w:val="16"/>
          <w:szCs w:val="16"/>
          <w:color w:val="auto"/>
        </w:rPr>
        <w:t xml:space="preserve"> a Danish corporation having its principal place of business at Aaholmvej 1-3, Osted, 4320 Lejre, Denmark (“Company”), and </w:t>
      </w:r>
      <w:r>
        <w:rPr>
          <w:rFonts w:ascii="Arial" w:cs="Arial" w:eastAsia="Arial" w:hAnsi="Arial"/>
          <w:sz w:val="16"/>
          <w:szCs w:val="16"/>
          <w:b w:val="1"/>
          <w:bCs w:val="1"/>
          <w:color w:val="auto"/>
        </w:rPr>
        <w:t>Tandem Diabetes Care, Inc.,</w:t>
      </w:r>
      <w:r>
        <w:rPr>
          <w:rFonts w:ascii="Arial" w:cs="Arial" w:eastAsia="Arial" w:hAnsi="Arial"/>
          <w:sz w:val="16"/>
          <w:szCs w:val="16"/>
          <w:color w:val="auto"/>
        </w:rPr>
        <w:t xml:space="preserve"> a Delaware corporation having its principal place of business at 11075 Roselle Street, Suite 200, San Diego, California, 92121, USA (“Distributor”).</w:t>
      </w:r>
    </w:p>
    <w:p>
      <w:pPr>
        <w:spacing w:after="0" w:line="168" w:lineRule="exact"/>
        <w:rPr>
          <w:sz w:val="20"/>
          <w:szCs w:val="20"/>
          <w:color w:val="auto"/>
        </w:rPr>
      </w:pPr>
    </w:p>
    <w:p>
      <w:pPr>
        <w:ind w:left="5780"/>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Company is a developer and manufacturer of infusion sets and related products for the delivery of insulin with infusion pumps;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Distributor wishes to acquire such products from Company for distribution to end users and resellers;</w:t>
      </w:r>
    </w:p>
    <w:p>
      <w:pPr>
        <w:spacing w:after="0" w:line="225"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and Distributor have previously entered into a Distributor Agreement dated [***], pursuant to which Company is engaged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of supplying certain infusion sets to Distributor.</w:t>
      </w:r>
    </w:p>
    <w:p>
      <w:pPr>
        <w:spacing w:after="0" w:line="19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and Distributor have on [***] entered into a Quality Agreement which defines the quality requirements for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and/or manufacturing of products pursuant to this Agreement as well as the roles and responsibilities of the Parties with respect to the quality controls and project deliverables. The Quality Agreement is annexed as Exhibit E.</w:t>
      </w:r>
    </w:p>
    <w:p>
      <w:pPr>
        <w:spacing w:after="0" w:line="1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and Distributor now wish to enter into this amended and restated Distributor Agreement regarding the supply by Company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infusion sets to Distributor. The amended and restated Distributor Agreement shall replace and supersede all previous versions and amendments of the Distributor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Company and Distributor (the “Parties”) hereby agree as follows:</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shall mean any end user or redistributor to whom Distributor sells Products, either for such Customer’s own use or for further distribution to</w:t>
      </w:r>
      <w:r>
        <w:rPr>
          <w:rFonts w:ascii="Arial" w:cs="Arial" w:eastAsia="Arial" w:hAnsi="Arial"/>
          <w:sz w:val="18"/>
          <w:szCs w:val="18"/>
          <w:b w:val="1"/>
          <w:bCs w:val="1"/>
          <w:color w:val="auto"/>
        </w:rPr>
        <w:t xml:space="preserve"> </w:t>
      </w:r>
      <w:r>
        <w:rPr>
          <w:rFonts w:ascii="Arial" w:cs="Arial" w:eastAsia="Arial" w:hAnsi="Arial"/>
          <w:sz w:val="18"/>
          <w:szCs w:val="18"/>
          <w:color w:val="auto"/>
        </w:rPr>
        <w:t>end users.</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“Custom Luer” </w:t>
      </w:r>
      <w:r>
        <w:rPr>
          <w:rFonts w:ascii="Arial" w:cs="Arial" w:eastAsia="Arial" w:hAnsi="Arial"/>
          <w:sz w:val="18"/>
          <w:szCs w:val="18"/>
          <w:color w:val="auto"/>
        </w:rPr>
        <w:t>shall mean the connector supplied by the Custom Luer Supplier, conforming to the Custom Luer Specifications, to be affixed by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an infusion set manufactured by the Company of each Product type (an “</w:t>
      </w:r>
      <w:r>
        <w:rPr>
          <w:rFonts w:ascii="Arial" w:cs="Arial" w:eastAsia="Arial" w:hAnsi="Arial"/>
          <w:sz w:val="18"/>
          <w:szCs w:val="18"/>
          <w:u w:val="single" w:color="auto"/>
          <w:color w:val="auto"/>
        </w:rPr>
        <w:t>Infusion Set</w:t>
      </w:r>
      <w:r>
        <w:rPr>
          <w:rFonts w:ascii="Arial" w:cs="Arial" w:eastAsia="Arial" w:hAnsi="Arial"/>
          <w:sz w:val="18"/>
          <w:szCs w:val="18"/>
          <w:color w:val="auto"/>
        </w:rPr>
        <w:t>”). [***].</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“Custom Luer Supplier” </w:t>
      </w:r>
      <w:r>
        <w:rPr>
          <w:rFonts w:ascii="Arial" w:cs="Arial" w:eastAsia="Arial" w:hAnsi="Arial"/>
          <w:sz w:val="18"/>
          <w:szCs w:val="18"/>
          <w:color w:val="auto"/>
        </w:rPr>
        <w:t>shall have the meaning set out in Section 3.7.a.1.</w:t>
      </w:r>
    </w:p>
    <w:p>
      <w:pPr>
        <w:spacing w:after="0" w:line="22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 xml:space="preserve">“Documentation” </w:t>
      </w:r>
      <w:r>
        <w:rPr>
          <w:rFonts w:ascii="Arial" w:cs="Arial" w:eastAsia="Arial" w:hAnsi="Arial"/>
          <w:sz w:val="18"/>
          <w:szCs w:val="18"/>
          <w:color w:val="auto"/>
        </w:rPr>
        <w:t>shall mean Company’s English language (and other mutually agreed languages) end user documentation that is delivered by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conjunction with the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the date of the last signature on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“Minimum Order” </w:t>
      </w:r>
      <w:r>
        <w:rPr>
          <w:rFonts w:ascii="Arial" w:cs="Arial" w:eastAsia="Arial" w:hAnsi="Arial"/>
          <w:sz w:val="18"/>
          <w:szCs w:val="18"/>
          <w:color w:val="auto"/>
        </w:rPr>
        <w:t>shall have the meaning assigned to it in Section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“Price List” </w:t>
      </w:r>
      <w:r>
        <w:rPr>
          <w:rFonts w:ascii="Arial" w:cs="Arial" w:eastAsia="Arial" w:hAnsi="Arial"/>
          <w:sz w:val="18"/>
          <w:szCs w:val="18"/>
          <w:color w:val="auto"/>
        </w:rPr>
        <w:t>shall mean Company’s published price list for the Products and as may be modified by the Company from time to time.</w:t>
      </w:r>
    </w:p>
    <w:p>
      <w:pPr>
        <w:spacing w:after="0" w:line="225"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means AutoSoft™ 90 infusion sets, AutoSoft™ XC infusion sets, AutoSoft™ 30 infusion sets, TruSteel™ infusion sets and VariSoft™</w:t>
      </w:r>
      <w:r>
        <w:rPr>
          <w:rFonts w:ascii="Arial" w:cs="Arial" w:eastAsia="Arial" w:hAnsi="Arial"/>
          <w:sz w:val="18"/>
          <w:szCs w:val="18"/>
          <w:b w:val="1"/>
          <w:bCs w:val="1"/>
          <w:color w:val="auto"/>
        </w:rPr>
        <w:t xml:space="preserve"> </w:t>
      </w:r>
      <w:r>
        <w:rPr>
          <w:rFonts w:ascii="Arial" w:cs="Arial" w:eastAsia="Arial" w:hAnsi="Arial"/>
          <w:sz w:val="18"/>
          <w:szCs w:val="18"/>
          <w:color w:val="auto"/>
        </w:rPr>
        <w:t>infusion sets, which are included in Company’s published Price List, 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1"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amended or supplemented from time to time during the term of this Agreement by Company and listed in Exhibit A. Products as delivered to Distributor will have markings and instructions for use in English and other mutually agreed upon languages. The Products are marked with the Distributor’s trademarks. The labeling features the Distributor’s name, logo, and address as described in Exhibit A annexed hereto. Infusion Sets with Custom Luers shall be deemed “Products” under this Agreement.</w:t>
      </w:r>
    </w:p>
    <w:p>
      <w:pPr>
        <w:spacing w:after="0" w:line="19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 xml:space="preserve">“Sale”, “Sales”, “Sell”, “Sold” or “Selling” </w:t>
      </w:r>
      <w:r>
        <w:rPr>
          <w:rFonts w:ascii="Arial" w:cs="Arial" w:eastAsia="Arial" w:hAnsi="Arial"/>
          <w:sz w:val="18"/>
          <w:szCs w:val="18"/>
          <w:color w:val="auto"/>
        </w:rPr>
        <w:t>shall mean any sale, or other transfer of the Products to any third party, including Customers,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paid to Distributor.</w:t>
      </w:r>
    </w:p>
    <w:p>
      <w:pPr>
        <w:spacing w:after="0" w:line="19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b w:val="1"/>
          <w:bCs w:val="1"/>
          <w:color w:val="auto"/>
        </w:rPr>
        <w:t xml:space="preserve">“Specifications” </w:t>
      </w:r>
      <w:r>
        <w:rPr>
          <w:rFonts w:ascii="Arial" w:cs="Arial" w:eastAsia="Arial" w:hAnsi="Arial"/>
          <w:sz w:val="16"/>
          <w:szCs w:val="16"/>
          <w:color w:val="auto"/>
        </w:rPr>
        <w:t>shall mean Company’s FDA approved functional specifications for the Products as exist as of the Effective Date and as may be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time to time by Company. The Specifications as of the Effective Date are annexed as Exhibit B. The Specifications for Infusion Sets to be used with the Custom Luer are set forth in Exhibit B-1 and the Specifications for the Custom Luer are set forth in Exhibit B-2 (the </w:t>
      </w:r>
      <w:r>
        <w:rPr>
          <w:rFonts w:ascii="Arial" w:cs="Arial" w:eastAsia="Arial" w:hAnsi="Arial"/>
          <w:sz w:val="16"/>
          <w:szCs w:val="16"/>
          <w:b w:val="1"/>
          <w:bCs w:val="1"/>
          <w:color w:val="auto"/>
        </w:rPr>
        <w:t>“Custom Luer Specifications”</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“Territory” </w:t>
      </w:r>
      <w:r>
        <w:rPr>
          <w:rFonts w:ascii="Arial" w:cs="Arial" w:eastAsia="Arial" w:hAnsi="Arial"/>
          <w:sz w:val="17"/>
          <w:szCs w:val="17"/>
          <w:color w:val="auto"/>
        </w:rPr>
        <w:t>shall mean worldwide, where the Distributor has established distribution of its portfolio of insulin infusion pumps and related accessories.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 TERM and TERMINATION</w:t>
      </w:r>
    </w:p>
    <w:p>
      <w:pPr>
        <w:spacing w:after="0" w:line="225" w:lineRule="exact"/>
        <w:rPr>
          <w:sz w:val="20"/>
          <w:szCs w:val="20"/>
          <w:color w:val="auto"/>
        </w:rPr>
      </w:pPr>
    </w:p>
    <w:p>
      <w:pPr>
        <w:ind w:left="1300" w:right="60" w:hanging="323"/>
        <w:spacing w:after="0" w:line="24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Term.</w:t>
      </w:r>
      <w:r>
        <w:rPr>
          <w:rFonts w:ascii="Arial" w:cs="Arial" w:eastAsia="Arial" w:hAnsi="Arial"/>
          <w:sz w:val="17"/>
          <w:szCs w:val="17"/>
          <w:color w:val="auto"/>
        </w:rPr>
        <w:t xml:space="preserve"> The term of this Agreement (</w:t>
      </w:r>
      <w:r>
        <w:rPr>
          <w:rFonts w:ascii="Arial" w:cs="Arial" w:eastAsia="Arial" w:hAnsi="Arial"/>
          <w:sz w:val="17"/>
          <w:szCs w:val="17"/>
          <w:b w:val="1"/>
          <w:bCs w:val="1"/>
          <w:color w:val="auto"/>
        </w:rPr>
        <w:t>“Term”</w:t>
      </w:r>
      <w:r>
        <w:rPr>
          <w:rFonts w:ascii="Arial" w:cs="Arial" w:eastAsia="Arial" w:hAnsi="Arial"/>
          <w:sz w:val="17"/>
          <w:szCs w:val="17"/>
          <w:color w:val="auto"/>
        </w:rPr>
        <w:t>) shall be from the Effective Date until 31 December 2027 when it shall terminate, unless the Parties mutually agree in writing to renew or extend the Agreement. Any renewal or extension of this Agreement must be approved in writing by an authorized representative of both Parties. Distributor acknowledges and agrees that (a) Company has no obligation to agree or to approve any renewal or extension of this Agreement; and (b) Distributor has no basis for expecting, and has received no assurance, that its business relationship with Company will continue beyond the stated term of this Agreement.</w:t>
      </w:r>
    </w:p>
    <w:p>
      <w:pPr>
        <w:spacing w:after="0" w:line="198" w:lineRule="exact"/>
        <w:rPr>
          <w:sz w:val="20"/>
          <w:szCs w:val="20"/>
          <w:color w:val="auto"/>
        </w:rPr>
      </w:pPr>
    </w:p>
    <w:p>
      <w:pPr>
        <w:ind w:left="1300" w:right="180" w:hanging="323"/>
        <w:spacing w:after="0" w:line="23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Termination for Breach.</w:t>
      </w:r>
      <w:r>
        <w:rPr>
          <w:rFonts w:ascii="Arial" w:cs="Arial" w:eastAsia="Arial" w:hAnsi="Arial"/>
          <w:sz w:val="18"/>
          <w:szCs w:val="18"/>
          <w:color w:val="auto"/>
        </w:rPr>
        <w:t xml:space="preserve"> Either Party shall have the right to terminate this Agreement before the end of the Term if the other Party breaches a material term or condition of this Agreement which includes, but is not limited to, breach of Sections 3.5 and 4.1 and fails to cure such breach following [***]’ written notice from the other party.</w:t>
      </w:r>
    </w:p>
    <w:p>
      <w:pPr>
        <w:spacing w:after="0" w:line="203" w:lineRule="exact"/>
        <w:rPr>
          <w:sz w:val="20"/>
          <w:szCs w:val="20"/>
          <w:color w:val="auto"/>
        </w:rPr>
      </w:pPr>
    </w:p>
    <w:p>
      <w:pPr>
        <w:ind w:right="280" w:firstLine="1298"/>
        <w:spacing w:after="0" w:line="246" w:lineRule="auto"/>
        <w:rPr>
          <w:sz w:val="20"/>
          <w:szCs w:val="20"/>
          <w:color w:val="auto"/>
        </w:rPr>
      </w:pPr>
      <w:r>
        <w:rPr>
          <w:rFonts w:ascii="Arial" w:cs="Arial" w:eastAsia="Arial" w:hAnsi="Arial"/>
          <w:sz w:val="18"/>
          <w:szCs w:val="18"/>
          <w:color w:val="auto"/>
        </w:rPr>
        <w:t>The Company may terminate the Agreement upon [***] notice if the Distributor fails to pay any sum from time to time payable to the Company within [***] after the due date, unless Distributor makes such payment during such [***] period.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Either party may terminate the Agreement without notice in case:</w:t>
      </w:r>
    </w:p>
    <w:p>
      <w:pPr>
        <w:spacing w:after="0" w:line="225" w:lineRule="exact"/>
        <w:rPr>
          <w:sz w:val="20"/>
          <w:szCs w:val="20"/>
          <w:color w:val="auto"/>
        </w:rPr>
      </w:pPr>
    </w:p>
    <w:p>
      <w:pPr>
        <w:ind w:left="1940" w:hanging="312"/>
        <w:spacing w:after="0"/>
        <w:tabs>
          <w:tab w:leader="none" w:pos="19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receiver or administrator is appointed in respect of the undertakings, assets, income or receivables of the other party,</w:t>
      </w:r>
    </w:p>
    <w:p>
      <w:pPr>
        <w:spacing w:after="0" w:line="236" w:lineRule="exact"/>
        <w:rPr>
          <w:rFonts w:ascii="Arial" w:cs="Arial" w:eastAsia="Arial" w:hAnsi="Arial"/>
          <w:sz w:val="17"/>
          <w:szCs w:val="17"/>
          <w:color w:val="auto"/>
        </w:rPr>
      </w:pPr>
    </w:p>
    <w:p>
      <w:pPr>
        <w:ind w:left="1960" w:hanging="332"/>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proceedings are commenced for the winding up, liquidation, or dissolution of the other party or its affairs,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proceedings in bankruptcy are commenced against the other party and not dismissed or resolved within [***], or</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other party enters into any scheme, composition or arrangement with its creditors.</w:t>
      </w:r>
    </w:p>
    <w:p>
      <w:pPr>
        <w:spacing w:after="0" w:line="221" w:lineRule="exact"/>
        <w:rPr>
          <w:sz w:val="20"/>
          <w:szCs w:val="20"/>
          <w:color w:val="auto"/>
        </w:rPr>
      </w:pPr>
    </w:p>
    <w:p>
      <w:pPr>
        <w:ind w:left="1300" w:hanging="323"/>
        <w:spacing w:after="0" w:line="26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Effect of Termination.</w:t>
      </w:r>
      <w:r>
        <w:rPr>
          <w:rFonts w:ascii="Arial" w:cs="Arial" w:eastAsia="Arial" w:hAnsi="Arial"/>
          <w:sz w:val="16"/>
          <w:szCs w:val="16"/>
          <w:color w:val="auto"/>
        </w:rPr>
        <w:t xml:space="preserve"> In the event of expiration of this Agreement pursuant to Section 2.1, or termination of this Agreement pursuant to Section 2.2, each Party shall return to the other or destroy all Confidential Information of such other Party pursuant to Section 4.2. Distributor shall also immediately pay to Company all amounts then owed to Company (subject to Company’s submission of invoices for any un-invoiced amounts), and each Party shall further have all rights available to such Party in law and equity. The stock of Products which the Distributor has established at the Effective Date of the termination shall continue to be governed by the terms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0" w:right="80" w:hanging="323"/>
        <w:spacing w:after="0" w:line="23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auto"/>
        </w:rPr>
        <w:t>Liability in case of Termination.</w:t>
      </w:r>
      <w:r>
        <w:rPr>
          <w:rFonts w:ascii="Arial" w:cs="Arial" w:eastAsia="Arial" w:hAnsi="Arial"/>
          <w:sz w:val="17"/>
          <w:szCs w:val="17"/>
          <w:color w:val="auto"/>
        </w:rPr>
        <w:t xml:space="preserve"> Neither Party shall incur any liability whatsoever for any damage, loss or expenses of any kind suffered or incurred by the other arising from or incident to any termination or expiration of this Agreement which complies with the terms of the Agreement. This shall, however, not apply to termination for breach pursuant to Section 2.2. Without limiting the foregoing, neither party shall be entitled to any damages on account of prospective profits, anticipated sales, loss of business opportunities or other indirect losses. Distributor agrees to waive the benefit of any law or regulation providing compensation to Distributor arising from the termination or expiration of this Agreement and Distributor hereby represents and warrants that such waiver is irrevocable and enforceable by Company. However, all payments due under the Agreement to one party by the other party shall be paid in full immediately upon termination or expiration of this Agreement.</w:t>
      </w:r>
    </w:p>
    <w:p>
      <w:pPr>
        <w:spacing w:after="0" w:line="198" w:lineRule="exact"/>
        <w:rPr>
          <w:sz w:val="20"/>
          <w:szCs w:val="20"/>
          <w:color w:val="auto"/>
        </w:rPr>
      </w:pPr>
    </w:p>
    <w:p>
      <w:pPr>
        <w:ind w:left="1300" w:right="100" w:hanging="323"/>
        <w:spacing w:after="0" w:line="232"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In the event of expiration or termination of this Agreement, the provisions of Section 1 (“Definitions”), 2.3 (“Effect of Termination”), 2.4 (“Survival”), 3.3 (“Duties of Distributor”), 3.5 (“Proprietary Rights”), 4 (“Confidentiality”), 5.6 (“Invoicing and Payments”), 7 (“Taxes”), 9 (“Warranty and Product Quality”), 9 (“Limitation of Liability” ), 10 (“Indemnities”) and 11 (“General”) shall survive and shall continue to bind the Parties.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DISTRIBUTORSHIP</w:t>
      </w:r>
    </w:p>
    <w:p>
      <w:pPr>
        <w:spacing w:after="0" w:line="225" w:lineRule="exact"/>
        <w:rPr>
          <w:sz w:val="20"/>
          <w:szCs w:val="20"/>
          <w:color w:val="auto"/>
        </w:rPr>
      </w:pPr>
    </w:p>
    <w:p>
      <w:pPr>
        <w:ind w:left="660" w:right="40" w:hanging="323"/>
        <w:spacing w:after="0" w:line="25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Distribution Appointment.</w:t>
      </w:r>
      <w:r>
        <w:rPr>
          <w:rFonts w:ascii="Arial" w:cs="Arial" w:eastAsia="Arial" w:hAnsi="Arial"/>
          <w:sz w:val="17"/>
          <w:szCs w:val="17"/>
          <w:color w:val="auto"/>
        </w:rPr>
        <w:t xml:space="preserve"> Subject to the terms of the Agreement, Company authorizes and appoints Distributor as a non-exclusive distributor to sell Products in the Territory. Distributor may allow redistributors in Distributor’s normal chain of distribution to Sell the Products, but otherwise Distributor’s rights hereunder are non-sublicensable and non-transferable, except as provided in Section 11.1. [***]</w:t>
      </w:r>
    </w:p>
    <w:p>
      <w:pPr>
        <w:spacing w:after="0" w:line="200" w:lineRule="exact"/>
        <w:rPr>
          <w:sz w:val="20"/>
          <w:szCs w:val="20"/>
          <w:color w:val="auto"/>
        </w:rPr>
      </w:pPr>
    </w:p>
    <w:p>
      <w:pPr>
        <w:ind w:left="660" w:right="560" w:hanging="323"/>
        <w:spacing w:after="0" w:line="24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Relationship.</w:t>
      </w:r>
      <w:r>
        <w:rPr>
          <w:rFonts w:ascii="Arial" w:cs="Arial" w:eastAsia="Arial" w:hAnsi="Arial"/>
          <w:sz w:val="18"/>
          <w:szCs w:val="18"/>
          <w:color w:val="auto"/>
        </w:rPr>
        <w:t xml:space="preserve"> Distributor is an independent contractor of Company under this Agreement, and nothing contained in this Agreement will be construed to give either Party the power to direct and control the day-to-day activities of the other. All financial obligations associated with Distributor’s business are the responsibility of Distributor. Distributor will be solely responsible for, and will indemnify, defend and hold Company harmless from, [***].</w:t>
      </w:r>
    </w:p>
    <w:p>
      <w:pPr>
        <w:spacing w:after="0" w:line="208" w:lineRule="exact"/>
        <w:rPr>
          <w:sz w:val="20"/>
          <w:szCs w:val="20"/>
          <w:color w:val="auto"/>
        </w:rPr>
      </w:pPr>
    </w:p>
    <w:p>
      <w:pPr>
        <w:ind w:left="660" w:right="60" w:hanging="323"/>
        <w:spacing w:after="0" w:line="250"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Duties of Distributor.</w:t>
      </w:r>
      <w:r>
        <w:rPr>
          <w:rFonts w:ascii="Arial" w:cs="Arial" w:eastAsia="Arial" w:hAnsi="Arial"/>
          <w:sz w:val="18"/>
          <w:szCs w:val="18"/>
          <w:color w:val="auto"/>
        </w:rPr>
        <w:t xml:space="preserve"> Distributor agrees to market and distribute the Products at its expenses for use in the Territory. Distributor certifies that it is acquiring the Products for Sale to Customers in the Territory. In addition and for items 3.3a to 3.3e, Distributor will use commercially reasonable efforts to:</w:t>
      </w:r>
    </w:p>
    <w:p>
      <w:pPr>
        <w:spacing w:after="0" w:line="200" w:lineRule="exact"/>
        <w:rPr>
          <w:sz w:val="20"/>
          <w:szCs w:val="20"/>
          <w:color w:val="auto"/>
        </w:rPr>
      </w:pPr>
    </w:p>
    <w:p>
      <w:pPr>
        <w:spacing w:after="0" w:line="237" w:lineRule="exact"/>
        <w:rPr>
          <w:sz w:val="20"/>
          <w:szCs w:val="20"/>
          <w:color w:val="auto"/>
        </w:rPr>
      </w:pPr>
    </w:p>
    <w:p>
      <w:pPr>
        <w:ind w:left="1960" w:right="660" w:hanging="332"/>
        <w:spacing w:after="0" w:line="246" w:lineRule="auto"/>
        <w:tabs>
          <w:tab w:leader="none" w:pos="19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Engage in Sales promotion activities in the Territory, designate the Products by their correct name solely pursuant to the Trademark license granted in Section 10 (“Trademarks, Packaging and Documentation”).</w:t>
      </w:r>
    </w:p>
    <w:p>
      <w:pPr>
        <w:spacing w:after="0" w:line="196" w:lineRule="exact"/>
        <w:rPr>
          <w:rFonts w:ascii="Arial" w:cs="Arial" w:eastAsia="Arial" w:hAnsi="Arial"/>
          <w:sz w:val="18"/>
          <w:szCs w:val="18"/>
          <w:color w:val="auto"/>
        </w:rPr>
      </w:pPr>
    </w:p>
    <w:p>
      <w:pPr>
        <w:ind w:left="1960" w:right="560" w:hanging="332"/>
        <w:spacing w:after="0" w:line="246" w:lineRule="auto"/>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a qualified and Product trained Sales organization to call on Customers and qualified potential Customers in the Territory.</w:t>
      </w:r>
    </w:p>
    <w:p>
      <w:pPr>
        <w:spacing w:after="0" w:line="196" w:lineRule="exact"/>
        <w:rPr>
          <w:rFonts w:ascii="Arial" w:cs="Arial" w:eastAsia="Arial" w:hAnsi="Arial"/>
          <w:sz w:val="18"/>
          <w:szCs w:val="18"/>
          <w:color w:val="auto"/>
        </w:rPr>
      </w:pPr>
    </w:p>
    <w:p>
      <w:pPr>
        <w:ind w:left="1960" w:right="520" w:hanging="332"/>
        <w:spacing w:after="0" w:line="246" w:lineRule="auto"/>
        <w:tabs>
          <w:tab w:leader="none" w:pos="19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an adequate staff of trained technicians and sufficient inventory to provide technical support and service to all of Distributor’s Customers.</w:t>
      </w:r>
    </w:p>
    <w:p>
      <w:pPr>
        <w:spacing w:after="0" w:line="196" w:lineRule="exact"/>
        <w:rPr>
          <w:rFonts w:ascii="Arial" w:cs="Arial" w:eastAsia="Arial" w:hAnsi="Arial"/>
          <w:sz w:val="18"/>
          <w:szCs w:val="18"/>
          <w:color w:val="auto"/>
        </w:rPr>
      </w:pPr>
    </w:p>
    <w:p>
      <w:pPr>
        <w:ind w:left="1960" w:right="800" w:hanging="332"/>
        <w:spacing w:after="0" w:line="246" w:lineRule="auto"/>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an inventory of Products sufficient under normal circumstances to satisfy reasonable short-term replacement requirements and reasonable short-term delivery requirements of Customers in the Territory.</w:t>
      </w:r>
    </w:p>
    <w:p>
      <w:pPr>
        <w:spacing w:after="0" w:line="196" w:lineRule="exact"/>
        <w:rPr>
          <w:rFonts w:ascii="Arial" w:cs="Arial" w:eastAsia="Arial" w:hAnsi="Arial"/>
          <w:sz w:val="18"/>
          <w:szCs w:val="18"/>
          <w:color w:val="auto"/>
        </w:rPr>
      </w:pPr>
    </w:p>
    <w:p>
      <w:pPr>
        <w:ind w:left="1960" w:right="400" w:hanging="332"/>
        <w:spacing w:after="0" w:line="246" w:lineRule="auto"/>
        <w:tabs>
          <w:tab w:leader="none" w:pos="19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 systems and allocate skilled personnel to provide the end users with the training, assistance, and technical support required to ensure adequate use of the delivery systems.</w:t>
      </w:r>
    </w:p>
    <w:p>
      <w:pPr>
        <w:spacing w:after="0" w:line="19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respect to items 3.3f to 3.3o, Distributor shall:</w:t>
      </w:r>
    </w:p>
    <w:p>
      <w:pPr>
        <w:spacing w:after="0" w:line="225" w:lineRule="exact"/>
        <w:rPr>
          <w:sz w:val="20"/>
          <w:szCs w:val="20"/>
          <w:color w:val="auto"/>
        </w:rPr>
      </w:pPr>
    </w:p>
    <w:p>
      <w:pPr>
        <w:ind w:left="1940" w:hanging="312"/>
        <w:spacing w:after="0"/>
        <w:tabs>
          <w:tab w:leader="none" w:pos="1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 engage in any deceptive, misleading, illegal or unethical business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60" w:hanging="332"/>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Sell the Product in its approved packaging configuration and may not alter Product or packaging in any way.</w:t>
      </w:r>
    </w:p>
    <w:p>
      <w:pPr>
        <w:ind w:left="1960" w:hanging="332"/>
        <w:spacing w:after="0" w:line="246" w:lineRule="auto"/>
        <w:tabs>
          <w:tab w:leader="none" w:pos="1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Provide Company with a draft Forecasted Purchase Volume for the purchases during the following Calendar Year no later than September 1. The parties shall meet, discuss and agree on the revised draft Forecasted Purchase Volume proposed by Distributor.</w:t>
      </w:r>
    </w:p>
    <w:p>
      <w:pPr>
        <w:ind w:left="1940" w:hanging="312"/>
        <w:spacing w:after="0" w:line="219" w:lineRule="auto"/>
        <w:tabs>
          <w:tab w:leader="none" w:pos="1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Company with an initial Forecasted Purchase Volume at least [***] prior to commercialization.</w:t>
      </w:r>
    </w:p>
    <w:p>
      <w:pPr>
        <w:ind w:left="1960" w:right="360" w:hanging="332"/>
        <w:spacing w:after="0" w:line="219" w:lineRule="auto"/>
        <w:tabs>
          <w:tab w:leader="none" w:pos="19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Company within [***] of a new calendar quarter a non-binding trending forecast showing sales expectations for the upcoming [***].</w:t>
      </w:r>
    </w:p>
    <w:p>
      <w:pPr>
        <w:ind w:left="1960" w:hanging="332"/>
        <w:spacing w:after="0"/>
        <w:tabs>
          <w:tab w:leader="none" w:pos="1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Distributor will maintain three months of purchase orders by SKU. Distributor’s purchase orders may deviate as follows:</w:t>
      </w:r>
    </w:p>
    <w:p>
      <w:pPr>
        <w:spacing w:after="0" w:line="21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Month 1 - [***]</w:t>
      </w:r>
    </w:p>
    <w:p>
      <w:pPr>
        <w:ind w:left="2260"/>
        <w:spacing w:after="0" w:line="219" w:lineRule="auto"/>
        <w:rPr>
          <w:sz w:val="20"/>
          <w:szCs w:val="20"/>
          <w:color w:val="auto"/>
        </w:rPr>
      </w:pPr>
      <w:r>
        <w:rPr>
          <w:rFonts w:ascii="Arial" w:cs="Arial" w:eastAsia="Arial" w:hAnsi="Arial"/>
          <w:sz w:val="18"/>
          <w:szCs w:val="18"/>
          <w:color w:val="auto"/>
        </w:rPr>
        <w:t>Month 2 - [***]</w:t>
      </w:r>
    </w:p>
    <w:p>
      <w:pPr>
        <w:ind w:left="2260"/>
        <w:spacing w:after="0" w:line="219" w:lineRule="auto"/>
        <w:rPr>
          <w:sz w:val="20"/>
          <w:szCs w:val="20"/>
          <w:color w:val="auto"/>
        </w:rPr>
      </w:pPr>
      <w:r>
        <w:rPr>
          <w:rFonts w:ascii="Arial" w:cs="Arial" w:eastAsia="Arial" w:hAnsi="Arial"/>
          <w:sz w:val="18"/>
          <w:szCs w:val="18"/>
          <w:color w:val="auto"/>
        </w:rPr>
        <w:t>Month 3 - [***]</w:t>
      </w:r>
    </w:p>
    <w:p>
      <w:pPr>
        <w:ind w:left="1960" w:right="20" w:hanging="332"/>
        <w:spacing w:after="0" w:line="246" w:lineRule="auto"/>
        <w:tabs>
          <w:tab w:leader="none" w:pos="19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Distributor shall be responsible for communicating all complaints from/to Customers in relation to the Products in accordance with the following sentence. The Distributor shall record and maintain Product complains and notify Company of the event promptly and in any case no later than within [***] for allegations of serious injury or harm, and within [***] for other events. Distributor shall use commercially reasonable efforts to retrieve affected complaint samples from end-user and ship them to Company and analysis. Such retrieval and shipment shall be at Distributor’s expense, unless the Product subject to the complaint failed to comply with the warranty set forth in Section 8.1 in which case such retrieval and shipment shall be at Company expense. Distributor shall forward returned Products to Company on a weekly basis. Distributor and Company shall establish adequate procedures, processes and logistics for handling complaints and hereto related Product returns.</w:t>
      </w:r>
    </w:p>
    <w:p>
      <w:pPr>
        <w:spacing w:after="0" w:line="3" w:lineRule="exact"/>
        <w:rPr>
          <w:rFonts w:ascii="Arial" w:cs="Arial" w:eastAsia="Arial" w:hAnsi="Arial"/>
          <w:sz w:val="16"/>
          <w:szCs w:val="16"/>
          <w:color w:val="auto"/>
        </w:rPr>
      </w:pPr>
    </w:p>
    <w:p>
      <w:pPr>
        <w:ind w:left="1960" w:hanging="332"/>
        <w:spacing w:after="0" w:line="219" w:lineRule="auto"/>
        <w:tabs>
          <w:tab w:leader="none" w:pos="19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Maintain product liability insurance against such risks relating to sales of the Products in the Territory. Coverage of at least [***] in the aggregate shall be in effect for the Term and [***] thereafter.</w:t>
      </w:r>
    </w:p>
    <w:p>
      <w:pPr>
        <w:ind w:left="1960" w:hanging="332"/>
        <w:spacing w:after="0" w:line="219" w:lineRule="auto"/>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Keep Product traceability during the Term of this Agreement and for a period of [***] years thereafter.</w:t>
      </w:r>
    </w:p>
    <w:p>
      <w:pPr>
        <w:ind w:left="1960" w:right="440" w:hanging="332"/>
        <w:spacing w:after="0" w:line="233" w:lineRule="auto"/>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Notify Company prior to the performance of any clinical studies where Company’s Products are the primary product being tested.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Duties of Company.</w:t>
      </w:r>
    </w:p>
    <w:p>
      <w:pPr>
        <w:spacing w:after="0" w:line="2" w:lineRule="exact"/>
        <w:rPr>
          <w:sz w:val="20"/>
          <w:szCs w:val="20"/>
          <w:color w:val="auto"/>
        </w:rPr>
      </w:pPr>
    </w:p>
    <w:p>
      <w:pPr>
        <w:ind w:left="1960" w:right="180" w:hanging="332"/>
        <w:spacing w:after="0" w:line="233" w:lineRule="auto"/>
        <w:tabs>
          <w:tab w:leader="none" w:pos="19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Company shall maintain an integrated Quality Management System complying with the quality system requirements that meet the requirements of each country where the Products are distributed.</w:t>
      </w:r>
    </w:p>
    <w:p>
      <w:pPr>
        <w:spacing w:after="0" w:line="203" w:lineRule="exact"/>
        <w:rPr>
          <w:rFonts w:ascii="Arial" w:cs="Arial" w:eastAsia="Arial" w:hAnsi="Arial"/>
          <w:sz w:val="18"/>
          <w:szCs w:val="18"/>
          <w:color w:val="auto"/>
        </w:rPr>
      </w:pPr>
    </w:p>
    <w:p>
      <w:pPr>
        <w:ind w:left="1960" w:right="120" w:hanging="332"/>
        <w:spacing w:after="0" w:line="246" w:lineRule="auto"/>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Company shall as soon as possible inform Distributor of any matter which may impede the performance by Company of any of Company’s obligations under this Agreement.</w:t>
      </w:r>
    </w:p>
    <w:p>
      <w:pPr>
        <w:spacing w:after="0" w:line="196" w:lineRule="exact"/>
        <w:rPr>
          <w:rFonts w:ascii="Arial" w:cs="Arial" w:eastAsia="Arial" w:hAnsi="Arial"/>
          <w:sz w:val="18"/>
          <w:szCs w:val="18"/>
          <w:color w:val="auto"/>
        </w:rPr>
      </w:pPr>
    </w:p>
    <w:p>
      <w:pPr>
        <w:ind w:left="1960" w:right="20" w:hanging="332"/>
        <w:spacing w:after="0" w:line="231" w:lineRule="auto"/>
        <w:tabs>
          <w:tab w:leader="none" w:pos="19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Company is responsible for product “recall” activities regarding the Products, including, without limitation, a recall, market withdrawal, safety alert, field action or similar corrective action (“</w:t>
      </w:r>
      <w:r>
        <w:rPr>
          <w:rFonts w:ascii="Arial" w:cs="Arial" w:eastAsia="Arial" w:hAnsi="Arial"/>
          <w:sz w:val="18"/>
          <w:szCs w:val="18"/>
          <w:b w:val="1"/>
          <w:bCs w:val="1"/>
          <w:color w:val="auto"/>
        </w:rPr>
        <w:t>Recall Activities</w:t>
      </w:r>
      <w:r>
        <w:rPr>
          <w:rFonts w:ascii="Arial" w:cs="Arial" w:eastAsia="Arial" w:hAnsi="Arial"/>
          <w:sz w:val="18"/>
          <w:szCs w:val="18"/>
          <w:color w:val="auto"/>
        </w:rPr>
        <w:t>”). If any of the Recall Activities are initiated by Company or required by law, Company will be responsible for [***]. The Distributor is not entitled to[***]. Company may choose to[***]. Company will reimburse Distributor for [***].</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Notwithstanding the foregoing, Company shall not be responsible for liability, losses, costs and expenses associated with a recall to the extent, and only to such extent, that the recall [***] and Distributor shall fully indemnify Company for any such liability, losses, costs and expenses. In the event that the recall is attributable to [***], then Distributor and Company shall bear responsibility, and indemnify the other Party, in proportion [***]</w:t>
      </w:r>
    </w:p>
    <w:p>
      <w:pPr>
        <w:spacing w:after="0" w:line="205" w:lineRule="exact"/>
        <w:rPr>
          <w:sz w:val="20"/>
          <w:szCs w:val="20"/>
          <w:color w:val="auto"/>
        </w:rPr>
      </w:pPr>
    </w:p>
    <w:p>
      <w:pPr>
        <w:ind w:left="1960" w:right="340" w:hanging="332"/>
        <w:spacing w:after="0" w:line="277" w:lineRule="auto"/>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Company will keep Distributor informed of marketing, Product and technical information in sufficient and accurate detail to enable Distributor to properly market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80" w:right="180" w:hanging="332"/>
        <w:spacing w:after="0" w:line="263" w:lineRule="auto"/>
        <w:tabs>
          <w:tab w:leader="none" w:pos="9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shall provide warranty on Products as defined in Section 8 and technical support services pursuant to the terms and pricing set forth in Exhibits C (Pricing) and D. Any warranty or technical support service is made available to Distributor only and not to its Customers.</w:t>
      </w:r>
    </w:p>
    <w:p>
      <w:pPr>
        <w:spacing w:after="0" w:line="21" w:lineRule="exact"/>
        <w:rPr>
          <w:rFonts w:ascii="Arial" w:cs="Arial" w:eastAsia="Arial" w:hAnsi="Arial"/>
          <w:sz w:val="18"/>
          <w:szCs w:val="18"/>
          <w:color w:val="auto"/>
        </w:rPr>
      </w:pPr>
    </w:p>
    <w:p>
      <w:pPr>
        <w:ind w:left="980" w:right="120" w:hanging="332"/>
        <w:spacing w:after="0" w:line="316" w:lineRule="auto"/>
        <w:tabs>
          <w:tab w:leader="none" w:pos="9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Company shall be responsible for investigating Product complaints and reporting certain events to the authorities, including but not limited to the FDA. Company shall furnish Distributor with a written report with the results of the investigation.</w:t>
      </w:r>
    </w:p>
    <w:p>
      <w:pPr>
        <w:spacing w:after="0" w:line="1" w:lineRule="exact"/>
        <w:rPr>
          <w:rFonts w:ascii="Arial" w:cs="Arial" w:eastAsia="Arial" w:hAnsi="Arial"/>
          <w:sz w:val="16"/>
          <w:szCs w:val="16"/>
          <w:color w:val="auto"/>
        </w:rPr>
      </w:pPr>
    </w:p>
    <w:p>
      <w:pPr>
        <w:ind w:left="980" w:right="100" w:hanging="332"/>
        <w:spacing w:after="0" w:line="259"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agrees to provide Sales and technical training at least twice each calendar year to Distributor. Duration, location and other specifics of such training shall be determined as Distributor sees fit. Additional training may be supplied by Company at Distributor’s request and for additional fees. Availability and cost of any additional training will be provided by Company upon request.</w:t>
      </w:r>
    </w:p>
    <w:p>
      <w:pPr>
        <w:spacing w:after="0" w:line="24" w:lineRule="exact"/>
        <w:rPr>
          <w:rFonts w:ascii="Arial" w:cs="Arial" w:eastAsia="Arial" w:hAnsi="Arial"/>
          <w:sz w:val="18"/>
          <w:szCs w:val="18"/>
          <w:color w:val="auto"/>
        </w:rPr>
      </w:pPr>
    </w:p>
    <w:p>
      <w:pPr>
        <w:ind w:left="980" w:hanging="332"/>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will notify Distributor of any proposed product changes [***] days prior to implementation.</w:t>
      </w:r>
    </w:p>
    <w:p>
      <w:pPr>
        <w:spacing w:after="0" w:line="63" w:lineRule="exact"/>
        <w:rPr>
          <w:rFonts w:ascii="Arial" w:cs="Arial" w:eastAsia="Arial" w:hAnsi="Arial"/>
          <w:sz w:val="18"/>
          <w:szCs w:val="18"/>
          <w:color w:val="auto"/>
        </w:rPr>
      </w:pPr>
    </w:p>
    <w:p>
      <w:pPr>
        <w:ind w:left="980" w:right="160" w:hanging="332"/>
        <w:spacing w:after="0" w:line="277" w:lineRule="auto"/>
        <w:tabs>
          <w:tab w:leader="none" w:pos="967"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is the legal manufacturer for the Products as per the Medical Device Directive (EU) and Quality System Regulations (USA). The Products will bear the CE mark owned by the Company.</w:t>
      </w:r>
    </w:p>
    <w:p>
      <w:pPr>
        <w:spacing w:after="0" w:line="234" w:lineRule="exact"/>
        <w:rPr>
          <w:sz w:val="20"/>
          <w:szCs w:val="20"/>
          <w:color w:val="auto"/>
        </w:rPr>
      </w:pPr>
    </w:p>
    <w:p>
      <w:pPr>
        <w:ind w:left="320" w:right="40" w:hanging="323"/>
        <w:spacing w:after="0" w:line="22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Proprietary Rights.</w:t>
      </w:r>
      <w:r>
        <w:rPr>
          <w:rFonts w:ascii="Arial" w:cs="Arial" w:eastAsia="Arial" w:hAnsi="Arial"/>
          <w:sz w:val="18"/>
          <w:szCs w:val="18"/>
          <w:color w:val="auto"/>
        </w:rPr>
        <w:t xml:space="preserve"> Distributor acknowledges that the Products contain valuable trade secret information and intellectual property rights of Company. Distributor agrees that it will not, and will not authorize others to, reverse compile, reverse assemble, or reverse engineer the Products without prior notification to Company. Distributor agrees that it will not, and will not permit others to, remove or modify any copyright, patent or other proprietary labels or markings on the Products or the packaging provided by Company. Distributor shall as required reasonably assist the Company at the Company’s expense in order to defend and preserve patents and trademarks of the Company within the Territory.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Ownership of Rights.</w:t>
      </w:r>
    </w:p>
    <w:p>
      <w:pPr>
        <w:spacing w:after="0" w:line="2" w:lineRule="exact"/>
        <w:rPr>
          <w:sz w:val="20"/>
          <w:szCs w:val="20"/>
          <w:color w:val="auto"/>
        </w:rPr>
      </w:pPr>
    </w:p>
    <w:p>
      <w:pPr>
        <w:ind w:left="980" w:hanging="332"/>
        <w:spacing w:after="0" w:line="246" w:lineRule="auto"/>
        <w:tabs>
          <w:tab w:leader="none" w:pos="97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Each Party’s intellectual property including without limitation any patents, trade secrets, processes,</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copyrights, trade dress, trademarks and/or trade names shall remain their exclusive property and nothing herein shall be construed as transferring any right, title or interest of any kind or nature whatsoever thereto to the other Party hereto. Except as specifically provided herein, neither Party shall use in any way, the intellectual property of the other Party, and will not do any act which would in any way infringe upon or be in derogation of the validity of such other Party’s intellectual property and will notify the other Party of any conflicting claims that challenge any intellectual property of such Party that it is aware of.</w:t>
      </w:r>
    </w:p>
    <w:p>
      <w:pPr>
        <w:spacing w:after="0" w:line="2" w:lineRule="exact"/>
        <w:rPr>
          <w:rFonts w:ascii="Arial" w:cs="Arial" w:eastAsia="Arial" w:hAnsi="Arial"/>
          <w:sz w:val="16"/>
          <w:szCs w:val="16"/>
          <w:color w:val="auto"/>
        </w:rPr>
      </w:pPr>
    </w:p>
    <w:p>
      <w:pPr>
        <w:ind w:left="980" w:right="20" w:hanging="332"/>
        <w:spacing w:after="0" w:line="246"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IP Indemnification by Distributor. </w:t>
      </w:r>
      <w:r>
        <w:rPr>
          <w:rFonts w:ascii="Arial" w:cs="Arial" w:eastAsia="Arial" w:hAnsi="Arial"/>
          <w:sz w:val="16"/>
          <w:szCs w:val="16"/>
          <w:color w:val="auto"/>
        </w:rPr>
        <w:t>Distributor shall fully defend, indemnify and hold harmless Company from and against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liability, losses or costs for any third party claims, suits, actions, demands and threats based on any infringement of third party intellectual property rights [***]. In the event that the infringement of third party intellectual property 1ights is attributable to [***], then Distributor and Company shall bear responsibility, and indemnify the other Party, in proportion to [***].</w:t>
      </w:r>
    </w:p>
    <w:p>
      <w:pPr>
        <w:spacing w:after="0" w:line="1" w:lineRule="exact"/>
        <w:rPr>
          <w:rFonts w:ascii="Arial" w:cs="Arial" w:eastAsia="Arial" w:hAnsi="Arial"/>
          <w:sz w:val="16"/>
          <w:szCs w:val="16"/>
          <w:color w:val="auto"/>
        </w:rPr>
      </w:pPr>
    </w:p>
    <w:p>
      <w:pPr>
        <w:ind w:left="980" w:right="20" w:hanging="332"/>
        <w:spacing w:after="0" w:line="237" w:lineRule="auto"/>
        <w:tabs>
          <w:tab w:leader="none" w:pos="97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Ownership of Tooling. </w:t>
      </w:r>
      <w:r>
        <w:rPr>
          <w:rFonts w:ascii="Arial" w:cs="Arial" w:eastAsia="Arial" w:hAnsi="Arial"/>
          <w:sz w:val="17"/>
          <w:szCs w:val="17"/>
          <w:color w:val="auto"/>
        </w:rPr>
        <w:t>Designs, tools, jigs, dies, fixtures, templates, patterns, drawings, and other information and things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(herein collectively, the </w:t>
      </w:r>
      <w:r>
        <w:rPr>
          <w:rFonts w:ascii="Arial" w:cs="Arial" w:eastAsia="Arial" w:hAnsi="Arial"/>
          <w:sz w:val="17"/>
          <w:szCs w:val="17"/>
          <w:b w:val="1"/>
          <w:bCs w:val="1"/>
          <w:color w:val="auto"/>
        </w:rPr>
        <w:t>“Tools”</w:t>
      </w:r>
      <w:r>
        <w:rPr>
          <w:rFonts w:ascii="Arial" w:cs="Arial" w:eastAsia="Arial" w:hAnsi="Arial"/>
          <w:sz w:val="17"/>
          <w:szCs w:val="17"/>
          <w:color w:val="auto"/>
        </w:rPr>
        <w:t>) directly paid for or furnished by Distributor shall be Distributor's property and Company shall not encumber or dispose of them in any way. Company shall maintain such Tools in reasonably good working condition. The Tools shall be used exclusively for Company’s performance of its obligations hereunder. Any and all costs incurred by Company in order to replace due to wear and tear, scale up, significantly upgrade or modify the Tools, other than scheduled maintenance, loss or abuse by Company, shall be reimbursed by Distributor.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Manufacture and Supply of Products with Custom Luer.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Section 3.7 shall only apply to Products containing a Custom Luer.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60"/>
          </w:cols>
          <w:pgMar w:left="130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hanging="320"/>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Manufacture.</w:t>
      </w:r>
    </w:p>
    <w:p>
      <w:pPr>
        <w:spacing w:after="0" w:line="225" w:lineRule="exact"/>
        <w:rPr>
          <w:rFonts w:ascii="Arial" w:cs="Arial" w:eastAsia="Arial" w:hAnsi="Arial"/>
          <w:sz w:val="18"/>
          <w:szCs w:val="18"/>
          <w:color w:val="auto"/>
        </w:rPr>
      </w:pPr>
    </w:p>
    <w:p>
      <w:pPr>
        <w:ind w:left="980" w:right="60" w:hanging="332"/>
        <w:spacing w:after="0" w:line="250" w:lineRule="auto"/>
        <w:tabs>
          <w:tab w:leader="none" w:pos="9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Company shall procure the Custom Luer from a third party supplier designated by Distributor (the </w:t>
      </w:r>
      <w:r>
        <w:rPr>
          <w:rFonts w:ascii="Arial" w:cs="Arial" w:eastAsia="Arial" w:hAnsi="Arial"/>
          <w:sz w:val="16"/>
          <w:szCs w:val="16"/>
          <w:b w:val="1"/>
          <w:bCs w:val="1"/>
          <w:color w:val="auto"/>
        </w:rPr>
        <w:t>“Custom Luer Supplier”</w:t>
      </w:r>
      <w:r>
        <w:rPr>
          <w:rFonts w:ascii="Arial" w:cs="Arial" w:eastAsia="Arial" w:hAnsi="Arial"/>
          <w:sz w:val="16"/>
          <w:szCs w:val="16"/>
          <w:color w:val="auto"/>
        </w:rPr>
        <w:t>) and approved by Company, which approval shall not be unreasonably withheld. The initial Custom Luer Supplier designated by Distributor and approved by Company is [***]. The Custom Luer is exclusive and proprietary to Distributor and shall not be used by Company for any purpose other than incorporation into the Products and shall not be sold to any third party. Company shall have no intellectual property rights in the Custom Luer, except, for the avoidance of doubt, that all rights to the Company’s design of [***] of the Custom Luer to the Infusion Set shall be the property of Company.</w:t>
      </w:r>
    </w:p>
    <w:p>
      <w:pPr>
        <w:spacing w:after="0" w:line="4" w:lineRule="exact"/>
        <w:rPr>
          <w:rFonts w:ascii="Arial" w:cs="Arial" w:eastAsia="Arial" w:hAnsi="Arial"/>
          <w:sz w:val="16"/>
          <w:szCs w:val="16"/>
          <w:color w:val="auto"/>
        </w:rPr>
      </w:pPr>
    </w:p>
    <w:p>
      <w:pPr>
        <w:ind w:left="980" w:right="60" w:hanging="332"/>
        <w:spacing w:after="0" w:line="219"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Prior to manufacture of the Products, Distributor shall obtain injection molding qualification and validation documentation from the Custom Luer Supplier in a form reasonably acceptable to Company.</w:t>
      </w:r>
    </w:p>
    <w:p>
      <w:pPr>
        <w:ind w:left="980" w:right="60" w:hanging="332"/>
        <w:spacing w:after="0" w:line="246" w:lineRule="auto"/>
        <w:tabs>
          <w:tab w:leader="none" w:pos="9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Company shall incorporate the Custom Luer into the Infusion Sets in accordance with the Specifications. If the Custom Luer Supplier cannot deliver Custom Luers that comply with the Custom Luer Specifications, Company shall have no obligation to deliver Products incorporating the Custom Luer to Distributor. In the event that Company discovers any failure of the Custom Luers to comply with the Custom Luer Specifications which could affect meeting the forecasted or expected demand for Products to Distributor, then Company shall without undue delay notify Distributor and the Parties shall endeavor to remedy the failure together with the Custom Luer Supplier. Any change to the Custom Luer which could impact the incorporation of the Custom Luer into the Products shall require written approval by both Parties, which shall not be unreasonably withheld.</w:t>
      </w:r>
    </w:p>
    <w:p>
      <w:pPr>
        <w:spacing w:after="0" w:line="2" w:lineRule="exact"/>
        <w:rPr>
          <w:rFonts w:ascii="Arial" w:cs="Arial" w:eastAsia="Arial" w:hAnsi="Arial"/>
          <w:sz w:val="16"/>
          <w:szCs w:val="16"/>
          <w:color w:val="auto"/>
        </w:rPr>
      </w:pPr>
    </w:p>
    <w:p>
      <w:pPr>
        <w:ind w:left="980" w:hanging="332"/>
        <w:spacing w:after="0"/>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change in the price of the Custom Luer payable by Company to the Custom Luer Supplier shall be [***].</w:t>
      </w:r>
    </w:p>
    <w:p>
      <w:pPr>
        <w:spacing w:after="0" w:line="205" w:lineRule="exact"/>
        <w:rPr>
          <w:rFonts w:ascii="Arial" w:cs="Arial" w:eastAsia="Arial" w:hAnsi="Arial"/>
          <w:sz w:val="18"/>
          <w:szCs w:val="18"/>
          <w:color w:val="auto"/>
        </w:rPr>
      </w:pPr>
    </w:p>
    <w:p>
      <w:pPr>
        <w:ind w:left="320" w:right="40" w:hanging="320"/>
        <w:spacing w:after="0" w:line="259" w:lineRule="auto"/>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Custom Luer Supplier. </w:t>
      </w:r>
      <w:r>
        <w:rPr>
          <w:rFonts w:ascii="Arial" w:cs="Arial" w:eastAsia="Arial" w:hAnsi="Arial"/>
          <w:sz w:val="16"/>
          <w:szCs w:val="16"/>
          <w:color w:val="auto"/>
        </w:rPr>
        <w:t>Distributor shall enter into an agreement with the Custom Luer Supplier securing that (i) Company is granted all</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rights to purchase the Custom Luer, affix the Custom Luer to the Infusion Sets and sell the Product with the Custom Luer to Distributor in accordance with the terms and conditions of this Agreement and (ii) the Custom Luer Supplier will supply Company with the Custom Luer in sufficient amounts and of a satisfactory quality in order for Company to fulfil its obligations under this Agreement, Distributor shall not be entitled to raise any claims against Company relating to any breach of the Agreement to the extent that such breach is a result of failure to deliver or delay in delivery of Custom Luers by the Custom Luer Supplier through no fault of Company.</w:t>
      </w:r>
    </w:p>
    <w:p>
      <w:pPr>
        <w:spacing w:after="0" w:line="185" w:lineRule="exact"/>
        <w:rPr>
          <w:rFonts w:ascii="Arial" w:cs="Arial" w:eastAsia="Arial" w:hAnsi="Arial"/>
          <w:sz w:val="16"/>
          <w:szCs w:val="16"/>
          <w:color w:val="auto"/>
        </w:rPr>
      </w:pPr>
    </w:p>
    <w:p>
      <w:pPr>
        <w:ind w:left="320" w:right="40" w:hanging="320"/>
        <w:spacing w:after="0" w:line="237" w:lineRule="auto"/>
        <w:tabs>
          <w:tab w:leader="none" w:pos="31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Material Management. </w:t>
      </w:r>
      <w:r>
        <w:rPr>
          <w:rFonts w:ascii="Arial" w:cs="Arial" w:eastAsia="Arial" w:hAnsi="Arial"/>
          <w:sz w:val="17"/>
          <w:szCs w:val="17"/>
          <w:color w:val="auto"/>
        </w:rPr>
        <w:t>Company shall maintain sufficient manufacturing capacity and inventory to fill Distributor’s requirements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at the delivery date or dates specified in the applicable Accepted Purchase Order, however, Company shall be under no such obligations to the extent that the Custom Luer Supplier does not deliver sufficient quantities of Custom Luers to meet forecasted demand. Company shall be responsible for procuring all materials and components necessary to fulfill Accepted Purchase Orders for the portion of such Purchase Order that is not cancellable. If Company foresees any problem in meeting forecasted or expected demand at any time, it shall advise Distributor as soon as possible in writing. Upon request by Distributor, Company shall provide Distributor with an accurate written report of the Custom Luer, and Products containing a Custom Luer, inventory at Company’s facility. For production and capacity planning purposes, Distributor shall issue an updated rolling forecast of its requirements for the next [***], Distributor will provide [***] which will forecast its estimated quantity requirements of Products. For long-term capacity planning purposes, Distributor shall furnish Company with a [***].</w:t>
      </w:r>
    </w:p>
    <w:p>
      <w:pPr>
        <w:spacing w:after="0" w:line="202" w:lineRule="exact"/>
        <w:rPr>
          <w:rFonts w:ascii="Arial" w:cs="Arial" w:eastAsia="Arial" w:hAnsi="Arial"/>
          <w:sz w:val="17"/>
          <w:szCs w:val="17"/>
          <w:color w:val="auto"/>
        </w:rPr>
      </w:pPr>
    </w:p>
    <w:p>
      <w:pPr>
        <w:ind w:left="320" w:hanging="320"/>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End of Life.</w:t>
      </w:r>
    </w:p>
    <w:p>
      <w:pPr>
        <w:spacing w:after="0" w:line="229" w:lineRule="exact"/>
        <w:rPr>
          <w:rFonts w:ascii="Arial" w:cs="Arial" w:eastAsia="Arial" w:hAnsi="Arial"/>
          <w:sz w:val="18"/>
          <w:szCs w:val="18"/>
          <w:color w:val="auto"/>
        </w:rPr>
      </w:pPr>
    </w:p>
    <w:p>
      <w:pPr>
        <w:jc w:val="both"/>
        <w:ind w:left="980" w:right="180" w:hanging="332"/>
        <w:spacing w:after="0" w:line="235"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Should any significant material or significant component (excluding the Custom Luer) be discontinued or set for end of life by the applicable vendor, Company hereby agrees to notify Distributor as soon as possible upon receipt of written notice from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60"/>
          </w:cols>
          <w:pgMar w:left="1300" w:top="1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40"/>
        <w:spacing w:after="0" w:line="261" w:lineRule="auto"/>
        <w:rPr>
          <w:sz w:val="20"/>
          <w:szCs w:val="20"/>
          <w:color w:val="auto"/>
        </w:rPr>
      </w:pPr>
      <w:r>
        <w:rPr>
          <w:rFonts w:ascii="Arial" w:cs="Arial" w:eastAsia="Arial" w:hAnsi="Arial"/>
          <w:sz w:val="16"/>
          <w:szCs w:val="16"/>
          <w:color w:val="auto"/>
        </w:rPr>
        <w:t>vendor. In addition, with respect to any such material or component of the Infusion Sets, the Parties agree to use reasonable efforts to cooperate in order to find a replacement which meets the form, fit and function set out in the Specifications of such end of life component or material such that Accepted Purchase Orders and forecasts can be met, however, Company has the sole right to determine the replacement. Any replacement which is anticipated to involve a regulatory filing shall be disclosed by Company to Distributor in writing within [***] of the Company's determination that such a filing is reasonably likely.</w:t>
      </w:r>
    </w:p>
    <w:p>
      <w:pPr>
        <w:spacing w:after="0" w:line="188" w:lineRule="exact"/>
        <w:rPr>
          <w:sz w:val="20"/>
          <w:szCs w:val="20"/>
          <w:color w:val="auto"/>
        </w:rPr>
      </w:pPr>
    </w:p>
    <w:p>
      <w:pPr>
        <w:ind w:left="1960" w:right="300" w:hanging="332"/>
        <w:spacing w:after="0" w:line="265" w:lineRule="auto"/>
        <w:tabs>
          <w:tab w:leader="none" w:pos="19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Company shall not discontinue manufacture of any Product covered by this Agreement without providing Distributor with at least [***] and good faith negotiation by the Parties of a mutually satisfactory replacement plan for such Products.</w:t>
      </w:r>
    </w:p>
    <w:p>
      <w:pPr>
        <w:spacing w:after="0" w:line="1" w:lineRule="exact"/>
        <w:rPr>
          <w:rFonts w:ascii="Arial" w:cs="Arial" w:eastAsia="Arial" w:hAnsi="Arial"/>
          <w:sz w:val="16"/>
          <w:szCs w:val="16"/>
          <w:color w:val="auto"/>
        </w:rPr>
      </w:pPr>
    </w:p>
    <w:p>
      <w:pPr>
        <w:ind w:left="180" w:hanging="172"/>
        <w:spacing w:after="0"/>
        <w:tabs>
          <w:tab w:leader="none" w:pos="180" w:val="left"/>
        </w:tabs>
        <w:numPr>
          <w:ilvl w:val="0"/>
          <w:numId w:val="8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CONFIDENTIALITY</w:t>
      </w:r>
    </w:p>
    <w:p>
      <w:pPr>
        <w:spacing w:after="0" w:line="205" w:lineRule="exact"/>
        <w:rPr>
          <w:sz w:val="20"/>
          <w:szCs w:val="20"/>
          <w:color w:val="auto"/>
        </w:rPr>
      </w:pPr>
    </w:p>
    <w:p>
      <w:pPr>
        <w:ind w:left="1300" w:right="160" w:hanging="323"/>
        <w:spacing w:after="0" w:line="25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Each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xml:space="preserve">) may, from time to time during the Term, deliver or make available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xml:space="preserve">) certain non- public information of the Disclosing Party, including formulas, flow charts, diagnostic routines, business information, forecasts, financial plans and data, customer information, marketing plans, and unannounced product information and the Company may make available to the Distributor information regarding the Company’s intellectual property rights (collectively,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Such Confidential Information shall be in writing, and marked prominently with the legend “confidential”, “proprietary”, or with a similar legend, or if disclosed orally shall be described as Confidential Information at the time of oral disclosure and confirmed as such in writing [***]. Notwithstanding anything to the contrary herein, non-public Product information, and the terms of this Agreement shall be deemed Confidential Information of Company.</w:t>
      </w:r>
    </w:p>
    <w:p>
      <w:pPr>
        <w:spacing w:after="0" w:line="191" w:lineRule="exact"/>
        <w:rPr>
          <w:sz w:val="20"/>
          <w:szCs w:val="20"/>
          <w:color w:val="auto"/>
        </w:rPr>
      </w:pPr>
    </w:p>
    <w:p>
      <w:pPr>
        <w:ind w:left="1300" w:right="100" w:hanging="323"/>
        <w:spacing w:after="0" w:line="23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Protection.</w:t>
      </w:r>
      <w:r>
        <w:rPr>
          <w:rFonts w:ascii="Arial" w:cs="Arial" w:eastAsia="Arial" w:hAnsi="Arial"/>
          <w:sz w:val="17"/>
          <w:szCs w:val="17"/>
          <w:color w:val="auto"/>
        </w:rPr>
        <w:t xml:space="preserve"> The Receiving Party shall not use or disclose Confidential Information of the Disclosing Party, except as expressly authorized by this Agreement or in writing by the Disclosing Party, using the same degree of care which the Receiving Party uses with respect to its own proprietary information, but in no event with less than with reasonable care. Upon the expiration or termination of this Agreement, the Receiving Party shall promptly return to the Disclosing Party all Confidential Information of the Disclosing Party in tangible form, and shall promptly confirm in writing to the Disclosing Party that it has done so. The Receiving Party shall have written agreements with its own employees to whom Confidential Information of the Disclosing Party shall be made available, and such written agreements shall have terms at least as restrictive as those contained herein. The Receiving Party agrees to deliver copies of such written agreement to the Disclosing Party upon request; provided, however, that such copies shall themselves be deemed the Confidential Information of the Receiving Party.</w:t>
      </w:r>
    </w:p>
    <w:p>
      <w:pPr>
        <w:spacing w:after="0" w:line="199" w:lineRule="exact"/>
        <w:rPr>
          <w:sz w:val="20"/>
          <w:szCs w:val="20"/>
          <w:color w:val="auto"/>
        </w:rPr>
      </w:pPr>
    </w:p>
    <w:p>
      <w:pPr>
        <w:ind w:left="1300" w:right="360" w:hanging="323"/>
        <w:spacing w:after="0" w:line="250"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Limitation.</w:t>
      </w:r>
      <w:r>
        <w:rPr>
          <w:rFonts w:ascii="Arial" w:cs="Arial" w:eastAsia="Arial" w:hAnsi="Arial"/>
          <w:sz w:val="18"/>
          <w:szCs w:val="18"/>
          <w:color w:val="auto"/>
        </w:rPr>
        <w:t xml:space="preserve"> The foregoing obligations of confidentiality shall not apply to any information which the Receiving Party can show is or was:</w:t>
      </w:r>
    </w:p>
    <w:p>
      <w:pPr>
        <w:spacing w:after="0" w:line="207" w:lineRule="exact"/>
        <w:rPr>
          <w:sz w:val="20"/>
          <w:szCs w:val="20"/>
          <w:color w:val="auto"/>
        </w:rPr>
      </w:pPr>
    </w:p>
    <w:p>
      <w:pPr>
        <w:ind w:left="1940" w:hanging="312"/>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Already known to the Receiving Party at the time of disclosure without obligation of confidentiality;</w:t>
      </w:r>
    </w:p>
    <w:p>
      <w:pPr>
        <w:spacing w:after="0" w:line="63" w:lineRule="exact"/>
        <w:rPr>
          <w:rFonts w:ascii="Arial" w:cs="Arial" w:eastAsia="Arial" w:hAnsi="Arial"/>
          <w:sz w:val="18"/>
          <w:szCs w:val="18"/>
          <w:color w:val="auto"/>
        </w:rPr>
      </w:pPr>
    </w:p>
    <w:p>
      <w:pPr>
        <w:ind w:left="1960" w:hanging="332"/>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use of or access to the Confidential Information;</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Approved for disclosure by the Disclosing Party beforehand and in writing;</w:t>
      </w:r>
    </w:p>
    <w:p>
      <w:pPr>
        <w:spacing w:after="0" w:line="63" w:lineRule="exact"/>
        <w:rPr>
          <w:rFonts w:ascii="Arial" w:cs="Arial" w:eastAsia="Arial" w:hAnsi="Arial"/>
          <w:sz w:val="18"/>
          <w:szCs w:val="18"/>
          <w:color w:val="auto"/>
        </w:rPr>
      </w:pPr>
    </w:p>
    <w:p>
      <w:pPr>
        <w:ind w:left="1960" w:hanging="332"/>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Publicly known without breach of this Agreement;</w:t>
      </w:r>
    </w:p>
    <w:p>
      <w:pPr>
        <w:spacing w:after="0" w:line="63" w:lineRule="exact"/>
        <w:rPr>
          <w:rFonts w:ascii="Arial" w:cs="Arial" w:eastAsia="Arial" w:hAnsi="Arial"/>
          <w:sz w:val="18"/>
          <w:szCs w:val="18"/>
          <w:color w:val="auto"/>
        </w:rPr>
      </w:pPr>
    </w:p>
    <w:p>
      <w:pPr>
        <w:ind w:left="1940" w:hanging="312"/>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Lawfully received by the Receiving Party from a third party without obligation of confidentiality.</w:t>
      </w:r>
    </w:p>
    <w:p>
      <w:pPr>
        <w:spacing w:after="0" w:line="29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addition, the Receiving Party may disclose information required to be disclosed by applicable law or order of a court, tribunal or other governmental agency; provided, however, that the Receiving Party shall promptly notify the Disclosing Party in writing of such requirement, and shall cooperate with the Disclosing Party to minimize the scope of any such disclosure, and in the obtaining of a confidentiality, protective or similar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5. PURCHASE OF PRODUCT BY DISTRIBUTOR: PRICING AND PAYMENTS</w:t>
      </w:r>
    </w:p>
    <w:p>
      <w:pPr>
        <w:spacing w:after="0" w:line="225" w:lineRule="exact"/>
        <w:rPr>
          <w:sz w:val="20"/>
          <w:szCs w:val="20"/>
          <w:color w:val="auto"/>
        </w:rPr>
      </w:pPr>
    </w:p>
    <w:p>
      <w:pPr>
        <w:ind w:left="1300" w:right="520" w:hanging="323"/>
        <w:spacing w:after="0" w:line="25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Minimum Order.</w:t>
      </w:r>
      <w:r>
        <w:rPr>
          <w:rFonts w:ascii="Arial" w:cs="Arial" w:eastAsia="Arial" w:hAnsi="Arial"/>
          <w:sz w:val="18"/>
          <w:szCs w:val="18"/>
          <w:color w:val="auto"/>
        </w:rPr>
        <w:t xml:space="preserve"> Distributor agrees to acquire from Company in minimum order quantities (</w:t>
      </w:r>
      <w:r>
        <w:rPr>
          <w:rFonts w:ascii="Arial" w:cs="Arial" w:eastAsia="Arial" w:hAnsi="Arial"/>
          <w:sz w:val="18"/>
          <w:szCs w:val="18"/>
          <w:b w:val="1"/>
          <w:bCs w:val="1"/>
          <w:color w:val="auto"/>
        </w:rPr>
        <w:t>“Minimum Order”</w:t>
      </w:r>
      <w:r>
        <w:rPr>
          <w:rFonts w:ascii="Arial" w:cs="Arial" w:eastAsia="Arial" w:hAnsi="Arial"/>
          <w:sz w:val="18"/>
          <w:szCs w:val="18"/>
          <w:color w:val="auto"/>
        </w:rPr>
        <w:t>) as described in Exhibit C for each Product SKU per Purchase Order.</w:t>
      </w:r>
    </w:p>
    <w:p>
      <w:pPr>
        <w:spacing w:after="0" w:line="190" w:lineRule="exact"/>
        <w:rPr>
          <w:sz w:val="20"/>
          <w:szCs w:val="20"/>
          <w:color w:val="auto"/>
        </w:rPr>
      </w:pPr>
    </w:p>
    <w:p>
      <w:pPr>
        <w:ind w:left="1300" w:hanging="323"/>
        <w:spacing w:after="0" w:line="25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Purchase Orders.</w:t>
      </w:r>
      <w:r>
        <w:rPr>
          <w:rFonts w:ascii="Arial" w:cs="Arial" w:eastAsia="Arial" w:hAnsi="Arial"/>
          <w:sz w:val="16"/>
          <w:szCs w:val="16"/>
          <w:color w:val="auto"/>
        </w:rPr>
        <w:t xml:space="preserve"> In addition to the terms of Section 3.3 the Distributor shall acquire Products by placing purchase orders under this Agreement, which are accepted by Company, as follows. From time to time during the Term, Distributor shall submit to Company written or electronic purchase orders (“</w:t>
      </w:r>
      <w:r>
        <w:rPr>
          <w:rFonts w:ascii="Arial" w:cs="Arial" w:eastAsia="Arial" w:hAnsi="Arial"/>
          <w:sz w:val="16"/>
          <w:szCs w:val="16"/>
          <w:b w:val="1"/>
          <w:bCs w:val="1"/>
          <w:color w:val="auto"/>
        </w:rPr>
        <w:t>Purchase Orders”</w:t>
      </w:r>
      <w:r>
        <w:rPr>
          <w:rFonts w:ascii="Arial" w:cs="Arial" w:eastAsia="Arial" w:hAnsi="Arial"/>
          <w:sz w:val="16"/>
          <w:szCs w:val="16"/>
          <w:color w:val="auto"/>
        </w:rPr>
        <w:t>). Company will acknowledge receipt of each Purchase Order in writing within [***] of receipt and shall either accept such Purchase Order, or reject such Purchase Order. Company shall accept any Purchase Order that orders Product in accordance with the most recent forecast provided under Section 3.3(h). In the event Company accepts a Purchase Order, such Purchase Order shall be deemed an accepted Purchase Order (</w:t>
      </w:r>
      <w:r>
        <w:rPr>
          <w:rFonts w:ascii="Arial" w:cs="Arial" w:eastAsia="Arial" w:hAnsi="Arial"/>
          <w:sz w:val="16"/>
          <w:szCs w:val="16"/>
          <w:b w:val="1"/>
          <w:bCs w:val="1"/>
          <w:color w:val="auto"/>
        </w:rPr>
        <w:t>“Accepted Purchase Order”</w:t>
      </w:r>
      <w:r>
        <w:rPr>
          <w:rFonts w:ascii="Arial" w:cs="Arial" w:eastAsia="Arial" w:hAnsi="Arial"/>
          <w:sz w:val="16"/>
          <w:szCs w:val="16"/>
          <w:color w:val="auto"/>
        </w:rPr>
        <w:t>). In the event Company rejects a Purchase Order, the Parties shall negotiate in good faith regarding possible changes in such Purchase Order which would make such Purchase Order mutually acceptable. In the event Company fails to acknowledge receipt of any Purchase Order within the [***], such Purchase Order shall be deemed rejected. In no event shall any Purchase Order add to or modify the terms of this Agreement.</w:t>
      </w:r>
    </w:p>
    <w:p>
      <w:pPr>
        <w:spacing w:after="0" w:line="192" w:lineRule="exact"/>
        <w:rPr>
          <w:sz w:val="20"/>
          <w:szCs w:val="20"/>
          <w:color w:val="auto"/>
        </w:rPr>
      </w:pPr>
    </w:p>
    <w:p>
      <w:pPr>
        <w:ind w:left="1300" w:right="240" w:hanging="323"/>
        <w:spacing w:after="0" w:line="27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161616"/>
        </w:rPr>
        <w:t>Pricing.</w:t>
      </w:r>
      <w:r>
        <w:rPr>
          <w:rFonts w:ascii="Arial" w:cs="Arial" w:eastAsia="Arial" w:hAnsi="Arial"/>
          <w:sz w:val="17"/>
          <w:szCs w:val="17"/>
          <w:color w:val="auto"/>
        </w:rPr>
        <w:t xml:space="preserve"> </w:t>
      </w:r>
      <w:r>
        <w:rPr>
          <w:rFonts w:ascii="Arial" w:cs="Arial" w:eastAsia="Arial" w:hAnsi="Arial"/>
          <w:sz w:val="17"/>
          <w:szCs w:val="17"/>
          <w:color w:val="2B2B2B"/>
        </w:rPr>
        <w:t>Distributor shall pay to Company the pricing as set forth in Exhibit C for the Products acquired under this Agreement. For the</w:t>
      </w:r>
      <w:r>
        <w:rPr>
          <w:rFonts w:ascii="Arial" w:cs="Arial" w:eastAsia="Arial" w:hAnsi="Arial"/>
          <w:sz w:val="17"/>
          <w:szCs w:val="17"/>
          <w:color w:val="auto"/>
        </w:rPr>
        <w:t xml:space="preserve"> </w:t>
      </w:r>
      <w:r>
        <w:rPr>
          <w:rFonts w:ascii="Arial" w:cs="Arial" w:eastAsia="Arial" w:hAnsi="Arial"/>
          <w:sz w:val="17"/>
          <w:szCs w:val="17"/>
          <w:color w:val="2B2B2B"/>
        </w:rPr>
        <w:t>avoidance of doubt, Product prices [***]. Distributor shall set its own sale prices without consultation with Company.</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161616"/>
        </w:rPr>
        <w:t>Delivery Terms.</w:t>
      </w:r>
      <w:r>
        <w:rPr>
          <w:rFonts w:ascii="Arial" w:cs="Arial" w:eastAsia="Arial" w:hAnsi="Arial"/>
          <w:sz w:val="18"/>
          <w:szCs w:val="18"/>
          <w:color w:val="auto"/>
        </w:rPr>
        <w:t xml:space="preserve"> </w:t>
      </w:r>
      <w:r>
        <w:rPr>
          <w:rFonts w:ascii="Arial" w:cs="Arial" w:eastAsia="Arial" w:hAnsi="Arial"/>
          <w:sz w:val="18"/>
          <w:szCs w:val="18"/>
          <w:color w:val="2B2B2B"/>
        </w:rPr>
        <w:t>Delivery is</w:t>
      </w:r>
      <w:r>
        <w:rPr>
          <w:rFonts w:ascii="Arial" w:cs="Arial" w:eastAsia="Arial" w:hAnsi="Arial"/>
          <w:sz w:val="18"/>
          <w:szCs w:val="18"/>
          <w:color w:val="auto"/>
        </w:rPr>
        <w:t xml:space="preserve"> </w:t>
      </w:r>
      <w:r>
        <w:rPr>
          <w:rFonts w:ascii="Arial" w:cs="Arial" w:eastAsia="Arial" w:hAnsi="Arial"/>
          <w:sz w:val="18"/>
          <w:szCs w:val="18"/>
          <w:color w:val="3F3F3F"/>
        </w:rPr>
        <w:t>[***]</w:t>
      </w:r>
      <w:r>
        <w:rPr>
          <w:rFonts w:ascii="Arial" w:cs="Arial" w:eastAsia="Arial" w:hAnsi="Arial"/>
          <w:sz w:val="18"/>
          <w:szCs w:val="18"/>
          <w:color w:val="545454"/>
        </w:rPr>
        <w:t>.</w:t>
      </w:r>
      <w:r>
        <w:rPr>
          <w:rFonts w:ascii="Arial" w:cs="Arial" w:eastAsia="Arial" w:hAnsi="Arial"/>
          <w:sz w:val="18"/>
          <w:szCs w:val="18"/>
          <w:color w:val="auto"/>
        </w:rPr>
        <w:t xml:space="preserve"> </w:t>
      </w:r>
      <w:r>
        <w:rPr>
          <w:rFonts w:ascii="Arial" w:cs="Arial" w:eastAsia="Arial" w:hAnsi="Arial"/>
          <w:sz w:val="18"/>
          <w:szCs w:val="18"/>
          <w:color w:val="2B2B2B"/>
        </w:rPr>
        <w:t>Th</w:t>
      </w:r>
      <w:r>
        <w:rPr>
          <w:rFonts w:ascii="Arial" w:cs="Arial" w:eastAsia="Arial" w:hAnsi="Arial"/>
          <w:sz w:val="18"/>
          <w:szCs w:val="18"/>
          <w:color w:val="545454"/>
        </w:rPr>
        <w:t>e</w:t>
      </w:r>
      <w:r>
        <w:rPr>
          <w:rFonts w:ascii="Arial" w:cs="Arial" w:eastAsia="Arial" w:hAnsi="Arial"/>
          <w:sz w:val="18"/>
          <w:szCs w:val="18"/>
          <w:color w:val="auto"/>
        </w:rPr>
        <w:t xml:space="preserve"> </w:t>
      </w:r>
      <w:r>
        <w:rPr>
          <w:rFonts w:ascii="Arial" w:cs="Arial" w:eastAsia="Arial" w:hAnsi="Arial"/>
          <w:sz w:val="18"/>
          <w:szCs w:val="18"/>
          <w:color w:val="161616"/>
        </w:rPr>
        <w:t>Produ</w:t>
      </w:r>
      <w:r>
        <w:rPr>
          <w:rFonts w:ascii="Arial" w:cs="Arial" w:eastAsia="Arial" w:hAnsi="Arial"/>
          <w:sz w:val="18"/>
          <w:szCs w:val="18"/>
          <w:color w:val="3F3F3F"/>
        </w:rPr>
        <w:t>cts</w:t>
      </w:r>
      <w:r>
        <w:rPr>
          <w:rFonts w:ascii="Arial" w:cs="Arial" w:eastAsia="Arial" w:hAnsi="Arial"/>
          <w:sz w:val="18"/>
          <w:szCs w:val="18"/>
          <w:color w:val="auto"/>
        </w:rPr>
        <w:t xml:space="preserve"> </w:t>
      </w:r>
      <w:r>
        <w:rPr>
          <w:rFonts w:ascii="Arial" w:cs="Arial" w:eastAsia="Arial" w:hAnsi="Arial"/>
          <w:sz w:val="18"/>
          <w:szCs w:val="18"/>
          <w:color w:val="2B2B2B"/>
        </w:rPr>
        <w:t>will be delivered</w:t>
      </w:r>
      <w:r>
        <w:rPr>
          <w:rFonts w:ascii="Arial" w:cs="Arial" w:eastAsia="Arial" w:hAnsi="Arial"/>
          <w:sz w:val="18"/>
          <w:szCs w:val="18"/>
          <w:color w:val="auto"/>
        </w:rPr>
        <w:t xml:space="preserve"> </w:t>
      </w:r>
      <w:r>
        <w:rPr>
          <w:rFonts w:ascii="Arial" w:cs="Arial" w:eastAsia="Arial" w:hAnsi="Arial"/>
          <w:sz w:val="18"/>
          <w:szCs w:val="18"/>
          <w:color w:val="161616"/>
        </w:rPr>
        <w:t>in</w:t>
      </w:r>
      <w:r>
        <w:rPr>
          <w:rFonts w:ascii="Arial" w:cs="Arial" w:eastAsia="Arial" w:hAnsi="Arial"/>
          <w:sz w:val="18"/>
          <w:szCs w:val="18"/>
          <w:color w:val="auto"/>
        </w:rPr>
        <w:t xml:space="preserve"> </w:t>
      </w:r>
      <w:r>
        <w:rPr>
          <w:rFonts w:ascii="Arial" w:cs="Arial" w:eastAsia="Arial" w:hAnsi="Arial"/>
          <w:sz w:val="18"/>
          <w:szCs w:val="18"/>
          <w:color w:val="2B2B2B"/>
        </w:rPr>
        <w:t>the</w:t>
      </w:r>
      <w:r>
        <w:rPr>
          <w:rFonts w:ascii="Arial" w:cs="Arial" w:eastAsia="Arial" w:hAnsi="Arial"/>
          <w:sz w:val="18"/>
          <w:szCs w:val="18"/>
          <w:color w:val="auto"/>
        </w:rPr>
        <w:t xml:space="preserve"> </w:t>
      </w:r>
      <w:r>
        <w:rPr>
          <w:rFonts w:ascii="Arial" w:cs="Arial" w:eastAsia="Arial" w:hAnsi="Arial"/>
          <w:sz w:val="18"/>
          <w:szCs w:val="18"/>
          <w:color w:val="3F3F3F"/>
        </w:rPr>
        <w:t>Compa</w:t>
      </w:r>
      <w:r>
        <w:rPr>
          <w:rFonts w:ascii="Arial" w:cs="Arial" w:eastAsia="Arial" w:hAnsi="Arial"/>
          <w:sz w:val="18"/>
          <w:szCs w:val="18"/>
          <w:color w:val="161616"/>
        </w:rPr>
        <w:t>n</w:t>
      </w:r>
      <w:r>
        <w:rPr>
          <w:rFonts w:ascii="Arial" w:cs="Arial" w:eastAsia="Arial" w:hAnsi="Arial"/>
          <w:sz w:val="18"/>
          <w:szCs w:val="18"/>
          <w:color w:val="3F3F3F"/>
        </w:rPr>
        <w:t>y’s</w:t>
      </w:r>
      <w:r>
        <w:rPr>
          <w:rFonts w:ascii="Arial" w:cs="Arial" w:eastAsia="Arial" w:hAnsi="Arial"/>
          <w:sz w:val="18"/>
          <w:szCs w:val="18"/>
          <w:color w:val="auto"/>
        </w:rPr>
        <w:t xml:space="preserve"> </w:t>
      </w:r>
      <w:r>
        <w:rPr>
          <w:rFonts w:ascii="Arial" w:cs="Arial" w:eastAsia="Arial" w:hAnsi="Arial"/>
          <w:sz w:val="18"/>
          <w:szCs w:val="18"/>
          <w:color w:val="161616"/>
        </w:rPr>
        <w:t>usual</w:t>
      </w:r>
      <w:r>
        <w:rPr>
          <w:rFonts w:ascii="Arial" w:cs="Arial" w:eastAsia="Arial" w:hAnsi="Arial"/>
          <w:sz w:val="18"/>
          <w:szCs w:val="18"/>
          <w:color w:val="auto"/>
        </w:rPr>
        <w:t xml:space="preserve"> </w:t>
      </w:r>
      <w:r>
        <w:rPr>
          <w:rFonts w:ascii="Arial" w:cs="Arial" w:eastAsia="Arial" w:hAnsi="Arial"/>
          <w:sz w:val="18"/>
          <w:szCs w:val="18"/>
          <w:color w:val="2B2B2B"/>
        </w:rPr>
        <w:t>packaging.</w:t>
      </w:r>
    </w:p>
    <w:p>
      <w:pPr>
        <w:spacing w:after="0" w:line="225" w:lineRule="exact"/>
        <w:rPr>
          <w:sz w:val="20"/>
          <w:szCs w:val="20"/>
          <w:color w:val="auto"/>
        </w:rPr>
      </w:pPr>
    </w:p>
    <w:p>
      <w:pPr>
        <w:ind w:left="1300" w:right="60" w:hanging="323"/>
        <w:spacing w:after="0" w:line="23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Price Changes. [***]</w:t>
      </w:r>
      <w:r>
        <w:rPr>
          <w:rFonts w:ascii="Arial" w:cs="Arial" w:eastAsia="Arial" w:hAnsi="Arial"/>
          <w:sz w:val="18"/>
          <w:szCs w:val="18"/>
          <w:color w:val="auto"/>
        </w:rPr>
        <w:t>, the prices for the Products set forth in Exhibit C attached to this Agreement shall apply. Company may change the prices [***]. In all such cases, the Distributor and Company shall meet in good faith to discuss a mechanism for a change in the prices [***].</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5.7 [***]</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right="100" w:hanging="323"/>
        <w:spacing w:after="0" w:line="22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161616"/>
        </w:rPr>
        <w:t>Product</w:t>
      </w:r>
      <w:r>
        <w:rPr>
          <w:rFonts w:ascii="Arial" w:cs="Arial" w:eastAsia="Arial" w:hAnsi="Arial"/>
          <w:sz w:val="18"/>
          <w:szCs w:val="18"/>
          <w:color w:val="auto"/>
        </w:rPr>
        <w:t xml:space="preserve"> </w:t>
      </w:r>
      <w:r>
        <w:rPr>
          <w:rFonts w:ascii="Arial" w:cs="Arial" w:eastAsia="Arial" w:hAnsi="Arial"/>
          <w:sz w:val="18"/>
          <w:szCs w:val="18"/>
          <w:b w:val="1"/>
          <w:bCs w:val="1"/>
          <w:color w:val="2D2D2D"/>
        </w:rPr>
        <w:t>Changes.</w:t>
      </w:r>
      <w:r>
        <w:rPr>
          <w:rFonts w:ascii="Arial" w:cs="Arial" w:eastAsia="Arial" w:hAnsi="Arial"/>
          <w:sz w:val="18"/>
          <w:szCs w:val="18"/>
          <w:color w:val="auto"/>
        </w:rPr>
        <w:t xml:space="preserve"> </w:t>
      </w:r>
      <w:r>
        <w:rPr>
          <w:rFonts w:ascii="Arial" w:cs="Arial" w:eastAsia="Arial" w:hAnsi="Arial"/>
          <w:sz w:val="18"/>
          <w:szCs w:val="18"/>
          <w:color w:val="2D2D2D"/>
        </w:rPr>
        <w:t>Company may, at</w:t>
      </w:r>
      <w:r>
        <w:rPr>
          <w:rFonts w:ascii="Arial" w:cs="Arial" w:eastAsia="Arial" w:hAnsi="Arial"/>
          <w:sz w:val="18"/>
          <w:szCs w:val="18"/>
          <w:color w:val="auto"/>
        </w:rPr>
        <w:t xml:space="preserve"> </w:t>
      </w:r>
      <w:r>
        <w:rPr>
          <w:rFonts w:ascii="Arial" w:cs="Arial" w:eastAsia="Arial" w:hAnsi="Arial"/>
          <w:sz w:val="18"/>
          <w:szCs w:val="18"/>
          <w:color w:val="161616"/>
        </w:rPr>
        <w:t>its</w:t>
      </w:r>
      <w:r>
        <w:rPr>
          <w:rFonts w:ascii="Arial" w:cs="Arial" w:eastAsia="Arial" w:hAnsi="Arial"/>
          <w:sz w:val="18"/>
          <w:szCs w:val="18"/>
          <w:color w:val="auto"/>
        </w:rPr>
        <w:t xml:space="preserve"> </w:t>
      </w:r>
      <w:r>
        <w:rPr>
          <w:rFonts w:ascii="Arial" w:cs="Arial" w:eastAsia="Arial" w:hAnsi="Arial"/>
          <w:sz w:val="18"/>
          <w:szCs w:val="18"/>
          <w:color w:val="2D2D2D"/>
        </w:rPr>
        <w:t>sole discretion, and without incurring any liability to the Distributor</w:t>
      </w:r>
      <w:r>
        <w:rPr>
          <w:rFonts w:ascii="Arial" w:cs="Arial" w:eastAsia="Arial" w:hAnsi="Arial"/>
          <w:sz w:val="18"/>
          <w:szCs w:val="18"/>
          <w:color w:val="525252"/>
        </w:rPr>
        <w:t>,</w:t>
      </w:r>
      <w:r>
        <w:rPr>
          <w:rFonts w:ascii="Arial" w:cs="Arial" w:eastAsia="Arial" w:hAnsi="Arial"/>
          <w:sz w:val="18"/>
          <w:szCs w:val="18"/>
          <w:color w:val="auto"/>
        </w:rPr>
        <w:t xml:space="preserve"> </w:t>
      </w:r>
      <w:r>
        <w:rPr>
          <w:rFonts w:ascii="Arial" w:cs="Arial" w:eastAsia="Arial" w:hAnsi="Arial"/>
          <w:sz w:val="18"/>
          <w:szCs w:val="18"/>
          <w:color w:val="2D2D2D"/>
        </w:rPr>
        <w:t>change the features of, or</w:t>
      </w:r>
      <w:r>
        <w:rPr>
          <w:rFonts w:ascii="Arial" w:cs="Arial" w:eastAsia="Arial" w:hAnsi="Arial"/>
          <w:sz w:val="18"/>
          <w:szCs w:val="18"/>
          <w:color w:val="auto"/>
        </w:rPr>
        <w:t xml:space="preserve"> </w:t>
      </w:r>
      <w:r>
        <w:rPr>
          <w:rFonts w:ascii="Arial" w:cs="Arial" w:eastAsia="Arial" w:hAnsi="Arial"/>
          <w:sz w:val="18"/>
          <w:szCs w:val="18"/>
          <w:color w:val="2D2D2D"/>
        </w:rPr>
        <w:t xml:space="preserve">discontinue </w:t>
      </w:r>
      <w:r>
        <w:rPr>
          <w:rFonts w:ascii="Arial" w:cs="Arial" w:eastAsia="Arial" w:hAnsi="Arial"/>
          <w:sz w:val="18"/>
          <w:szCs w:val="18"/>
          <w:color w:val="424242"/>
        </w:rPr>
        <w:t>t</w:t>
      </w:r>
      <w:r>
        <w:rPr>
          <w:rFonts w:ascii="Arial" w:cs="Arial" w:eastAsia="Arial" w:hAnsi="Arial"/>
          <w:sz w:val="18"/>
          <w:szCs w:val="18"/>
          <w:color w:val="161616"/>
        </w:rPr>
        <w:t>h</w:t>
      </w:r>
      <w:r>
        <w:rPr>
          <w:rFonts w:ascii="Arial" w:cs="Arial" w:eastAsia="Arial" w:hAnsi="Arial"/>
          <w:sz w:val="18"/>
          <w:szCs w:val="18"/>
          <w:color w:val="424242"/>
        </w:rPr>
        <w:t>e</w:t>
      </w:r>
      <w:r>
        <w:rPr>
          <w:rFonts w:ascii="Arial" w:cs="Arial" w:eastAsia="Arial" w:hAnsi="Arial"/>
          <w:sz w:val="18"/>
          <w:szCs w:val="18"/>
          <w:color w:val="2D2D2D"/>
        </w:rPr>
        <w:t xml:space="preserve"> manufacture, license or sale of any Products provided hereunder. Company shall notify </w:t>
      </w:r>
      <w:r>
        <w:rPr>
          <w:rFonts w:ascii="Arial" w:cs="Arial" w:eastAsia="Arial" w:hAnsi="Arial"/>
          <w:sz w:val="18"/>
          <w:szCs w:val="18"/>
          <w:color w:val="161616"/>
        </w:rPr>
        <w:t>the</w:t>
      </w:r>
      <w:r>
        <w:rPr>
          <w:rFonts w:ascii="Arial" w:cs="Arial" w:eastAsia="Arial" w:hAnsi="Arial"/>
          <w:sz w:val="18"/>
          <w:szCs w:val="18"/>
          <w:color w:val="2D2D2D"/>
        </w:rPr>
        <w:t xml:space="preserve"> Distributor </w:t>
      </w:r>
      <w:r>
        <w:rPr>
          <w:rFonts w:ascii="Arial" w:cs="Arial" w:eastAsia="Arial" w:hAnsi="Arial"/>
          <w:sz w:val="18"/>
          <w:szCs w:val="18"/>
          <w:color w:val="161616"/>
        </w:rPr>
        <w:t>in</w:t>
      </w:r>
      <w:r>
        <w:rPr>
          <w:rFonts w:ascii="Arial" w:cs="Arial" w:eastAsia="Arial" w:hAnsi="Arial"/>
          <w:sz w:val="18"/>
          <w:szCs w:val="18"/>
          <w:color w:val="2D2D2D"/>
        </w:rPr>
        <w:t xml:space="preserve"> </w:t>
      </w:r>
      <w:r>
        <w:rPr>
          <w:rFonts w:ascii="Arial" w:cs="Arial" w:eastAsia="Arial" w:hAnsi="Arial"/>
          <w:sz w:val="18"/>
          <w:szCs w:val="18"/>
          <w:color w:val="424242"/>
        </w:rPr>
        <w:t>a</w:t>
      </w:r>
      <w:r>
        <w:rPr>
          <w:rFonts w:ascii="Arial" w:cs="Arial" w:eastAsia="Arial" w:hAnsi="Arial"/>
          <w:sz w:val="18"/>
          <w:szCs w:val="18"/>
          <w:color w:val="161616"/>
        </w:rPr>
        <w:t>dvanc</w:t>
      </w:r>
      <w:r>
        <w:rPr>
          <w:rFonts w:ascii="Arial" w:cs="Arial" w:eastAsia="Arial" w:hAnsi="Arial"/>
          <w:sz w:val="18"/>
          <w:szCs w:val="18"/>
          <w:color w:val="424242"/>
        </w:rPr>
        <w:t>e of</w:t>
      </w:r>
      <w:r>
        <w:rPr>
          <w:rFonts w:ascii="Arial" w:cs="Arial" w:eastAsia="Arial" w:hAnsi="Arial"/>
          <w:sz w:val="18"/>
          <w:szCs w:val="18"/>
          <w:color w:val="2D2D2D"/>
        </w:rPr>
        <w:t xml:space="preserve"> any such changes (prior to </w:t>
      </w:r>
      <w:r>
        <w:rPr>
          <w:rFonts w:ascii="Arial" w:cs="Arial" w:eastAsia="Arial" w:hAnsi="Arial"/>
          <w:sz w:val="18"/>
          <w:szCs w:val="18"/>
          <w:color w:val="161616"/>
        </w:rPr>
        <w:t>int</w:t>
      </w:r>
      <w:r>
        <w:rPr>
          <w:rFonts w:ascii="Arial" w:cs="Arial" w:eastAsia="Arial" w:hAnsi="Arial"/>
          <w:sz w:val="18"/>
          <w:szCs w:val="18"/>
          <w:color w:val="424242"/>
        </w:rPr>
        <w:t>erna</w:t>
      </w:r>
      <w:r>
        <w:rPr>
          <w:rFonts w:ascii="Arial" w:cs="Arial" w:eastAsia="Arial" w:hAnsi="Arial"/>
          <w:sz w:val="18"/>
          <w:szCs w:val="18"/>
          <w:color w:val="161616"/>
        </w:rPr>
        <w:t>l</w:t>
      </w:r>
      <w:r>
        <w:rPr>
          <w:rFonts w:ascii="Arial" w:cs="Arial" w:eastAsia="Arial" w:hAnsi="Arial"/>
          <w:sz w:val="18"/>
          <w:szCs w:val="18"/>
          <w:color w:val="2D2D2D"/>
        </w:rPr>
        <w:t xml:space="preserve"> product validation). Company </w:t>
      </w:r>
      <w:r>
        <w:rPr>
          <w:rFonts w:ascii="Arial" w:cs="Arial" w:eastAsia="Arial" w:hAnsi="Arial"/>
          <w:sz w:val="18"/>
          <w:szCs w:val="18"/>
          <w:color w:val="424242"/>
        </w:rPr>
        <w:t>shall</w:t>
      </w:r>
      <w:r>
        <w:rPr>
          <w:rFonts w:ascii="Arial" w:cs="Arial" w:eastAsia="Arial" w:hAnsi="Arial"/>
          <w:sz w:val="18"/>
          <w:szCs w:val="18"/>
          <w:color w:val="2D2D2D"/>
        </w:rPr>
        <w:t xml:space="preserve"> notify the </w:t>
      </w:r>
      <w:r>
        <w:rPr>
          <w:rFonts w:ascii="Arial" w:cs="Arial" w:eastAsia="Arial" w:hAnsi="Arial"/>
          <w:sz w:val="18"/>
          <w:szCs w:val="18"/>
          <w:color w:val="161616"/>
        </w:rPr>
        <w:t>Di</w:t>
      </w:r>
      <w:r>
        <w:rPr>
          <w:rFonts w:ascii="Arial" w:cs="Arial" w:eastAsia="Arial" w:hAnsi="Arial"/>
          <w:sz w:val="18"/>
          <w:szCs w:val="18"/>
          <w:color w:val="424242"/>
        </w:rPr>
        <w:t>str</w:t>
      </w:r>
      <w:r>
        <w:rPr>
          <w:rFonts w:ascii="Arial" w:cs="Arial" w:eastAsia="Arial" w:hAnsi="Arial"/>
          <w:sz w:val="18"/>
          <w:szCs w:val="18"/>
          <w:color w:val="161616"/>
        </w:rPr>
        <w:t>ibutor</w:t>
      </w:r>
      <w:r>
        <w:rPr>
          <w:rFonts w:ascii="Arial" w:cs="Arial" w:eastAsia="Arial" w:hAnsi="Arial"/>
          <w:sz w:val="18"/>
          <w:szCs w:val="18"/>
          <w:color w:val="2D2D2D"/>
        </w:rPr>
        <w:t xml:space="preserve"> of any product discontinuation at least [***] in advance.</w:t>
      </w:r>
    </w:p>
    <w:p>
      <w:pPr>
        <w:spacing w:after="0" w:line="3" w:lineRule="exact"/>
        <w:rPr>
          <w:sz w:val="20"/>
          <w:szCs w:val="20"/>
          <w:color w:val="auto"/>
        </w:rPr>
      </w:pPr>
    </w:p>
    <w:p>
      <w:pPr>
        <w:ind w:left="1300" w:right="100" w:hanging="323"/>
        <w:spacing w:after="0" w:line="232"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color w:val="161616"/>
        </w:rPr>
        <w:t>Invoices and Payment.</w:t>
      </w:r>
      <w:r>
        <w:rPr>
          <w:rFonts w:ascii="Arial" w:cs="Arial" w:eastAsia="Arial" w:hAnsi="Arial"/>
          <w:sz w:val="17"/>
          <w:szCs w:val="17"/>
          <w:color w:val="auto"/>
        </w:rPr>
        <w:t xml:space="preserve"> Company shall submit to Distributor a payment invoice for the acquisition price of the Products ordered. All such invoices shall be paid net within [***] of receipt by Distributor. Distributor agrees that any late payments of such payment invoices shall bear interest at the rate of [***], from the due date of amount. If the Products are to be delivered in installments, Distributor shall pay for each installment as provided above. Each shipment shall be treated as a separate transaction, but in the event of any failure of Distributor to make payment as provided above, Company may decline to make further shipments without in any way affecting its rights hereunder. If Company elects to continue to make shipments despite any Distributor default, Company’s action shall not constitute a waiver of such default or in any way affect Company’s legal remedies for default.</w:t>
      </w:r>
    </w:p>
    <w:p>
      <w:pPr>
        <w:ind w:left="1300" w:right="140" w:hanging="323"/>
        <w:spacing w:after="0" w:line="24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color w:val="161616"/>
        </w:rPr>
        <w:t>Delivery and</w:t>
      </w:r>
      <w:r>
        <w:rPr>
          <w:rFonts w:ascii="Arial" w:cs="Arial" w:eastAsia="Arial" w:hAnsi="Arial"/>
          <w:sz w:val="16"/>
          <w:szCs w:val="16"/>
          <w:color w:val="auto"/>
        </w:rPr>
        <w:t xml:space="preserve"> </w:t>
      </w:r>
      <w:r>
        <w:rPr>
          <w:rFonts w:ascii="Arial" w:cs="Arial" w:eastAsia="Arial" w:hAnsi="Arial"/>
          <w:sz w:val="16"/>
          <w:szCs w:val="16"/>
          <w:b w:val="1"/>
          <w:bCs w:val="1"/>
          <w:color w:val="2D2D2D"/>
        </w:rPr>
        <w:t>Title.</w:t>
      </w:r>
      <w:r>
        <w:rPr>
          <w:rFonts w:ascii="Arial" w:cs="Arial" w:eastAsia="Arial" w:hAnsi="Arial"/>
          <w:sz w:val="16"/>
          <w:szCs w:val="16"/>
          <w:color w:val="auto"/>
        </w:rPr>
        <w:t xml:space="preserve"> </w:t>
      </w:r>
      <w:r>
        <w:rPr>
          <w:rFonts w:ascii="Arial" w:cs="Arial" w:eastAsia="Arial" w:hAnsi="Arial"/>
          <w:sz w:val="16"/>
          <w:szCs w:val="16"/>
          <w:color w:val="2D2D2D"/>
        </w:rPr>
        <w:t>Company</w:t>
      </w:r>
      <w:r>
        <w:rPr>
          <w:rFonts w:ascii="Arial" w:cs="Arial" w:eastAsia="Arial" w:hAnsi="Arial"/>
          <w:sz w:val="16"/>
          <w:szCs w:val="16"/>
          <w:color w:val="auto"/>
        </w:rPr>
        <w:t xml:space="preserve"> </w:t>
      </w:r>
      <w:r>
        <w:rPr>
          <w:rFonts w:ascii="Arial" w:cs="Arial" w:eastAsia="Arial" w:hAnsi="Arial"/>
          <w:sz w:val="16"/>
          <w:szCs w:val="16"/>
          <w:color w:val="424242"/>
        </w:rPr>
        <w:t>s</w:t>
      </w:r>
      <w:r>
        <w:rPr>
          <w:rFonts w:ascii="Arial" w:cs="Arial" w:eastAsia="Arial" w:hAnsi="Arial"/>
          <w:sz w:val="16"/>
          <w:szCs w:val="16"/>
          <w:color w:val="161616"/>
        </w:rPr>
        <w:t>hall</w:t>
      </w:r>
      <w:r>
        <w:rPr>
          <w:rFonts w:ascii="Arial" w:cs="Arial" w:eastAsia="Arial" w:hAnsi="Arial"/>
          <w:sz w:val="16"/>
          <w:szCs w:val="16"/>
          <w:color w:val="auto"/>
        </w:rPr>
        <w:t xml:space="preserve"> </w:t>
      </w:r>
      <w:r>
        <w:rPr>
          <w:rFonts w:ascii="Arial" w:cs="Arial" w:eastAsia="Arial" w:hAnsi="Arial"/>
          <w:sz w:val="16"/>
          <w:szCs w:val="16"/>
          <w:color w:val="2D2D2D"/>
        </w:rPr>
        <w:t>deliver to</w:t>
      </w:r>
      <w:r>
        <w:rPr>
          <w:rFonts w:ascii="Arial" w:cs="Arial" w:eastAsia="Arial" w:hAnsi="Arial"/>
          <w:sz w:val="16"/>
          <w:szCs w:val="16"/>
          <w:color w:val="auto"/>
        </w:rPr>
        <w:t xml:space="preserve"> </w:t>
      </w:r>
      <w:r>
        <w:rPr>
          <w:rFonts w:ascii="Arial" w:cs="Arial" w:eastAsia="Arial" w:hAnsi="Arial"/>
          <w:sz w:val="16"/>
          <w:szCs w:val="16"/>
          <w:color w:val="161616"/>
        </w:rPr>
        <w:t>Distributor</w:t>
      </w:r>
      <w:r>
        <w:rPr>
          <w:rFonts w:ascii="Arial" w:cs="Arial" w:eastAsia="Arial" w:hAnsi="Arial"/>
          <w:sz w:val="16"/>
          <w:szCs w:val="16"/>
          <w:color w:val="auto"/>
        </w:rPr>
        <w:t xml:space="preserve"> </w:t>
      </w:r>
      <w:r>
        <w:rPr>
          <w:rFonts w:ascii="Arial" w:cs="Arial" w:eastAsia="Arial" w:hAnsi="Arial"/>
          <w:sz w:val="16"/>
          <w:szCs w:val="16"/>
          <w:color w:val="2D2D2D"/>
        </w:rPr>
        <w:t>Products ordered pursuant to an Accepted</w:t>
      </w:r>
      <w:r>
        <w:rPr>
          <w:rFonts w:ascii="Arial" w:cs="Arial" w:eastAsia="Arial" w:hAnsi="Arial"/>
          <w:sz w:val="16"/>
          <w:szCs w:val="16"/>
          <w:color w:val="auto"/>
        </w:rPr>
        <w:t xml:space="preserve"> </w:t>
      </w:r>
      <w:r>
        <w:rPr>
          <w:rFonts w:ascii="Arial" w:cs="Arial" w:eastAsia="Arial" w:hAnsi="Arial"/>
          <w:sz w:val="16"/>
          <w:szCs w:val="16"/>
          <w:color w:val="161616"/>
        </w:rPr>
        <w:t>Purchase</w:t>
      </w:r>
      <w:r>
        <w:rPr>
          <w:rFonts w:ascii="Arial" w:cs="Arial" w:eastAsia="Arial" w:hAnsi="Arial"/>
          <w:sz w:val="16"/>
          <w:szCs w:val="16"/>
          <w:color w:val="auto"/>
        </w:rPr>
        <w:t xml:space="preserve"> </w:t>
      </w:r>
      <w:r>
        <w:rPr>
          <w:rFonts w:ascii="Arial" w:cs="Arial" w:eastAsia="Arial" w:hAnsi="Arial"/>
          <w:sz w:val="16"/>
          <w:szCs w:val="16"/>
          <w:color w:val="2D2D2D"/>
        </w:rPr>
        <w:t>Order.</w:t>
      </w:r>
      <w:r>
        <w:rPr>
          <w:rFonts w:ascii="Arial" w:cs="Arial" w:eastAsia="Arial" w:hAnsi="Arial"/>
          <w:sz w:val="16"/>
          <w:szCs w:val="16"/>
          <w:color w:val="auto"/>
        </w:rPr>
        <w:t xml:space="preserve"> </w:t>
      </w:r>
      <w:r>
        <w:rPr>
          <w:rFonts w:ascii="Arial" w:cs="Arial" w:eastAsia="Arial" w:hAnsi="Arial"/>
          <w:sz w:val="16"/>
          <w:szCs w:val="16"/>
          <w:color w:val="161616"/>
        </w:rPr>
        <w:t>D</w:t>
      </w:r>
      <w:r>
        <w:rPr>
          <w:rFonts w:ascii="Arial" w:cs="Arial" w:eastAsia="Arial" w:hAnsi="Arial"/>
          <w:sz w:val="16"/>
          <w:szCs w:val="16"/>
          <w:color w:val="424242"/>
        </w:rPr>
        <w:t>e</w:t>
      </w:r>
      <w:r>
        <w:rPr>
          <w:rFonts w:ascii="Arial" w:cs="Arial" w:eastAsia="Arial" w:hAnsi="Arial"/>
          <w:sz w:val="16"/>
          <w:szCs w:val="16"/>
          <w:color w:val="161616"/>
        </w:rPr>
        <w:t>livery</w:t>
      </w:r>
      <w:r>
        <w:rPr>
          <w:rFonts w:ascii="Arial" w:cs="Arial" w:eastAsia="Arial" w:hAnsi="Arial"/>
          <w:sz w:val="16"/>
          <w:szCs w:val="16"/>
          <w:color w:val="auto"/>
        </w:rPr>
        <w:t xml:space="preserve"> </w:t>
      </w:r>
      <w:r>
        <w:rPr>
          <w:rFonts w:ascii="Arial" w:cs="Arial" w:eastAsia="Arial" w:hAnsi="Arial"/>
          <w:sz w:val="16"/>
          <w:szCs w:val="16"/>
          <w:color w:val="2D2D2D"/>
        </w:rPr>
        <w:t>to</w:t>
      </w:r>
      <w:r>
        <w:rPr>
          <w:rFonts w:ascii="Arial" w:cs="Arial" w:eastAsia="Arial" w:hAnsi="Arial"/>
          <w:sz w:val="16"/>
          <w:szCs w:val="16"/>
          <w:color w:val="auto"/>
        </w:rPr>
        <w:t xml:space="preserve"> </w:t>
      </w:r>
      <w:r>
        <w:rPr>
          <w:rFonts w:ascii="Arial" w:cs="Arial" w:eastAsia="Arial" w:hAnsi="Arial"/>
          <w:sz w:val="16"/>
          <w:szCs w:val="16"/>
          <w:color w:val="161616"/>
        </w:rPr>
        <w:t xml:space="preserve">Distributor </w:t>
      </w:r>
      <w:r>
        <w:rPr>
          <w:rFonts w:ascii="Arial" w:cs="Arial" w:eastAsia="Arial" w:hAnsi="Arial"/>
          <w:sz w:val="16"/>
          <w:szCs w:val="16"/>
          <w:color w:val="2D2D2D"/>
        </w:rPr>
        <w:t>shall occur, and title shall pass to</w:t>
      </w:r>
      <w:r>
        <w:rPr>
          <w:rFonts w:ascii="Arial" w:cs="Arial" w:eastAsia="Arial" w:hAnsi="Arial"/>
          <w:sz w:val="16"/>
          <w:szCs w:val="16"/>
          <w:color w:val="161616"/>
        </w:rPr>
        <w:t xml:space="preserve"> Di</w:t>
      </w:r>
      <w:r>
        <w:rPr>
          <w:rFonts w:ascii="Arial" w:cs="Arial" w:eastAsia="Arial" w:hAnsi="Arial"/>
          <w:sz w:val="16"/>
          <w:szCs w:val="16"/>
          <w:color w:val="424242"/>
        </w:rPr>
        <w:t>stributo</w:t>
      </w:r>
      <w:r>
        <w:rPr>
          <w:rFonts w:ascii="Arial" w:cs="Arial" w:eastAsia="Arial" w:hAnsi="Arial"/>
          <w:sz w:val="16"/>
          <w:szCs w:val="16"/>
          <w:color w:val="161616"/>
        </w:rPr>
        <w:t>r</w:t>
      </w:r>
      <w:r>
        <w:rPr>
          <w:rFonts w:ascii="Arial" w:cs="Arial" w:eastAsia="Arial" w:hAnsi="Arial"/>
          <w:sz w:val="16"/>
          <w:szCs w:val="16"/>
          <w:color w:val="424242"/>
        </w:rPr>
        <w:t>,</w:t>
      </w:r>
      <w:r>
        <w:rPr>
          <w:rFonts w:ascii="Arial" w:cs="Arial" w:eastAsia="Arial" w:hAnsi="Arial"/>
          <w:sz w:val="16"/>
          <w:szCs w:val="16"/>
          <w:color w:val="161616"/>
        </w:rPr>
        <w:t xml:space="preserve"> </w:t>
      </w:r>
      <w:r>
        <w:rPr>
          <w:rFonts w:ascii="Arial" w:cs="Arial" w:eastAsia="Arial" w:hAnsi="Arial"/>
          <w:sz w:val="16"/>
          <w:szCs w:val="16"/>
          <w:color w:val="2D2D2D"/>
        </w:rPr>
        <w:t>upon delivery by Company to the carrier at Company’s facility, and upon such</w:t>
      </w:r>
      <w:r>
        <w:rPr>
          <w:rFonts w:ascii="Arial" w:cs="Arial" w:eastAsia="Arial" w:hAnsi="Arial"/>
          <w:sz w:val="16"/>
          <w:szCs w:val="16"/>
          <w:color w:val="161616"/>
        </w:rPr>
        <w:t xml:space="preserve"> </w:t>
      </w:r>
      <w:r>
        <w:rPr>
          <w:rFonts w:ascii="Arial" w:cs="Arial" w:eastAsia="Arial" w:hAnsi="Arial"/>
          <w:sz w:val="16"/>
          <w:szCs w:val="16"/>
          <w:color w:val="2D2D2D"/>
        </w:rPr>
        <w:t xml:space="preserve">delivery </w:t>
      </w:r>
      <w:r>
        <w:rPr>
          <w:rFonts w:ascii="Arial" w:cs="Arial" w:eastAsia="Arial" w:hAnsi="Arial"/>
          <w:sz w:val="16"/>
          <w:szCs w:val="16"/>
          <w:color w:val="161616"/>
        </w:rPr>
        <w:t>Distributor</w:t>
      </w:r>
      <w:r>
        <w:rPr>
          <w:rFonts w:ascii="Arial" w:cs="Arial" w:eastAsia="Arial" w:hAnsi="Arial"/>
          <w:sz w:val="16"/>
          <w:szCs w:val="16"/>
          <w:color w:val="2D2D2D"/>
        </w:rPr>
        <w:t xml:space="preserve"> shall be responsible for and bear </w:t>
      </w:r>
      <w:r>
        <w:rPr>
          <w:rFonts w:ascii="Arial" w:cs="Arial" w:eastAsia="Arial" w:hAnsi="Arial"/>
          <w:sz w:val="16"/>
          <w:szCs w:val="16"/>
          <w:color w:val="161616"/>
        </w:rPr>
        <w:t>the</w:t>
      </w:r>
      <w:r>
        <w:rPr>
          <w:rFonts w:ascii="Arial" w:cs="Arial" w:eastAsia="Arial" w:hAnsi="Arial"/>
          <w:sz w:val="16"/>
          <w:szCs w:val="16"/>
          <w:color w:val="2D2D2D"/>
        </w:rPr>
        <w:t xml:space="preserve"> entire </w:t>
      </w:r>
      <w:r>
        <w:rPr>
          <w:rFonts w:ascii="Arial" w:cs="Arial" w:eastAsia="Arial" w:hAnsi="Arial"/>
          <w:sz w:val="16"/>
          <w:szCs w:val="16"/>
          <w:color w:val="161616"/>
        </w:rPr>
        <w:t>risk</w:t>
      </w:r>
      <w:r>
        <w:rPr>
          <w:rFonts w:ascii="Arial" w:cs="Arial" w:eastAsia="Arial" w:hAnsi="Arial"/>
          <w:sz w:val="16"/>
          <w:szCs w:val="16"/>
          <w:color w:val="2D2D2D"/>
        </w:rPr>
        <w:t xml:space="preserve"> of loss or damage to the Products (including any </w:t>
      </w:r>
      <w:r>
        <w:rPr>
          <w:rFonts w:ascii="Arial" w:cs="Arial" w:eastAsia="Arial" w:hAnsi="Arial"/>
          <w:sz w:val="16"/>
          <w:szCs w:val="16"/>
          <w:color w:val="161616"/>
        </w:rPr>
        <w:t>insurance</w:t>
      </w:r>
      <w:r>
        <w:rPr>
          <w:rFonts w:ascii="Arial" w:cs="Arial" w:eastAsia="Arial" w:hAnsi="Arial"/>
          <w:sz w:val="16"/>
          <w:szCs w:val="16"/>
          <w:color w:val="2D2D2D"/>
        </w:rPr>
        <w:t xml:space="preserve"> charges).</w:t>
      </w:r>
    </w:p>
    <w:p>
      <w:pPr>
        <w:spacing w:after="0" w:line="1" w:lineRule="exact"/>
        <w:rPr>
          <w:sz w:val="20"/>
          <w:szCs w:val="20"/>
          <w:color w:val="auto"/>
        </w:rPr>
      </w:pPr>
    </w:p>
    <w:p>
      <w:pPr>
        <w:ind w:left="1300" w:right="420" w:hanging="323"/>
        <w:spacing w:after="0" w:line="266"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color w:val="2D2D2D"/>
        </w:rPr>
        <w:t>Product Acceptance.</w:t>
      </w:r>
      <w:r>
        <w:rPr>
          <w:rFonts w:ascii="Arial" w:cs="Arial" w:eastAsia="Arial" w:hAnsi="Arial"/>
          <w:sz w:val="16"/>
          <w:szCs w:val="16"/>
          <w:color w:val="auto"/>
        </w:rPr>
        <w:t xml:space="preserve"> </w:t>
      </w:r>
      <w:r>
        <w:rPr>
          <w:rFonts w:ascii="Arial" w:cs="Arial" w:eastAsia="Arial" w:hAnsi="Arial"/>
          <w:sz w:val="16"/>
          <w:szCs w:val="16"/>
          <w:color w:val="2D2D2D"/>
        </w:rPr>
        <w:t>Distributor may reject any</w:t>
      </w:r>
      <w:r>
        <w:rPr>
          <w:rFonts w:ascii="Arial" w:cs="Arial" w:eastAsia="Arial" w:hAnsi="Arial"/>
          <w:sz w:val="16"/>
          <w:szCs w:val="16"/>
          <w:color w:val="auto"/>
        </w:rPr>
        <w:t xml:space="preserve"> </w:t>
      </w:r>
      <w:r>
        <w:rPr>
          <w:rFonts w:ascii="Arial" w:cs="Arial" w:eastAsia="Arial" w:hAnsi="Arial"/>
          <w:sz w:val="16"/>
          <w:szCs w:val="16"/>
          <w:color w:val="161616"/>
        </w:rPr>
        <w:t>Product</w:t>
      </w:r>
      <w:r>
        <w:rPr>
          <w:rFonts w:ascii="Arial" w:cs="Arial" w:eastAsia="Arial" w:hAnsi="Arial"/>
          <w:sz w:val="16"/>
          <w:szCs w:val="16"/>
          <w:color w:val="auto"/>
        </w:rPr>
        <w:t xml:space="preserve"> </w:t>
      </w:r>
      <w:r>
        <w:rPr>
          <w:rFonts w:ascii="Arial" w:cs="Arial" w:eastAsia="Arial" w:hAnsi="Arial"/>
          <w:sz w:val="16"/>
          <w:szCs w:val="16"/>
          <w:color w:val="2D2D2D"/>
        </w:rPr>
        <w:t>which fails to meet Company’s Specifications.</w:t>
      </w:r>
      <w:r>
        <w:rPr>
          <w:rFonts w:ascii="Arial" w:cs="Arial" w:eastAsia="Arial" w:hAnsi="Arial"/>
          <w:sz w:val="16"/>
          <w:szCs w:val="16"/>
          <w:color w:val="auto"/>
        </w:rPr>
        <w:t xml:space="preserve"> </w:t>
      </w:r>
      <w:r>
        <w:rPr>
          <w:rFonts w:ascii="Arial" w:cs="Arial" w:eastAsia="Arial" w:hAnsi="Arial"/>
          <w:sz w:val="16"/>
          <w:szCs w:val="16"/>
          <w:color w:val="161616"/>
        </w:rPr>
        <w:t>Rejected</w:t>
      </w:r>
      <w:r>
        <w:rPr>
          <w:rFonts w:ascii="Arial" w:cs="Arial" w:eastAsia="Arial" w:hAnsi="Arial"/>
          <w:sz w:val="16"/>
          <w:szCs w:val="16"/>
          <w:color w:val="auto"/>
        </w:rPr>
        <w:t xml:space="preserve"> </w:t>
      </w:r>
      <w:r>
        <w:rPr>
          <w:rFonts w:ascii="Arial" w:cs="Arial" w:eastAsia="Arial" w:hAnsi="Arial"/>
          <w:sz w:val="16"/>
          <w:szCs w:val="16"/>
          <w:color w:val="2D2D2D"/>
        </w:rPr>
        <w:t>Products shall</w:t>
      </w:r>
      <w:r>
        <w:rPr>
          <w:rFonts w:ascii="Arial" w:cs="Arial" w:eastAsia="Arial" w:hAnsi="Arial"/>
          <w:sz w:val="16"/>
          <w:szCs w:val="16"/>
          <w:color w:val="auto"/>
        </w:rPr>
        <w:t xml:space="preserve"> </w:t>
      </w:r>
      <w:r>
        <w:rPr>
          <w:rFonts w:ascii="Arial" w:cs="Arial" w:eastAsia="Arial" w:hAnsi="Arial"/>
          <w:sz w:val="16"/>
          <w:szCs w:val="16"/>
          <w:color w:val="161616"/>
        </w:rPr>
        <w:t>be</w:t>
      </w:r>
      <w:r>
        <w:rPr>
          <w:rFonts w:ascii="Arial" w:cs="Arial" w:eastAsia="Arial" w:hAnsi="Arial"/>
          <w:sz w:val="16"/>
          <w:szCs w:val="16"/>
          <w:color w:val="auto"/>
        </w:rPr>
        <w:t xml:space="preserve"> </w:t>
      </w:r>
      <w:r>
        <w:rPr>
          <w:rFonts w:ascii="Arial" w:cs="Arial" w:eastAsia="Arial" w:hAnsi="Arial"/>
          <w:sz w:val="16"/>
          <w:szCs w:val="16"/>
          <w:color w:val="2D2D2D"/>
        </w:rPr>
        <w:t>returned to Company at Company</w:t>
      </w:r>
      <w:r>
        <w:rPr>
          <w:rFonts w:ascii="Arial" w:cs="Arial" w:eastAsia="Arial" w:hAnsi="Arial"/>
          <w:sz w:val="16"/>
          <w:szCs w:val="16"/>
          <w:color w:val="525252"/>
        </w:rPr>
        <w:t>’s</w:t>
      </w:r>
      <w:r>
        <w:rPr>
          <w:rFonts w:ascii="Arial" w:cs="Arial" w:eastAsia="Arial" w:hAnsi="Arial"/>
          <w:sz w:val="16"/>
          <w:szCs w:val="16"/>
          <w:color w:val="2D2D2D"/>
        </w:rPr>
        <w:t xml:space="preserve"> expense </w:t>
      </w:r>
      <w:r>
        <w:rPr>
          <w:rFonts w:ascii="Arial" w:cs="Arial" w:eastAsia="Arial" w:hAnsi="Arial"/>
          <w:sz w:val="16"/>
          <w:szCs w:val="16"/>
          <w:color w:val="424242"/>
        </w:rPr>
        <w:t>[***]</w:t>
      </w:r>
      <w:r>
        <w:rPr>
          <w:rFonts w:ascii="Arial" w:cs="Arial" w:eastAsia="Arial" w:hAnsi="Arial"/>
          <w:sz w:val="16"/>
          <w:szCs w:val="16"/>
          <w:color w:val="2D2D2D"/>
        </w:rPr>
        <w:t xml:space="preserve"> of </w:t>
      </w:r>
      <w:r>
        <w:rPr>
          <w:rFonts w:ascii="Arial" w:cs="Arial" w:eastAsia="Arial" w:hAnsi="Arial"/>
          <w:sz w:val="16"/>
          <w:szCs w:val="16"/>
          <w:color w:val="161616"/>
        </w:rPr>
        <w:t>rejection but</w:t>
      </w:r>
      <w:r>
        <w:rPr>
          <w:rFonts w:ascii="Arial" w:cs="Arial" w:eastAsia="Arial" w:hAnsi="Arial"/>
          <w:sz w:val="16"/>
          <w:szCs w:val="16"/>
          <w:color w:val="2D2D2D"/>
        </w:rPr>
        <w:t xml:space="preserve"> only after </w:t>
      </w:r>
      <w:r>
        <w:rPr>
          <w:rFonts w:ascii="Arial" w:cs="Arial" w:eastAsia="Arial" w:hAnsi="Arial"/>
          <w:sz w:val="16"/>
          <w:szCs w:val="16"/>
          <w:color w:val="161616"/>
        </w:rPr>
        <w:t>Di</w:t>
      </w:r>
      <w:r>
        <w:rPr>
          <w:rFonts w:ascii="Arial" w:cs="Arial" w:eastAsia="Arial" w:hAnsi="Arial"/>
          <w:sz w:val="16"/>
          <w:szCs w:val="16"/>
          <w:color w:val="424242"/>
        </w:rPr>
        <w:t>str</w:t>
      </w:r>
      <w:r>
        <w:rPr>
          <w:rFonts w:ascii="Arial" w:cs="Arial" w:eastAsia="Arial" w:hAnsi="Arial"/>
          <w:sz w:val="16"/>
          <w:szCs w:val="16"/>
          <w:color w:val="161616"/>
        </w:rPr>
        <w:t>ibu</w:t>
      </w:r>
      <w:r>
        <w:rPr>
          <w:rFonts w:ascii="Arial" w:cs="Arial" w:eastAsia="Arial" w:hAnsi="Arial"/>
          <w:sz w:val="16"/>
          <w:szCs w:val="16"/>
          <w:color w:val="424242"/>
        </w:rPr>
        <w:t>tor</w:t>
      </w:r>
      <w:r>
        <w:rPr>
          <w:rFonts w:ascii="Arial" w:cs="Arial" w:eastAsia="Arial" w:hAnsi="Arial"/>
          <w:sz w:val="16"/>
          <w:szCs w:val="16"/>
          <w:color w:val="2D2D2D"/>
        </w:rPr>
        <w:t xml:space="preserve"> </w:t>
      </w:r>
      <w:r>
        <w:rPr>
          <w:rFonts w:ascii="Arial" w:cs="Arial" w:eastAsia="Arial" w:hAnsi="Arial"/>
          <w:sz w:val="16"/>
          <w:szCs w:val="16"/>
          <w:color w:val="161616"/>
        </w:rPr>
        <w:t>has</w:t>
      </w:r>
      <w:r>
        <w:rPr>
          <w:rFonts w:ascii="Arial" w:cs="Arial" w:eastAsia="Arial" w:hAnsi="Arial"/>
          <w:sz w:val="16"/>
          <w:szCs w:val="16"/>
          <w:color w:val="2D2D2D"/>
        </w:rPr>
        <w:t xml:space="preserve"> obtained </w:t>
      </w:r>
      <w:r>
        <w:rPr>
          <w:rFonts w:ascii="Arial" w:cs="Arial" w:eastAsia="Arial" w:hAnsi="Arial"/>
          <w:sz w:val="16"/>
          <w:szCs w:val="16"/>
          <w:color w:val="424242"/>
        </w:rPr>
        <w:t>a</w:t>
      </w:r>
      <w:r>
        <w:rPr>
          <w:rFonts w:ascii="Arial" w:cs="Arial" w:eastAsia="Arial" w:hAnsi="Arial"/>
          <w:sz w:val="16"/>
          <w:szCs w:val="16"/>
          <w:color w:val="2D2D2D"/>
        </w:rPr>
        <w:t xml:space="preserve"> return authorization </w:t>
      </w:r>
      <w:r>
        <w:rPr>
          <w:rFonts w:ascii="Arial" w:cs="Arial" w:eastAsia="Arial" w:hAnsi="Arial"/>
          <w:sz w:val="16"/>
          <w:szCs w:val="16"/>
          <w:color w:val="424242"/>
        </w:rPr>
        <w:t>from</w:t>
      </w:r>
      <w:r>
        <w:rPr>
          <w:rFonts w:ascii="Arial" w:cs="Arial" w:eastAsia="Arial" w:hAnsi="Arial"/>
          <w:sz w:val="16"/>
          <w:szCs w:val="16"/>
          <w:color w:val="2D2D2D"/>
        </w:rPr>
        <w:t xml:space="preserve"> Company. A </w:t>
      </w:r>
      <w:r>
        <w:rPr>
          <w:rFonts w:ascii="Arial" w:cs="Arial" w:eastAsia="Arial" w:hAnsi="Arial"/>
          <w:sz w:val="16"/>
          <w:szCs w:val="16"/>
          <w:color w:val="424242"/>
        </w:rPr>
        <w:t>w</w:t>
      </w:r>
      <w:r>
        <w:rPr>
          <w:rFonts w:ascii="Arial" w:cs="Arial" w:eastAsia="Arial" w:hAnsi="Arial"/>
          <w:sz w:val="16"/>
          <w:szCs w:val="16"/>
          <w:color w:val="161616"/>
        </w:rPr>
        <w:t>ri</w:t>
      </w:r>
      <w:r>
        <w:rPr>
          <w:rFonts w:ascii="Arial" w:cs="Arial" w:eastAsia="Arial" w:hAnsi="Arial"/>
          <w:sz w:val="16"/>
          <w:szCs w:val="16"/>
          <w:color w:val="424242"/>
        </w:rPr>
        <w:t>tte</w:t>
      </w:r>
      <w:r>
        <w:rPr>
          <w:rFonts w:ascii="Arial" w:cs="Arial" w:eastAsia="Arial" w:hAnsi="Arial"/>
          <w:sz w:val="16"/>
          <w:szCs w:val="16"/>
          <w:color w:val="161616"/>
        </w:rPr>
        <w:t>n</w:t>
      </w:r>
      <w:r>
        <w:rPr>
          <w:rFonts w:ascii="Arial" w:cs="Arial" w:eastAsia="Arial" w:hAnsi="Arial"/>
          <w:sz w:val="16"/>
          <w:szCs w:val="16"/>
          <w:color w:val="2D2D2D"/>
        </w:rPr>
        <w:t xml:space="preserve"> explanation of the aspects </w:t>
      </w:r>
      <w:r>
        <w:rPr>
          <w:rFonts w:ascii="Arial" w:cs="Arial" w:eastAsia="Arial" w:hAnsi="Arial"/>
          <w:sz w:val="16"/>
          <w:szCs w:val="16"/>
          <w:color w:val="161616"/>
        </w:rPr>
        <w:t>in</w:t>
      </w:r>
      <w:r>
        <w:rPr>
          <w:rFonts w:ascii="Arial" w:cs="Arial" w:eastAsia="Arial" w:hAnsi="Arial"/>
          <w:sz w:val="16"/>
          <w:szCs w:val="16"/>
          <w:color w:val="2D2D2D"/>
        </w:rPr>
        <w:t xml:space="preserve"> which such Products fail to so conform shall </w:t>
      </w:r>
      <w:r>
        <w:rPr>
          <w:rFonts w:ascii="Arial" w:cs="Arial" w:eastAsia="Arial" w:hAnsi="Arial"/>
          <w:sz w:val="16"/>
          <w:szCs w:val="16"/>
          <w:color w:val="161616"/>
        </w:rPr>
        <w:t>b</w:t>
      </w:r>
      <w:r>
        <w:rPr>
          <w:rFonts w:ascii="Arial" w:cs="Arial" w:eastAsia="Arial" w:hAnsi="Arial"/>
          <w:sz w:val="16"/>
          <w:szCs w:val="16"/>
          <w:color w:val="424242"/>
        </w:rPr>
        <w:t>e</w:t>
      </w:r>
      <w:r>
        <w:rPr>
          <w:rFonts w:ascii="Arial" w:cs="Arial" w:eastAsia="Arial" w:hAnsi="Arial"/>
          <w:sz w:val="16"/>
          <w:szCs w:val="16"/>
          <w:color w:val="2D2D2D"/>
        </w:rPr>
        <w:t xml:space="preserve"> included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spacing w:after="0"/>
        <w:rPr>
          <w:sz w:val="20"/>
          <w:szCs w:val="20"/>
          <w:color w:val="auto"/>
        </w:rPr>
      </w:pPr>
      <w:r>
        <w:rPr>
          <w:rFonts w:ascii="Arial" w:cs="Arial" w:eastAsia="Arial" w:hAnsi="Arial"/>
          <w:sz w:val="16"/>
          <w:szCs w:val="16"/>
          <w:color w:val="2D2D2D"/>
        </w:rPr>
        <w:t>re</w:t>
      </w:r>
      <w:r>
        <w:rPr>
          <w:rFonts w:ascii="Arial" w:cs="Arial" w:eastAsia="Arial" w:hAnsi="Arial"/>
          <w:sz w:val="16"/>
          <w:szCs w:val="16"/>
          <w:color w:val="525252"/>
        </w:rPr>
        <w:t>je</w:t>
      </w:r>
      <w:r>
        <w:rPr>
          <w:rFonts w:ascii="Arial" w:cs="Arial" w:eastAsia="Arial" w:hAnsi="Arial"/>
          <w:sz w:val="16"/>
          <w:szCs w:val="16"/>
          <w:color w:val="2D2D2D"/>
        </w:rPr>
        <w:t xml:space="preserve">cted Products. </w:t>
      </w:r>
      <w:r>
        <w:rPr>
          <w:rFonts w:ascii="Arial" w:cs="Arial" w:eastAsia="Arial" w:hAnsi="Arial"/>
          <w:sz w:val="16"/>
          <w:szCs w:val="16"/>
          <w:color w:val="424242"/>
        </w:rPr>
        <w:t>Co</w:t>
      </w:r>
      <w:r>
        <w:rPr>
          <w:rFonts w:ascii="Arial" w:cs="Arial" w:eastAsia="Arial" w:hAnsi="Arial"/>
          <w:sz w:val="16"/>
          <w:szCs w:val="16"/>
          <w:color w:val="161616"/>
        </w:rPr>
        <w:t>mpany</w:t>
      </w:r>
      <w:r>
        <w:rPr>
          <w:rFonts w:ascii="Arial" w:cs="Arial" w:eastAsia="Arial" w:hAnsi="Arial"/>
          <w:sz w:val="16"/>
          <w:szCs w:val="16"/>
          <w:color w:val="2D2D2D"/>
        </w:rPr>
        <w:t xml:space="preserve"> shall have a period </w:t>
      </w:r>
      <w:r>
        <w:rPr>
          <w:rFonts w:ascii="Arial" w:cs="Arial" w:eastAsia="Arial" w:hAnsi="Arial"/>
          <w:sz w:val="16"/>
          <w:szCs w:val="16"/>
          <w:color w:val="161616"/>
        </w:rPr>
        <w:t>not to</w:t>
      </w:r>
      <w:r>
        <w:rPr>
          <w:rFonts w:ascii="Arial" w:cs="Arial" w:eastAsia="Arial" w:hAnsi="Arial"/>
          <w:sz w:val="16"/>
          <w:szCs w:val="16"/>
          <w:color w:val="2D2D2D"/>
        </w:rPr>
        <w:t xml:space="preserve"> exceed [***] in which to replace </w:t>
      </w:r>
      <w:r>
        <w:rPr>
          <w:rFonts w:ascii="Arial" w:cs="Arial" w:eastAsia="Arial" w:hAnsi="Arial"/>
          <w:sz w:val="16"/>
          <w:szCs w:val="16"/>
          <w:color w:val="424242"/>
        </w:rPr>
        <w:t>suc</w:t>
      </w:r>
      <w:r>
        <w:rPr>
          <w:rFonts w:ascii="Arial" w:cs="Arial" w:eastAsia="Arial" w:hAnsi="Arial"/>
          <w:sz w:val="16"/>
          <w:szCs w:val="16"/>
          <w:color w:val="161616"/>
        </w:rPr>
        <w:t>h</w:t>
      </w:r>
      <w:r>
        <w:rPr>
          <w:rFonts w:ascii="Arial" w:cs="Arial" w:eastAsia="Arial" w:hAnsi="Arial"/>
          <w:sz w:val="16"/>
          <w:szCs w:val="16"/>
          <w:color w:val="2D2D2D"/>
        </w:rPr>
        <w:t xml:space="preserve"> </w:t>
      </w:r>
      <w:r>
        <w:rPr>
          <w:rFonts w:ascii="Arial" w:cs="Arial" w:eastAsia="Arial" w:hAnsi="Arial"/>
          <w:sz w:val="16"/>
          <w:szCs w:val="16"/>
          <w:color w:val="424242"/>
        </w:rPr>
        <w:t>returned</w:t>
      </w:r>
      <w:r>
        <w:rPr>
          <w:rFonts w:ascii="Arial" w:cs="Arial" w:eastAsia="Arial" w:hAnsi="Arial"/>
          <w:sz w:val="16"/>
          <w:szCs w:val="16"/>
          <w:color w:val="2D2D2D"/>
        </w:rPr>
        <w:t xml:space="preserve"> </w:t>
      </w:r>
      <w:r>
        <w:rPr>
          <w:rFonts w:ascii="Arial" w:cs="Arial" w:eastAsia="Arial" w:hAnsi="Arial"/>
          <w:sz w:val="16"/>
          <w:szCs w:val="16"/>
          <w:color w:val="161616"/>
        </w:rPr>
        <w:t>Produc</w:t>
      </w:r>
      <w:r>
        <w:rPr>
          <w:rFonts w:ascii="Arial" w:cs="Arial" w:eastAsia="Arial" w:hAnsi="Arial"/>
          <w:sz w:val="16"/>
          <w:szCs w:val="16"/>
          <w:color w:val="424242"/>
        </w:rPr>
        <w:t>ts,</w:t>
      </w:r>
      <w:r>
        <w:rPr>
          <w:rFonts w:ascii="Arial" w:cs="Arial" w:eastAsia="Arial" w:hAnsi="Arial"/>
          <w:sz w:val="16"/>
          <w:szCs w:val="16"/>
          <w:color w:val="2D2D2D"/>
        </w:rPr>
        <w:t xml:space="preserve"> and return such </w:t>
      </w:r>
      <w:r>
        <w:rPr>
          <w:rFonts w:ascii="Arial" w:cs="Arial" w:eastAsia="Arial" w:hAnsi="Arial"/>
          <w:sz w:val="16"/>
          <w:szCs w:val="16"/>
          <w:color w:val="161616"/>
        </w:rPr>
        <w:t>Products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7"/>
          <w:szCs w:val="17"/>
          <w:color w:val="161616"/>
        </w:rPr>
        <w:t>to Di</w:t>
      </w:r>
      <w:r>
        <w:rPr>
          <w:rFonts w:ascii="Arial" w:cs="Arial" w:eastAsia="Arial" w:hAnsi="Arial"/>
          <w:sz w:val="17"/>
          <w:szCs w:val="17"/>
          <w:color w:val="424242"/>
        </w:rPr>
        <w:t>str</w:t>
      </w:r>
      <w:r>
        <w:rPr>
          <w:rFonts w:ascii="Arial" w:cs="Arial" w:eastAsia="Arial" w:hAnsi="Arial"/>
          <w:sz w:val="17"/>
          <w:szCs w:val="17"/>
          <w:color w:val="161616"/>
        </w:rPr>
        <w:t>ibutor</w:t>
      </w:r>
      <w:r>
        <w:rPr>
          <w:rFonts w:ascii="Arial" w:cs="Arial" w:eastAsia="Arial" w:hAnsi="Arial"/>
          <w:sz w:val="17"/>
          <w:szCs w:val="17"/>
          <w:color w:val="424242"/>
        </w:rPr>
        <w:t>,</w:t>
      </w:r>
      <w:r>
        <w:rPr>
          <w:rFonts w:ascii="Arial" w:cs="Arial" w:eastAsia="Arial" w:hAnsi="Arial"/>
          <w:sz w:val="17"/>
          <w:szCs w:val="17"/>
          <w:color w:val="161616"/>
        </w:rPr>
        <w:t xml:space="preserve"> </w:t>
      </w:r>
      <w:r>
        <w:rPr>
          <w:rFonts w:ascii="Arial" w:cs="Arial" w:eastAsia="Arial" w:hAnsi="Arial"/>
          <w:sz w:val="17"/>
          <w:szCs w:val="17"/>
          <w:color w:val="2D2D2D"/>
        </w:rPr>
        <w:t>at Company</w:t>
      </w:r>
      <w:r>
        <w:rPr>
          <w:rFonts w:ascii="Arial" w:cs="Arial" w:eastAsia="Arial" w:hAnsi="Arial"/>
          <w:sz w:val="17"/>
          <w:szCs w:val="17"/>
          <w:color w:val="525252"/>
        </w:rPr>
        <w:t>’</w:t>
      </w:r>
      <w:r>
        <w:rPr>
          <w:rFonts w:ascii="Arial" w:cs="Arial" w:eastAsia="Arial" w:hAnsi="Arial"/>
          <w:sz w:val="17"/>
          <w:szCs w:val="17"/>
          <w:color w:val="2D2D2D"/>
        </w:rPr>
        <w:t>s</w:t>
      </w:r>
      <w:r>
        <w:rPr>
          <w:rFonts w:ascii="Arial" w:cs="Arial" w:eastAsia="Arial" w:hAnsi="Arial"/>
          <w:sz w:val="17"/>
          <w:szCs w:val="17"/>
          <w:color w:val="161616"/>
        </w:rPr>
        <w:t xml:space="preserve"> </w:t>
      </w:r>
      <w:r>
        <w:rPr>
          <w:rFonts w:ascii="Arial" w:cs="Arial" w:eastAsia="Arial" w:hAnsi="Arial"/>
          <w:sz w:val="17"/>
          <w:szCs w:val="17"/>
          <w:color w:val="424242"/>
        </w:rPr>
        <w:t>expense,</w:t>
      </w:r>
      <w:r>
        <w:rPr>
          <w:rFonts w:ascii="Arial" w:cs="Arial" w:eastAsia="Arial" w:hAnsi="Arial"/>
          <w:sz w:val="17"/>
          <w:szCs w:val="17"/>
          <w:color w:val="161616"/>
        </w:rPr>
        <w:t xml:space="preserve"> </w:t>
      </w:r>
      <w:r>
        <w:rPr>
          <w:rFonts w:ascii="Arial" w:cs="Arial" w:eastAsia="Arial" w:hAnsi="Arial"/>
          <w:sz w:val="17"/>
          <w:szCs w:val="17"/>
          <w:color w:val="2D2D2D"/>
        </w:rPr>
        <w:t>[***]. The Company</w:t>
      </w:r>
      <w:r>
        <w:rPr>
          <w:rFonts w:ascii="Arial" w:cs="Arial" w:eastAsia="Arial" w:hAnsi="Arial"/>
          <w:sz w:val="17"/>
          <w:szCs w:val="17"/>
          <w:color w:val="161616"/>
        </w:rPr>
        <w:t xml:space="preserve"> may </w:t>
      </w:r>
      <w:r>
        <w:rPr>
          <w:rFonts w:ascii="Arial" w:cs="Arial" w:eastAsia="Arial" w:hAnsi="Arial"/>
          <w:sz w:val="17"/>
          <w:szCs w:val="17"/>
          <w:color w:val="2D2D2D"/>
        </w:rPr>
        <w:t>also choose to credit the Distributor for the rejected Products and</w:t>
      </w:r>
    </w:p>
    <w:p>
      <w:pPr>
        <w:ind w:left="1300"/>
        <w:spacing w:after="0" w:line="232" w:lineRule="auto"/>
        <w:rPr>
          <w:sz w:val="20"/>
          <w:szCs w:val="20"/>
          <w:color w:val="auto"/>
        </w:rPr>
      </w:pPr>
      <w:r>
        <w:rPr>
          <w:rFonts w:ascii="Arial" w:cs="Arial" w:eastAsia="Arial" w:hAnsi="Arial"/>
          <w:sz w:val="17"/>
          <w:szCs w:val="17"/>
          <w:color w:val="2D2D2D"/>
        </w:rPr>
        <w:t xml:space="preserve">provide replacements based on </w:t>
      </w:r>
      <w:r>
        <w:rPr>
          <w:rFonts w:ascii="Arial" w:cs="Arial" w:eastAsia="Arial" w:hAnsi="Arial"/>
          <w:sz w:val="17"/>
          <w:szCs w:val="17"/>
          <w:color w:val="161616"/>
        </w:rPr>
        <w:t>n</w:t>
      </w:r>
      <w:r>
        <w:rPr>
          <w:rFonts w:ascii="Arial" w:cs="Arial" w:eastAsia="Arial" w:hAnsi="Arial"/>
          <w:sz w:val="17"/>
          <w:szCs w:val="17"/>
          <w:color w:val="424242"/>
        </w:rPr>
        <w:t>ew</w:t>
      </w:r>
      <w:r>
        <w:rPr>
          <w:rFonts w:ascii="Arial" w:cs="Arial" w:eastAsia="Arial" w:hAnsi="Arial"/>
          <w:sz w:val="17"/>
          <w:szCs w:val="17"/>
          <w:color w:val="2D2D2D"/>
        </w:rPr>
        <w:t xml:space="preserve"> order placement. The Company </w:t>
      </w:r>
      <w:r>
        <w:rPr>
          <w:rFonts w:ascii="Arial" w:cs="Arial" w:eastAsia="Arial" w:hAnsi="Arial"/>
          <w:sz w:val="17"/>
          <w:szCs w:val="17"/>
          <w:color w:val="424242"/>
        </w:rPr>
        <w:t>s</w:t>
      </w:r>
      <w:r>
        <w:rPr>
          <w:rFonts w:ascii="Arial" w:cs="Arial" w:eastAsia="Arial" w:hAnsi="Arial"/>
          <w:sz w:val="17"/>
          <w:szCs w:val="17"/>
          <w:color w:val="161616"/>
        </w:rPr>
        <w:t>h</w:t>
      </w:r>
      <w:r>
        <w:rPr>
          <w:rFonts w:ascii="Arial" w:cs="Arial" w:eastAsia="Arial" w:hAnsi="Arial"/>
          <w:sz w:val="17"/>
          <w:szCs w:val="17"/>
          <w:color w:val="424242"/>
        </w:rPr>
        <w:t>all</w:t>
      </w:r>
      <w:r>
        <w:rPr>
          <w:rFonts w:ascii="Arial" w:cs="Arial" w:eastAsia="Arial" w:hAnsi="Arial"/>
          <w:sz w:val="17"/>
          <w:szCs w:val="17"/>
          <w:color w:val="2D2D2D"/>
        </w:rPr>
        <w:t xml:space="preserve"> promptly </w:t>
      </w:r>
      <w:r>
        <w:rPr>
          <w:rFonts w:ascii="Arial" w:cs="Arial" w:eastAsia="Arial" w:hAnsi="Arial"/>
          <w:sz w:val="17"/>
          <w:szCs w:val="17"/>
          <w:color w:val="161616"/>
        </w:rPr>
        <w:t>provide replacement</w:t>
      </w:r>
      <w:r>
        <w:rPr>
          <w:rFonts w:ascii="Arial" w:cs="Arial" w:eastAsia="Arial" w:hAnsi="Arial"/>
          <w:sz w:val="17"/>
          <w:szCs w:val="17"/>
          <w:color w:val="424242"/>
        </w:rPr>
        <w:t>s to</w:t>
      </w:r>
      <w:r>
        <w:rPr>
          <w:rFonts w:ascii="Arial" w:cs="Arial" w:eastAsia="Arial" w:hAnsi="Arial"/>
          <w:sz w:val="17"/>
          <w:szCs w:val="17"/>
          <w:color w:val="2D2D2D"/>
        </w:rPr>
        <w:t xml:space="preserve"> avoid stock-out at </w:t>
      </w:r>
      <w:r>
        <w:rPr>
          <w:rFonts w:ascii="Arial" w:cs="Arial" w:eastAsia="Arial" w:hAnsi="Arial"/>
          <w:sz w:val="17"/>
          <w:szCs w:val="17"/>
          <w:color w:val="161616"/>
        </w:rPr>
        <w:t>the</w:t>
      </w:r>
    </w:p>
    <w:p>
      <w:pPr>
        <w:ind w:left="1300"/>
        <w:spacing w:after="0" w:line="232" w:lineRule="auto"/>
        <w:rPr>
          <w:sz w:val="20"/>
          <w:szCs w:val="20"/>
          <w:color w:val="auto"/>
        </w:rPr>
      </w:pPr>
      <w:r>
        <w:rPr>
          <w:rFonts w:ascii="Arial" w:cs="Arial" w:eastAsia="Arial" w:hAnsi="Arial"/>
          <w:sz w:val="17"/>
          <w:szCs w:val="17"/>
          <w:color w:val="161616"/>
        </w:rPr>
        <w:t>Di</w:t>
      </w:r>
      <w:r>
        <w:rPr>
          <w:rFonts w:ascii="Arial" w:cs="Arial" w:eastAsia="Arial" w:hAnsi="Arial"/>
          <w:sz w:val="17"/>
          <w:szCs w:val="17"/>
          <w:color w:val="424242"/>
        </w:rPr>
        <w:t>str</w:t>
      </w:r>
      <w:r>
        <w:rPr>
          <w:rFonts w:ascii="Arial" w:cs="Arial" w:eastAsia="Arial" w:hAnsi="Arial"/>
          <w:sz w:val="17"/>
          <w:szCs w:val="17"/>
          <w:color w:val="161616"/>
        </w:rPr>
        <w:t xml:space="preserve">ibutor. </w:t>
      </w:r>
      <w:r>
        <w:rPr>
          <w:rFonts w:ascii="Arial" w:cs="Arial" w:eastAsia="Arial" w:hAnsi="Arial"/>
          <w:sz w:val="17"/>
          <w:szCs w:val="17"/>
          <w:color w:val="2D2D2D"/>
        </w:rPr>
        <w:t>Products</w:t>
      </w:r>
      <w:r>
        <w:rPr>
          <w:rFonts w:ascii="Arial" w:cs="Arial" w:eastAsia="Arial" w:hAnsi="Arial"/>
          <w:sz w:val="17"/>
          <w:szCs w:val="17"/>
          <w:color w:val="161616"/>
        </w:rPr>
        <w:t xml:space="preserve"> not </w:t>
      </w:r>
      <w:r>
        <w:rPr>
          <w:rFonts w:ascii="Arial" w:cs="Arial" w:eastAsia="Arial" w:hAnsi="Arial"/>
          <w:sz w:val="17"/>
          <w:szCs w:val="17"/>
          <w:color w:val="2D2D2D"/>
        </w:rPr>
        <w:t>rejected by written</w:t>
      </w:r>
      <w:r>
        <w:rPr>
          <w:rFonts w:ascii="Arial" w:cs="Arial" w:eastAsia="Arial" w:hAnsi="Arial"/>
          <w:sz w:val="17"/>
          <w:szCs w:val="17"/>
          <w:color w:val="161616"/>
        </w:rPr>
        <w:t xml:space="preserve"> notifi</w:t>
      </w:r>
      <w:r>
        <w:rPr>
          <w:rFonts w:ascii="Arial" w:cs="Arial" w:eastAsia="Arial" w:hAnsi="Arial"/>
          <w:sz w:val="17"/>
          <w:szCs w:val="17"/>
          <w:color w:val="424242"/>
        </w:rPr>
        <w:t>cat</w:t>
      </w:r>
      <w:r>
        <w:rPr>
          <w:rFonts w:ascii="Arial" w:cs="Arial" w:eastAsia="Arial" w:hAnsi="Arial"/>
          <w:sz w:val="17"/>
          <w:szCs w:val="17"/>
          <w:color w:val="161616"/>
        </w:rPr>
        <w:t>i</w:t>
      </w:r>
      <w:r>
        <w:rPr>
          <w:rFonts w:ascii="Arial" w:cs="Arial" w:eastAsia="Arial" w:hAnsi="Arial"/>
          <w:sz w:val="17"/>
          <w:szCs w:val="17"/>
          <w:color w:val="424242"/>
        </w:rPr>
        <w:t>on</w:t>
      </w:r>
      <w:r>
        <w:rPr>
          <w:rFonts w:ascii="Arial" w:cs="Arial" w:eastAsia="Arial" w:hAnsi="Arial"/>
          <w:sz w:val="17"/>
          <w:szCs w:val="17"/>
          <w:color w:val="161616"/>
        </w:rPr>
        <w:t xml:space="preserve"> </w:t>
      </w:r>
      <w:r>
        <w:rPr>
          <w:rFonts w:ascii="Arial" w:cs="Arial" w:eastAsia="Arial" w:hAnsi="Arial"/>
          <w:sz w:val="17"/>
          <w:szCs w:val="17"/>
          <w:color w:val="2D2D2D"/>
        </w:rPr>
        <w:t>to</w:t>
      </w:r>
      <w:r>
        <w:rPr>
          <w:rFonts w:ascii="Arial" w:cs="Arial" w:eastAsia="Arial" w:hAnsi="Arial"/>
          <w:sz w:val="17"/>
          <w:szCs w:val="17"/>
          <w:color w:val="161616"/>
        </w:rPr>
        <w:t xml:space="preserve"> </w:t>
      </w:r>
      <w:r>
        <w:rPr>
          <w:rFonts w:ascii="Arial" w:cs="Arial" w:eastAsia="Arial" w:hAnsi="Arial"/>
          <w:sz w:val="17"/>
          <w:szCs w:val="17"/>
          <w:color w:val="424242"/>
        </w:rPr>
        <w:t>[***] from</w:t>
      </w:r>
      <w:r>
        <w:rPr>
          <w:rFonts w:ascii="Arial" w:cs="Arial" w:eastAsia="Arial" w:hAnsi="Arial"/>
          <w:sz w:val="17"/>
          <w:szCs w:val="17"/>
          <w:color w:val="161616"/>
        </w:rPr>
        <w:t xml:space="preserve"> the </w:t>
      </w:r>
      <w:r>
        <w:rPr>
          <w:rFonts w:ascii="Arial" w:cs="Arial" w:eastAsia="Arial" w:hAnsi="Arial"/>
          <w:sz w:val="17"/>
          <w:szCs w:val="17"/>
          <w:color w:val="2D2D2D"/>
        </w:rPr>
        <w:t>date of</w:t>
      </w:r>
      <w:r>
        <w:rPr>
          <w:rFonts w:ascii="Arial" w:cs="Arial" w:eastAsia="Arial" w:hAnsi="Arial"/>
          <w:sz w:val="17"/>
          <w:szCs w:val="17"/>
          <w:color w:val="161616"/>
        </w:rPr>
        <w:t xml:space="preserve"> r</w:t>
      </w:r>
      <w:r>
        <w:rPr>
          <w:rFonts w:ascii="Arial" w:cs="Arial" w:eastAsia="Arial" w:hAnsi="Arial"/>
          <w:sz w:val="17"/>
          <w:szCs w:val="17"/>
          <w:color w:val="424242"/>
        </w:rPr>
        <w:t>ece</w:t>
      </w:r>
      <w:r>
        <w:rPr>
          <w:rFonts w:ascii="Arial" w:cs="Arial" w:eastAsia="Arial" w:hAnsi="Arial"/>
          <w:sz w:val="17"/>
          <w:szCs w:val="17"/>
          <w:color w:val="161616"/>
        </w:rPr>
        <w:t xml:space="preserve">ipt </w:t>
      </w:r>
      <w:r>
        <w:rPr>
          <w:rFonts w:ascii="Arial" w:cs="Arial" w:eastAsia="Arial" w:hAnsi="Arial"/>
          <w:sz w:val="17"/>
          <w:szCs w:val="17"/>
          <w:color w:val="2D2D2D"/>
        </w:rPr>
        <w:t>at</w:t>
      </w:r>
      <w:r>
        <w:rPr>
          <w:rFonts w:ascii="Arial" w:cs="Arial" w:eastAsia="Arial" w:hAnsi="Arial"/>
          <w:sz w:val="17"/>
          <w:szCs w:val="17"/>
          <w:color w:val="161616"/>
        </w:rPr>
        <w:t xml:space="preserve"> Di</w:t>
      </w:r>
      <w:r>
        <w:rPr>
          <w:rFonts w:ascii="Arial" w:cs="Arial" w:eastAsia="Arial" w:hAnsi="Arial"/>
          <w:sz w:val="17"/>
          <w:szCs w:val="17"/>
          <w:color w:val="424242"/>
        </w:rPr>
        <w:t>st</w:t>
      </w:r>
      <w:r>
        <w:rPr>
          <w:rFonts w:ascii="Arial" w:cs="Arial" w:eastAsia="Arial" w:hAnsi="Arial"/>
          <w:sz w:val="17"/>
          <w:szCs w:val="17"/>
          <w:color w:val="161616"/>
        </w:rPr>
        <w:t>ributor’</w:t>
      </w:r>
      <w:r>
        <w:rPr>
          <w:rFonts w:ascii="Arial" w:cs="Arial" w:eastAsia="Arial" w:hAnsi="Arial"/>
          <w:sz w:val="17"/>
          <w:szCs w:val="17"/>
          <w:color w:val="2D2D2D"/>
        </w:rPr>
        <w:t>s</w:t>
      </w:r>
      <w:r>
        <w:rPr>
          <w:rFonts w:ascii="Arial" w:cs="Arial" w:eastAsia="Arial" w:hAnsi="Arial"/>
          <w:sz w:val="17"/>
          <w:szCs w:val="17"/>
          <w:color w:val="161616"/>
        </w:rPr>
        <w:t xml:space="preserve"> main </w:t>
      </w:r>
      <w:r>
        <w:rPr>
          <w:rFonts w:ascii="Arial" w:cs="Arial" w:eastAsia="Arial" w:hAnsi="Arial"/>
          <w:sz w:val="17"/>
          <w:szCs w:val="17"/>
          <w:color w:val="2D2D2D"/>
        </w:rPr>
        <w:t>operating facility shall be</w:t>
      </w:r>
    </w:p>
    <w:p>
      <w:pPr>
        <w:ind w:left="1300"/>
        <w:spacing w:after="0" w:line="219" w:lineRule="auto"/>
        <w:rPr>
          <w:sz w:val="20"/>
          <w:szCs w:val="20"/>
          <w:color w:val="auto"/>
        </w:rPr>
      </w:pPr>
      <w:r>
        <w:rPr>
          <w:rFonts w:ascii="Arial" w:cs="Arial" w:eastAsia="Arial" w:hAnsi="Arial"/>
          <w:sz w:val="18"/>
          <w:szCs w:val="18"/>
          <w:color w:val="2D2D2D"/>
        </w:rPr>
        <w:t xml:space="preserve">deemed to have been </w:t>
      </w:r>
      <w:r>
        <w:rPr>
          <w:rFonts w:ascii="Arial" w:cs="Arial" w:eastAsia="Arial" w:hAnsi="Arial"/>
          <w:sz w:val="18"/>
          <w:szCs w:val="18"/>
          <w:color w:val="161616"/>
        </w:rPr>
        <w:t>irr</w:t>
      </w:r>
      <w:r>
        <w:rPr>
          <w:rFonts w:ascii="Arial" w:cs="Arial" w:eastAsia="Arial" w:hAnsi="Arial"/>
          <w:sz w:val="18"/>
          <w:szCs w:val="18"/>
          <w:color w:val="424242"/>
        </w:rPr>
        <w:t>evocab</w:t>
      </w:r>
      <w:r>
        <w:rPr>
          <w:rFonts w:ascii="Arial" w:cs="Arial" w:eastAsia="Arial" w:hAnsi="Arial"/>
          <w:sz w:val="18"/>
          <w:szCs w:val="18"/>
          <w:color w:val="161616"/>
        </w:rPr>
        <w:t>ly</w:t>
      </w:r>
      <w:r>
        <w:rPr>
          <w:rFonts w:ascii="Arial" w:cs="Arial" w:eastAsia="Arial" w:hAnsi="Arial"/>
          <w:sz w:val="18"/>
          <w:szCs w:val="18"/>
          <w:color w:val="2D2D2D"/>
        </w:rPr>
        <w:t xml:space="preserve"> accepted </w:t>
      </w:r>
      <w:r>
        <w:rPr>
          <w:rFonts w:ascii="Arial" w:cs="Arial" w:eastAsia="Arial" w:hAnsi="Arial"/>
          <w:sz w:val="18"/>
          <w:szCs w:val="18"/>
          <w:color w:val="424242"/>
        </w:rPr>
        <w:t>and can</w:t>
      </w:r>
      <w:r>
        <w:rPr>
          <w:rFonts w:ascii="Arial" w:cs="Arial" w:eastAsia="Arial" w:hAnsi="Arial"/>
          <w:sz w:val="18"/>
          <w:szCs w:val="18"/>
          <w:color w:val="2D2D2D"/>
        </w:rPr>
        <w:t xml:space="preserve"> only </w:t>
      </w:r>
      <w:r>
        <w:rPr>
          <w:rFonts w:ascii="Arial" w:cs="Arial" w:eastAsia="Arial" w:hAnsi="Arial"/>
          <w:sz w:val="18"/>
          <w:szCs w:val="18"/>
          <w:color w:val="161616"/>
        </w:rPr>
        <w:t>be</w:t>
      </w:r>
      <w:r>
        <w:rPr>
          <w:rFonts w:ascii="Arial" w:cs="Arial" w:eastAsia="Arial" w:hAnsi="Arial"/>
          <w:sz w:val="18"/>
          <w:szCs w:val="18"/>
          <w:color w:val="2D2D2D"/>
        </w:rPr>
        <w:t xml:space="preserve"> returned </w:t>
      </w:r>
      <w:r>
        <w:rPr>
          <w:rFonts w:ascii="Arial" w:cs="Arial" w:eastAsia="Arial" w:hAnsi="Arial"/>
          <w:sz w:val="18"/>
          <w:szCs w:val="18"/>
          <w:color w:val="161616"/>
        </w:rPr>
        <w:t>in</w:t>
      </w:r>
      <w:r>
        <w:rPr>
          <w:rFonts w:ascii="Arial" w:cs="Arial" w:eastAsia="Arial" w:hAnsi="Arial"/>
          <w:sz w:val="18"/>
          <w:szCs w:val="18"/>
          <w:color w:val="2D2D2D"/>
        </w:rPr>
        <w:t xml:space="preserve"> accordance with </w:t>
      </w:r>
      <w:r>
        <w:rPr>
          <w:rFonts w:ascii="Arial" w:cs="Arial" w:eastAsia="Arial" w:hAnsi="Arial"/>
          <w:sz w:val="18"/>
          <w:szCs w:val="18"/>
          <w:color w:val="424242"/>
        </w:rPr>
        <w:t>Sec</w:t>
      </w:r>
      <w:r>
        <w:rPr>
          <w:rFonts w:ascii="Arial" w:cs="Arial" w:eastAsia="Arial" w:hAnsi="Arial"/>
          <w:sz w:val="18"/>
          <w:szCs w:val="18"/>
          <w:color w:val="161616"/>
        </w:rPr>
        <w:t>tion</w:t>
      </w:r>
      <w:r>
        <w:rPr>
          <w:rFonts w:ascii="Arial" w:cs="Arial" w:eastAsia="Arial" w:hAnsi="Arial"/>
          <w:sz w:val="18"/>
          <w:szCs w:val="18"/>
          <w:color w:val="2D2D2D"/>
        </w:rPr>
        <w:t xml:space="preserve"> 8.</w:t>
      </w:r>
    </w:p>
    <w:p>
      <w:pPr>
        <w:ind w:left="1300" w:right="100" w:hanging="323"/>
        <w:spacing w:after="0" w:line="22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color w:val="2D2D2D"/>
        </w:rPr>
        <w:t>Sales</w:t>
      </w:r>
      <w:r>
        <w:rPr>
          <w:rFonts w:ascii="Arial" w:cs="Arial" w:eastAsia="Arial" w:hAnsi="Arial"/>
          <w:sz w:val="18"/>
          <w:szCs w:val="18"/>
          <w:color w:val="auto"/>
        </w:rPr>
        <w:t xml:space="preserve"> </w:t>
      </w:r>
      <w:r>
        <w:rPr>
          <w:rFonts w:ascii="Arial" w:cs="Arial" w:eastAsia="Arial" w:hAnsi="Arial"/>
          <w:sz w:val="18"/>
          <w:szCs w:val="18"/>
          <w:color w:val="161616"/>
        </w:rPr>
        <w:t>to</w:t>
      </w:r>
      <w:r>
        <w:rPr>
          <w:rFonts w:ascii="Arial" w:cs="Arial" w:eastAsia="Arial" w:hAnsi="Arial"/>
          <w:sz w:val="18"/>
          <w:szCs w:val="18"/>
          <w:color w:val="auto"/>
        </w:rPr>
        <w:t xml:space="preserve"> </w:t>
      </w:r>
      <w:r>
        <w:rPr>
          <w:rFonts w:ascii="Arial" w:cs="Arial" w:eastAsia="Arial" w:hAnsi="Arial"/>
          <w:sz w:val="18"/>
          <w:szCs w:val="18"/>
          <w:b w:val="1"/>
          <w:bCs w:val="1"/>
          <w:color w:val="2D2D2D"/>
        </w:rPr>
        <w:t>End Users</w:t>
      </w:r>
      <w:r>
        <w:rPr>
          <w:rFonts w:ascii="Arial" w:cs="Arial" w:eastAsia="Arial" w:hAnsi="Arial"/>
          <w:sz w:val="18"/>
          <w:szCs w:val="18"/>
          <w:color w:val="auto"/>
        </w:rPr>
        <w:t xml:space="preserve"> </w:t>
      </w:r>
      <w:r>
        <w:rPr>
          <w:rFonts w:ascii="Arial" w:cs="Arial" w:eastAsia="Arial" w:hAnsi="Arial"/>
          <w:sz w:val="18"/>
          <w:szCs w:val="18"/>
          <w:b w:val="1"/>
          <w:bCs w:val="1"/>
          <w:color w:val="161616"/>
        </w:rPr>
        <w:t>and</w:t>
      </w:r>
      <w:r>
        <w:rPr>
          <w:rFonts w:ascii="Arial" w:cs="Arial" w:eastAsia="Arial" w:hAnsi="Arial"/>
          <w:sz w:val="18"/>
          <w:szCs w:val="18"/>
          <w:color w:val="auto"/>
        </w:rPr>
        <w:t xml:space="preserve"> </w:t>
      </w:r>
      <w:r>
        <w:rPr>
          <w:rFonts w:ascii="Arial" w:cs="Arial" w:eastAsia="Arial" w:hAnsi="Arial"/>
          <w:sz w:val="18"/>
          <w:szCs w:val="18"/>
          <w:b w:val="1"/>
          <w:bCs w:val="1"/>
          <w:color w:val="2D2D2D"/>
        </w:rPr>
        <w:t>Resellers.</w:t>
      </w:r>
      <w:r>
        <w:rPr>
          <w:rFonts w:ascii="Arial" w:cs="Arial" w:eastAsia="Arial" w:hAnsi="Arial"/>
          <w:sz w:val="18"/>
          <w:szCs w:val="18"/>
          <w:color w:val="auto"/>
        </w:rPr>
        <w:t xml:space="preserve"> </w:t>
      </w:r>
      <w:r>
        <w:rPr>
          <w:rFonts w:ascii="Arial" w:cs="Arial" w:eastAsia="Arial" w:hAnsi="Arial"/>
          <w:sz w:val="18"/>
          <w:szCs w:val="18"/>
          <w:color w:val="2D2D2D"/>
        </w:rPr>
        <w:t>Distributor understands and</w:t>
      </w:r>
      <w:r>
        <w:rPr>
          <w:rFonts w:ascii="Arial" w:cs="Arial" w:eastAsia="Arial" w:hAnsi="Arial"/>
          <w:sz w:val="18"/>
          <w:szCs w:val="18"/>
          <w:color w:val="auto"/>
        </w:rPr>
        <w:t xml:space="preserve"> </w:t>
      </w:r>
      <w:r>
        <w:rPr>
          <w:rFonts w:ascii="Arial" w:cs="Arial" w:eastAsia="Arial" w:hAnsi="Arial"/>
          <w:sz w:val="18"/>
          <w:szCs w:val="18"/>
          <w:color w:val="424242"/>
        </w:rPr>
        <w:t>agrees</w:t>
      </w:r>
      <w:r>
        <w:rPr>
          <w:rFonts w:ascii="Arial" w:cs="Arial" w:eastAsia="Arial" w:hAnsi="Arial"/>
          <w:sz w:val="18"/>
          <w:szCs w:val="18"/>
          <w:color w:val="auto"/>
        </w:rPr>
        <w:t xml:space="preserve"> </w:t>
      </w:r>
      <w:r>
        <w:rPr>
          <w:rFonts w:ascii="Arial" w:cs="Arial" w:eastAsia="Arial" w:hAnsi="Arial"/>
          <w:sz w:val="18"/>
          <w:szCs w:val="18"/>
          <w:color w:val="2D2D2D"/>
        </w:rPr>
        <w:t>that all Sales by Distributor of Products shall be solely: (i) to</w:t>
      </w:r>
      <w:r>
        <w:rPr>
          <w:rFonts w:ascii="Arial" w:cs="Arial" w:eastAsia="Arial" w:hAnsi="Arial"/>
          <w:sz w:val="18"/>
          <w:szCs w:val="18"/>
          <w:color w:val="auto"/>
        </w:rPr>
        <w:t xml:space="preserve"> </w:t>
      </w:r>
      <w:r>
        <w:rPr>
          <w:rFonts w:ascii="Arial" w:cs="Arial" w:eastAsia="Arial" w:hAnsi="Arial"/>
          <w:sz w:val="18"/>
          <w:szCs w:val="18"/>
          <w:color w:val="424242"/>
        </w:rPr>
        <w:t>end</w:t>
      </w:r>
      <w:r>
        <w:rPr>
          <w:rFonts w:ascii="Arial" w:cs="Arial" w:eastAsia="Arial" w:hAnsi="Arial"/>
          <w:sz w:val="18"/>
          <w:szCs w:val="18"/>
          <w:color w:val="auto"/>
        </w:rPr>
        <w:t xml:space="preserve"> </w:t>
      </w:r>
      <w:r>
        <w:rPr>
          <w:rFonts w:ascii="Arial" w:cs="Arial" w:eastAsia="Arial" w:hAnsi="Arial"/>
          <w:sz w:val="18"/>
          <w:szCs w:val="18"/>
          <w:color w:val="161616"/>
        </w:rPr>
        <w:t>u</w:t>
      </w:r>
      <w:r>
        <w:rPr>
          <w:rFonts w:ascii="Arial" w:cs="Arial" w:eastAsia="Arial" w:hAnsi="Arial"/>
          <w:sz w:val="18"/>
          <w:szCs w:val="18"/>
          <w:color w:val="424242"/>
        </w:rPr>
        <w:t>sers</w:t>
      </w:r>
      <w:r>
        <w:rPr>
          <w:rFonts w:ascii="Arial" w:cs="Arial" w:eastAsia="Arial" w:hAnsi="Arial"/>
          <w:sz w:val="18"/>
          <w:szCs w:val="18"/>
          <w:color w:val="161616"/>
        </w:rPr>
        <w:t xml:space="preserve"> locat</w:t>
      </w:r>
      <w:r>
        <w:rPr>
          <w:rFonts w:ascii="Arial" w:cs="Arial" w:eastAsia="Arial" w:hAnsi="Arial"/>
          <w:sz w:val="18"/>
          <w:szCs w:val="18"/>
          <w:color w:val="424242"/>
        </w:rPr>
        <w:t>ed</w:t>
      </w:r>
      <w:r>
        <w:rPr>
          <w:rFonts w:ascii="Arial" w:cs="Arial" w:eastAsia="Arial" w:hAnsi="Arial"/>
          <w:sz w:val="18"/>
          <w:szCs w:val="18"/>
          <w:color w:val="161616"/>
        </w:rPr>
        <w:t xml:space="preserve"> in </w:t>
      </w:r>
      <w:r>
        <w:rPr>
          <w:rFonts w:ascii="Arial" w:cs="Arial" w:eastAsia="Arial" w:hAnsi="Arial"/>
          <w:sz w:val="18"/>
          <w:szCs w:val="18"/>
          <w:color w:val="2D2D2D"/>
        </w:rPr>
        <w:t>th</w:t>
      </w:r>
      <w:r>
        <w:rPr>
          <w:rFonts w:ascii="Arial" w:cs="Arial" w:eastAsia="Arial" w:hAnsi="Arial"/>
          <w:sz w:val="18"/>
          <w:szCs w:val="18"/>
          <w:color w:val="525252"/>
        </w:rPr>
        <w:t>e</w:t>
      </w:r>
      <w:r>
        <w:rPr>
          <w:rFonts w:ascii="Arial" w:cs="Arial" w:eastAsia="Arial" w:hAnsi="Arial"/>
          <w:sz w:val="18"/>
          <w:szCs w:val="18"/>
          <w:color w:val="161616"/>
        </w:rPr>
        <w:t xml:space="preserve"> </w:t>
      </w:r>
      <w:r>
        <w:rPr>
          <w:rFonts w:ascii="Arial" w:cs="Arial" w:eastAsia="Arial" w:hAnsi="Arial"/>
          <w:sz w:val="18"/>
          <w:szCs w:val="18"/>
          <w:color w:val="2D2D2D"/>
        </w:rPr>
        <w:t>T</w:t>
      </w:r>
      <w:r>
        <w:rPr>
          <w:rFonts w:ascii="Arial" w:cs="Arial" w:eastAsia="Arial" w:hAnsi="Arial"/>
          <w:sz w:val="18"/>
          <w:szCs w:val="18"/>
          <w:color w:val="525252"/>
        </w:rPr>
        <w:t>e</w:t>
      </w:r>
      <w:r>
        <w:rPr>
          <w:rFonts w:ascii="Arial" w:cs="Arial" w:eastAsia="Arial" w:hAnsi="Arial"/>
          <w:sz w:val="18"/>
          <w:szCs w:val="18"/>
          <w:color w:val="2D2D2D"/>
        </w:rPr>
        <w:t>rritory; or</w:t>
      </w:r>
      <w:r>
        <w:rPr>
          <w:rFonts w:ascii="Arial" w:cs="Arial" w:eastAsia="Arial" w:hAnsi="Arial"/>
          <w:sz w:val="18"/>
          <w:szCs w:val="18"/>
          <w:color w:val="161616"/>
        </w:rPr>
        <w:t xml:space="preserve"> </w:t>
      </w:r>
      <w:r>
        <w:rPr>
          <w:rFonts w:ascii="Arial" w:cs="Arial" w:eastAsia="Arial" w:hAnsi="Arial"/>
          <w:sz w:val="18"/>
          <w:szCs w:val="18"/>
          <w:color w:val="424242"/>
        </w:rPr>
        <w:t>(ii)</w:t>
      </w:r>
      <w:r>
        <w:rPr>
          <w:rFonts w:ascii="Arial" w:cs="Arial" w:eastAsia="Arial" w:hAnsi="Arial"/>
          <w:sz w:val="18"/>
          <w:szCs w:val="18"/>
          <w:color w:val="161616"/>
        </w:rPr>
        <w:t xml:space="preserve"> </w:t>
      </w:r>
      <w:r>
        <w:rPr>
          <w:rFonts w:ascii="Arial" w:cs="Arial" w:eastAsia="Arial" w:hAnsi="Arial"/>
          <w:sz w:val="18"/>
          <w:szCs w:val="18"/>
          <w:color w:val="2D2D2D"/>
        </w:rPr>
        <w:t>to redistributors who</w:t>
      </w:r>
      <w:r>
        <w:rPr>
          <w:rFonts w:ascii="Arial" w:cs="Arial" w:eastAsia="Arial" w:hAnsi="Arial"/>
          <w:sz w:val="18"/>
          <w:szCs w:val="18"/>
          <w:color w:val="161616"/>
        </w:rPr>
        <w:t xml:space="preserve"> h</w:t>
      </w:r>
      <w:r>
        <w:rPr>
          <w:rFonts w:ascii="Arial" w:cs="Arial" w:eastAsia="Arial" w:hAnsi="Arial"/>
          <w:sz w:val="18"/>
          <w:szCs w:val="18"/>
          <w:color w:val="424242"/>
        </w:rPr>
        <w:t>ave agreed</w:t>
      </w:r>
      <w:r>
        <w:rPr>
          <w:rFonts w:ascii="Arial" w:cs="Arial" w:eastAsia="Arial" w:hAnsi="Arial"/>
          <w:sz w:val="18"/>
          <w:szCs w:val="18"/>
          <w:color w:val="161616"/>
        </w:rPr>
        <w:t xml:space="preserve"> in </w:t>
      </w:r>
      <w:r>
        <w:rPr>
          <w:rFonts w:ascii="Arial" w:cs="Arial" w:eastAsia="Arial" w:hAnsi="Arial"/>
          <w:sz w:val="18"/>
          <w:szCs w:val="18"/>
          <w:color w:val="2D2D2D"/>
        </w:rPr>
        <w:t>writing to Sell Products only</w:t>
      </w:r>
      <w:r>
        <w:rPr>
          <w:rFonts w:ascii="Arial" w:cs="Arial" w:eastAsia="Arial" w:hAnsi="Arial"/>
          <w:sz w:val="18"/>
          <w:szCs w:val="18"/>
          <w:color w:val="161616"/>
        </w:rPr>
        <w:t xml:space="preserve"> </w:t>
      </w:r>
      <w:r>
        <w:rPr>
          <w:rFonts w:ascii="Arial" w:cs="Arial" w:eastAsia="Arial" w:hAnsi="Arial"/>
          <w:sz w:val="18"/>
          <w:szCs w:val="18"/>
          <w:color w:val="424242"/>
        </w:rPr>
        <w:t>to</w:t>
      </w:r>
      <w:r>
        <w:rPr>
          <w:rFonts w:ascii="Arial" w:cs="Arial" w:eastAsia="Arial" w:hAnsi="Arial"/>
          <w:sz w:val="18"/>
          <w:szCs w:val="18"/>
          <w:color w:val="161616"/>
        </w:rPr>
        <w:t xml:space="preserve"> </w:t>
      </w:r>
      <w:r>
        <w:rPr>
          <w:rFonts w:ascii="Arial" w:cs="Arial" w:eastAsia="Arial" w:hAnsi="Arial"/>
          <w:sz w:val="18"/>
          <w:szCs w:val="18"/>
          <w:color w:val="2D2D2D"/>
        </w:rPr>
        <w:t>end users for such end users’</w:t>
      </w:r>
      <w:r>
        <w:rPr>
          <w:rFonts w:ascii="Arial" w:cs="Arial" w:eastAsia="Arial" w:hAnsi="Arial"/>
          <w:sz w:val="18"/>
          <w:szCs w:val="18"/>
          <w:color w:val="161616"/>
        </w:rPr>
        <w:t xml:space="preserve"> </w:t>
      </w:r>
      <w:r>
        <w:rPr>
          <w:rFonts w:ascii="Arial" w:cs="Arial" w:eastAsia="Arial" w:hAnsi="Arial"/>
          <w:sz w:val="18"/>
          <w:szCs w:val="18"/>
          <w:color w:val="2D2D2D"/>
        </w:rPr>
        <w:t xml:space="preserve">use in </w:t>
      </w:r>
      <w:r>
        <w:rPr>
          <w:rFonts w:ascii="Arial" w:cs="Arial" w:eastAsia="Arial" w:hAnsi="Arial"/>
          <w:sz w:val="18"/>
          <w:szCs w:val="18"/>
          <w:color w:val="424242"/>
        </w:rPr>
        <w:t>the</w:t>
      </w:r>
      <w:r>
        <w:rPr>
          <w:rFonts w:ascii="Arial" w:cs="Arial" w:eastAsia="Arial" w:hAnsi="Arial"/>
          <w:sz w:val="18"/>
          <w:szCs w:val="18"/>
          <w:color w:val="2D2D2D"/>
        </w:rPr>
        <w:t xml:space="preserve"> Territory. </w:t>
      </w:r>
      <w:r>
        <w:rPr>
          <w:rFonts w:ascii="Arial" w:cs="Arial" w:eastAsia="Arial" w:hAnsi="Arial"/>
          <w:sz w:val="18"/>
          <w:szCs w:val="18"/>
          <w:color w:val="161616"/>
        </w:rPr>
        <w:t>In</w:t>
      </w:r>
      <w:r>
        <w:rPr>
          <w:rFonts w:ascii="Arial" w:cs="Arial" w:eastAsia="Arial" w:hAnsi="Arial"/>
          <w:sz w:val="18"/>
          <w:szCs w:val="18"/>
          <w:color w:val="2D2D2D"/>
        </w:rPr>
        <w:t xml:space="preserve"> no </w:t>
      </w:r>
      <w:r>
        <w:rPr>
          <w:rFonts w:ascii="Arial" w:cs="Arial" w:eastAsia="Arial" w:hAnsi="Arial"/>
          <w:sz w:val="18"/>
          <w:szCs w:val="18"/>
          <w:color w:val="424242"/>
        </w:rPr>
        <w:t>event sha</w:t>
      </w:r>
      <w:r>
        <w:rPr>
          <w:rFonts w:ascii="Arial" w:cs="Arial" w:eastAsia="Arial" w:hAnsi="Arial"/>
          <w:sz w:val="18"/>
          <w:szCs w:val="18"/>
          <w:color w:val="161616"/>
        </w:rPr>
        <w:t>ll</w:t>
      </w:r>
      <w:r>
        <w:rPr>
          <w:rFonts w:ascii="Arial" w:cs="Arial" w:eastAsia="Arial" w:hAnsi="Arial"/>
          <w:sz w:val="18"/>
          <w:szCs w:val="18"/>
          <w:color w:val="2D2D2D"/>
        </w:rPr>
        <w:t xml:space="preserve"> Distributor sell </w:t>
      </w:r>
      <w:r>
        <w:rPr>
          <w:rFonts w:ascii="Arial" w:cs="Arial" w:eastAsia="Arial" w:hAnsi="Arial"/>
          <w:sz w:val="18"/>
          <w:szCs w:val="18"/>
          <w:color w:val="424242"/>
        </w:rPr>
        <w:t>Products</w:t>
      </w:r>
      <w:r>
        <w:rPr>
          <w:rFonts w:ascii="Arial" w:cs="Arial" w:eastAsia="Arial" w:hAnsi="Arial"/>
          <w:sz w:val="18"/>
          <w:szCs w:val="18"/>
          <w:color w:val="2D2D2D"/>
        </w:rPr>
        <w:t xml:space="preserve"> to </w:t>
      </w:r>
      <w:r>
        <w:rPr>
          <w:rFonts w:ascii="Arial" w:cs="Arial" w:eastAsia="Arial" w:hAnsi="Arial"/>
          <w:sz w:val="18"/>
          <w:szCs w:val="18"/>
          <w:color w:val="424242"/>
        </w:rPr>
        <w:t>a</w:t>
      </w:r>
      <w:r>
        <w:rPr>
          <w:rFonts w:ascii="Arial" w:cs="Arial" w:eastAsia="Arial" w:hAnsi="Arial"/>
          <w:sz w:val="18"/>
          <w:szCs w:val="18"/>
          <w:color w:val="161616"/>
        </w:rPr>
        <w:t>n</w:t>
      </w:r>
      <w:r>
        <w:rPr>
          <w:rFonts w:ascii="Arial" w:cs="Arial" w:eastAsia="Arial" w:hAnsi="Arial"/>
          <w:sz w:val="18"/>
          <w:szCs w:val="18"/>
          <w:color w:val="424242"/>
        </w:rPr>
        <w:t>y</w:t>
      </w:r>
      <w:r>
        <w:rPr>
          <w:rFonts w:ascii="Arial" w:cs="Arial" w:eastAsia="Arial" w:hAnsi="Arial"/>
          <w:sz w:val="18"/>
          <w:szCs w:val="18"/>
          <w:color w:val="2D2D2D"/>
        </w:rPr>
        <w:t xml:space="preserve"> </w:t>
      </w:r>
      <w:r>
        <w:rPr>
          <w:rFonts w:ascii="Arial" w:cs="Arial" w:eastAsia="Arial" w:hAnsi="Arial"/>
          <w:sz w:val="18"/>
          <w:szCs w:val="18"/>
          <w:color w:val="161616"/>
        </w:rPr>
        <w:t>third</w:t>
      </w:r>
      <w:r>
        <w:rPr>
          <w:rFonts w:ascii="Arial" w:cs="Arial" w:eastAsia="Arial" w:hAnsi="Arial"/>
          <w:sz w:val="18"/>
          <w:szCs w:val="18"/>
          <w:color w:val="2D2D2D"/>
        </w:rPr>
        <w:t xml:space="preserve"> party other than to </w:t>
      </w:r>
      <w:r>
        <w:rPr>
          <w:rFonts w:ascii="Arial" w:cs="Arial" w:eastAsia="Arial" w:hAnsi="Arial"/>
          <w:sz w:val="18"/>
          <w:szCs w:val="18"/>
          <w:color w:val="424242"/>
        </w:rPr>
        <w:t>s</w:t>
      </w:r>
      <w:r>
        <w:rPr>
          <w:rFonts w:ascii="Arial" w:cs="Arial" w:eastAsia="Arial" w:hAnsi="Arial"/>
          <w:sz w:val="18"/>
          <w:szCs w:val="18"/>
          <w:color w:val="161616"/>
        </w:rPr>
        <w:t>uch</w:t>
      </w:r>
      <w:r>
        <w:rPr>
          <w:rFonts w:ascii="Arial" w:cs="Arial" w:eastAsia="Arial" w:hAnsi="Arial"/>
          <w:sz w:val="18"/>
          <w:szCs w:val="18"/>
          <w:color w:val="2D2D2D"/>
        </w:rPr>
        <w:t xml:space="preserve"> </w:t>
      </w:r>
      <w:r>
        <w:rPr>
          <w:rFonts w:ascii="Arial" w:cs="Arial" w:eastAsia="Arial" w:hAnsi="Arial"/>
          <w:sz w:val="18"/>
          <w:szCs w:val="18"/>
          <w:color w:val="424242"/>
        </w:rPr>
        <w:t>end</w:t>
      </w:r>
      <w:r>
        <w:rPr>
          <w:rFonts w:ascii="Arial" w:cs="Arial" w:eastAsia="Arial" w:hAnsi="Arial"/>
          <w:sz w:val="18"/>
          <w:szCs w:val="18"/>
          <w:color w:val="2D2D2D"/>
        </w:rPr>
        <w:t xml:space="preserve"> users </w:t>
      </w:r>
      <w:r>
        <w:rPr>
          <w:rFonts w:ascii="Arial" w:cs="Arial" w:eastAsia="Arial" w:hAnsi="Arial"/>
          <w:sz w:val="18"/>
          <w:szCs w:val="18"/>
          <w:color w:val="424242"/>
        </w:rPr>
        <w:t>a</w:t>
      </w:r>
      <w:r>
        <w:rPr>
          <w:rFonts w:ascii="Arial" w:cs="Arial" w:eastAsia="Arial" w:hAnsi="Arial"/>
          <w:sz w:val="18"/>
          <w:szCs w:val="18"/>
          <w:color w:val="161616"/>
        </w:rPr>
        <w:t>nd</w:t>
      </w:r>
      <w:r>
        <w:rPr>
          <w:rFonts w:ascii="Arial" w:cs="Arial" w:eastAsia="Arial" w:hAnsi="Arial"/>
          <w:sz w:val="18"/>
          <w:szCs w:val="18"/>
          <w:color w:val="2D2D2D"/>
        </w:rPr>
        <w:t xml:space="preserve"> redistributors. Distributor</w:t>
      </w:r>
      <w:r>
        <w:rPr>
          <w:rFonts w:ascii="Arial" w:cs="Arial" w:eastAsia="Arial" w:hAnsi="Arial"/>
          <w:sz w:val="18"/>
          <w:szCs w:val="18"/>
          <w:color w:val="525252"/>
        </w:rPr>
        <w:t>'s</w:t>
      </w:r>
      <w:r>
        <w:rPr>
          <w:rFonts w:ascii="Arial" w:cs="Arial" w:eastAsia="Arial" w:hAnsi="Arial"/>
          <w:sz w:val="18"/>
          <w:szCs w:val="18"/>
          <w:color w:val="2D2D2D"/>
        </w:rPr>
        <w:t xml:space="preserve"> Sales of </w:t>
      </w:r>
      <w:r>
        <w:rPr>
          <w:rFonts w:ascii="Arial" w:cs="Arial" w:eastAsia="Arial" w:hAnsi="Arial"/>
          <w:sz w:val="18"/>
          <w:szCs w:val="18"/>
          <w:color w:val="161616"/>
        </w:rPr>
        <w:t>the</w:t>
      </w:r>
      <w:r>
        <w:rPr>
          <w:rFonts w:ascii="Arial" w:cs="Arial" w:eastAsia="Arial" w:hAnsi="Arial"/>
          <w:sz w:val="18"/>
          <w:szCs w:val="18"/>
          <w:color w:val="2D2D2D"/>
        </w:rPr>
        <w:t xml:space="preserve"> Products </w:t>
      </w:r>
      <w:r>
        <w:rPr>
          <w:rFonts w:ascii="Arial" w:cs="Arial" w:eastAsia="Arial" w:hAnsi="Arial"/>
          <w:sz w:val="18"/>
          <w:szCs w:val="18"/>
          <w:color w:val="161616"/>
        </w:rPr>
        <w:t>i</w:t>
      </w:r>
      <w:r>
        <w:rPr>
          <w:rFonts w:ascii="Arial" w:cs="Arial" w:eastAsia="Arial" w:hAnsi="Arial"/>
          <w:sz w:val="18"/>
          <w:szCs w:val="18"/>
          <w:color w:val="424242"/>
        </w:rPr>
        <w:t>s</w:t>
      </w:r>
      <w:r>
        <w:rPr>
          <w:rFonts w:ascii="Arial" w:cs="Arial" w:eastAsia="Arial" w:hAnsi="Arial"/>
          <w:sz w:val="18"/>
          <w:szCs w:val="18"/>
          <w:color w:val="2D2D2D"/>
        </w:rPr>
        <w:t xml:space="preserve"> </w:t>
      </w:r>
      <w:r>
        <w:rPr>
          <w:rFonts w:ascii="Arial" w:cs="Arial" w:eastAsia="Arial" w:hAnsi="Arial"/>
          <w:sz w:val="18"/>
          <w:szCs w:val="18"/>
          <w:color w:val="161616"/>
        </w:rPr>
        <w:t>r</w:t>
      </w:r>
      <w:r>
        <w:rPr>
          <w:rFonts w:ascii="Arial" w:cs="Arial" w:eastAsia="Arial" w:hAnsi="Arial"/>
          <w:sz w:val="18"/>
          <w:szCs w:val="18"/>
          <w:color w:val="424242"/>
        </w:rPr>
        <w:t>est</w:t>
      </w:r>
      <w:r>
        <w:rPr>
          <w:rFonts w:ascii="Arial" w:cs="Arial" w:eastAsia="Arial" w:hAnsi="Arial"/>
          <w:sz w:val="18"/>
          <w:szCs w:val="18"/>
          <w:color w:val="161616"/>
        </w:rPr>
        <w:t>ri</w:t>
      </w:r>
      <w:r>
        <w:rPr>
          <w:rFonts w:ascii="Arial" w:cs="Arial" w:eastAsia="Arial" w:hAnsi="Arial"/>
          <w:sz w:val="18"/>
          <w:szCs w:val="18"/>
          <w:color w:val="424242"/>
        </w:rPr>
        <w:t>cted</w:t>
      </w:r>
      <w:r>
        <w:rPr>
          <w:rFonts w:ascii="Arial" w:cs="Arial" w:eastAsia="Arial" w:hAnsi="Arial"/>
          <w:sz w:val="18"/>
          <w:szCs w:val="18"/>
          <w:color w:val="2D2D2D"/>
        </w:rPr>
        <w:t xml:space="preserve"> to the Territory </w:t>
      </w:r>
      <w:r>
        <w:rPr>
          <w:rFonts w:ascii="Arial" w:cs="Arial" w:eastAsia="Arial" w:hAnsi="Arial"/>
          <w:sz w:val="18"/>
          <w:szCs w:val="18"/>
          <w:color w:val="161616"/>
        </w:rPr>
        <w:t>in</w:t>
      </w:r>
      <w:r>
        <w:rPr>
          <w:rFonts w:ascii="Arial" w:cs="Arial" w:eastAsia="Arial" w:hAnsi="Arial"/>
          <w:sz w:val="18"/>
          <w:szCs w:val="18"/>
          <w:color w:val="2D2D2D"/>
        </w:rPr>
        <w:t xml:space="preserve"> order to </w:t>
      </w:r>
      <w:r>
        <w:rPr>
          <w:rFonts w:ascii="Arial" w:cs="Arial" w:eastAsia="Arial" w:hAnsi="Arial"/>
          <w:sz w:val="18"/>
          <w:szCs w:val="18"/>
          <w:color w:val="424242"/>
        </w:rPr>
        <w:t>ens</w:t>
      </w:r>
      <w:r>
        <w:rPr>
          <w:rFonts w:ascii="Arial" w:cs="Arial" w:eastAsia="Arial" w:hAnsi="Arial"/>
          <w:sz w:val="18"/>
          <w:szCs w:val="18"/>
          <w:color w:val="161616"/>
        </w:rPr>
        <w:t>ur</w:t>
      </w:r>
      <w:r>
        <w:rPr>
          <w:rFonts w:ascii="Arial" w:cs="Arial" w:eastAsia="Arial" w:hAnsi="Arial"/>
          <w:sz w:val="18"/>
          <w:szCs w:val="18"/>
          <w:color w:val="424242"/>
        </w:rPr>
        <w:t>e</w:t>
      </w:r>
      <w:r>
        <w:rPr>
          <w:rFonts w:ascii="Arial" w:cs="Arial" w:eastAsia="Arial" w:hAnsi="Arial"/>
          <w:sz w:val="18"/>
          <w:szCs w:val="18"/>
          <w:color w:val="2D2D2D"/>
        </w:rPr>
        <w:t xml:space="preserve"> that </w:t>
      </w:r>
      <w:r>
        <w:rPr>
          <w:rFonts w:ascii="Arial" w:cs="Arial" w:eastAsia="Arial" w:hAnsi="Arial"/>
          <w:sz w:val="18"/>
          <w:szCs w:val="18"/>
          <w:color w:val="424242"/>
        </w:rPr>
        <w:t>purchasers of</w:t>
      </w:r>
      <w:r>
        <w:rPr>
          <w:rFonts w:ascii="Arial" w:cs="Arial" w:eastAsia="Arial" w:hAnsi="Arial"/>
          <w:sz w:val="18"/>
          <w:szCs w:val="18"/>
          <w:color w:val="2D2D2D"/>
        </w:rPr>
        <w:t xml:space="preserve"> Company Produ</w:t>
      </w:r>
      <w:r>
        <w:rPr>
          <w:rFonts w:ascii="Arial" w:cs="Arial" w:eastAsia="Arial" w:hAnsi="Arial"/>
          <w:sz w:val="18"/>
          <w:szCs w:val="18"/>
          <w:color w:val="525252"/>
        </w:rPr>
        <w:t>c</w:t>
      </w:r>
      <w:r>
        <w:rPr>
          <w:rFonts w:ascii="Arial" w:cs="Arial" w:eastAsia="Arial" w:hAnsi="Arial"/>
          <w:sz w:val="18"/>
          <w:szCs w:val="18"/>
          <w:color w:val="2D2D2D"/>
        </w:rPr>
        <w:t>t</w:t>
      </w:r>
      <w:r>
        <w:rPr>
          <w:rFonts w:ascii="Arial" w:cs="Arial" w:eastAsia="Arial" w:hAnsi="Arial"/>
          <w:sz w:val="18"/>
          <w:szCs w:val="18"/>
          <w:color w:val="525252"/>
        </w:rPr>
        <w:t>s</w:t>
      </w:r>
      <w:r>
        <w:rPr>
          <w:rFonts w:ascii="Arial" w:cs="Arial" w:eastAsia="Arial" w:hAnsi="Arial"/>
          <w:sz w:val="18"/>
          <w:szCs w:val="18"/>
          <w:color w:val="2D2D2D"/>
        </w:rPr>
        <w:t xml:space="preserve"> </w:t>
      </w:r>
      <w:r>
        <w:rPr>
          <w:rFonts w:ascii="Arial" w:cs="Arial" w:eastAsia="Arial" w:hAnsi="Arial"/>
          <w:sz w:val="18"/>
          <w:szCs w:val="18"/>
          <w:color w:val="161616"/>
        </w:rPr>
        <w:t>r</w:t>
      </w:r>
      <w:r>
        <w:rPr>
          <w:rFonts w:ascii="Arial" w:cs="Arial" w:eastAsia="Arial" w:hAnsi="Arial"/>
          <w:sz w:val="18"/>
          <w:szCs w:val="18"/>
          <w:color w:val="424242"/>
        </w:rPr>
        <w:t>ece</w:t>
      </w:r>
      <w:r>
        <w:rPr>
          <w:rFonts w:ascii="Arial" w:cs="Arial" w:eastAsia="Arial" w:hAnsi="Arial"/>
          <w:sz w:val="18"/>
          <w:szCs w:val="18"/>
          <w:color w:val="161616"/>
        </w:rPr>
        <w:t>iv</w:t>
      </w:r>
      <w:r>
        <w:rPr>
          <w:rFonts w:ascii="Arial" w:cs="Arial" w:eastAsia="Arial" w:hAnsi="Arial"/>
          <w:sz w:val="18"/>
          <w:szCs w:val="18"/>
          <w:color w:val="424242"/>
        </w:rPr>
        <w:t>e</w:t>
      </w:r>
      <w:r>
        <w:rPr>
          <w:rFonts w:ascii="Arial" w:cs="Arial" w:eastAsia="Arial" w:hAnsi="Arial"/>
          <w:sz w:val="18"/>
          <w:szCs w:val="18"/>
          <w:color w:val="2D2D2D"/>
        </w:rPr>
        <w:t xml:space="preserve"> Customer </w:t>
      </w:r>
      <w:r>
        <w:rPr>
          <w:rFonts w:ascii="Arial" w:cs="Arial" w:eastAsia="Arial" w:hAnsi="Arial"/>
          <w:sz w:val="18"/>
          <w:szCs w:val="18"/>
          <w:color w:val="424242"/>
        </w:rPr>
        <w:t>suppo</w:t>
      </w:r>
      <w:r>
        <w:rPr>
          <w:rFonts w:ascii="Arial" w:cs="Arial" w:eastAsia="Arial" w:hAnsi="Arial"/>
          <w:sz w:val="18"/>
          <w:szCs w:val="18"/>
          <w:color w:val="161616"/>
        </w:rPr>
        <w:t>r</w:t>
      </w:r>
      <w:r>
        <w:rPr>
          <w:rFonts w:ascii="Arial" w:cs="Arial" w:eastAsia="Arial" w:hAnsi="Arial"/>
          <w:sz w:val="18"/>
          <w:szCs w:val="18"/>
          <w:color w:val="424242"/>
        </w:rPr>
        <w:t xml:space="preserve">t and services </w:t>
      </w:r>
      <w:r>
        <w:rPr>
          <w:rFonts w:ascii="Arial" w:cs="Arial" w:eastAsia="Arial" w:hAnsi="Arial"/>
          <w:sz w:val="18"/>
          <w:szCs w:val="18"/>
          <w:color w:val="2D2D2D"/>
        </w:rPr>
        <w:t>consistent with the requir</w:t>
      </w:r>
      <w:r>
        <w:rPr>
          <w:rFonts w:ascii="Arial" w:cs="Arial" w:eastAsia="Arial" w:hAnsi="Arial"/>
          <w:sz w:val="18"/>
          <w:szCs w:val="18"/>
          <w:color w:val="525252"/>
        </w:rPr>
        <w:t>e</w:t>
      </w:r>
      <w:r>
        <w:rPr>
          <w:rFonts w:ascii="Arial" w:cs="Arial" w:eastAsia="Arial" w:hAnsi="Arial"/>
          <w:sz w:val="18"/>
          <w:szCs w:val="18"/>
          <w:color w:val="2D2D2D"/>
        </w:rPr>
        <w:t>ments</w:t>
      </w:r>
      <w:r>
        <w:rPr>
          <w:rFonts w:ascii="Arial" w:cs="Arial" w:eastAsia="Arial" w:hAnsi="Arial"/>
          <w:sz w:val="18"/>
          <w:szCs w:val="18"/>
          <w:color w:val="424242"/>
        </w:rPr>
        <w:t xml:space="preserve"> set </w:t>
      </w:r>
      <w:r>
        <w:rPr>
          <w:rFonts w:ascii="Arial" w:cs="Arial" w:eastAsia="Arial" w:hAnsi="Arial"/>
          <w:sz w:val="18"/>
          <w:szCs w:val="18"/>
          <w:color w:val="2D2D2D"/>
        </w:rPr>
        <w:t>forth in</w:t>
      </w:r>
      <w:r>
        <w:rPr>
          <w:rFonts w:ascii="Arial" w:cs="Arial" w:eastAsia="Arial" w:hAnsi="Arial"/>
          <w:sz w:val="18"/>
          <w:szCs w:val="18"/>
          <w:color w:val="424242"/>
        </w:rPr>
        <w:t xml:space="preserve"> Sect</w:t>
      </w:r>
      <w:r>
        <w:rPr>
          <w:rFonts w:ascii="Arial" w:cs="Arial" w:eastAsia="Arial" w:hAnsi="Arial"/>
          <w:sz w:val="18"/>
          <w:szCs w:val="18"/>
          <w:color w:val="161616"/>
        </w:rPr>
        <w:t>ion</w:t>
      </w:r>
      <w:r>
        <w:rPr>
          <w:rFonts w:ascii="Arial" w:cs="Arial" w:eastAsia="Arial" w:hAnsi="Arial"/>
          <w:sz w:val="18"/>
          <w:szCs w:val="18"/>
          <w:color w:val="424242"/>
        </w:rPr>
        <w:t xml:space="preserve"> </w:t>
      </w:r>
      <w:r>
        <w:rPr>
          <w:rFonts w:ascii="Arial" w:cs="Arial" w:eastAsia="Arial" w:hAnsi="Arial"/>
          <w:sz w:val="18"/>
          <w:szCs w:val="18"/>
          <w:color w:val="2D2D2D"/>
        </w:rPr>
        <w:t>3.</w:t>
      </w:r>
      <w:r>
        <w:rPr>
          <w:rFonts w:ascii="Arial" w:cs="Arial" w:eastAsia="Arial" w:hAnsi="Arial"/>
          <w:sz w:val="18"/>
          <w:szCs w:val="18"/>
          <w:color w:val="525252"/>
        </w:rPr>
        <w:t>3</w:t>
      </w:r>
      <w:r>
        <w:rPr>
          <w:rFonts w:ascii="Arial" w:cs="Arial" w:eastAsia="Arial" w:hAnsi="Arial"/>
          <w:sz w:val="18"/>
          <w:szCs w:val="18"/>
          <w:color w:val="424242"/>
        </w:rPr>
        <w:t xml:space="preserve"> a</w:t>
      </w:r>
      <w:r>
        <w:rPr>
          <w:rFonts w:ascii="Arial" w:cs="Arial" w:eastAsia="Arial" w:hAnsi="Arial"/>
          <w:sz w:val="18"/>
          <w:szCs w:val="18"/>
          <w:color w:val="161616"/>
        </w:rPr>
        <w:t>nd</w:t>
      </w:r>
      <w:r>
        <w:rPr>
          <w:rFonts w:ascii="Arial" w:cs="Arial" w:eastAsia="Arial" w:hAnsi="Arial"/>
          <w:sz w:val="18"/>
          <w:szCs w:val="18"/>
          <w:color w:val="424242"/>
        </w:rPr>
        <w:t xml:space="preserve"> to ensure </w:t>
      </w:r>
      <w:r>
        <w:rPr>
          <w:rFonts w:ascii="Arial" w:cs="Arial" w:eastAsia="Arial" w:hAnsi="Arial"/>
          <w:sz w:val="18"/>
          <w:szCs w:val="18"/>
          <w:color w:val="2D2D2D"/>
        </w:rPr>
        <w:t>that there</w:t>
      </w:r>
      <w:r>
        <w:rPr>
          <w:rFonts w:ascii="Arial" w:cs="Arial" w:eastAsia="Arial" w:hAnsi="Arial"/>
          <w:sz w:val="18"/>
          <w:szCs w:val="18"/>
          <w:color w:val="424242"/>
        </w:rPr>
        <w:t xml:space="preserve"> is </w:t>
      </w:r>
      <w:r>
        <w:rPr>
          <w:rFonts w:ascii="Arial" w:cs="Arial" w:eastAsia="Arial" w:hAnsi="Arial"/>
          <w:sz w:val="18"/>
          <w:szCs w:val="18"/>
          <w:color w:val="161616"/>
        </w:rPr>
        <w:t>no</w:t>
      </w:r>
      <w:r>
        <w:rPr>
          <w:rFonts w:ascii="Arial" w:cs="Arial" w:eastAsia="Arial" w:hAnsi="Arial"/>
          <w:sz w:val="18"/>
          <w:szCs w:val="18"/>
          <w:color w:val="424242"/>
        </w:rPr>
        <w:t xml:space="preserve"> </w:t>
      </w:r>
      <w:r>
        <w:rPr>
          <w:rFonts w:ascii="Arial" w:cs="Arial" w:eastAsia="Arial" w:hAnsi="Arial"/>
          <w:sz w:val="18"/>
          <w:szCs w:val="18"/>
          <w:color w:val="2D2D2D"/>
        </w:rPr>
        <w:t>language barri</w:t>
      </w:r>
      <w:r>
        <w:rPr>
          <w:rFonts w:ascii="Arial" w:cs="Arial" w:eastAsia="Arial" w:hAnsi="Arial"/>
          <w:sz w:val="18"/>
          <w:szCs w:val="18"/>
          <w:color w:val="525252"/>
        </w:rPr>
        <w:t>e</w:t>
      </w:r>
      <w:r>
        <w:rPr>
          <w:rFonts w:ascii="Arial" w:cs="Arial" w:eastAsia="Arial" w:hAnsi="Arial"/>
          <w:sz w:val="18"/>
          <w:szCs w:val="18"/>
          <w:color w:val="2D2D2D"/>
        </w:rPr>
        <w:t>r in providing</w:t>
      </w:r>
      <w:r>
        <w:rPr>
          <w:rFonts w:ascii="Arial" w:cs="Arial" w:eastAsia="Arial" w:hAnsi="Arial"/>
          <w:sz w:val="18"/>
          <w:szCs w:val="18"/>
          <w:color w:val="424242"/>
        </w:rPr>
        <w:t xml:space="preserve"> suc</w:t>
      </w:r>
      <w:r>
        <w:rPr>
          <w:rFonts w:ascii="Arial" w:cs="Arial" w:eastAsia="Arial" w:hAnsi="Arial"/>
          <w:sz w:val="18"/>
          <w:szCs w:val="18"/>
          <w:color w:val="161616"/>
        </w:rPr>
        <w:t>h</w:t>
      </w:r>
      <w:r>
        <w:rPr>
          <w:rFonts w:ascii="Arial" w:cs="Arial" w:eastAsia="Arial" w:hAnsi="Arial"/>
          <w:sz w:val="18"/>
          <w:szCs w:val="18"/>
          <w:color w:val="424242"/>
        </w:rPr>
        <w:t xml:space="preserve"> services and </w:t>
      </w:r>
      <w:r>
        <w:rPr>
          <w:rFonts w:ascii="Arial" w:cs="Arial" w:eastAsia="Arial" w:hAnsi="Arial"/>
          <w:sz w:val="18"/>
          <w:szCs w:val="18"/>
          <w:color w:val="2D2D2D"/>
        </w:rPr>
        <w:t>support.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D2D2D"/>
        </w:rPr>
        <w:t xml:space="preserve">6. EXPORT </w:t>
      </w:r>
      <w:r>
        <w:rPr>
          <w:rFonts w:ascii="Arial" w:cs="Arial" w:eastAsia="Arial" w:hAnsi="Arial"/>
          <w:sz w:val="18"/>
          <w:szCs w:val="18"/>
          <w:b w:val="1"/>
          <w:bCs w:val="1"/>
          <w:u w:val="single" w:color="auto"/>
          <w:color w:val="161616"/>
        </w:rPr>
        <w:t>AND</w:t>
      </w:r>
      <w:r>
        <w:rPr>
          <w:rFonts w:ascii="Arial" w:cs="Arial" w:eastAsia="Arial" w:hAnsi="Arial"/>
          <w:sz w:val="18"/>
          <w:szCs w:val="18"/>
          <w:b w:val="1"/>
          <w:bCs w:val="1"/>
          <w:u w:val="single" w:color="auto"/>
          <w:color w:val="2D2D2D"/>
        </w:rPr>
        <w:t xml:space="preserve"> IMPORT LICENSING</w:t>
      </w:r>
    </w:p>
    <w:p>
      <w:pPr>
        <w:spacing w:after="0" w:line="225" w:lineRule="exact"/>
        <w:rPr>
          <w:sz w:val="20"/>
          <w:szCs w:val="20"/>
          <w:color w:val="auto"/>
        </w:rPr>
      </w:pPr>
    </w:p>
    <w:p>
      <w:pPr>
        <w:ind w:left="1300" w:right="20" w:hanging="323"/>
        <w:spacing w:after="0" w:line="23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2D2D2D"/>
        </w:rPr>
        <w:t>Licenses and</w:t>
      </w:r>
      <w:r>
        <w:rPr>
          <w:rFonts w:ascii="Arial" w:cs="Arial" w:eastAsia="Arial" w:hAnsi="Arial"/>
          <w:sz w:val="17"/>
          <w:szCs w:val="17"/>
          <w:color w:val="auto"/>
        </w:rPr>
        <w:t xml:space="preserve"> </w:t>
      </w:r>
      <w:r>
        <w:rPr>
          <w:rFonts w:ascii="Arial" w:cs="Arial" w:eastAsia="Arial" w:hAnsi="Arial"/>
          <w:sz w:val="17"/>
          <w:szCs w:val="17"/>
          <w:b w:val="1"/>
          <w:bCs w:val="1"/>
          <w:color w:val="161616"/>
        </w:rPr>
        <w:t>Approvals.</w:t>
      </w:r>
      <w:r>
        <w:rPr>
          <w:rFonts w:ascii="Arial" w:cs="Arial" w:eastAsia="Arial" w:hAnsi="Arial"/>
          <w:sz w:val="17"/>
          <w:szCs w:val="17"/>
          <w:color w:val="auto"/>
        </w:rPr>
        <w:t xml:space="preserve"> </w:t>
      </w:r>
      <w:r>
        <w:rPr>
          <w:rFonts w:ascii="Arial" w:cs="Arial" w:eastAsia="Arial" w:hAnsi="Arial"/>
          <w:sz w:val="17"/>
          <w:szCs w:val="17"/>
          <w:color w:val="2D2D2D"/>
        </w:rPr>
        <w:t>Prior to</w:t>
      </w:r>
      <w:r>
        <w:rPr>
          <w:rFonts w:ascii="Arial" w:cs="Arial" w:eastAsia="Arial" w:hAnsi="Arial"/>
          <w:sz w:val="17"/>
          <w:szCs w:val="17"/>
          <w:color w:val="auto"/>
        </w:rPr>
        <w:t xml:space="preserve"> </w:t>
      </w:r>
      <w:r>
        <w:rPr>
          <w:rFonts w:ascii="Arial" w:cs="Arial" w:eastAsia="Arial" w:hAnsi="Arial"/>
          <w:sz w:val="17"/>
          <w:szCs w:val="17"/>
          <w:color w:val="525252"/>
        </w:rPr>
        <w:t>s</w:t>
      </w:r>
      <w:r>
        <w:rPr>
          <w:rFonts w:ascii="Arial" w:cs="Arial" w:eastAsia="Arial" w:hAnsi="Arial"/>
          <w:sz w:val="17"/>
          <w:szCs w:val="17"/>
          <w:color w:val="161616"/>
        </w:rPr>
        <w:t>hi</w:t>
      </w:r>
      <w:r>
        <w:rPr>
          <w:rFonts w:ascii="Arial" w:cs="Arial" w:eastAsia="Arial" w:hAnsi="Arial"/>
          <w:sz w:val="17"/>
          <w:szCs w:val="17"/>
          <w:color w:val="424242"/>
        </w:rPr>
        <w:t>pping any</w:t>
      </w:r>
      <w:r>
        <w:rPr>
          <w:rFonts w:ascii="Arial" w:cs="Arial" w:eastAsia="Arial" w:hAnsi="Arial"/>
          <w:sz w:val="17"/>
          <w:szCs w:val="17"/>
          <w:color w:val="auto"/>
        </w:rPr>
        <w:t xml:space="preserve"> </w:t>
      </w:r>
      <w:r>
        <w:rPr>
          <w:rFonts w:ascii="Arial" w:cs="Arial" w:eastAsia="Arial" w:hAnsi="Arial"/>
          <w:sz w:val="17"/>
          <w:szCs w:val="17"/>
          <w:color w:val="2D2D2D"/>
        </w:rPr>
        <w:t>Products to Distributor</w:t>
      </w:r>
      <w:r>
        <w:rPr>
          <w:rFonts w:ascii="Arial" w:cs="Arial" w:eastAsia="Arial" w:hAnsi="Arial"/>
          <w:sz w:val="17"/>
          <w:szCs w:val="17"/>
          <w:color w:val="525252"/>
        </w:rPr>
        <w:t>,</w:t>
      </w:r>
      <w:r>
        <w:rPr>
          <w:rFonts w:ascii="Arial" w:cs="Arial" w:eastAsia="Arial" w:hAnsi="Arial"/>
          <w:sz w:val="17"/>
          <w:szCs w:val="17"/>
          <w:color w:val="auto"/>
        </w:rPr>
        <w:t xml:space="preserve"> </w:t>
      </w:r>
      <w:r>
        <w:rPr>
          <w:rFonts w:ascii="Arial" w:cs="Arial" w:eastAsia="Arial" w:hAnsi="Arial"/>
          <w:sz w:val="17"/>
          <w:szCs w:val="17"/>
          <w:color w:val="2D2D2D"/>
        </w:rPr>
        <w:t>Company</w:t>
      </w:r>
      <w:r>
        <w:rPr>
          <w:rFonts w:ascii="Arial" w:cs="Arial" w:eastAsia="Arial" w:hAnsi="Arial"/>
          <w:sz w:val="17"/>
          <w:szCs w:val="17"/>
          <w:color w:val="auto"/>
        </w:rPr>
        <w:t xml:space="preserve"> </w:t>
      </w:r>
      <w:r>
        <w:rPr>
          <w:rFonts w:ascii="Arial" w:cs="Arial" w:eastAsia="Arial" w:hAnsi="Arial"/>
          <w:sz w:val="17"/>
          <w:szCs w:val="17"/>
          <w:color w:val="424242"/>
        </w:rPr>
        <w:t>wi</w:t>
      </w:r>
      <w:r>
        <w:rPr>
          <w:rFonts w:ascii="Arial" w:cs="Arial" w:eastAsia="Arial" w:hAnsi="Arial"/>
          <w:sz w:val="17"/>
          <w:szCs w:val="17"/>
          <w:color w:val="161616"/>
        </w:rPr>
        <w:t>ll</w:t>
      </w:r>
      <w:r>
        <w:rPr>
          <w:rFonts w:ascii="Arial" w:cs="Arial" w:eastAsia="Arial" w:hAnsi="Arial"/>
          <w:sz w:val="17"/>
          <w:szCs w:val="17"/>
          <w:color w:val="auto"/>
        </w:rPr>
        <w:t xml:space="preserve"> </w:t>
      </w:r>
      <w:r>
        <w:rPr>
          <w:rFonts w:ascii="Arial" w:cs="Arial" w:eastAsia="Arial" w:hAnsi="Arial"/>
          <w:sz w:val="17"/>
          <w:szCs w:val="17"/>
          <w:color w:val="2D2D2D"/>
        </w:rPr>
        <w:t>obtain</w:t>
      </w:r>
      <w:r>
        <w:rPr>
          <w:rFonts w:ascii="Arial" w:cs="Arial" w:eastAsia="Arial" w:hAnsi="Arial"/>
          <w:sz w:val="17"/>
          <w:szCs w:val="17"/>
          <w:color w:val="606060"/>
        </w:rPr>
        <w:t>,</w:t>
      </w:r>
      <w:r>
        <w:rPr>
          <w:rFonts w:ascii="Arial" w:cs="Arial" w:eastAsia="Arial" w:hAnsi="Arial"/>
          <w:sz w:val="17"/>
          <w:szCs w:val="17"/>
          <w:color w:val="auto"/>
        </w:rPr>
        <w:t xml:space="preserve"> </w:t>
      </w:r>
      <w:r>
        <w:rPr>
          <w:rFonts w:ascii="Arial" w:cs="Arial" w:eastAsia="Arial" w:hAnsi="Arial"/>
          <w:sz w:val="17"/>
          <w:szCs w:val="17"/>
          <w:color w:val="2D2D2D"/>
        </w:rPr>
        <w:t>[***]</w:t>
      </w:r>
      <w:r>
        <w:rPr>
          <w:rFonts w:ascii="Arial" w:cs="Arial" w:eastAsia="Arial" w:hAnsi="Arial"/>
          <w:sz w:val="17"/>
          <w:szCs w:val="17"/>
          <w:color w:val="424242"/>
        </w:rPr>
        <w:t>,</w:t>
      </w:r>
      <w:r>
        <w:rPr>
          <w:rFonts w:ascii="Arial" w:cs="Arial" w:eastAsia="Arial" w:hAnsi="Arial"/>
          <w:sz w:val="17"/>
          <w:szCs w:val="17"/>
          <w:color w:val="auto"/>
        </w:rPr>
        <w:t xml:space="preserve"> </w:t>
      </w:r>
      <w:r>
        <w:rPr>
          <w:rFonts w:ascii="Arial" w:cs="Arial" w:eastAsia="Arial" w:hAnsi="Arial"/>
          <w:sz w:val="17"/>
          <w:szCs w:val="17"/>
          <w:color w:val="2D2D2D"/>
        </w:rPr>
        <w:t>all United State</w:t>
      </w:r>
      <w:r>
        <w:rPr>
          <w:rFonts w:ascii="Arial" w:cs="Arial" w:eastAsia="Arial" w:hAnsi="Arial"/>
          <w:sz w:val="17"/>
          <w:szCs w:val="17"/>
          <w:color w:val="525252"/>
        </w:rPr>
        <w:t>s</w:t>
      </w:r>
      <w:r>
        <w:rPr>
          <w:rFonts w:ascii="Arial" w:cs="Arial" w:eastAsia="Arial" w:hAnsi="Arial"/>
          <w:sz w:val="17"/>
          <w:szCs w:val="17"/>
          <w:color w:val="auto"/>
        </w:rPr>
        <w:t xml:space="preserve"> </w:t>
      </w:r>
      <w:r>
        <w:rPr>
          <w:rFonts w:ascii="Arial" w:cs="Arial" w:eastAsia="Arial" w:hAnsi="Arial"/>
          <w:sz w:val="17"/>
          <w:szCs w:val="17"/>
          <w:color w:val="2D2D2D"/>
        </w:rPr>
        <w:t>export license</w:t>
      </w:r>
      <w:r>
        <w:rPr>
          <w:rFonts w:ascii="Arial" w:cs="Arial" w:eastAsia="Arial" w:hAnsi="Arial"/>
          <w:sz w:val="17"/>
          <w:szCs w:val="17"/>
          <w:color w:val="525252"/>
        </w:rPr>
        <w:t>s</w:t>
      </w:r>
      <w:r>
        <w:rPr>
          <w:rFonts w:ascii="Arial" w:cs="Arial" w:eastAsia="Arial" w:hAnsi="Arial"/>
          <w:sz w:val="17"/>
          <w:szCs w:val="17"/>
          <w:color w:val="auto"/>
        </w:rPr>
        <w:t xml:space="preserve"> </w:t>
      </w:r>
      <w:r>
        <w:rPr>
          <w:rFonts w:ascii="Arial" w:cs="Arial" w:eastAsia="Arial" w:hAnsi="Arial"/>
          <w:sz w:val="17"/>
          <w:szCs w:val="17"/>
          <w:color w:val="424242"/>
        </w:rPr>
        <w:t>and</w:t>
      </w:r>
      <w:r>
        <w:rPr>
          <w:rFonts w:ascii="Arial" w:cs="Arial" w:eastAsia="Arial" w:hAnsi="Arial"/>
          <w:sz w:val="17"/>
          <w:szCs w:val="17"/>
          <w:color w:val="auto"/>
        </w:rPr>
        <w:t xml:space="preserve"> </w:t>
      </w:r>
      <w:r>
        <w:rPr>
          <w:rFonts w:ascii="Arial" w:cs="Arial" w:eastAsia="Arial" w:hAnsi="Arial"/>
          <w:sz w:val="17"/>
          <w:szCs w:val="17"/>
          <w:color w:val="424242"/>
        </w:rPr>
        <w:t xml:space="preserve">approvals </w:t>
      </w:r>
      <w:r>
        <w:rPr>
          <w:rFonts w:ascii="Arial" w:cs="Arial" w:eastAsia="Arial" w:hAnsi="Arial"/>
          <w:sz w:val="17"/>
          <w:szCs w:val="17"/>
          <w:color w:val="161616"/>
        </w:rPr>
        <w:t>ne</w:t>
      </w:r>
      <w:r>
        <w:rPr>
          <w:rFonts w:ascii="Arial" w:cs="Arial" w:eastAsia="Arial" w:hAnsi="Arial"/>
          <w:sz w:val="17"/>
          <w:szCs w:val="17"/>
          <w:color w:val="424242"/>
        </w:rPr>
        <w:t>cessary to perm</w:t>
      </w:r>
      <w:r>
        <w:rPr>
          <w:rFonts w:ascii="Arial" w:cs="Arial" w:eastAsia="Arial" w:hAnsi="Arial"/>
          <w:sz w:val="17"/>
          <w:szCs w:val="17"/>
          <w:color w:val="161616"/>
        </w:rPr>
        <w:t>it</w:t>
      </w:r>
      <w:r>
        <w:rPr>
          <w:rFonts w:ascii="Arial" w:cs="Arial" w:eastAsia="Arial" w:hAnsi="Arial"/>
          <w:sz w:val="17"/>
          <w:szCs w:val="17"/>
          <w:color w:val="424242"/>
        </w:rPr>
        <w:t xml:space="preserve"> suc</w:t>
      </w:r>
      <w:r>
        <w:rPr>
          <w:rFonts w:ascii="Arial" w:cs="Arial" w:eastAsia="Arial" w:hAnsi="Arial"/>
          <w:sz w:val="17"/>
          <w:szCs w:val="17"/>
          <w:color w:val="161616"/>
        </w:rPr>
        <w:t>h</w:t>
      </w:r>
      <w:r>
        <w:rPr>
          <w:rFonts w:ascii="Arial" w:cs="Arial" w:eastAsia="Arial" w:hAnsi="Arial"/>
          <w:sz w:val="17"/>
          <w:szCs w:val="17"/>
          <w:color w:val="424242"/>
        </w:rPr>
        <w:t xml:space="preserve"> s</w:t>
      </w:r>
      <w:r>
        <w:rPr>
          <w:rFonts w:ascii="Arial" w:cs="Arial" w:eastAsia="Arial" w:hAnsi="Arial"/>
          <w:sz w:val="17"/>
          <w:szCs w:val="17"/>
          <w:color w:val="161616"/>
        </w:rPr>
        <w:t>hipm</w:t>
      </w:r>
      <w:r>
        <w:rPr>
          <w:rFonts w:ascii="Arial" w:cs="Arial" w:eastAsia="Arial" w:hAnsi="Arial"/>
          <w:sz w:val="17"/>
          <w:szCs w:val="17"/>
          <w:color w:val="525252"/>
        </w:rPr>
        <w:t>e</w:t>
      </w:r>
      <w:r>
        <w:rPr>
          <w:rFonts w:ascii="Arial" w:cs="Arial" w:eastAsia="Arial" w:hAnsi="Arial"/>
          <w:sz w:val="17"/>
          <w:szCs w:val="17"/>
          <w:color w:val="161616"/>
        </w:rPr>
        <w:t>nt.</w:t>
      </w:r>
      <w:r>
        <w:rPr>
          <w:rFonts w:ascii="Arial" w:cs="Arial" w:eastAsia="Arial" w:hAnsi="Arial"/>
          <w:sz w:val="17"/>
          <w:szCs w:val="17"/>
          <w:color w:val="424242"/>
        </w:rPr>
        <w:t xml:space="preserve"> </w:t>
      </w:r>
      <w:r>
        <w:rPr>
          <w:rFonts w:ascii="Arial" w:cs="Arial" w:eastAsia="Arial" w:hAnsi="Arial"/>
          <w:sz w:val="17"/>
          <w:szCs w:val="17"/>
          <w:color w:val="2D2D2D"/>
        </w:rPr>
        <w:t>Distributor will</w:t>
      </w:r>
      <w:r>
        <w:rPr>
          <w:rFonts w:ascii="Arial" w:cs="Arial" w:eastAsia="Arial" w:hAnsi="Arial"/>
          <w:sz w:val="17"/>
          <w:szCs w:val="17"/>
          <w:color w:val="424242"/>
        </w:rPr>
        <w:t xml:space="preserve"> a</w:t>
      </w:r>
      <w:r>
        <w:rPr>
          <w:rFonts w:ascii="Arial" w:cs="Arial" w:eastAsia="Arial" w:hAnsi="Arial"/>
          <w:sz w:val="17"/>
          <w:szCs w:val="17"/>
          <w:color w:val="161616"/>
        </w:rPr>
        <w:t>l</w:t>
      </w:r>
      <w:r>
        <w:rPr>
          <w:rFonts w:ascii="Arial" w:cs="Arial" w:eastAsia="Arial" w:hAnsi="Arial"/>
          <w:sz w:val="17"/>
          <w:szCs w:val="17"/>
          <w:color w:val="525252"/>
        </w:rPr>
        <w:t>s</w:t>
      </w:r>
      <w:r>
        <w:rPr>
          <w:rFonts w:ascii="Arial" w:cs="Arial" w:eastAsia="Arial" w:hAnsi="Arial"/>
          <w:sz w:val="17"/>
          <w:szCs w:val="17"/>
          <w:color w:val="2D2D2D"/>
        </w:rPr>
        <w:t>o</w:t>
      </w:r>
      <w:r>
        <w:rPr>
          <w:rFonts w:ascii="Arial" w:cs="Arial" w:eastAsia="Arial" w:hAnsi="Arial"/>
          <w:sz w:val="17"/>
          <w:szCs w:val="17"/>
          <w:color w:val="424242"/>
        </w:rPr>
        <w:t xml:space="preserve"> obtain </w:t>
      </w:r>
      <w:r>
        <w:rPr>
          <w:rFonts w:ascii="Arial" w:cs="Arial" w:eastAsia="Arial" w:hAnsi="Arial"/>
          <w:sz w:val="17"/>
          <w:szCs w:val="17"/>
          <w:color w:val="525252"/>
        </w:rPr>
        <w:t>[***]</w:t>
      </w:r>
      <w:r>
        <w:rPr>
          <w:rFonts w:ascii="Arial" w:cs="Arial" w:eastAsia="Arial" w:hAnsi="Arial"/>
          <w:sz w:val="17"/>
          <w:szCs w:val="17"/>
          <w:color w:val="424242"/>
        </w:rPr>
        <w:t xml:space="preserve"> </w:t>
      </w:r>
      <w:r>
        <w:rPr>
          <w:rFonts w:ascii="Arial" w:cs="Arial" w:eastAsia="Arial" w:hAnsi="Arial"/>
          <w:sz w:val="17"/>
          <w:szCs w:val="17"/>
          <w:color w:val="2D2D2D"/>
        </w:rPr>
        <w:t>all</w:t>
      </w:r>
      <w:r>
        <w:rPr>
          <w:rFonts w:ascii="Arial" w:cs="Arial" w:eastAsia="Arial" w:hAnsi="Arial"/>
          <w:sz w:val="17"/>
          <w:szCs w:val="17"/>
          <w:color w:val="424242"/>
        </w:rPr>
        <w:t xml:space="preserve"> </w:t>
      </w:r>
      <w:r>
        <w:rPr>
          <w:rFonts w:ascii="Arial" w:cs="Arial" w:eastAsia="Arial" w:hAnsi="Arial"/>
          <w:sz w:val="17"/>
          <w:szCs w:val="17"/>
          <w:color w:val="161616"/>
        </w:rPr>
        <w:t>li</w:t>
      </w:r>
      <w:r>
        <w:rPr>
          <w:rFonts w:ascii="Arial" w:cs="Arial" w:eastAsia="Arial" w:hAnsi="Arial"/>
          <w:sz w:val="17"/>
          <w:szCs w:val="17"/>
          <w:color w:val="424242"/>
        </w:rPr>
        <w:t xml:space="preserve">censes and </w:t>
      </w:r>
      <w:r>
        <w:rPr>
          <w:rFonts w:ascii="Arial" w:cs="Arial" w:eastAsia="Arial" w:hAnsi="Arial"/>
          <w:sz w:val="17"/>
          <w:szCs w:val="17"/>
          <w:color w:val="525252"/>
        </w:rPr>
        <w:t>a</w:t>
      </w:r>
      <w:r>
        <w:rPr>
          <w:rFonts w:ascii="Arial" w:cs="Arial" w:eastAsia="Arial" w:hAnsi="Arial"/>
          <w:sz w:val="17"/>
          <w:szCs w:val="17"/>
          <w:color w:val="2D2D2D"/>
        </w:rPr>
        <w:t>pprovals required by</w:t>
      </w:r>
      <w:r>
        <w:rPr>
          <w:rFonts w:ascii="Arial" w:cs="Arial" w:eastAsia="Arial" w:hAnsi="Arial"/>
          <w:sz w:val="17"/>
          <w:szCs w:val="17"/>
          <w:color w:val="424242"/>
        </w:rPr>
        <w:t xml:space="preserve"> any other </w:t>
      </w:r>
      <w:r>
        <w:rPr>
          <w:rFonts w:ascii="Arial" w:cs="Arial" w:eastAsia="Arial" w:hAnsi="Arial"/>
          <w:sz w:val="17"/>
          <w:szCs w:val="17"/>
          <w:color w:val="525252"/>
        </w:rPr>
        <w:t>gove</w:t>
      </w:r>
      <w:r>
        <w:rPr>
          <w:rFonts w:ascii="Arial" w:cs="Arial" w:eastAsia="Arial" w:hAnsi="Arial"/>
          <w:sz w:val="17"/>
          <w:szCs w:val="17"/>
          <w:color w:val="2D2D2D"/>
        </w:rPr>
        <w:t>rnm</w:t>
      </w:r>
      <w:r>
        <w:rPr>
          <w:rFonts w:ascii="Arial" w:cs="Arial" w:eastAsia="Arial" w:hAnsi="Arial"/>
          <w:sz w:val="17"/>
          <w:szCs w:val="17"/>
          <w:color w:val="525252"/>
        </w:rPr>
        <w:t>e</w:t>
      </w:r>
      <w:r>
        <w:rPr>
          <w:rFonts w:ascii="Arial" w:cs="Arial" w:eastAsia="Arial" w:hAnsi="Arial"/>
          <w:sz w:val="17"/>
          <w:szCs w:val="17"/>
          <w:color w:val="2D2D2D"/>
        </w:rPr>
        <w:t>nt. Di</w:t>
      </w:r>
      <w:r>
        <w:rPr>
          <w:rFonts w:ascii="Arial" w:cs="Arial" w:eastAsia="Arial" w:hAnsi="Arial"/>
          <w:sz w:val="17"/>
          <w:szCs w:val="17"/>
          <w:color w:val="525252"/>
        </w:rPr>
        <w:t>s</w:t>
      </w:r>
      <w:r>
        <w:rPr>
          <w:rFonts w:ascii="Arial" w:cs="Arial" w:eastAsia="Arial" w:hAnsi="Arial"/>
          <w:sz w:val="17"/>
          <w:szCs w:val="17"/>
          <w:color w:val="2D2D2D"/>
        </w:rPr>
        <w:t>tributor</w:t>
      </w:r>
      <w:r>
        <w:rPr>
          <w:rFonts w:ascii="Arial" w:cs="Arial" w:eastAsia="Arial" w:hAnsi="Arial"/>
          <w:sz w:val="17"/>
          <w:szCs w:val="17"/>
          <w:color w:val="525252"/>
        </w:rPr>
        <w:t xml:space="preserve"> </w:t>
      </w:r>
      <w:r>
        <w:rPr>
          <w:rFonts w:ascii="Arial" w:cs="Arial" w:eastAsia="Arial" w:hAnsi="Arial"/>
          <w:sz w:val="17"/>
          <w:szCs w:val="17"/>
          <w:color w:val="424242"/>
        </w:rPr>
        <w:t>wi</w:t>
      </w:r>
      <w:r>
        <w:rPr>
          <w:rFonts w:ascii="Arial" w:cs="Arial" w:eastAsia="Arial" w:hAnsi="Arial"/>
          <w:sz w:val="17"/>
          <w:szCs w:val="17"/>
          <w:color w:val="161616"/>
        </w:rPr>
        <w:t>ll</w:t>
      </w:r>
      <w:r>
        <w:rPr>
          <w:rFonts w:ascii="Arial" w:cs="Arial" w:eastAsia="Arial" w:hAnsi="Arial"/>
          <w:sz w:val="17"/>
          <w:szCs w:val="17"/>
          <w:color w:val="525252"/>
        </w:rPr>
        <w:t xml:space="preserve"> </w:t>
      </w:r>
      <w:r>
        <w:rPr>
          <w:rFonts w:ascii="Arial" w:cs="Arial" w:eastAsia="Arial" w:hAnsi="Arial"/>
          <w:sz w:val="17"/>
          <w:szCs w:val="17"/>
          <w:color w:val="424242"/>
        </w:rPr>
        <w:t>comp</w:t>
      </w:r>
      <w:r>
        <w:rPr>
          <w:rFonts w:ascii="Arial" w:cs="Arial" w:eastAsia="Arial" w:hAnsi="Arial"/>
          <w:sz w:val="17"/>
          <w:szCs w:val="17"/>
          <w:color w:val="161616"/>
        </w:rPr>
        <w:t>l</w:t>
      </w:r>
      <w:r>
        <w:rPr>
          <w:rFonts w:ascii="Arial" w:cs="Arial" w:eastAsia="Arial" w:hAnsi="Arial"/>
          <w:sz w:val="17"/>
          <w:szCs w:val="17"/>
          <w:color w:val="424242"/>
        </w:rPr>
        <w:t>y</w:t>
      </w:r>
      <w:r>
        <w:rPr>
          <w:rFonts w:ascii="Arial" w:cs="Arial" w:eastAsia="Arial" w:hAnsi="Arial"/>
          <w:sz w:val="17"/>
          <w:szCs w:val="17"/>
          <w:color w:val="525252"/>
        </w:rPr>
        <w:t xml:space="preserve"> </w:t>
      </w:r>
      <w:r>
        <w:rPr>
          <w:rFonts w:ascii="Arial" w:cs="Arial" w:eastAsia="Arial" w:hAnsi="Arial"/>
          <w:sz w:val="17"/>
          <w:szCs w:val="17"/>
          <w:color w:val="2D2D2D"/>
        </w:rPr>
        <w:t>with</w:t>
      </w:r>
      <w:r>
        <w:rPr>
          <w:rFonts w:ascii="Arial" w:cs="Arial" w:eastAsia="Arial" w:hAnsi="Arial"/>
          <w:sz w:val="17"/>
          <w:szCs w:val="17"/>
          <w:color w:val="525252"/>
        </w:rPr>
        <w:t xml:space="preserve"> a</w:t>
      </w:r>
      <w:r>
        <w:rPr>
          <w:rFonts w:ascii="Arial" w:cs="Arial" w:eastAsia="Arial" w:hAnsi="Arial"/>
          <w:sz w:val="17"/>
          <w:szCs w:val="17"/>
          <w:color w:val="161616"/>
        </w:rPr>
        <w:t>ll</w:t>
      </w:r>
      <w:r>
        <w:rPr>
          <w:rFonts w:ascii="Arial" w:cs="Arial" w:eastAsia="Arial" w:hAnsi="Arial"/>
          <w:sz w:val="17"/>
          <w:szCs w:val="17"/>
          <w:color w:val="525252"/>
        </w:rPr>
        <w:t xml:space="preserve"> </w:t>
      </w:r>
      <w:r>
        <w:rPr>
          <w:rFonts w:ascii="Arial" w:cs="Arial" w:eastAsia="Arial" w:hAnsi="Arial"/>
          <w:sz w:val="17"/>
          <w:szCs w:val="17"/>
          <w:color w:val="424242"/>
        </w:rPr>
        <w:t>app</w:t>
      </w:r>
      <w:r>
        <w:rPr>
          <w:rFonts w:ascii="Arial" w:cs="Arial" w:eastAsia="Arial" w:hAnsi="Arial"/>
          <w:sz w:val="17"/>
          <w:szCs w:val="17"/>
          <w:color w:val="161616"/>
        </w:rPr>
        <w:t>li</w:t>
      </w:r>
      <w:r>
        <w:rPr>
          <w:rFonts w:ascii="Arial" w:cs="Arial" w:eastAsia="Arial" w:hAnsi="Arial"/>
          <w:sz w:val="17"/>
          <w:szCs w:val="17"/>
          <w:color w:val="424242"/>
        </w:rPr>
        <w:t>cab</w:t>
      </w:r>
      <w:r>
        <w:rPr>
          <w:rFonts w:ascii="Arial" w:cs="Arial" w:eastAsia="Arial" w:hAnsi="Arial"/>
          <w:sz w:val="17"/>
          <w:szCs w:val="17"/>
          <w:color w:val="161616"/>
        </w:rPr>
        <w:t>l</w:t>
      </w:r>
      <w:r>
        <w:rPr>
          <w:rFonts w:ascii="Arial" w:cs="Arial" w:eastAsia="Arial" w:hAnsi="Arial"/>
          <w:sz w:val="17"/>
          <w:szCs w:val="17"/>
          <w:color w:val="424242"/>
        </w:rPr>
        <w:t>e</w:t>
      </w:r>
      <w:r>
        <w:rPr>
          <w:rFonts w:ascii="Arial" w:cs="Arial" w:eastAsia="Arial" w:hAnsi="Arial"/>
          <w:sz w:val="17"/>
          <w:szCs w:val="17"/>
          <w:color w:val="525252"/>
        </w:rPr>
        <w:t xml:space="preserve"> </w:t>
      </w:r>
      <w:r>
        <w:rPr>
          <w:rFonts w:ascii="Arial" w:cs="Arial" w:eastAsia="Arial" w:hAnsi="Arial"/>
          <w:sz w:val="17"/>
          <w:szCs w:val="17"/>
          <w:color w:val="2D2D2D"/>
        </w:rPr>
        <w:t>rule</w:t>
      </w:r>
      <w:r>
        <w:rPr>
          <w:rFonts w:ascii="Arial" w:cs="Arial" w:eastAsia="Arial" w:hAnsi="Arial"/>
          <w:sz w:val="17"/>
          <w:szCs w:val="17"/>
          <w:color w:val="525252"/>
        </w:rPr>
        <w:t xml:space="preserve">s, </w:t>
      </w:r>
      <w:r>
        <w:rPr>
          <w:rFonts w:ascii="Arial" w:cs="Arial" w:eastAsia="Arial" w:hAnsi="Arial"/>
          <w:sz w:val="17"/>
          <w:szCs w:val="17"/>
          <w:color w:val="2D2D2D"/>
        </w:rPr>
        <w:t>policies</w:t>
      </w:r>
      <w:r>
        <w:rPr>
          <w:rFonts w:ascii="Arial" w:cs="Arial" w:eastAsia="Arial" w:hAnsi="Arial"/>
          <w:sz w:val="17"/>
          <w:szCs w:val="17"/>
          <w:color w:val="525252"/>
        </w:rPr>
        <w:t xml:space="preserve"> </w:t>
      </w:r>
      <w:r>
        <w:rPr>
          <w:rFonts w:ascii="Arial" w:cs="Arial" w:eastAsia="Arial" w:hAnsi="Arial"/>
          <w:sz w:val="17"/>
          <w:szCs w:val="17"/>
          <w:color w:val="424242"/>
        </w:rPr>
        <w:t>and procedures of</w:t>
      </w:r>
      <w:r>
        <w:rPr>
          <w:rFonts w:ascii="Arial" w:cs="Arial" w:eastAsia="Arial" w:hAnsi="Arial"/>
          <w:sz w:val="17"/>
          <w:szCs w:val="17"/>
          <w:color w:val="525252"/>
        </w:rPr>
        <w:t xml:space="preserve"> </w:t>
      </w:r>
      <w:r>
        <w:rPr>
          <w:rFonts w:ascii="Arial" w:cs="Arial" w:eastAsia="Arial" w:hAnsi="Arial"/>
          <w:sz w:val="17"/>
          <w:szCs w:val="17"/>
          <w:color w:val="2D2D2D"/>
        </w:rPr>
        <w:t>all</w:t>
      </w:r>
      <w:r>
        <w:rPr>
          <w:rFonts w:ascii="Arial" w:cs="Arial" w:eastAsia="Arial" w:hAnsi="Arial"/>
          <w:sz w:val="17"/>
          <w:szCs w:val="17"/>
          <w:color w:val="525252"/>
        </w:rPr>
        <w:t xml:space="preserve"> go</w:t>
      </w:r>
      <w:r>
        <w:rPr>
          <w:rFonts w:ascii="Arial" w:cs="Arial" w:eastAsia="Arial" w:hAnsi="Arial"/>
          <w:sz w:val="17"/>
          <w:szCs w:val="17"/>
          <w:color w:val="2D2D2D"/>
        </w:rPr>
        <w:t>vernment</w:t>
      </w:r>
      <w:r>
        <w:rPr>
          <w:rFonts w:ascii="Arial" w:cs="Arial" w:eastAsia="Arial" w:hAnsi="Arial"/>
          <w:sz w:val="17"/>
          <w:szCs w:val="17"/>
          <w:color w:val="525252"/>
        </w:rPr>
        <w:t xml:space="preserve">s </w:t>
      </w:r>
      <w:r>
        <w:rPr>
          <w:rFonts w:ascii="Arial" w:cs="Arial" w:eastAsia="Arial" w:hAnsi="Arial"/>
          <w:sz w:val="17"/>
          <w:szCs w:val="17"/>
          <w:color w:val="161616"/>
        </w:rPr>
        <w:t>in</w:t>
      </w:r>
      <w:r>
        <w:rPr>
          <w:rFonts w:ascii="Arial" w:cs="Arial" w:eastAsia="Arial" w:hAnsi="Arial"/>
          <w:sz w:val="17"/>
          <w:szCs w:val="17"/>
          <w:color w:val="525252"/>
        </w:rPr>
        <w:t xml:space="preserve"> </w:t>
      </w:r>
      <w:r>
        <w:rPr>
          <w:rFonts w:ascii="Arial" w:cs="Arial" w:eastAsia="Arial" w:hAnsi="Arial"/>
          <w:sz w:val="17"/>
          <w:szCs w:val="17"/>
          <w:color w:val="424242"/>
        </w:rPr>
        <w:t>connection with</w:t>
      </w:r>
      <w:r>
        <w:rPr>
          <w:rFonts w:ascii="Arial" w:cs="Arial" w:eastAsia="Arial" w:hAnsi="Arial"/>
          <w:sz w:val="17"/>
          <w:szCs w:val="17"/>
          <w:color w:val="525252"/>
        </w:rPr>
        <w:t xml:space="preserve"> </w:t>
      </w:r>
      <w:r>
        <w:rPr>
          <w:rFonts w:ascii="Arial" w:cs="Arial" w:eastAsia="Arial" w:hAnsi="Arial"/>
          <w:sz w:val="17"/>
          <w:szCs w:val="17"/>
          <w:color w:val="2D2D2D"/>
        </w:rPr>
        <w:t xml:space="preserve">Distributor’s </w:t>
      </w:r>
      <w:r>
        <w:rPr>
          <w:rFonts w:ascii="Arial" w:cs="Arial" w:eastAsia="Arial" w:hAnsi="Arial"/>
          <w:sz w:val="17"/>
          <w:szCs w:val="17"/>
          <w:color w:val="161616"/>
        </w:rPr>
        <w:t>import</w:t>
      </w:r>
      <w:r>
        <w:rPr>
          <w:rFonts w:ascii="Arial" w:cs="Arial" w:eastAsia="Arial" w:hAnsi="Arial"/>
          <w:sz w:val="17"/>
          <w:szCs w:val="17"/>
          <w:color w:val="2D2D2D"/>
        </w:rPr>
        <w:t xml:space="preserve"> </w:t>
      </w:r>
      <w:r>
        <w:rPr>
          <w:rFonts w:ascii="Arial" w:cs="Arial" w:eastAsia="Arial" w:hAnsi="Arial"/>
          <w:sz w:val="17"/>
          <w:szCs w:val="17"/>
          <w:color w:val="424242"/>
        </w:rPr>
        <w:t>o</w:t>
      </w:r>
      <w:r>
        <w:rPr>
          <w:rFonts w:ascii="Arial" w:cs="Arial" w:eastAsia="Arial" w:hAnsi="Arial"/>
          <w:sz w:val="17"/>
          <w:szCs w:val="17"/>
          <w:color w:val="161616"/>
        </w:rPr>
        <w:t>r</w:t>
      </w:r>
      <w:r>
        <w:rPr>
          <w:rFonts w:ascii="Arial" w:cs="Arial" w:eastAsia="Arial" w:hAnsi="Arial"/>
          <w:sz w:val="17"/>
          <w:szCs w:val="17"/>
          <w:color w:val="2D2D2D"/>
        </w:rPr>
        <w:t xml:space="preserve"> </w:t>
      </w:r>
      <w:r>
        <w:rPr>
          <w:rFonts w:ascii="Arial" w:cs="Arial" w:eastAsia="Arial" w:hAnsi="Arial"/>
          <w:sz w:val="17"/>
          <w:szCs w:val="17"/>
          <w:color w:val="424242"/>
        </w:rPr>
        <w:t>Sal</w:t>
      </w:r>
      <w:r>
        <w:rPr>
          <w:rFonts w:ascii="Arial" w:cs="Arial" w:eastAsia="Arial" w:hAnsi="Arial"/>
          <w:sz w:val="17"/>
          <w:szCs w:val="17"/>
          <w:color w:val="606060"/>
        </w:rPr>
        <w:t>e</w:t>
      </w:r>
      <w:r>
        <w:rPr>
          <w:rFonts w:ascii="Arial" w:cs="Arial" w:eastAsia="Arial" w:hAnsi="Arial"/>
          <w:sz w:val="17"/>
          <w:szCs w:val="17"/>
          <w:color w:val="2D2D2D"/>
        </w:rPr>
        <w:t xml:space="preserve"> </w:t>
      </w:r>
      <w:r>
        <w:rPr>
          <w:rFonts w:ascii="Arial" w:cs="Arial" w:eastAsia="Arial" w:hAnsi="Arial"/>
          <w:sz w:val="17"/>
          <w:szCs w:val="17"/>
          <w:color w:val="424242"/>
        </w:rPr>
        <w:t>of</w:t>
      </w:r>
      <w:r>
        <w:rPr>
          <w:rFonts w:ascii="Arial" w:cs="Arial" w:eastAsia="Arial" w:hAnsi="Arial"/>
          <w:sz w:val="17"/>
          <w:szCs w:val="17"/>
          <w:color w:val="2D2D2D"/>
        </w:rPr>
        <w:t xml:space="preserve"> the Product</w:t>
      </w:r>
      <w:r>
        <w:rPr>
          <w:rFonts w:ascii="Arial" w:cs="Arial" w:eastAsia="Arial" w:hAnsi="Arial"/>
          <w:sz w:val="17"/>
          <w:szCs w:val="17"/>
          <w:color w:val="525252"/>
        </w:rPr>
        <w:t>s</w:t>
      </w:r>
      <w:r>
        <w:rPr>
          <w:rFonts w:ascii="Arial" w:cs="Arial" w:eastAsia="Arial" w:hAnsi="Arial"/>
          <w:sz w:val="17"/>
          <w:szCs w:val="17"/>
          <w:color w:val="2D2D2D"/>
        </w:rPr>
        <w:t xml:space="preserve">. </w:t>
      </w:r>
      <w:r>
        <w:rPr>
          <w:rFonts w:ascii="Arial" w:cs="Arial" w:eastAsia="Arial" w:hAnsi="Arial"/>
          <w:sz w:val="17"/>
          <w:szCs w:val="17"/>
          <w:color w:val="525252"/>
        </w:rPr>
        <w:t>Co</w:t>
      </w:r>
      <w:r>
        <w:rPr>
          <w:rFonts w:ascii="Arial" w:cs="Arial" w:eastAsia="Arial" w:hAnsi="Arial"/>
          <w:sz w:val="17"/>
          <w:szCs w:val="17"/>
          <w:color w:val="2D2D2D"/>
        </w:rPr>
        <w:t xml:space="preserve">mpany and Distributor </w:t>
      </w:r>
      <w:r>
        <w:rPr>
          <w:rFonts w:ascii="Arial" w:cs="Arial" w:eastAsia="Arial" w:hAnsi="Arial"/>
          <w:sz w:val="17"/>
          <w:szCs w:val="17"/>
          <w:color w:val="424242"/>
        </w:rPr>
        <w:t>agree</w:t>
      </w:r>
      <w:r>
        <w:rPr>
          <w:rFonts w:ascii="Arial" w:cs="Arial" w:eastAsia="Arial" w:hAnsi="Arial"/>
          <w:sz w:val="17"/>
          <w:szCs w:val="17"/>
          <w:color w:val="2D2D2D"/>
        </w:rPr>
        <w:t xml:space="preserve"> to provid</w:t>
      </w:r>
      <w:r>
        <w:rPr>
          <w:rFonts w:ascii="Arial" w:cs="Arial" w:eastAsia="Arial" w:hAnsi="Arial"/>
          <w:sz w:val="17"/>
          <w:szCs w:val="17"/>
          <w:color w:val="525252"/>
        </w:rPr>
        <w:t>e</w:t>
      </w:r>
      <w:r>
        <w:rPr>
          <w:rFonts w:ascii="Arial" w:cs="Arial" w:eastAsia="Arial" w:hAnsi="Arial"/>
          <w:sz w:val="17"/>
          <w:szCs w:val="17"/>
          <w:color w:val="2D2D2D"/>
        </w:rPr>
        <w:t xml:space="preserve"> </w:t>
      </w:r>
      <w:r>
        <w:rPr>
          <w:rFonts w:ascii="Arial" w:cs="Arial" w:eastAsia="Arial" w:hAnsi="Arial"/>
          <w:sz w:val="17"/>
          <w:szCs w:val="17"/>
          <w:color w:val="232323"/>
        </w:rPr>
        <w:t>to each</w:t>
      </w:r>
      <w:r>
        <w:rPr>
          <w:rFonts w:ascii="Arial" w:cs="Arial" w:eastAsia="Arial" w:hAnsi="Arial"/>
          <w:sz w:val="17"/>
          <w:szCs w:val="17"/>
          <w:color w:val="2D2D2D"/>
        </w:rPr>
        <w:t xml:space="preserve"> </w:t>
      </w:r>
      <w:r>
        <w:rPr>
          <w:rFonts w:ascii="Arial" w:cs="Arial" w:eastAsia="Arial" w:hAnsi="Arial"/>
          <w:sz w:val="17"/>
          <w:szCs w:val="17"/>
          <w:color w:val="343434"/>
        </w:rPr>
        <w:t>other,</w:t>
      </w:r>
      <w:r>
        <w:rPr>
          <w:rFonts w:ascii="Arial" w:cs="Arial" w:eastAsia="Arial" w:hAnsi="Arial"/>
          <w:sz w:val="17"/>
          <w:szCs w:val="17"/>
          <w:color w:val="2D2D2D"/>
        </w:rPr>
        <w:t xml:space="preserve"> </w:t>
      </w:r>
      <w:r>
        <w:rPr>
          <w:rFonts w:ascii="Arial" w:cs="Arial" w:eastAsia="Arial" w:hAnsi="Arial"/>
          <w:sz w:val="17"/>
          <w:szCs w:val="17"/>
          <w:color w:val="131313"/>
        </w:rPr>
        <w:t>in</w:t>
      </w:r>
      <w:r>
        <w:rPr>
          <w:rFonts w:ascii="Arial" w:cs="Arial" w:eastAsia="Arial" w:hAnsi="Arial"/>
          <w:sz w:val="17"/>
          <w:szCs w:val="17"/>
          <w:color w:val="343434"/>
        </w:rPr>
        <w:t>formation and assistance</w:t>
      </w:r>
      <w:r>
        <w:rPr>
          <w:rFonts w:ascii="Arial" w:cs="Arial" w:eastAsia="Arial" w:hAnsi="Arial"/>
          <w:sz w:val="17"/>
          <w:szCs w:val="17"/>
          <w:color w:val="2D2D2D"/>
        </w:rPr>
        <w:t xml:space="preserve"> </w:t>
      </w:r>
      <w:r>
        <w:rPr>
          <w:rFonts w:ascii="Arial" w:cs="Arial" w:eastAsia="Arial" w:hAnsi="Arial"/>
          <w:sz w:val="17"/>
          <w:szCs w:val="17"/>
          <w:color w:val="343434"/>
        </w:rPr>
        <w:t>reasonab</w:t>
      </w:r>
      <w:r>
        <w:rPr>
          <w:rFonts w:ascii="Arial" w:cs="Arial" w:eastAsia="Arial" w:hAnsi="Arial"/>
          <w:sz w:val="17"/>
          <w:szCs w:val="17"/>
          <w:color w:val="131313"/>
        </w:rPr>
        <w:t>l</w:t>
      </w:r>
      <w:r>
        <w:rPr>
          <w:rFonts w:ascii="Arial" w:cs="Arial" w:eastAsia="Arial" w:hAnsi="Arial"/>
          <w:sz w:val="17"/>
          <w:szCs w:val="17"/>
          <w:color w:val="484848"/>
        </w:rPr>
        <w:t>y</w:t>
      </w:r>
      <w:r>
        <w:rPr>
          <w:rFonts w:ascii="Arial" w:cs="Arial" w:eastAsia="Arial" w:hAnsi="Arial"/>
          <w:sz w:val="17"/>
          <w:szCs w:val="17"/>
          <w:color w:val="343434"/>
        </w:rPr>
        <w:t xml:space="preserve"> </w:t>
      </w:r>
      <w:r>
        <w:rPr>
          <w:rFonts w:ascii="Arial" w:cs="Arial" w:eastAsia="Arial" w:hAnsi="Arial"/>
          <w:sz w:val="17"/>
          <w:szCs w:val="17"/>
          <w:color w:val="131313"/>
        </w:rPr>
        <w:t>r</w:t>
      </w:r>
      <w:r>
        <w:rPr>
          <w:rFonts w:ascii="Arial" w:cs="Arial" w:eastAsia="Arial" w:hAnsi="Arial"/>
          <w:sz w:val="17"/>
          <w:szCs w:val="17"/>
          <w:color w:val="343434"/>
        </w:rPr>
        <w:t>equi</w:t>
      </w:r>
      <w:r>
        <w:rPr>
          <w:rFonts w:ascii="Arial" w:cs="Arial" w:eastAsia="Arial" w:hAnsi="Arial"/>
          <w:sz w:val="17"/>
          <w:szCs w:val="17"/>
          <w:color w:val="131313"/>
        </w:rPr>
        <w:t>r</w:t>
      </w:r>
      <w:r>
        <w:rPr>
          <w:rFonts w:ascii="Arial" w:cs="Arial" w:eastAsia="Arial" w:hAnsi="Arial"/>
          <w:sz w:val="17"/>
          <w:szCs w:val="17"/>
          <w:color w:val="343434"/>
        </w:rPr>
        <w:t xml:space="preserve">ed by </w:t>
      </w:r>
      <w:r>
        <w:rPr>
          <w:rFonts w:ascii="Arial" w:cs="Arial" w:eastAsia="Arial" w:hAnsi="Arial"/>
          <w:sz w:val="17"/>
          <w:szCs w:val="17"/>
          <w:color w:val="484848"/>
        </w:rPr>
        <w:t>the</w:t>
      </w:r>
      <w:r>
        <w:rPr>
          <w:rFonts w:ascii="Arial" w:cs="Arial" w:eastAsia="Arial" w:hAnsi="Arial"/>
          <w:sz w:val="17"/>
          <w:szCs w:val="17"/>
          <w:color w:val="343434"/>
        </w:rPr>
        <w:t xml:space="preserve"> </w:t>
      </w:r>
      <w:r>
        <w:rPr>
          <w:rFonts w:ascii="Arial" w:cs="Arial" w:eastAsia="Arial" w:hAnsi="Arial"/>
          <w:sz w:val="17"/>
          <w:szCs w:val="17"/>
          <w:color w:val="232323"/>
        </w:rPr>
        <w:t>other</w:t>
      </w:r>
      <w:r>
        <w:rPr>
          <w:rFonts w:ascii="Arial" w:cs="Arial" w:eastAsia="Arial" w:hAnsi="Arial"/>
          <w:sz w:val="17"/>
          <w:szCs w:val="17"/>
          <w:color w:val="343434"/>
        </w:rPr>
        <w:t xml:space="preserve"> </w:t>
      </w:r>
      <w:r>
        <w:rPr>
          <w:rFonts w:ascii="Arial" w:cs="Arial" w:eastAsia="Arial" w:hAnsi="Arial"/>
          <w:sz w:val="17"/>
          <w:szCs w:val="17"/>
          <w:color w:val="131313"/>
        </w:rPr>
        <w:t>in</w:t>
      </w:r>
      <w:r>
        <w:rPr>
          <w:rFonts w:ascii="Arial" w:cs="Arial" w:eastAsia="Arial" w:hAnsi="Arial"/>
          <w:sz w:val="17"/>
          <w:szCs w:val="17"/>
          <w:color w:val="343434"/>
        </w:rPr>
        <w:t xml:space="preserve"> connection with </w:t>
      </w:r>
      <w:r>
        <w:rPr>
          <w:rFonts w:ascii="Arial" w:cs="Arial" w:eastAsia="Arial" w:hAnsi="Arial"/>
          <w:sz w:val="17"/>
          <w:szCs w:val="17"/>
          <w:color w:val="484848"/>
        </w:rPr>
        <w:t>sec</w:t>
      </w:r>
      <w:r>
        <w:rPr>
          <w:rFonts w:ascii="Arial" w:cs="Arial" w:eastAsia="Arial" w:hAnsi="Arial"/>
          <w:sz w:val="17"/>
          <w:szCs w:val="17"/>
          <w:color w:val="232323"/>
        </w:rPr>
        <w:t>uring th</w:t>
      </w:r>
      <w:r>
        <w:rPr>
          <w:rFonts w:ascii="Arial" w:cs="Arial" w:eastAsia="Arial" w:hAnsi="Arial"/>
          <w:sz w:val="17"/>
          <w:szCs w:val="17"/>
          <w:color w:val="484848"/>
        </w:rPr>
        <w:t>e</w:t>
      </w:r>
      <w:r>
        <w:rPr>
          <w:rFonts w:ascii="Arial" w:cs="Arial" w:eastAsia="Arial" w:hAnsi="Arial"/>
          <w:sz w:val="17"/>
          <w:szCs w:val="17"/>
          <w:color w:val="343434"/>
        </w:rPr>
        <w:t xml:space="preserve"> </w:t>
      </w:r>
      <w:r>
        <w:rPr>
          <w:rFonts w:ascii="Arial" w:cs="Arial" w:eastAsia="Arial" w:hAnsi="Arial"/>
          <w:sz w:val="17"/>
          <w:szCs w:val="17"/>
          <w:color w:val="232323"/>
        </w:rPr>
        <w:t>foregoing</w:t>
      </w:r>
      <w:r>
        <w:rPr>
          <w:rFonts w:ascii="Arial" w:cs="Arial" w:eastAsia="Arial" w:hAnsi="Arial"/>
          <w:sz w:val="17"/>
          <w:szCs w:val="17"/>
          <w:color w:val="343434"/>
        </w:rPr>
        <w:t xml:space="preserve"> </w:t>
      </w:r>
      <w:r>
        <w:rPr>
          <w:rFonts w:ascii="Arial" w:cs="Arial" w:eastAsia="Arial" w:hAnsi="Arial"/>
          <w:sz w:val="17"/>
          <w:szCs w:val="17"/>
          <w:color w:val="131313"/>
        </w:rPr>
        <w:t>l</w:t>
      </w:r>
      <w:r>
        <w:rPr>
          <w:rFonts w:ascii="Arial" w:cs="Arial" w:eastAsia="Arial" w:hAnsi="Arial"/>
          <w:sz w:val="17"/>
          <w:szCs w:val="17"/>
          <w:color w:val="343434"/>
        </w:rPr>
        <w:t>icenses and approva</w:t>
      </w:r>
      <w:r>
        <w:rPr>
          <w:rFonts w:ascii="Arial" w:cs="Arial" w:eastAsia="Arial" w:hAnsi="Arial"/>
          <w:sz w:val="17"/>
          <w:szCs w:val="17"/>
          <w:color w:val="131313"/>
        </w:rPr>
        <w:t>l</w:t>
      </w:r>
      <w:r>
        <w:rPr>
          <w:rFonts w:ascii="Arial" w:cs="Arial" w:eastAsia="Arial" w:hAnsi="Arial"/>
          <w:sz w:val="17"/>
          <w:szCs w:val="17"/>
          <w:color w:val="343434"/>
        </w:rPr>
        <w:t>s.</w:t>
      </w:r>
    </w:p>
    <w:p>
      <w:pPr>
        <w:spacing w:after="0" w:line="4" w:lineRule="exact"/>
        <w:rPr>
          <w:sz w:val="20"/>
          <w:szCs w:val="20"/>
          <w:color w:val="auto"/>
        </w:rPr>
      </w:pPr>
    </w:p>
    <w:p>
      <w:pPr>
        <w:ind w:left="1300" w:right="20" w:hanging="323"/>
        <w:spacing w:after="0" w:line="23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131313"/>
        </w:rPr>
        <w:t>R</w:t>
      </w:r>
      <w:r>
        <w:rPr>
          <w:rFonts w:ascii="Arial" w:cs="Arial" w:eastAsia="Arial" w:hAnsi="Arial"/>
          <w:sz w:val="18"/>
          <w:szCs w:val="18"/>
          <w:b w:val="1"/>
          <w:bCs w:val="1"/>
          <w:color w:val="343434"/>
        </w:rPr>
        <w:t>e</w:t>
      </w:r>
      <w:r>
        <w:rPr>
          <w:rFonts w:ascii="Arial" w:cs="Arial" w:eastAsia="Arial" w:hAnsi="Arial"/>
          <w:sz w:val="18"/>
          <w:szCs w:val="18"/>
          <w:b w:val="1"/>
          <w:bCs w:val="1"/>
          <w:color w:val="131313"/>
        </w:rPr>
        <w:t>-</w:t>
      </w:r>
      <w:r>
        <w:rPr>
          <w:rFonts w:ascii="Arial" w:cs="Arial" w:eastAsia="Arial" w:hAnsi="Arial"/>
          <w:sz w:val="18"/>
          <w:szCs w:val="18"/>
          <w:b w:val="1"/>
          <w:bCs w:val="1"/>
          <w:color w:val="343434"/>
        </w:rPr>
        <w:t>Ex</w:t>
      </w:r>
      <w:r>
        <w:rPr>
          <w:rFonts w:ascii="Arial" w:cs="Arial" w:eastAsia="Arial" w:hAnsi="Arial"/>
          <w:sz w:val="18"/>
          <w:szCs w:val="18"/>
          <w:b w:val="1"/>
          <w:bCs w:val="1"/>
          <w:color w:val="131313"/>
        </w:rPr>
        <w:t>port.</w:t>
      </w:r>
      <w:r>
        <w:rPr>
          <w:rFonts w:ascii="Arial" w:cs="Arial" w:eastAsia="Arial" w:hAnsi="Arial"/>
          <w:sz w:val="18"/>
          <w:szCs w:val="18"/>
          <w:color w:val="auto"/>
        </w:rPr>
        <w:t xml:space="preserve"> </w:t>
      </w:r>
      <w:r>
        <w:rPr>
          <w:rFonts w:ascii="Arial" w:cs="Arial" w:eastAsia="Arial" w:hAnsi="Arial"/>
          <w:sz w:val="18"/>
          <w:szCs w:val="18"/>
          <w:color w:val="131313"/>
        </w:rPr>
        <w:t>Di</w:t>
      </w:r>
      <w:r>
        <w:rPr>
          <w:rFonts w:ascii="Arial" w:cs="Arial" w:eastAsia="Arial" w:hAnsi="Arial"/>
          <w:sz w:val="18"/>
          <w:szCs w:val="18"/>
          <w:color w:val="343434"/>
        </w:rPr>
        <w:t>stributor wil</w:t>
      </w:r>
      <w:r>
        <w:rPr>
          <w:rFonts w:ascii="Arial" w:cs="Arial" w:eastAsia="Arial" w:hAnsi="Arial"/>
          <w:sz w:val="18"/>
          <w:szCs w:val="18"/>
          <w:color w:val="131313"/>
        </w:rPr>
        <w:t>l</w:t>
      </w:r>
      <w:r>
        <w:rPr>
          <w:rFonts w:ascii="Arial" w:cs="Arial" w:eastAsia="Arial" w:hAnsi="Arial"/>
          <w:sz w:val="18"/>
          <w:szCs w:val="18"/>
          <w:color w:val="auto"/>
        </w:rPr>
        <w:t xml:space="preserve"> </w:t>
      </w:r>
      <w:r>
        <w:rPr>
          <w:rFonts w:ascii="Arial" w:cs="Arial" w:eastAsia="Arial" w:hAnsi="Arial"/>
          <w:sz w:val="18"/>
          <w:szCs w:val="18"/>
          <w:color w:val="343434"/>
        </w:rPr>
        <w:t>ensure</w:t>
      </w:r>
      <w:r>
        <w:rPr>
          <w:rFonts w:ascii="Arial" w:cs="Arial" w:eastAsia="Arial" w:hAnsi="Arial"/>
          <w:sz w:val="18"/>
          <w:szCs w:val="18"/>
          <w:color w:val="auto"/>
        </w:rPr>
        <w:t xml:space="preserve"> </w:t>
      </w:r>
      <w:r>
        <w:rPr>
          <w:rFonts w:ascii="Arial" w:cs="Arial" w:eastAsia="Arial" w:hAnsi="Arial"/>
          <w:sz w:val="18"/>
          <w:szCs w:val="18"/>
          <w:color w:val="232323"/>
        </w:rPr>
        <w:t>that</w:t>
      </w:r>
      <w:r>
        <w:rPr>
          <w:rFonts w:ascii="Arial" w:cs="Arial" w:eastAsia="Arial" w:hAnsi="Arial"/>
          <w:sz w:val="18"/>
          <w:szCs w:val="18"/>
          <w:color w:val="auto"/>
        </w:rPr>
        <w:t xml:space="preserve"> </w:t>
      </w:r>
      <w:r>
        <w:rPr>
          <w:rFonts w:ascii="Arial" w:cs="Arial" w:eastAsia="Arial" w:hAnsi="Arial"/>
          <w:sz w:val="18"/>
          <w:szCs w:val="18"/>
          <w:color w:val="343434"/>
        </w:rPr>
        <w:t>none of</w:t>
      </w:r>
      <w:r>
        <w:rPr>
          <w:rFonts w:ascii="Arial" w:cs="Arial" w:eastAsia="Arial" w:hAnsi="Arial"/>
          <w:sz w:val="18"/>
          <w:szCs w:val="18"/>
          <w:color w:val="auto"/>
        </w:rPr>
        <w:t xml:space="preserve"> </w:t>
      </w:r>
      <w:r>
        <w:rPr>
          <w:rFonts w:ascii="Arial" w:cs="Arial" w:eastAsia="Arial" w:hAnsi="Arial"/>
          <w:sz w:val="18"/>
          <w:szCs w:val="18"/>
          <w:color w:val="232323"/>
        </w:rPr>
        <w:t>the Products</w:t>
      </w:r>
      <w:r>
        <w:rPr>
          <w:rFonts w:ascii="Arial" w:cs="Arial" w:eastAsia="Arial" w:hAnsi="Arial"/>
          <w:sz w:val="18"/>
          <w:szCs w:val="18"/>
          <w:color w:val="auto"/>
        </w:rPr>
        <w:t xml:space="preserve"> </w:t>
      </w:r>
      <w:r>
        <w:rPr>
          <w:rFonts w:ascii="Arial" w:cs="Arial" w:eastAsia="Arial" w:hAnsi="Arial"/>
          <w:sz w:val="18"/>
          <w:szCs w:val="18"/>
          <w:color w:val="343434"/>
        </w:rPr>
        <w:t>are d</w:t>
      </w:r>
      <w:r>
        <w:rPr>
          <w:rFonts w:ascii="Arial" w:cs="Arial" w:eastAsia="Arial" w:hAnsi="Arial"/>
          <w:sz w:val="18"/>
          <w:szCs w:val="18"/>
          <w:color w:val="131313"/>
        </w:rPr>
        <w:t>i</w:t>
      </w:r>
      <w:r>
        <w:rPr>
          <w:rFonts w:ascii="Arial" w:cs="Arial" w:eastAsia="Arial" w:hAnsi="Arial"/>
          <w:sz w:val="18"/>
          <w:szCs w:val="18"/>
          <w:color w:val="343434"/>
        </w:rPr>
        <w:t>verted outside the Ter</w:t>
      </w:r>
      <w:r>
        <w:rPr>
          <w:rFonts w:ascii="Arial" w:cs="Arial" w:eastAsia="Arial" w:hAnsi="Arial"/>
          <w:sz w:val="18"/>
          <w:szCs w:val="18"/>
          <w:color w:val="131313"/>
        </w:rPr>
        <w:t>r</w:t>
      </w:r>
      <w:r>
        <w:rPr>
          <w:rFonts w:ascii="Arial" w:cs="Arial" w:eastAsia="Arial" w:hAnsi="Arial"/>
          <w:sz w:val="18"/>
          <w:szCs w:val="18"/>
          <w:color w:val="595959"/>
        </w:rPr>
        <w:t>i</w:t>
      </w:r>
      <w:r>
        <w:rPr>
          <w:rFonts w:ascii="Arial" w:cs="Arial" w:eastAsia="Arial" w:hAnsi="Arial"/>
          <w:sz w:val="18"/>
          <w:szCs w:val="18"/>
          <w:color w:val="131313"/>
        </w:rPr>
        <w:t>t</w:t>
      </w:r>
      <w:r>
        <w:rPr>
          <w:rFonts w:ascii="Arial" w:cs="Arial" w:eastAsia="Arial" w:hAnsi="Arial"/>
          <w:sz w:val="18"/>
          <w:szCs w:val="18"/>
          <w:color w:val="343434"/>
        </w:rPr>
        <w:t>ory</w:t>
      </w:r>
      <w:r>
        <w:rPr>
          <w:rFonts w:ascii="Arial" w:cs="Arial" w:eastAsia="Arial" w:hAnsi="Arial"/>
          <w:sz w:val="18"/>
          <w:szCs w:val="18"/>
          <w:color w:val="auto"/>
        </w:rPr>
        <w:t xml:space="preserve"> </w:t>
      </w:r>
      <w:r>
        <w:rPr>
          <w:rFonts w:ascii="Arial" w:cs="Arial" w:eastAsia="Arial" w:hAnsi="Arial"/>
          <w:sz w:val="18"/>
          <w:szCs w:val="18"/>
          <w:color w:val="232323"/>
        </w:rPr>
        <w:t>in</w:t>
      </w:r>
      <w:r>
        <w:rPr>
          <w:rFonts w:ascii="Arial" w:cs="Arial" w:eastAsia="Arial" w:hAnsi="Arial"/>
          <w:sz w:val="18"/>
          <w:szCs w:val="18"/>
          <w:color w:val="auto"/>
        </w:rPr>
        <w:t xml:space="preserve"> </w:t>
      </w:r>
      <w:r>
        <w:rPr>
          <w:rFonts w:ascii="Arial" w:cs="Arial" w:eastAsia="Arial" w:hAnsi="Arial"/>
          <w:sz w:val="18"/>
          <w:szCs w:val="18"/>
          <w:color w:val="131313"/>
        </w:rPr>
        <w:t>bre</w:t>
      </w:r>
      <w:r>
        <w:rPr>
          <w:rFonts w:ascii="Arial" w:cs="Arial" w:eastAsia="Arial" w:hAnsi="Arial"/>
          <w:sz w:val="18"/>
          <w:szCs w:val="18"/>
          <w:color w:val="343434"/>
        </w:rPr>
        <w:t>ac</w:t>
      </w:r>
      <w:r>
        <w:rPr>
          <w:rFonts w:ascii="Arial" w:cs="Arial" w:eastAsia="Arial" w:hAnsi="Arial"/>
          <w:sz w:val="18"/>
          <w:szCs w:val="18"/>
          <w:color w:val="131313"/>
        </w:rPr>
        <w:t>h</w:t>
      </w:r>
      <w:r>
        <w:rPr>
          <w:rFonts w:ascii="Arial" w:cs="Arial" w:eastAsia="Arial" w:hAnsi="Arial"/>
          <w:sz w:val="18"/>
          <w:szCs w:val="18"/>
          <w:color w:val="auto"/>
        </w:rPr>
        <w:t xml:space="preserve"> </w:t>
      </w:r>
      <w:r>
        <w:rPr>
          <w:rFonts w:ascii="Arial" w:cs="Arial" w:eastAsia="Arial" w:hAnsi="Arial"/>
          <w:sz w:val="18"/>
          <w:szCs w:val="18"/>
          <w:color w:val="232323"/>
        </w:rPr>
        <w:t>of this Agreement</w:t>
      </w:r>
      <w:r>
        <w:rPr>
          <w:rFonts w:ascii="Arial" w:cs="Arial" w:eastAsia="Arial" w:hAnsi="Arial"/>
          <w:sz w:val="18"/>
          <w:szCs w:val="18"/>
          <w:color w:val="auto"/>
        </w:rPr>
        <w:t xml:space="preserve"> </w:t>
      </w:r>
      <w:r>
        <w:rPr>
          <w:rFonts w:ascii="Arial" w:cs="Arial" w:eastAsia="Arial" w:hAnsi="Arial"/>
          <w:sz w:val="18"/>
          <w:szCs w:val="18"/>
          <w:color w:val="343434"/>
        </w:rPr>
        <w:t>or</w:t>
      </w:r>
      <w:r>
        <w:rPr>
          <w:rFonts w:ascii="Arial" w:cs="Arial" w:eastAsia="Arial" w:hAnsi="Arial"/>
          <w:sz w:val="18"/>
          <w:szCs w:val="18"/>
          <w:color w:val="auto"/>
        </w:rPr>
        <w:t xml:space="preserve"> </w:t>
      </w:r>
      <w:r>
        <w:rPr>
          <w:rFonts w:ascii="Arial" w:cs="Arial" w:eastAsia="Arial" w:hAnsi="Arial"/>
          <w:sz w:val="18"/>
          <w:szCs w:val="18"/>
          <w:color w:val="131313"/>
        </w:rPr>
        <w:t>in</w:t>
      </w:r>
      <w:r>
        <w:rPr>
          <w:rFonts w:ascii="Arial" w:cs="Arial" w:eastAsia="Arial" w:hAnsi="Arial"/>
          <w:sz w:val="18"/>
          <w:szCs w:val="18"/>
          <w:color w:val="auto"/>
        </w:rPr>
        <w:t xml:space="preserve"> </w:t>
      </w:r>
      <w:r>
        <w:rPr>
          <w:rFonts w:ascii="Arial" w:cs="Arial" w:eastAsia="Arial" w:hAnsi="Arial"/>
          <w:sz w:val="18"/>
          <w:szCs w:val="18"/>
          <w:color w:val="343434"/>
        </w:rPr>
        <w:t>a</w:t>
      </w:r>
      <w:r>
        <w:rPr>
          <w:rFonts w:ascii="Arial" w:cs="Arial" w:eastAsia="Arial" w:hAnsi="Arial"/>
          <w:sz w:val="18"/>
          <w:szCs w:val="18"/>
          <w:color w:val="auto"/>
        </w:rPr>
        <w:t xml:space="preserve"> </w:t>
      </w:r>
      <w:r>
        <w:rPr>
          <w:rFonts w:ascii="Arial" w:cs="Arial" w:eastAsia="Arial" w:hAnsi="Arial"/>
          <w:sz w:val="18"/>
          <w:szCs w:val="18"/>
          <w:color w:val="232323"/>
        </w:rPr>
        <w:t>manner</w:t>
      </w:r>
      <w:r>
        <w:rPr>
          <w:rFonts w:ascii="Arial" w:cs="Arial" w:eastAsia="Arial" w:hAnsi="Arial"/>
          <w:sz w:val="18"/>
          <w:szCs w:val="18"/>
          <w:color w:val="auto"/>
        </w:rPr>
        <w:t xml:space="preserve"> </w:t>
      </w:r>
      <w:r>
        <w:rPr>
          <w:rFonts w:ascii="Arial" w:cs="Arial" w:eastAsia="Arial" w:hAnsi="Arial"/>
          <w:sz w:val="18"/>
          <w:szCs w:val="18"/>
          <w:color w:val="343434"/>
        </w:rPr>
        <w:t xml:space="preserve">that </w:t>
      </w:r>
      <w:r>
        <w:rPr>
          <w:rFonts w:ascii="Arial" w:cs="Arial" w:eastAsia="Arial" w:hAnsi="Arial"/>
          <w:sz w:val="18"/>
          <w:szCs w:val="18"/>
          <w:color w:val="232323"/>
        </w:rPr>
        <w:t>i</w:t>
      </w:r>
      <w:r>
        <w:rPr>
          <w:rFonts w:ascii="Arial" w:cs="Arial" w:eastAsia="Arial" w:hAnsi="Arial"/>
          <w:sz w:val="18"/>
          <w:szCs w:val="18"/>
          <w:color w:val="484848"/>
        </w:rPr>
        <w:t>s</w:t>
      </w:r>
      <w:r>
        <w:rPr>
          <w:rFonts w:ascii="Arial" w:cs="Arial" w:eastAsia="Arial" w:hAnsi="Arial"/>
          <w:sz w:val="18"/>
          <w:szCs w:val="18"/>
          <w:color w:val="343434"/>
        </w:rPr>
        <w:t xml:space="preserve"> contrary </w:t>
      </w:r>
      <w:r>
        <w:rPr>
          <w:rFonts w:ascii="Arial" w:cs="Arial" w:eastAsia="Arial" w:hAnsi="Arial"/>
          <w:sz w:val="18"/>
          <w:szCs w:val="18"/>
          <w:color w:val="232323"/>
        </w:rPr>
        <w:t>to</w:t>
      </w:r>
      <w:r>
        <w:rPr>
          <w:rFonts w:ascii="Arial" w:cs="Arial" w:eastAsia="Arial" w:hAnsi="Arial"/>
          <w:sz w:val="18"/>
          <w:szCs w:val="18"/>
          <w:color w:val="343434"/>
        </w:rPr>
        <w:t xml:space="preserve"> t</w:t>
      </w:r>
      <w:r>
        <w:rPr>
          <w:rFonts w:ascii="Arial" w:cs="Arial" w:eastAsia="Arial" w:hAnsi="Arial"/>
          <w:sz w:val="18"/>
          <w:szCs w:val="18"/>
          <w:color w:val="131313"/>
        </w:rPr>
        <w:t>h</w:t>
      </w:r>
      <w:r>
        <w:rPr>
          <w:rFonts w:ascii="Arial" w:cs="Arial" w:eastAsia="Arial" w:hAnsi="Arial"/>
          <w:sz w:val="18"/>
          <w:szCs w:val="18"/>
          <w:color w:val="343434"/>
        </w:rPr>
        <w:t xml:space="preserve">e </w:t>
      </w:r>
      <w:r>
        <w:rPr>
          <w:rFonts w:ascii="Arial" w:cs="Arial" w:eastAsia="Arial" w:hAnsi="Arial"/>
          <w:sz w:val="18"/>
          <w:szCs w:val="18"/>
          <w:color w:val="232323"/>
        </w:rPr>
        <w:t>law</w:t>
      </w:r>
      <w:r>
        <w:rPr>
          <w:rFonts w:ascii="Arial" w:cs="Arial" w:eastAsia="Arial" w:hAnsi="Arial"/>
          <w:sz w:val="18"/>
          <w:szCs w:val="18"/>
          <w:color w:val="484848"/>
        </w:rPr>
        <w:t>s</w:t>
      </w:r>
      <w:r>
        <w:rPr>
          <w:rFonts w:ascii="Arial" w:cs="Arial" w:eastAsia="Arial" w:hAnsi="Arial"/>
          <w:sz w:val="18"/>
          <w:szCs w:val="18"/>
          <w:color w:val="343434"/>
        </w:rPr>
        <w:t xml:space="preserve"> </w:t>
      </w:r>
      <w:r>
        <w:rPr>
          <w:rFonts w:ascii="Arial" w:cs="Arial" w:eastAsia="Arial" w:hAnsi="Arial"/>
          <w:sz w:val="18"/>
          <w:szCs w:val="18"/>
          <w:color w:val="232323"/>
        </w:rPr>
        <w:t>and</w:t>
      </w:r>
      <w:r>
        <w:rPr>
          <w:rFonts w:ascii="Arial" w:cs="Arial" w:eastAsia="Arial" w:hAnsi="Arial"/>
          <w:sz w:val="18"/>
          <w:szCs w:val="18"/>
          <w:color w:val="343434"/>
        </w:rPr>
        <w:t xml:space="preserve"> regu</w:t>
      </w:r>
      <w:r>
        <w:rPr>
          <w:rFonts w:ascii="Arial" w:cs="Arial" w:eastAsia="Arial" w:hAnsi="Arial"/>
          <w:sz w:val="18"/>
          <w:szCs w:val="18"/>
          <w:color w:val="131313"/>
        </w:rPr>
        <w:t>l</w:t>
      </w:r>
      <w:r>
        <w:rPr>
          <w:rFonts w:ascii="Arial" w:cs="Arial" w:eastAsia="Arial" w:hAnsi="Arial"/>
          <w:sz w:val="18"/>
          <w:szCs w:val="18"/>
          <w:color w:val="343434"/>
        </w:rPr>
        <w:t>at</w:t>
      </w:r>
      <w:r>
        <w:rPr>
          <w:rFonts w:ascii="Arial" w:cs="Arial" w:eastAsia="Arial" w:hAnsi="Arial"/>
          <w:sz w:val="18"/>
          <w:szCs w:val="18"/>
          <w:color w:val="131313"/>
        </w:rPr>
        <w:t>i</w:t>
      </w:r>
      <w:r>
        <w:rPr>
          <w:rFonts w:ascii="Arial" w:cs="Arial" w:eastAsia="Arial" w:hAnsi="Arial"/>
          <w:sz w:val="18"/>
          <w:szCs w:val="18"/>
          <w:color w:val="343434"/>
        </w:rPr>
        <w:t>ons of a</w:t>
      </w:r>
      <w:r>
        <w:rPr>
          <w:rFonts w:ascii="Arial" w:cs="Arial" w:eastAsia="Arial" w:hAnsi="Arial"/>
          <w:sz w:val="18"/>
          <w:szCs w:val="18"/>
          <w:color w:val="131313"/>
        </w:rPr>
        <w:t>n</w:t>
      </w:r>
      <w:r>
        <w:rPr>
          <w:rFonts w:ascii="Arial" w:cs="Arial" w:eastAsia="Arial" w:hAnsi="Arial"/>
          <w:sz w:val="18"/>
          <w:szCs w:val="18"/>
          <w:color w:val="343434"/>
        </w:rPr>
        <w:t xml:space="preserve">y country </w:t>
      </w:r>
      <w:r>
        <w:rPr>
          <w:rFonts w:ascii="Arial" w:cs="Arial" w:eastAsia="Arial" w:hAnsi="Arial"/>
          <w:sz w:val="18"/>
          <w:szCs w:val="18"/>
          <w:color w:val="232323"/>
        </w:rPr>
        <w:t>having jurisdiction</w:t>
      </w:r>
      <w:r>
        <w:rPr>
          <w:rFonts w:ascii="Arial" w:cs="Arial" w:eastAsia="Arial" w:hAnsi="Arial"/>
          <w:sz w:val="18"/>
          <w:szCs w:val="18"/>
          <w:color w:val="343434"/>
        </w:rPr>
        <w:t xml:space="preserve"> </w:t>
      </w:r>
      <w:r>
        <w:rPr>
          <w:rFonts w:ascii="Arial" w:cs="Arial" w:eastAsia="Arial" w:hAnsi="Arial"/>
          <w:sz w:val="18"/>
          <w:szCs w:val="18"/>
          <w:color w:val="131313"/>
        </w:rPr>
        <w:t>in</w:t>
      </w:r>
      <w:r>
        <w:rPr>
          <w:rFonts w:ascii="Arial" w:cs="Arial" w:eastAsia="Arial" w:hAnsi="Arial"/>
          <w:sz w:val="18"/>
          <w:szCs w:val="18"/>
          <w:color w:val="343434"/>
        </w:rPr>
        <w:t>cl</w:t>
      </w:r>
      <w:r>
        <w:rPr>
          <w:rFonts w:ascii="Arial" w:cs="Arial" w:eastAsia="Arial" w:hAnsi="Arial"/>
          <w:sz w:val="18"/>
          <w:szCs w:val="18"/>
          <w:color w:val="131313"/>
        </w:rPr>
        <w:t>ud</w:t>
      </w:r>
      <w:r>
        <w:rPr>
          <w:rFonts w:ascii="Arial" w:cs="Arial" w:eastAsia="Arial" w:hAnsi="Arial"/>
          <w:sz w:val="18"/>
          <w:szCs w:val="18"/>
          <w:color w:val="343434"/>
        </w:rPr>
        <w:t>ing t</w:t>
      </w:r>
      <w:r>
        <w:rPr>
          <w:rFonts w:ascii="Arial" w:cs="Arial" w:eastAsia="Arial" w:hAnsi="Arial"/>
          <w:sz w:val="18"/>
          <w:szCs w:val="18"/>
          <w:color w:val="131313"/>
        </w:rPr>
        <w:t>h</w:t>
      </w:r>
      <w:r>
        <w:rPr>
          <w:rFonts w:ascii="Arial" w:cs="Arial" w:eastAsia="Arial" w:hAnsi="Arial"/>
          <w:sz w:val="18"/>
          <w:szCs w:val="18"/>
          <w:color w:val="343434"/>
        </w:rPr>
        <w:t xml:space="preserve">e </w:t>
      </w:r>
      <w:r>
        <w:rPr>
          <w:rFonts w:ascii="Arial" w:cs="Arial" w:eastAsia="Arial" w:hAnsi="Arial"/>
          <w:sz w:val="18"/>
          <w:szCs w:val="18"/>
          <w:color w:val="232323"/>
        </w:rPr>
        <w:t>United</w:t>
      </w:r>
      <w:r>
        <w:rPr>
          <w:rFonts w:ascii="Arial" w:cs="Arial" w:eastAsia="Arial" w:hAnsi="Arial"/>
          <w:sz w:val="18"/>
          <w:szCs w:val="18"/>
          <w:color w:val="343434"/>
        </w:rPr>
        <w:t xml:space="preserve"> Sta</w:t>
      </w:r>
      <w:r>
        <w:rPr>
          <w:rFonts w:ascii="Arial" w:cs="Arial" w:eastAsia="Arial" w:hAnsi="Arial"/>
          <w:sz w:val="18"/>
          <w:szCs w:val="18"/>
          <w:color w:val="131313"/>
        </w:rPr>
        <w:t>t</w:t>
      </w:r>
      <w:r>
        <w:rPr>
          <w:rFonts w:ascii="Arial" w:cs="Arial" w:eastAsia="Arial" w:hAnsi="Arial"/>
          <w:sz w:val="18"/>
          <w:szCs w:val="18"/>
          <w:color w:val="343434"/>
        </w:rPr>
        <w:t>es</w:t>
      </w:r>
      <w:r>
        <w:rPr>
          <w:rFonts w:ascii="Arial" w:cs="Arial" w:eastAsia="Arial" w:hAnsi="Arial"/>
          <w:sz w:val="18"/>
          <w:szCs w:val="18"/>
          <w:color w:val="131313"/>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2323"/>
        </w:rPr>
        <w:t>7. TAXES</w:t>
      </w:r>
    </w:p>
    <w:p>
      <w:pPr>
        <w:spacing w:after="0" w:line="22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232323"/>
        </w:rPr>
        <w:t xml:space="preserve">The </w:t>
      </w:r>
      <w:r>
        <w:rPr>
          <w:rFonts w:ascii="Arial" w:cs="Arial" w:eastAsia="Arial" w:hAnsi="Arial"/>
          <w:sz w:val="18"/>
          <w:szCs w:val="18"/>
          <w:color w:val="343434"/>
        </w:rPr>
        <w:t>amoun</w:t>
      </w:r>
      <w:r>
        <w:rPr>
          <w:rFonts w:ascii="Arial" w:cs="Arial" w:eastAsia="Arial" w:hAnsi="Arial"/>
          <w:sz w:val="18"/>
          <w:szCs w:val="18"/>
          <w:color w:val="131313"/>
        </w:rPr>
        <w:t>t</w:t>
      </w:r>
      <w:r>
        <w:rPr>
          <w:rFonts w:ascii="Arial" w:cs="Arial" w:eastAsia="Arial" w:hAnsi="Arial"/>
          <w:sz w:val="18"/>
          <w:szCs w:val="18"/>
          <w:color w:val="343434"/>
        </w:rPr>
        <w:t>s</w:t>
      </w:r>
      <w:r>
        <w:rPr>
          <w:rFonts w:ascii="Arial" w:cs="Arial" w:eastAsia="Arial" w:hAnsi="Arial"/>
          <w:sz w:val="18"/>
          <w:szCs w:val="18"/>
          <w:color w:val="232323"/>
        </w:rPr>
        <w:t xml:space="preserve"> </w:t>
      </w:r>
      <w:r>
        <w:rPr>
          <w:rFonts w:ascii="Arial" w:cs="Arial" w:eastAsia="Arial" w:hAnsi="Arial"/>
          <w:sz w:val="18"/>
          <w:szCs w:val="18"/>
          <w:color w:val="131313"/>
        </w:rPr>
        <w:t>p</w:t>
      </w:r>
      <w:r>
        <w:rPr>
          <w:rFonts w:ascii="Arial" w:cs="Arial" w:eastAsia="Arial" w:hAnsi="Arial"/>
          <w:sz w:val="18"/>
          <w:szCs w:val="18"/>
          <w:color w:val="343434"/>
        </w:rPr>
        <w:t>ayable</w:t>
      </w:r>
      <w:r>
        <w:rPr>
          <w:rFonts w:ascii="Arial" w:cs="Arial" w:eastAsia="Arial" w:hAnsi="Arial"/>
          <w:sz w:val="18"/>
          <w:szCs w:val="18"/>
          <w:color w:val="232323"/>
        </w:rPr>
        <w:t xml:space="preserve"> to Company under </w:t>
      </w:r>
      <w:r>
        <w:rPr>
          <w:rFonts w:ascii="Arial" w:cs="Arial" w:eastAsia="Arial" w:hAnsi="Arial"/>
          <w:sz w:val="18"/>
          <w:szCs w:val="18"/>
          <w:color w:val="484848"/>
        </w:rPr>
        <w:t>t</w:t>
      </w:r>
      <w:r>
        <w:rPr>
          <w:rFonts w:ascii="Arial" w:cs="Arial" w:eastAsia="Arial" w:hAnsi="Arial"/>
          <w:sz w:val="18"/>
          <w:szCs w:val="18"/>
          <w:color w:val="131313"/>
        </w:rPr>
        <w:t>hi</w:t>
      </w:r>
      <w:r>
        <w:rPr>
          <w:rFonts w:ascii="Arial" w:cs="Arial" w:eastAsia="Arial" w:hAnsi="Arial"/>
          <w:sz w:val="18"/>
          <w:szCs w:val="18"/>
          <w:color w:val="343434"/>
        </w:rPr>
        <w:t>s Agreement</w:t>
      </w:r>
      <w:r>
        <w:rPr>
          <w:rFonts w:ascii="Arial" w:cs="Arial" w:eastAsia="Arial" w:hAnsi="Arial"/>
          <w:sz w:val="18"/>
          <w:szCs w:val="18"/>
          <w:color w:val="232323"/>
        </w:rPr>
        <w:t xml:space="preserve"> do </w:t>
      </w:r>
      <w:r>
        <w:rPr>
          <w:rFonts w:ascii="Arial" w:cs="Arial" w:eastAsia="Arial" w:hAnsi="Arial"/>
          <w:sz w:val="18"/>
          <w:szCs w:val="18"/>
          <w:color w:val="343434"/>
        </w:rPr>
        <w:t>not</w:t>
      </w:r>
      <w:r>
        <w:rPr>
          <w:rFonts w:ascii="Arial" w:cs="Arial" w:eastAsia="Arial" w:hAnsi="Arial"/>
          <w:sz w:val="18"/>
          <w:szCs w:val="18"/>
          <w:color w:val="232323"/>
        </w:rPr>
        <w:t xml:space="preserve"> include </w:t>
      </w:r>
      <w:r>
        <w:rPr>
          <w:rFonts w:ascii="Arial" w:cs="Arial" w:eastAsia="Arial" w:hAnsi="Arial"/>
          <w:sz w:val="18"/>
          <w:szCs w:val="18"/>
          <w:color w:val="343434"/>
        </w:rPr>
        <w:t>any taxes,</w:t>
      </w:r>
      <w:r>
        <w:rPr>
          <w:rFonts w:ascii="Arial" w:cs="Arial" w:eastAsia="Arial" w:hAnsi="Arial"/>
          <w:sz w:val="18"/>
          <w:szCs w:val="18"/>
          <w:color w:val="232323"/>
        </w:rPr>
        <w:t xml:space="preserve"> </w:t>
      </w:r>
      <w:r>
        <w:rPr>
          <w:rFonts w:ascii="Arial" w:cs="Arial" w:eastAsia="Arial" w:hAnsi="Arial"/>
          <w:sz w:val="18"/>
          <w:szCs w:val="18"/>
          <w:color w:val="131313"/>
        </w:rPr>
        <w:t>l</w:t>
      </w:r>
      <w:r>
        <w:rPr>
          <w:rFonts w:ascii="Arial" w:cs="Arial" w:eastAsia="Arial" w:hAnsi="Arial"/>
          <w:sz w:val="18"/>
          <w:szCs w:val="18"/>
          <w:color w:val="343434"/>
        </w:rPr>
        <w:t>evies, or s</w:t>
      </w:r>
      <w:r>
        <w:rPr>
          <w:rFonts w:ascii="Arial" w:cs="Arial" w:eastAsia="Arial" w:hAnsi="Arial"/>
          <w:sz w:val="18"/>
          <w:szCs w:val="18"/>
          <w:color w:val="131313"/>
        </w:rPr>
        <w:t>imil</w:t>
      </w:r>
      <w:r>
        <w:rPr>
          <w:rFonts w:ascii="Arial" w:cs="Arial" w:eastAsia="Arial" w:hAnsi="Arial"/>
          <w:sz w:val="18"/>
          <w:szCs w:val="18"/>
          <w:color w:val="343434"/>
        </w:rPr>
        <w:t>ar governmental charges,</w:t>
      </w:r>
      <w:r>
        <w:rPr>
          <w:rFonts w:ascii="Arial" w:cs="Arial" w:eastAsia="Arial" w:hAnsi="Arial"/>
          <w:sz w:val="18"/>
          <w:szCs w:val="18"/>
          <w:color w:val="232323"/>
        </w:rPr>
        <w:t xml:space="preserve"> now </w:t>
      </w:r>
      <w:r>
        <w:rPr>
          <w:rFonts w:ascii="Arial" w:cs="Arial" w:eastAsia="Arial" w:hAnsi="Arial"/>
          <w:sz w:val="18"/>
          <w:szCs w:val="18"/>
          <w:color w:val="131313"/>
        </w:rPr>
        <w:t>in</w:t>
      </w:r>
      <w:r>
        <w:rPr>
          <w:rFonts w:ascii="Arial" w:cs="Arial" w:eastAsia="Arial" w:hAnsi="Arial"/>
          <w:sz w:val="18"/>
          <w:szCs w:val="18"/>
          <w:color w:val="232323"/>
        </w:rPr>
        <w:t xml:space="preserve"> force </w:t>
      </w:r>
      <w:r>
        <w:rPr>
          <w:rFonts w:ascii="Arial" w:cs="Arial" w:eastAsia="Arial" w:hAnsi="Arial"/>
          <w:sz w:val="18"/>
          <w:szCs w:val="18"/>
          <w:color w:val="343434"/>
        </w:rPr>
        <w:t>or e</w:t>
      </w:r>
      <w:r>
        <w:rPr>
          <w:rFonts w:ascii="Arial" w:cs="Arial" w:eastAsia="Arial" w:hAnsi="Arial"/>
          <w:sz w:val="18"/>
          <w:szCs w:val="18"/>
          <w:color w:val="131313"/>
        </w:rPr>
        <w:t>na</w:t>
      </w:r>
      <w:r>
        <w:rPr>
          <w:rFonts w:ascii="Arial" w:cs="Arial" w:eastAsia="Arial" w:hAnsi="Arial"/>
          <w:sz w:val="18"/>
          <w:szCs w:val="18"/>
          <w:color w:val="343434"/>
        </w:rPr>
        <w:t>c</w:t>
      </w:r>
      <w:r>
        <w:rPr>
          <w:rFonts w:ascii="Arial" w:cs="Arial" w:eastAsia="Arial" w:hAnsi="Arial"/>
          <w:sz w:val="18"/>
          <w:szCs w:val="18"/>
          <w:color w:val="131313"/>
        </w:rPr>
        <w:t>t</w:t>
      </w:r>
      <w:r>
        <w:rPr>
          <w:rFonts w:ascii="Arial" w:cs="Arial" w:eastAsia="Arial" w:hAnsi="Arial"/>
          <w:sz w:val="18"/>
          <w:szCs w:val="18"/>
          <w:color w:val="343434"/>
        </w:rPr>
        <w:t>ed</w:t>
      </w:r>
      <w:r>
        <w:rPr>
          <w:rFonts w:ascii="Arial" w:cs="Arial" w:eastAsia="Arial" w:hAnsi="Arial"/>
          <w:sz w:val="18"/>
          <w:szCs w:val="18"/>
          <w:color w:val="232323"/>
        </w:rPr>
        <w:t xml:space="preserve"> in the future</w:t>
      </w:r>
      <w:r>
        <w:rPr>
          <w:rFonts w:ascii="Arial" w:cs="Arial" w:eastAsia="Arial" w:hAnsi="Arial"/>
          <w:sz w:val="18"/>
          <w:szCs w:val="18"/>
          <w:color w:val="484848"/>
        </w:rPr>
        <w:t>,</w:t>
      </w:r>
      <w:r>
        <w:rPr>
          <w:rFonts w:ascii="Arial" w:cs="Arial" w:eastAsia="Arial" w:hAnsi="Arial"/>
          <w:sz w:val="18"/>
          <w:szCs w:val="18"/>
          <w:color w:val="232323"/>
        </w:rPr>
        <w:t xml:space="preserve"> </w:t>
      </w:r>
      <w:r>
        <w:rPr>
          <w:rFonts w:ascii="Arial" w:cs="Arial" w:eastAsia="Arial" w:hAnsi="Arial"/>
          <w:sz w:val="18"/>
          <w:szCs w:val="18"/>
          <w:color w:val="343434"/>
        </w:rPr>
        <w:t>however</w:t>
      </w:r>
      <w:r>
        <w:rPr>
          <w:rFonts w:ascii="Arial" w:cs="Arial" w:eastAsia="Arial" w:hAnsi="Arial"/>
          <w:sz w:val="18"/>
          <w:szCs w:val="18"/>
          <w:color w:val="232323"/>
        </w:rPr>
        <w:t xml:space="preserve"> de</w:t>
      </w:r>
      <w:r>
        <w:rPr>
          <w:rFonts w:ascii="Arial" w:cs="Arial" w:eastAsia="Arial" w:hAnsi="Arial"/>
          <w:sz w:val="18"/>
          <w:szCs w:val="18"/>
          <w:color w:val="484848"/>
        </w:rPr>
        <w:t>s</w:t>
      </w:r>
      <w:r>
        <w:rPr>
          <w:rFonts w:ascii="Arial" w:cs="Arial" w:eastAsia="Arial" w:hAnsi="Arial"/>
          <w:sz w:val="18"/>
          <w:szCs w:val="18"/>
          <w:color w:val="131313"/>
        </w:rPr>
        <w:t>i</w:t>
      </w:r>
      <w:r>
        <w:rPr>
          <w:rFonts w:ascii="Arial" w:cs="Arial" w:eastAsia="Arial" w:hAnsi="Arial"/>
          <w:sz w:val="18"/>
          <w:szCs w:val="18"/>
          <w:color w:val="343434"/>
        </w:rPr>
        <w:t>gnated</w:t>
      </w:r>
      <w:r>
        <w:rPr>
          <w:rFonts w:ascii="Arial" w:cs="Arial" w:eastAsia="Arial" w:hAnsi="Arial"/>
          <w:sz w:val="18"/>
          <w:szCs w:val="18"/>
          <w:color w:val="232323"/>
        </w:rPr>
        <w:t xml:space="preserve"> </w:t>
      </w:r>
      <w:r>
        <w:rPr>
          <w:rFonts w:ascii="Arial" w:cs="Arial" w:eastAsia="Arial" w:hAnsi="Arial"/>
          <w:sz w:val="18"/>
          <w:szCs w:val="18"/>
          <w:b w:val="1"/>
          <w:bCs w:val="1"/>
          <w:color w:val="343434"/>
        </w:rPr>
        <w:t>(“Taxes</w:t>
      </w:r>
      <w:r>
        <w:rPr>
          <w:rFonts w:ascii="Arial" w:cs="Arial" w:eastAsia="Arial" w:hAnsi="Arial"/>
          <w:sz w:val="18"/>
          <w:szCs w:val="18"/>
          <w:color w:val="343434"/>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2323"/>
        </w:rPr>
        <w:t>8. WARRANTY AND PRODUCT</w:t>
      </w:r>
      <w:r>
        <w:rPr>
          <w:rFonts w:ascii="Arial" w:cs="Arial" w:eastAsia="Arial" w:hAnsi="Arial"/>
          <w:sz w:val="18"/>
          <w:szCs w:val="18"/>
          <w:b w:val="1"/>
          <w:bCs w:val="1"/>
          <w:color w:val="232323"/>
        </w:rPr>
        <w:t xml:space="preserve"> </w:t>
      </w:r>
      <w:r>
        <w:rPr>
          <w:rFonts w:ascii="Arial" w:cs="Arial" w:eastAsia="Arial" w:hAnsi="Arial"/>
          <w:sz w:val="18"/>
          <w:szCs w:val="18"/>
          <w:b w:val="1"/>
          <w:bCs w:val="1"/>
          <w:u w:val="single" w:color="auto"/>
          <w:color w:val="131313"/>
        </w:rPr>
        <w:t>Q</w:t>
      </w:r>
      <w:r>
        <w:rPr>
          <w:rFonts w:ascii="Arial" w:cs="Arial" w:eastAsia="Arial" w:hAnsi="Arial"/>
          <w:sz w:val="18"/>
          <w:szCs w:val="18"/>
          <w:b w:val="1"/>
          <w:bCs w:val="1"/>
          <w:u w:val="single" w:color="auto"/>
          <w:color w:val="343434"/>
        </w:rPr>
        <w:t>UALITY</w:t>
      </w:r>
      <w:r>
        <w:rPr>
          <w:rFonts w:ascii="Arial" w:cs="Arial" w:eastAsia="Arial" w:hAnsi="Arial"/>
          <w:sz w:val="18"/>
          <w:szCs w:val="18"/>
          <w:b w:val="1"/>
          <w:bCs w:val="1"/>
          <w:color w:val="131313"/>
        </w:rPr>
        <w:t>.</w:t>
      </w:r>
    </w:p>
    <w:p>
      <w:pPr>
        <w:spacing w:after="0" w:line="229" w:lineRule="exact"/>
        <w:rPr>
          <w:sz w:val="20"/>
          <w:szCs w:val="20"/>
          <w:color w:val="auto"/>
        </w:rPr>
      </w:pPr>
    </w:p>
    <w:p>
      <w:pPr>
        <w:ind w:left="1300" w:right="40" w:hanging="323"/>
        <w:spacing w:after="0" w:line="23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color w:val="232323"/>
        </w:rPr>
        <w:t>Company</w:t>
      </w:r>
      <w:r>
        <w:rPr>
          <w:rFonts w:ascii="Arial" w:cs="Arial" w:eastAsia="Arial" w:hAnsi="Arial"/>
          <w:sz w:val="17"/>
          <w:szCs w:val="17"/>
          <w:color w:val="auto"/>
        </w:rPr>
        <w:t xml:space="preserve"> </w:t>
      </w:r>
      <w:r>
        <w:rPr>
          <w:rFonts w:ascii="Arial" w:cs="Arial" w:eastAsia="Arial" w:hAnsi="Arial"/>
          <w:sz w:val="17"/>
          <w:szCs w:val="17"/>
          <w:color w:val="343434"/>
        </w:rPr>
        <w:t>warrants to Distributor that the Products shall in normal use and for the period set forth on Exhibit D [***]. All dates are</w:t>
      </w:r>
      <w:r>
        <w:rPr>
          <w:rFonts w:ascii="Arial" w:cs="Arial" w:eastAsia="Arial" w:hAnsi="Arial"/>
          <w:sz w:val="17"/>
          <w:szCs w:val="17"/>
          <w:color w:val="auto"/>
        </w:rPr>
        <w:t xml:space="preserve"> </w:t>
      </w:r>
      <w:r>
        <w:rPr>
          <w:rFonts w:ascii="Arial" w:cs="Arial" w:eastAsia="Arial" w:hAnsi="Arial"/>
          <w:sz w:val="17"/>
          <w:szCs w:val="17"/>
          <w:color w:val="343434"/>
        </w:rPr>
        <w:t>calculated from the date of shipment to Distributor. In the event of a failure of any Product to conform to the foregoing warranty during the period defined in Exhibit D, Distributor shall return any such non-conforming Product to Company, if reasonably feasible, for Company’s inspection. Such return shall be at Company’s expense if [***]. In the event that the Company determines that such Product does not conform to the foregoing warranty, then Company shall, at Company’s option, (a) [***] or (b) [***]. The foregoing, and Section 3.4.c. in the event of any Recall Activities, [***], for any breach of warranty by Company hereunder. Consequently, Company shall only be liable [***]. Such defects and any damaging effects in consequence thereof shall be covered by Distributor’s obligation to indemnify Company as set out in Section 10.2. Notwithstanding the foregoing, this warranty shall not apply [***], Distributor shall fully indemnify, defend and hold harmless Company for any liability, losses or costs relating to the Custom Luer not complying with the Custom Luer Specifications as well [***]. In the event that the [***]. Distributor's duty to defend shall include accepting, in a timely manner, Company’s tenders of defense of [***].</w:t>
      </w:r>
    </w:p>
    <w:p>
      <w:pPr>
        <w:spacing w:after="0" w:line="208" w:lineRule="exact"/>
        <w:rPr>
          <w:sz w:val="20"/>
          <w:szCs w:val="20"/>
          <w:color w:val="auto"/>
        </w:rPr>
      </w:pPr>
    </w:p>
    <w:p>
      <w:pPr>
        <w:ind w:left="1300" w:right="560" w:hanging="323"/>
        <w:spacing w:after="0" w:line="24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color w:val="232323"/>
        </w:rPr>
        <w:t>Distributor</w:t>
      </w:r>
      <w:r>
        <w:rPr>
          <w:rFonts w:ascii="Arial" w:cs="Arial" w:eastAsia="Arial" w:hAnsi="Arial"/>
          <w:sz w:val="18"/>
          <w:szCs w:val="18"/>
          <w:color w:val="auto"/>
        </w:rPr>
        <w:t xml:space="preserve"> </w:t>
      </w:r>
      <w:r>
        <w:rPr>
          <w:rFonts w:ascii="Arial" w:cs="Arial" w:eastAsia="Arial" w:hAnsi="Arial"/>
          <w:sz w:val="18"/>
          <w:szCs w:val="18"/>
          <w:color w:val="343434"/>
        </w:rPr>
        <w:t>s</w:t>
      </w:r>
      <w:r>
        <w:rPr>
          <w:rFonts w:ascii="Arial" w:cs="Arial" w:eastAsia="Arial" w:hAnsi="Arial"/>
          <w:sz w:val="18"/>
          <w:szCs w:val="18"/>
          <w:color w:val="131313"/>
        </w:rPr>
        <w:t>h</w:t>
      </w:r>
      <w:r>
        <w:rPr>
          <w:rFonts w:ascii="Arial" w:cs="Arial" w:eastAsia="Arial" w:hAnsi="Arial"/>
          <w:sz w:val="18"/>
          <w:szCs w:val="18"/>
          <w:color w:val="343434"/>
        </w:rPr>
        <w:t>a</w:t>
      </w:r>
      <w:r>
        <w:rPr>
          <w:rFonts w:ascii="Arial" w:cs="Arial" w:eastAsia="Arial" w:hAnsi="Arial"/>
          <w:sz w:val="18"/>
          <w:szCs w:val="18"/>
          <w:color w:val="131313"/>
        </w:rPr>
        <w:t>ll</w:t>
      </w:r>
      <w:r>
        <w:rPr>
          <w:rFonts w:ascii="Arial" w:cs="Arial" w:eastAsia="Arial" w:hAnsi="Arial"/>
          <w:sz w:val="18"/>
          <w:szCs w:val="18"/>
          <w:color w:val="auto"/>
        </w:rPr>
        <w:t xml:space="preserve"> </w:t>
      </w:r>
      <w:r>
        <w:rPr>
          <w:rFonts w:ascii="Arial" w:cs="Arial" w:eastAsia="Arial" w:hAnsi="Arial"/>
          <w:sz w:val="18"/>
          <w:szCs w:val="18"/>
          <w:color w:val="232323"/>
        </w:rPr>
        <w:t>use reasonable</w:t>
      </w:r>
      <w:r>
        <w:rPr>
          <w:rFonts w:ascii="Arial" w:cs="Arial" w:eastAsia="Arial" w:hAnsi="Arial"/>
          <w:sz w:val="18"/>
          <w:szCs w:val="18"/>
          <w:color w:val="auto"/>
        </w:rPr>
        <w:t xml:space="preserve"> </w:t>
      </w:r>
      <w:r>
        <w:rPr>
          <w:rFonts w:ascii="Arial" w:cs="Arial" w:eastAsia="Arial" w:hAnsi="Arial"/>
          <w:sz w:val="18"/>
          <w:szCs w:val="18"/>
          <w:color w:val="343434"/>
        </w:rPr>
        <w:t>commercial efforts to screen defect</w:t>
      </w:r>
      <w:r>
        <w:rPr>
          <w:rFonts w:ascii="Arial" w:cs="Arial" w:eastAsia="Arial" w:hAnsi="Arial"/>
          <w:sz w:val="18"/>
          <w:szCs w:val="18"/>
          <w:color w:val="131313"/>
        </w:rPr>
        <w:t>i</w:t>
      </w:r>
      <w:r>
        <w:rPr>
          <w:rFonts w:ascii="Arial" w:cs="Arial" w:eastAsia="Arial" w:hAnsi="Arial"/>
          <w:sz w:val="18"/>
          <w:szCs w:val="18"/>
          <w:color w:val="343434"/>
        </w:rPr>
        <w:t>ve</w:t>
      </w:r>
      <w:r>
        <w:rPr>
          <w:rFonts w:ascii="Arial" w:cs="Arial" w:eastAsia="Arial" w:hAnsi="Arial"/>
          <w:sz w:val="18"/>
          <w:szCs w:val="18"/>
          <w:color w:val="auto"/>
        </w:rPr>
        <w:t xml:space="preserve"> </w:t>
      </w:r>
      <w:r>
        <w:rPr>
          <w:rFonts w:ascii="Arial" w:cs="Arial" w:eastAsia="Arial" w:hAnsi="Arial"/>
          <w:sz w:val="18"/>
          <w:szCs w:val="18"/>
          <w:color w:val="232323"/>
        </w:rPr>
        <w:t>Products before returning</w:t>
      </w:r>
      <w:r>
        <w:rPr>
          <w:rFonts w:ascii="Arial" w:cs="Arial" w:eastAsia="Arial" w:hAnsi="Arial"/>
          <w:sz w:val="18"/>
          <w:szCs w:val="18"/>
          <w:color w:val="auto"/>
        </w:rPr>
        <w:t xml:space="preserve"> </w:t>
      </w:r>
      <w:r>
        <w:rPr>
          <w:rFonts w:ascii="Arial" w:cs="Arial" w:eastAsia="Arial" w:hAnsi="Arial"/>
          <w:sz w:val="18"/>
          <w:szCs w:val="18"/>
          <w:color w:val="343434"/>
        </w:rPr>
        <w:t>such</w:t>
      </w:r>
      <w:r>
        <w:rPr>
          <w:rFonts w:ascii="Arial" w:cs="Arial" w:eastAsia="Arial" w:hAnsi="Arial"/>
          <w:sz w:val="18"/>
          <w:szCs w:val="18"/>
          <w:color w:val="auto"/>
        </w:rPr>
        <w:t xml:space="preserve"> </w:t>
      </w:r>
      <w:r>
        <w:rPr>
          <w:rFonts w:ascii="Arial" w:cs="Arial" w:eastAsia="Arial" w:hAnsi="Arial"/>
          <w:sz w:val="18"/>
          <w:szCs w:val="18"/>
          <w:color w:val="131313"/>
        </w:rPr>
        <w:t>to</w:t>
      </w:r>
      <w:r>
        <w:rPr>
          <w:rFonts w:ascii="Arial" w:cs="Arial" w:eastAsia="Arial" w:hAnsi="Arial"/>
          <w:sz w:val="18"/>
          <w:szCs w:val="18"/>
          <w:color w:val="auto"/>
        </w:rPr>
        <w:t xml:space="preserve"> </w:t>
      </w:r>
      <w:r>
        <w:rPr>
          <w:rFonts w:ascii="Arial" w:cs="Arial" w:eastAsia="Arial" w:hAnsi="Arial"/>
          <w:sz w:val="18"/>
          <w:szCs w:val="18"/>
          <w:color w:val="343434"/>
        </w:rPr>
        <w:t>Company</w:t>
      </w:r>
      <w:r>
        <w:rPr>
          <w:rFonts w:ascii="Arial" w:cs="Arial" w:eastAsia="Arial" w:hAnsi="Arial"/>
          <w:sz w:val="18"/>
          <w:szCs w:val="18"/>
          <w:color w:val="auto"/>
        </w:rPr>
        <w:t xml:space="preserve"> </w:t>
      </w:r>
      <w:r>
        <w:rPr>
          <w:rFonts w:ascii="Arial" w:cs="Arial" w:eastAsia="Arial" w:hAnsi="Arial"/>
          <w:sz w:val="18"/>
          <w:szCs w:val="18"/>
          <w:color w:val="232323"/>
        </w:rPr>
        <w:t>pursuant to the</w:t>
      </w:r>
      <w:r>
        <w:rPr>
          <w:rFonts w:ascii="Arial" w:cs="Arial" w:eastAsia="Arial" w:hAnsi="Arial"/>
          <w:sz w:val="18"/>
          <w:szCs w:val="18"/>
          <w:color w:val="auto"/>
        </w:rPr>
        <w:t xml:space="preserve"> </w:t>
      </w:r>
      <w:r>
        <w:rPr>
          <w:rFonts w:ascii="Arial" w:cs="Arial" w:eastAsia="Arial" w:hAnsi="Arial"/>
          <w:sz w:val="18"/>
          <w:szCs w:val="18"/>
          <w:color w:val="232323"/>
        </w:rPr>
        <w:t xml:space="preserve">foregoing </w:t>
      </w:r>
      <w:r>
        <w:rPr>
          <w:rFonts w:ascii="Arial" w:cs="Arial" w:eastAsia="Arial" w:hAnsi="Arial"/>
          <w:sz w:val="18"/>
          <w:szCs w:val="18"/>
          <w:color w:val="343434"/>
        </w:rPr>
        <w:t>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right="60" w:hanging="323"/>
        <w:spacing w:after="0" w:line="24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color w:val="232323"/>
        </w:rPr>
        <w:t>The</w:t>
      </w:r>
      <w:r>
        <w:rPr>
          <w:rFonts w:ascii="Arial" w:cs="Arial" w:eastAsia="Arial" w:hAnsi="Arial"/>
          <w:sz w:val="18"/>
          <w:szCs w:val="18"/>
          <w:color w:val="auto"/>
        </w:rPr>
        <w:t xml:space="preserve"> </w:t>
      </w:r>
      <w:r>
        <w:rPr>
          <w:rFonts w:ascii="Arial" w:cs="Arial" w:eastAsia="Arial" w:hAnsi="Arial"/>
          <w:sz w:val="18"/>
          <w:szCs w:val="18"/>
          <w:color w:val="343434"/>
        </w:rPr>
        <w:t>forego</w:t>
      </w:r>
      <w:r>
        <w:rPr>
          <w:rFonts w:ascii="Arial" w:cs="Arial" w:eastAsia="Arial" w:hAnsi="Arial"/>
          <w:sz w:val="18"/>
          <w:szCs w:val="18"/>
          <w:color w:val="131313"/>
        </w:rPr>
        <w:t>in</w:t>
      </w:r>
      <w:r>
        <w:rPr>
          <w:rFonts w:ascii="Arial" w:cs="Arial" w:eastAsia="Arial" w:hAnsi="Arial"/>
          <w:sz w:val="18"/>
          <w:szCs w:val="18"/>
          <w:color w:val="343434"/>
        </w:rPr>
        <w:t>g warranty</w:t>
      </w:r>
      <w:r>
        <w:rPr>
          <w:rFonts w:ascii="Arial" w:cs="Arial" w:eastAsia="Arial" w:hAnsi="Arial"/>
          <w:sz w:val="18"/>
          <w:szCs w:val="18"/>
          <w:color w:val="auto"/>
        </w:rPr>
        <w:t xml:space="preserve"> </w:t>
      </w:r>
      <w:r>
        <w:rPr>
          <w:rFonts w:ascii="Arial" w:cs="Arial" w:eastAsia="Arial" w:hAnsi="Arial"/>
          <w:sz w:val="18"/>
          <w:szCs w:val="18"/>
          <w:color w:val="232323"/>
        </w:rPr>
        <w:t>is</w:t>
      </w:r>
      <w:r>
        <w:rPr>
          <w:rFonts w:ascii="Arial" w:cs="Arial" w:eastAsia="Arial" w:hAnsi="Arial"/>
          <w:sz w:val="18"/>
          <w:szCs w:val="18"/>
          <w:color w:val="auto"/>
        </w:rPr>
        <w:t xml:space="preserve"> </w:t>
      </w:r>
      <w:r>
        <w:rPr>
          <w:rFonts w:ascii="Arial" w:cs="Arial" w:eastAsia="Arial" w:hAnsi="Arial"/>
          <w:sz w:val="18"/>
          <w:szCs w:val="18"/>
          <w:color w:val="343434"/>
        </w:rPr>
        <w:t>for</w:t>
      </w:r>
      <w:r>
        <w:rPr>
          <w:rFonts w:ascii="Arial" w:cs="Arial" w:eastAsia="Arial" w:hAnsi="Arial"/>
          <w:sz w:val="18"/>
          <w:szCs w:val="18"/>
          <w:color w:val="auto"/>
        </w:rPr>
        <w:t xml:space="preserve"> </w:t>
      </w:r>
      <w:r>
        <w:rPr>
          <w:rFonts w:ascii="Arial" w:cs="Arial" w:eastAsia="Arial" w:hAnsi="Arial"/>
          <w:sz w:val="18"/>
          <w:szCs w:val="18"/>
          <w:color w:val="232323"/>
        </w:rPr>
        <w:t>the</w:t>
      </w:r>
      <w:r>
        <w:rPr>
          <w:rFonts w:ascii="Arial" w:cs="Arial" w:eastAsia="Arial" w:hAnsi="Arial"/>
          <w:sz w:val="18"/>
          <w:szCs w:val="18"/>
          <w:color w:val="auto"/>
        </w:rPr>
        <w:t xml:space="preserve"> </w:t>
      </w:r>
      <w:r>
        <w:rPr>
          <w:rFonts w:ascii="Arial" w:cs="Arial" w:eastAsia="Arial" w:hAnsi="Arial"/>
          <w:sz w:val="18"/>
          <w:szCs w:val="18"/>
          <w:color w:val="343434"/>
        </w:rPr>
        <w:t>[***]</w:t>
      </w:r>
      <w:r>
        <w:rPr>
          <w:rFonts w:ascii="Arial" w:cs="Arial" w:eastAsia="Arial" w:hAnsi="Arial"/>
          <w:sz w:val="18"/>
          <w:szCs w:val="18"/>
          <w:color w:val="232323"/>
        </w:rPr>
        <w:t>. Distributor</w:t>
      </w:r>
      <w:r>
        <w:rPr>
          <w:rFonts w:ascii="Arial" w:cs="Arial" w:eastAsia="Arial" w:hAnsi="Arial"/>
          <w:sz w:val="18"/>
          <w:szCs w:val="18"/>
          <w:color w:val="auto"/>
        </w:rPr>
        <w:t xml:space="preserve"> </w:t>
      </w:r>
      <w:r>
        <w:rPr>
          <w:rFonts w:ascii="Arial" w:cs="Arial" w:eastAsia="Arial" w:hAnsi="Arial"/>
          <w:sz w:val="18"/>
          <w:szCs w:val="18"/>
          <w:color w:val="343434"/>
        </w:rPr>
        <w:t>sha</w:t>
      </w:r>
      <w:r>
        <w:rPr>
          <w:rFonts w:ascii="Arial" w:cs="Arial" w:eastAsia="Arial" w:hAnsi="Arial"/>
          <w:sz w:val="18"/>
          <w:szCs w:val="18"/>
          <w:color w:val="131313"/>
        </w:rPr>
        <w:t>ll</w:t>
      </w:r>
      <w:r>
        <w:rPr>
          <w:rFonts w:ascii="Arial" w:cs="Arial" w:eastAsia="Arial" w:hAnsi="Arial"/>
          <w:sz w:val="18"/>
          <w:szCs w:val="18"/>
          <w:color w:val="auto"/>
        </w:rPr>
        <w:t xml:space="preserve"> </w:t>
      </w:r>
      <w:r>
        <w:rPr>
          <w:rFonts w:ascii="Arial" w:cs="Arial" w:eastAsia="Arial" w:hAnsi="Arial"/>
          <w:sz w:val="18"/>
          <w:szCs w:val="18"/>
          <w:color w:val="343434"/>
        </w:rPr>
        <w:t>not [***]</w:t>
      </w:r>
      <w:r>
        <w:rPr>
          <w:rFonts w:ascii="Arial" w:cs="Arial" w:eastAsia="Arial" w:hAnsi="Arial"/>
          <w:sz w:val="18"/>
          <w:szCs w:val="18"/>
          <w:color w:val="232323"/>
        </w:rPr>
        <w:t>.</w:t>
      </w:r>
      <w:r>
        <w:rPr>
          <w:rFonts w:ascii="Arial" w:cs="Arial" w:eastAsia="Arial" w:hAnsi="Arial"/>
          <w:sz w:val="18"/>
          <w:szCs w:val="18"/>
          <w:color w:val="auto"/>
        </w:rPr>
        <w:t xml:space="preserve"> </w:t>
      </w:r>
      <w:r>
        <w:rPr>
          <w:rFonts w:ascii="Arial" w:cs="Arial" w:eastAsia="Arial" w:hAnsi="Arial"/>
          <w:sz w:val="18"/>
          <w:szCs w:val="18"/>
          <w:color w:val="131313"/>
        </w:rPr>
        <w:t>In</w:t>
      </w:r>
      <w:r>
        <w:rPr>
          <w:rFonts w:ascii="Arial" w:cs="Arial" w:eastAsia="Arial" w:hAnsi="Arial"/>
          <w:sz w:val="18"/>
          <w:szCs w:val="18"/>
          <w:color w:val="auto"/>
        </w:rPr>
        <w:t xml:space="preserve"> </w:t>
      </w:r>
      <w:r>
        <w:rPr>
          <w:rFonts w:ascii="Arial" w:cs="Arial" w:eastAsia="Arial" w:hAnsi="Arial"/>
          <w:sz w:val="18"/>
          <w:szCs w:val="18"/>
          <w:color w:val="343434"/>
        </w:rPr>
        <w:t>t</w:t>
      </w:r>
      <w:r>
        <w:rPr>
          <w:rFonts w:ascii="Arial" w:cs="Arial" w:eastAsia="Arial" w:hAnsi="Arial"/>
          <w:sz w:val="18"/>
          <w:szCs w:val="18"/>
          <w:color w:val="131313"/>
        </w:rPr>
        <w:t>h</w:t>
      </w:r>
      <w:r>
        <w:rPr>
          <w:rFonts w:ascii="Arial" w:cs="Arial" w:eastAsia="Arial" w:hAnsi="Arial"/>
          <w:sz w:val="18"/>
          <w:szCs w:val="18"/>
          <w:color w:val="343434"/>
        </w:rPr>
        <w:t>e event that any</w:t>
      </w:r>
      <w:r>
        <w:rPr>
          <w:rFonts w:ascii="Arial" w:cs="Arial" w:eastAsia="Arial" w:hAnsi="Arial"/>
          <w:sz w:val="18"/>
          <w:szCs w:val="18"/>
          <w:color w:val="auto"/>
        </w:rPr>
        <w:t xml:space="preserve"> </w:t>
      </w:r>
      <w:r>
        <w:rPr>
          <w:rFonts w:ascii="Arial" w:cs="Arial" w:eastAsia="Arial" w:hAnsi="Arial"/>
          <w:sz w:val="18"/>
          <w:szCs w:val="18"/>
          <w:color w:val="484848"/>
        </w:rPr>
        <w:t>suc</w:t>
      </w:r>
      <w:r>
        <w:rPr>
          <w:rFonts w:ascii="Arial" w:cs="Arial" w:eastAsia="Arial" w:hAnsi="Arial"/>
          <w:sz w:val="18"/>
          <w:szCs w:val="18"/>
          <w:color w:val="232323"/>
        </w:rPr>
        <w:t>h third</w:t>
      </w:r>
      <w:r>
        <w:rPr>
          <w:rFonts w:ascii="Arial" w:cs="Arial" w:eastAsia="Arial" w:hAnsi="Arial"/>
          <w:sz w:val="18"/>
          <w:szCs w:val="18"/>
          <w:color w:val="auto"/>
        </w:rPr>
        <w:t xml:space="preserve"> </w:t>
      </w:r>
      <w:r>
        <w:rPr>
          <w:rFonts w:ascii="Arial" w:cs="Arial" w:eastAsia="Arial" w:hAnsi="Arial"/>
          <w:sz w:val="18"/>
          <w:szCs w:val="18"/>
          <w:color w:val="343434"/>
        </w:rPr>
        <w:t>party con</w:t>
      </w:r>
      <w:r>
        <w:rPr>
          <w:rFonts w:ascii="Arial" w:cs="Arial" w:eastAsia="Arial" w:hAnsi="Arial"/>
          <w:sz w:val="18"/>
          <w:szCs w:val="18"/>
          <w:color w:val="131313"/>
        </w:rPr>
        <w:t>ta</w:t>
      </w:r>
      <w:r>
        <w:rPr>
          <w:rFonts w:ascii="Arial" w:cs="Arial" w:eastAsia="Arial" w:hAnsi="Arial"/>
          <w:sz w:val="18"/>
          <w:szCs w:val="18"/>
          <w:color w:val="343434"/>
        </w:rPr>
        <w:t>cts Compa</w:t>
      </w:r>
      <w:r>
        <w:rPr>
          <w:rFonts w:ascii="Arial" w:cs="Arial" w:eastAsia="Arial" w:hAnsi="Arial"/>
          <w:sz w:val="18"/>
          <w:szCs w:val="18"/>
          <w:color w:val="131313"/>
        </w:rPr>
        <w:t>n</w:t>
      </w:r>
      <w:r>
        <w:rPr>
          <w:rFonts w:ascii="Arial" w:cs="Arial" w:eastAsia="Arial" w:hAnsi="Arial"/>
          <w:sz w:val="18"/>
          <w:szCs w:val="18"/>
          <w:color w:val="343434"/>
        </w:rPr>
        <w:t>y</w:t>
      </w:r>
      <w:r>
        <w:rPr>
          <w:rFonts w:ascii="Arial" w:cs="Arial" w:eastAsia="Arial" w:hAnsi="Arial"/>
          <w:sz w:val="18"/>
          <w:szCs w:val="18"/>
          <w:color w:val="auto"/>
        </w:rPr>
        <w:t xml:space="preserve"> </w:t>
      </w:r>
      <w:r>
        <w:rPr>
          <w:rFonts w:ascii="Arial" w:cs="Arial" w:eastAsia="Arial" w:hAnsi="Arial"/>
          <w:sz w:val="18"/>
          <w:szCs w:val="18"/>
          <w:color w:val="232323"/>
        </w:rPr>
        <w:t>directly</w:t>
      </w:r>
      <w:r>
        <w:rPr>
          <w:rFonts w:ascii="Arial" w:cs="Arial" w:eastAsia="Arial" w:hAnsi="Arial"/>
          <w:sz w:val="18"/>
          <w:szCs w:val="18"/>
          <w:color w:val="auto"/>
        </w:rPr>
        <w:t xml:space="preserve"> </w:t>
      </w:r>
      <w:r>
        <w:rPr>
          <w:rFonts w:ascii="Arial" w:cs="Arial" w:eastAsia="Arial" w:hAnsi="Arial"/>
          <w:sz w:val="18"/>
          <w:szCs w:val="18"/>
          <w:color w:val="343434"/>
        </w:rPr>
        <w:t>with</w:t>
      </w:r>
      <w:r>
        <w:rPr>
          <w:rFonts w:ascii="Arial" w:cs="Arial" w:eastAsia="Arial" w:hAnsi="Arial"/>
          <w:sz w:val="18"/>
          <w:szCs w:val="18"/>
          <w:color w:val="auto"/>
        </w:rPr>
        <w:t xml:space="preserve"> </w:t>
      </w:r>
      <w:r>
        <w:rPr>
          <w:rFonts w:ascii="Arial" w:cs="Arial" w:eastAsia="Arial" w:hAnsi="Arial"/>
          <w:sz w:val="18"/>
          <w:szCs w:val="18"/>
          <w:color w:val="131313"/>
        </w:rPr>
        <w:t>r</w:t>
      </w:r>
      <w:r>
        <w:rPr>
          <w:rFonts w:ascii="Arial" w:cs="Arial" w:eastAsia="Arial" w:hAnsi="Arial"/>
          <w:sz w:val="18"/>
          <w:szCs w:val="18"/>
          <w:color w:val="343434"/>
        </w:rPr>
        <w:t>espect</w:t>
      </w:r>
      <w:r>
        <w:rPr>
          <w:rFonts w:ascii="Arial" w:cs="Arial" w:eastAsia="Arial" w:hAnsi="Arial"/>
          <w:sz w:val="18"/>
          <w:szCs w:val="18"/>
          <w:color w:val="131313"/>
        </w:rPr>
        <w:t xml:space="preserve"> </w:t>
      </w:r>
      <w:r>
        <w:rPr>
          <w:rFonts w:ascii="Arial" w:cs="Arial" w:eastAsia="Arial" w:hAnsi="Arial"/>
          <w:sz w:val="18"/>
          <w:szCs w:val="18"/>
          <w:color w:val="232323"/>
        </w:rPr>
        <w:t>to Product</w:t>
      </w:r>
      <w:r>
        <w:rPr>
          <w:rFonts w:ascii="Arial" w:cs="Arial" w:eastAsia="Arial" w:hAnsi="Arial"/>
          <w:sz w:val="18"/>
          <w:szCs w:val="18"/>
          <w:color w:val="484848"/>
        </w:rPr>
        <w:t>s,</w:t>
      </w:r>
      <w:r>
        <w:rPr>
          <w:rFonts w:ascii="Arial" w:cs="Arial" w:eastAsia="Arial" w:hAnsi="Arial"/>
          <w:sz w:val="18"/>
          <w:szCs w:val="18"/>
          <w:color w:val="131313"/>
        </w:rPr>
        <w:t xml:space="preserve"> </w:t>
      </w:r>
      <w:r>
        <w:rPr>
          <w:rFonts w:ascii="Arial" w:cs="Arial" w:eastAsia="Arial" w:hAnsi="Arial"/>
          <w:sz w:val="18"/>
          <w:szCs w:val="18"/>
          <w:color w:val="343434"/>
        </w:rPr>
        <w:t>Company</w:t>
      </w:r>
      <w:r>
        <w:rPr>
          <w:rFonts w:ascii="Arial" w:cs="Arial" w:eastAsia="Arial" w:hAnsi="Arial"/>
          <w:sz w:val="18"/>
          <w:szCs w:val="18"/>
          <w:color w:val="131313"/>
        </w:rPr>
        <w:t xml:space="preserve"> </w:t>
      </w:r>
      <w:r>
        <w:rPr>
          <w:rFonts w:ascii="Arial" w:cs="Arial" w:eastAsia="Arial" w:hAnsi="Arial"/>
          <w:sz w:val="18"/>
          <w:szCs w:val="18"/>
          <w:color w:val="484848"/>
        </w:rPr>
        <w:t>s</w:t>
      </w:r>
      <w:r>
        <w:rPr>
          <w:rFonts w:ascii="Arial" w:cs="Arial" w:eastAsia="Arial" w:hAnsi="Arial"/>
          <w:sz w:val="18"/>
          <w:szCs w:val="18"/>
          <w:color w:val="232323"/>
        </w:rPr>
        <w:t>hall</w:t>
      </w:r>
      <w:r>
        <w:rPr>
          <w:rFonts w:ascii="Arial" w:cs="Arial" w:eastAsia="Arial" w:hAnsi="Arial"/>
          <w:sz w:val="18"/>
          <w:szCs w:val="18"/>
          <w:color w:val="131313"/>
        </w:rPr>
        <w:t xml:space="preserve"> </w:t>
      </w:r>
      <w:r>
        <w:rPr>
          <w:rFonts w:ascii="Arial" w:cs="Arial" w:eastAsia="Arial" w:hAnsi="Arial"/>
          <w:sz w:val="18"/>
          <w:szCs w:val="18"/>
          <w:color w:val="343434"/>
        </w:rPr>
        <w:t>d</w:t>
      </w:r>
      <w:r>
        <w:rPr>
          <w:rFonts w:ascii="Arial" w:cs="Arial" w:eastAsia="Arial" w:hAnsi="Arial"/>
          <w:sz w:val="18"/>
          <w:szCs w:val="18"/>
          <w:color w:val="131313"/>
        </w:rPr>
        <w:t>ir</w:t>
      </w:r>
      <w:r>
        <w:rPr>
          <w:rFonts w:ascii="Arial" w:cs="Arial" w:eastAsia="Arial" w:hAnsi="Arial"/>
          <w:sz w:val="18"/>
          <w:szCs w:val="18"/>
          <w:color w:val="343434"/>
        </w:rPr>
        <w:t>ect</w:t>
      </w:r>
      <w:r>
        <w:rPr>
          <w:rFonts w:ascii="Arial" w:cs="Arial" w:eastAsia="Arial" w:hAnsi="Arial"/>
          <w:sz w:val="18"/>
          <w:szCs w:val="18"/>
          <w:color w:val="131313"/>
        </w:rPr>
        <w:t xml:space="preserve"> </w:t>
      </w:r>
      <w:r>
        <w:rPr>
          <w:rFonts w:ascii="Arial" w:cs="Arial" w:eastAsia="Arial" w:hAnsi="Arial"/>
          <w:sz w:val="18"/>
          <w:szCs w:val="18"/>
          <w:color w:val="484848"/>
        </w:rPr>
        <w:t>s</w:t>
      </w:r>
      <w:r>
        <w:rPr>
          <w:rFonts w:ascii="Arial" w:cs="Arial" w:eastAsia="Arial" w:hAnsi="Arial"/>
          <w:sz w:val="18"/>
          <w:szCs w:val="18"/>
          <w:color w:val="232323"/>
        </w:rPr>
        <w:t>uch</w:t>
      </w:r>
      <w:r>
        <w:rPr>
          <w:rFonts w:ascii="Arial" w:cs="Arial" w:eastAsia="Arial" w:hAnsi="Arial"/>
          <w:sz w:val="18"/>
          <w:szCs w:val="18"/>
          <w:color w:val="131313"/>
        </w:rPr>
        <w:t xml:space="preserve"> </w:t>
      </w:r>
      <w:r>
        <w:rPr>
          <w:rFonts w:ascii="Arial" w:cs="Arial" w:eastAsia="Arial" w:hAnsi="Arial"/>
          <w:sz w:val="18"/>
          <w:szCs w:val="18"/>
          <w:color w:val="343434"/>
        </w:rPr>
        <w:t>th</w:t>
      </w:r>
      <w:r>
        <w:rPr>
          <w:rFonts w:ascii="Arial" w:cs="Arial" w:eastAsia="Arial" w:hAnsi="Arial"/>
          <w:sz w:val="18"/>
          <w:szCs w:val="18"/>
          <w:color w:val="131313"/>
        </w:rPr>
        <w:t>i</w:t>
      </w:r>
      <w:r>
        <w:rPr>
          <w:rFonts w:ascii="Arial" w:cs="Arial" w:eastAsia="Arial" w:hAnsi="Arial"/>
          <w:sz w:val="18"/>
          <w:szCs w:val="18"/>
          <w:color w:val="343434"/>
        </w:rPr>
        <w:t>rd party</w:t>
      </w:r>
      <w:r>
        <w:rPr>
          <w:rFonts w:ascii="Arial" w:cs="Arial" w:eastAsia="Arial" w:hAnsi="Arial"/>
          <w:sz w:val="18"/>
          <w:szCs w:val="18"/>
          <w:color w:val="131313"/>
        </w:rPr>
        <w:t xml:space="preserve"> to </w:t>
      </w:r>
      <w:r>
        <w:rPr>
          <w:rFonts w:ascii="Arial" w:cs="Arial" w:eastAsia="Arial" w:hAnsi="Arial"/>
          <w:sz w:val="18"/>
          <w:szCs w:val="18"/>
          <w:color w:val="343434"/>
        </w:rPr>
        <w:t>contac</w:t>
      </w:r>
      <w:r>
        <w:rPr>
          <w:rFonts w:ascii="Arial" w:cs="Arial" w:eastAsia="Arial" w:hAnsi="Arial"/>
          <w:sz w:val="18"/>
          <w:szCs w:val="18"/>
          <w:color w:val="131313"/>
        </w:rPr>
        <w:t xml:space="preserve">t </w:t>
      </w:r>
      <w:r>
        <w:rPr>
          <w:rFonts w:ascii="Arial" w:cs="Arial" w:eastAsia="Arial" w:hAnsi="Arial"/>
          <w:sz w:val="18"/>
          <w:szCs w:val="18"/>
          <w:color w:val="232323"/>
        </w:rPr>
        <w:t>Distributor</w:t>
      </w:r>
      <w:r>
        <w:rPr>
          <w:rFonts w:ascii="Arial" w:cs="Arial" w:eastAsia="Arial" w:hAnsi="Arial"/>
          <w:sz w:val="18"/>
          <w:szCs w:val="18"/>
          <w:color w:val="131313"/>
        </w:rPr>
        <w:t xml:space="preserve"> </w:t>
      </w:r>
      <w:r>
        <w:rPr>
          <w:rFonts w:ascii="Arial" w:cs="Arial" w:eastAsia="Arial" w:hAnsi="Arial"/>
          <w:sz w:val="18"/>
          <w:szCs w:val="18"/>
          <w:color w:val="343434"/>
        </w:rPr>
        <w:t>directly.</w:t>
      </w:r>
    </w:p>
    <w:p>
      <w:pPr>
        <w:spacing w:after="0" w:line="197" w:lineRule="exact"/>
        <w:rPr>
          <w:sz w:val="20"/>
          <w:szCs w:val="20"/>
          <w:color w:val="auto"/>
        </w:rPr>
      </w:pPr>
    </w:p>
    <w:p>
      <w:pPr>
        <w:ind w:left="320" w:right="20" w:hanging="323"/>
        <w:spacing w:after="0" w:line="22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color w:val="343434"/>
        </w:rPr>
        <w:t>Pr</w:t>
      </w:r>
      <w:r>
        <w:rPr>
          <w:rFonts w:ascii="Arial" w:cs="Arial" w:eastAsia="Arial" w:hAnsi="Arial"/>
          <w:sz w:val="18"/>
          <w:szCs w:val="18"/>
          <w:color w:val="131313"/>
        </w:rPr>
        <w:t>i</w:t>
      </w:r>
      <w:r>
        <w:rPr>
          <w:rFonts w:ascii="Arial" w:cs="Arial" w:eastAsia="Arial" w:hAnsi="Arial"/>
          <w:sz w:val="18"/>
          <w:szCs w:val="18"/>
          <w:color w:val="343434"/>
        </w:rPr>
        <w:t>o</w:t>
      </w:r>
      <w:r>
        <w:rPr>
          <w:rFonts w:ascii="Arial" w:cs="Arial" w:eastAsia="Arial" w:hAnsi="Arial"/>
          <w:sz w:val="18"/>
          <w:szCs w:val="18"/>
          <w:color w:val="131313"/>
        </w:rPr>
        <w:t>r</w:t>
      </w:r>
      <w:r>
        <w:rPr>
          <w:rFonts w:ascii="Arial" w:cs="Arial" w:eastAsia="Arial" w:hAnsi="Arial"/>
          <w:sz w:val="18"/>
          <w:szCs w:val="18"/>
          <w:color w:val="auto"/>
        </w:rPr>
        <w:t xml:space="preserve"> </w:t>
      </w:r>
      <w:r>
        <w:rPr>
          <w:rFonts w:ascii="Arial" w:cs="Arial" w:eastAsia="Arial" w:hAnsi="Arial"/>
          <w:sz w:val="18"/>
          <w:szCs w:val="18"/>
          <w:color w:val="232323"/>
        </w:rPr>
        <w:t>to</w:t>
      </w:r>
      <w:r>
        <w:rPr>
          <w:rFonts w:ascii="Arial" w:cs="Arial" w:eastAsia="Arial" w:hAnsi="Arial"/>
          <w:sz w:val="18"/>
          <w:szCs w:val="18"/>
          <w:color w:val="auto"/>
        </w:rPr>
        <w:t xml:space="preserve"> </w:t>
      </w:r>
      <w:r>
        <w:rPr>
          <w:rFonts w:ascii="Arial" w:cs="Arial" w:eastAsia="Arial" w:hAnsi="Arial"/>
          <w:sz w:val="18"/>
          <w:szCs w:val="18"/>
          <w:color w:val="343434"/>
        </w:rPr>
        <w:t>return</w:t>
      </w:r>
      <w:r>
        <w:rPr>
          <w:rFonts w:ascii="Arial" w:cs="Arial" w:eastAsia="Arial" w:hAnsi="Arial"/>
          <w:sz w:val="18"/>
          <w:szCs w:val="18"/>
          <w:color w:val="131313"/>
        </w:rPr>
        <w:t>i</w:t>
      </w:r>
      <w:r>
        <w:rPr>
          <w:rFonts w:ascii="Arial" w:cs="Arial" w:eastAsia="Arial" w:hAnsi="Arial"/>
          <w:sz w:val="18"/>
          <w:szCs w:val="18"/>
          <w:color w:val="343434"/>
        </w:rPr>
        <w:t>ng a</w:t>
      </w:r>
      <w:r>
        <w:rPr>
          <w:rFonts w:ascii="Arial" w:cs="Arial" w:eastAsia="Arial" w:hAnsi="Arial"/>
          <w:sz w:val="18"/>
          <w:szCs w:val="18"/>
          <w:color w:val="131313"/>
        </w:rPr>
        <w:t>n</w:t>
      </w:r>
      <w:r>
        <w:rPr>
          <w:rFonts w:ascii="Arial" w:cs="Arial" w:eastAsia="Arial" w:hAnsi="Arial"/>
          <w:sz w:val="18"/>
          <w:szCs w:val="18"/>
          <w:color w:val="343434"/>
        </w:rPr>
        <w:t>y Product, w</w:t>
      </w:r>
      <w:r>
        <w:rPr>
          <w:rFonts w:ascii="Arial" w:cs="Arial" w:eastAsia="Arial" w:hAnsi="Arial"/>
          <w:sz w:val="18"/>
          <w:szCs w:val="18"/>
          <w:color w:val="131313"/>
        </w:rPr>
        <w:t>h</w:t>
      </w:r>
      <w:r>
        <w:rPr>
          <w:rFonts w:ascii="Arial" w:cs="Arial" w:eastAsia="Arial" w:hAnsi="Arial"/>
          <w:sz w:val="18"/>
          <w:szCs w:val="18"/>
          <w:color w:val="484848"/>
        </w:rPr>
        <w:t>et</w:t>
      </w:r>
      <w:r>
        <w:rPr>
          <w:rFonts w:ascii="Arial" w:cs="Arial" w:eastAsia="Arial" w:hAnsi="Arial"/>
          <w:sz w:val="18"/>
          <w:szCs w:val="18"/>
          <w:color w:val="232323"/>
        </w:rPr>
        <w:t>her</w:t>
      </w:r>
      <w:r>
        <w:rPr>
          <w:rFonts w:ascii="Arial" w:cs="Arial" w:eastAsia="Arial" w:hAnsi="Arial"/>
          <w:sz w:val="18"/>
          <w:szCs w:val="18"/>
          <w:color w:val="auto"/>
        </w:rPr>
        <w:t xml:space="preserve"> </w:t>
      </w:r>
      <w:r>
        <w:rPr>
          <w:rFonts w:ascii="Arial" w:cs="Arial" w:eastAsia="Arial" w:hAnsi="Arial"/>
          <w:sz w:val="18"/>
          <w:szCs w:val="18"/>
          <w:color w:val="343434"/>
        </w:rPr>
        <w:t>fo</w:t>
      </w:r>
      <w:r>
        <w:rPr>
          <w:rFonts w:ascii="Arial" w:cs="Arial" w:eastAsia="Arial" w:hAnsi="Arial"/>
          <w:sz w:val="18"/>
          <w:szCs w:val="18"/>
          <w:color w:val="131313"/>
        </w:rPr>
        <w:t>r</w:t>
      </w:r>
      <w:r>
        <w:rPr>
          <w:rFonts w:ascii="Arial" w:cs="Arial" w:eastAsia="Arial" w:hAnsi="Arial"/>
          <w:sz w:val="18"/>
          <w:szCs w:val="18"/>
          <w:color w:val="auto"/>
        </w:rPr>
        <w:t xml:space="preserve"> </w:t>
      </w:r>
      <w:r>
        <w:rPr>
          <w:rFonts w:ascii="Arial" w:cs="Arial" w:eastAsia="Arial" w:hAnsi="Arial"/>
          <w:sz w:val="18"/>
          <w:szCs w:val="18"/>
          <w:color w:val="484848"/>
        </w:rPr>
        <w:t>exchange</w:t>
      </w:r>
      <w:r>
        <w:rPr>
          <w:rFonts w:ascii="Arial" w:cs="Arial" w:eastAsia="Arial" w:hAnsi="Arial"/>
          <w:sz w:val="18"/>
          <w:szCs w:val="18"/>
          <w:color w:val="auto"/>
        </w:rPr>
        <w:t xml:space="preserve"> </w:t>
      </w:r>
      <w:r>
        <w:rPr>
          <w:rFonts w:ascii="Arial" w:cs="Arial" w:eastAsia="Arial" w:hAnsi="Arial"/>
          <w:sz w:val="18"/>
          <w:szCs w:val="18"/>
          <w:color w:val="343434"/>
        </w:rPr>
        <w:t>o</w:t>
      </w:r>
      <w:r>
        <w:rPr>
          <w:rFonts w:ascii="Arial" w:cs="Arial" w:eastAsia="Arial" w:hAnsi="Arial"/>
          <w:sz w:val="18"/>
          <w:szCs w:val="18"/>
          <w:color w:val="131313"/>
        </w:rPr>
        <w:t>r</w:t>
      </w:r>
      <w:r>
        <w:rPr>
          <w:rFonts w:ascii="Arial" w:cs="Arial" w:eastAsia="Arial" w:hAnsi="Arial"/>
          <w:sz w:val="18"/>
          <w:szCs w:val="18"/>
          <w:color w:val="auto"/>
        </w:rPr>
        <w:t xml:space="preserve"> </w:t>
      </w:r>
      <w:r>
        <w:rPr>
          <w:rFonts w:ascii="Arial" w:cs="Arial" w:eastAsia="Arial" w:hAnsi="Arial"/>
          <w:sz w:val="18"/>
          <w:szCs w:val="18"/>
          <w:color w:val="343434"/>
        </w:rPr>
        <w:t>warranty or</w:t>
      </w:r>
      <w:r>
        <w:rPr>
          <w:rFonts w:ascii="Arial" w:cs="Arial" w:eastAsia="Arial" w:hAnsi="Arial"/>
          <w:sz w:val="18"/>
          <w:szCs w:val="18"/>
          <w:color w:val="auto"/>
        </w:rPr>
        <w:t xml:space="preserve"> </w:t>
      </w:r>
      <w:r>
        <w:rPr>
          <w:rFonts w:ascii="Arial" w:cs="Arial" w:eastAsia="Arial" w:hAnsi="Arial"/>
          <w:sz w:val="18"/>
          <w:szCs w:val="18"/>
          <w:color w:val="232323"/>
        </w:rPr>
        <w:t>n</w:t>
      </w:r>
      <w:r>
        <w:rPr>
          <w:rFonts w:ascii="Arial" w:cs="Arial" w:eastAsia="Arial" w:hAnsi="Arial"/>
          <w:sz w:val="18"/>
          <w:szCs w:val="18"/>
          <w:color w:val="484848"/>
        </w:rPr>
        <w:t>on</w:t>
      </w:r>
      <w:r>
        <w:rPr>
          <w:rFonts w:ascii="Arial" w:cs="Arial" w:eastAsia="Arial" w:hAnsi="Arial"/>
          <w:sz w:val="18"/>
          <w:szCs w:val="18"/>
          <w:color w:val="auto"/>
        </w:rPr>
        <w:t xml:space="preserve"> </w:t>
      </w:r>
      <w:r>
        <w:rPr>
          <w:rFonts w:ascii="Arial" w:cs="Arial" w:eastAsia="Arial" w:hAnsi="Arial"/>
          <w:sz w:val="18"/>
          <w:szCs w:val="18"/>
          <w:color w:val="343434"/>
        </w:rPr>
        <w:t>warranty action,</w:t>
      </w:r>
      <w:r>
        <w:rPr>
          <w:rFonts w:ascii="Arial" w:cs="Arial" w:eastAsia="Arial" w:hAnsi="Arial"/>
          <w:sz w:val="18"/>
          <w:szCs w:val="18"/>
          <w:color w:val="auto"/>
        </w:rPr>
        <w:t xml:space="preserve"> </w:t>
      </w:r>
      <w:r>
        <w:rPr>
          <w:rFonts w:ascii="Arial" w:cs="Arial" w:eastAsia="Arial" w:hAnsi="Arial"/>
          <w:sz w:val="18"/>
          <w:szCs w:val="18"/>
          <w:color w:val="232323"/>
        </w:rPr>
        <w:t>Distributor must obtain</w:t>
      </w:r>
      <w:r>
        <w:rPr>
          <w:rFonts w:ascii="Arial" w:cs="Arial" w:eastAsia="Arial" w:hAnsi="Arial"/>
          <w:sz w:val="18"/>
          <w:szCs w:val="18"/>
          <w:color w:val="auto"/>
        </w:rPr>
        <w:t xml:space="preserve"> </w:t>
      </w:r>
      <w:r>
        <w:rPr>
          <w:rFonts w:ascii="Arial" w:cs="Arial" w:eastAsia="Arial" w:hAnsi="Arial"/>
          <w:sz w:val="18"/>
          <w:szCs w:val="18"/>
          <w:color w:val="343434"/>
        </w:rPr>
        <w:t>a</w:t>
      </w:r>
      <w:r>
        <w:rPr>
          <w:rFonts w:ascii="Arial" w:cs="Arial" w:eastAsia="Arial" w:hAnsi="Arial"/>
          <w:sz w:val="18"/>
          <w:szCs w:val="18"/>
          <w:color w:val="auto"/>
        </w:rPr>
        <w:t xml:space="preserve"> </w:t>
      </w:r>
      <w:r>
        <w:rPr>
          <w:rFonts w:ascii="Arial" w:cs="Arial" w:eastAsia="Arial" w:hAnsi="Arial"/>
          <w:sz w:val="18"/>
          <w:szCs w:val="18"/>
          <w:color w:val="232323"/>
        </w:rPr>
        <w:t>return material</w:t>
      </w:r>
      <w:r>
        <w:rPr>
          <w:rFonts w:ascii="Arial" w:cs="Arial" w:eastAsia="Arial" w:hAnsi="Arial"/>
          <w:sz w:val="18"/>
          <w:szCs w:val="18"/>
          <w:color w:val="auto"/>
        </w:rPr>
        <w:t xml:space="preserve"> </w:t>
      </w:r>
      <w:r>
        <w:rPr>
          <w:rFonts w:ascii="Arial" w:cs="Arial" w:eastAsia="Arial" w:hAnsi="Arial"/>
          <w:sz w:val="18"/>
          <w:szCs w:val="18"/>
          <w:color w:val="343434"/>
        </w:rPr>
        <w:t>autho</w:t>
      </w:r>
      <w:r>
        <w:rPr>
          <w:rFonts w:ascii="Arial" w:cs="Arial" w:eastAsia="Arial" w:hAnsi="Arial"/>
          <w:sz w:val="18"/>
          <w:szCs w:val="18"/>
          <w:color w:val="131313"/>
        </w:rPr>
        <w:t>ri</w:t>
      </w:r>
      <w:r>
        <w:rPr>
          <w:rFonts w:ascii="Arial" w:cs="Arial" w:eastAsia="Arial" w:hAnsi="Arial"/>
          <w:sz w:val="18"/>
          <w:szCs w:val="18"/>
          <w:color w:val="484848"/>
        </w:rPr>
        <w:t>zati</w:t>
      </w:r>
      <w:r>
        <w:rPr>
          <w:rFonts w:ascii="Arial" w:cs="Arial" w:eastAsia="Arial" w:hAnsi="Arial"/>
          <w:sz w:val="18"/>
          <w:szCs w:val="18"/>
          <w:color w:val="232323"/>
        </w:rPr>
        <w:t>on</w:t>
      </w:r>
      <w:r>
        <w:rPr>
          <w:rFonts w:ascii="Arial" w:cs="Arial" w:eastAsia="Arial" w:hAnsi="Arial"/>
          <w:sz w:val="18"/>
          <w:szCs w:val="18"/>
          <w:color w:val="343434"/>
        </w:rPr>
        <w:t xml:space="preserve"> from </w:t>
      </w:r>
      <w:r>
        <w:rPr>
          <w:rFonts w:ascii="Arial" w:cs="Arial" w:eastAsia="Arial" w:hAnsi="Arial"/>
          <w:sz w:val="18"/>
          <w:szCs w:val="18"/>
          <w:color w:val="484848"/>
        </w:rPr>
        <w:t>Compa</w:t>
      </w:r>
      <w:r>
        <w:rPr>
          <w:rFonts w:ascii="Arial" w:cs="Arial" w:eastAsia="Arial" w:hAnsi="Arial"/>
          <w:sz w:val="18"/>
          <w:szCs w:val="18"/>
          <w:color w:val="232323"/>
        </w:rPr>
        <w:t>ny</w:t>
      </w:r>
      <w:r>
        <w:rPr>
          <w:rFonts w:ascii="Arial" w:cs="Arial" w:eastAsia="Arial" w:hAnsi="Arial"/>
          <w:sz w:val="18"/>
          <w:szCs w:val="18"/>
          <w:color w:val="484848"/>
        </w:rPr>
        <w:t>,</w:t>
      </w:r>
      <w:r>
        <w:rPr>
          <w:rFonts w:ascii="Arial" w:cs="Arial" w:eastAsia="Arial" w:hAnsi="Arial"/>
          <w:sz w:val="18"/>
          <w:szCs w:val="18"/>
          <w:color w:val="343434"/>
        </w:rPr>
        <w:t xml:space="preserve"> and Company sha</w:t>
      </w:r>
      <w:r>
        <w:rPr>
          <w:rFonts w:ascii="Arial" w:cs="Arial" w:eastAsia="Arial" w:hAnsi="Arial"/>
          <w:sz w:val="18"/>
          <w:szCs w:val="18"/>
          <w:color w:val="131313"/>
        </w:rPr>
        <w:t>ll</w:t>
      </w:r>
      <w:r>
        <w:rPr>
          <w:rFonts w:ascii="Arial" w:cs="Arial" w:eastAsia="Arial" w:hAnsi="Arial"/>
          <w:sz w:val="18"/>
          <w:szCs w:val="18"/>
          <w:color w:val="343434"/>
        </w:rPr>
        <w:t xml:space="preserve"> pro</w:t>
      </w:r>
      <w:r>
        <w:rPr>
          <w:rFonts w:ascii="Arial" w:cs="Arial" w:eastAsia="Arial" w:hAnsi="Arial"/>
          <w:sz w:val="18"/>
          <w:szCs w:val="18"/>
          <w:color w:val="131313"/>
        </w:rPr>
        <w:t>m</w:t>
      </w:r>
      <w:r>
        <w:rPr>
          <w:rFonts w:ascii="Arial" w:cs="Arial" w:eastAsia="Arial" w:hAnsi="Arial"/>
          <w:sz w:val="18"/>
          <w:szCs w:val="18"/>
          <w:color w:val="484848"/>
        </w:rPr>
        <w:t>pt</w:t>
      </w:r>
      <w:r>
        <w:rPr>
          <w:rFonts w:ascii="Arial" w:cs="Arial" w:eastAsia="Arial" w:hAnsi="Arial"/>
          <w:sz w:val="18"/>
          <w:szCs w:val="18"/>
          <w:color w:val="131313"/>
        </w:rPr>
        <w:t>l</w:t>
      </w:r>
      <w:r>
        <w:rPr>
          <w:rFonts w:ascii="Arial" w:cs="Arial" w:eastAsia="Arial" w:hAnsi="Arial"/>
          <w:sz w:val="18"/>
          <w:szCs w:val="18"/>
          <w:color w:val="484848"/>
        </w:rPr>
        <w:t>y</w:t>
      </w:r>
      <w:r>
        <w:rPr>
          <w:rFonts w:ascii="Arial" w:cs="Arial" w:eastAsia="Arial" w:hAnsi="Arial"/>
          <w:sz w:val="18"/>
          <w:szCs w:val="18"/>
          <w:color w:val="343434"/>
        </w:rPr>
        <w:t xml:space="preserve"> </w:t>
      </w:r>
      <w:r>
        <w:rPr>
          <w:rFonts w:ascii="Arial" w:cs="Arial" w:eastAsia="Arial" w:hAnsi="Arial"/>
          <w:sz w:val="18"/>
          <w:szCs w:val="18"/>
          <w:color w:val="232323"/>
        </w:rPr>
        <w:t>furni</w:t>
      </w:r>
      <w:r>
        <w:rPr>
          <w:rFonts w:ascii="Arial" w:cs="Arial" w:eastAsia="Arial" w:hAnsi="Arial"/>
          <w:sz w:val="18"/>
          <w:szCs w:val="18"/>
          <w:color w:val="484848"/>
        </w:rPr>
        <w:t>s</w:t>
      </w:r>
      <w:r>
        <w:rPr>
          <w:rFonts w:ascii="Arial" w:cs="Arial" w:eastAsia="Arial" w:hAnsi="Arial"/>
          <w:sz w:val="18"/>
          <w:szCs w:val="18"/>
          <w:color w:val="232323"/>
        </w:rPr>
        <w:t>h the</w:t>
      </w:r>
      <w:r>
        <w:rPr>
          <w:rFonts w:ascii="Arial" w:cs="Arial" w:eastAsia="Arial" w:hAnsi="Arial"/>
          <w:sz w:val="18"/>
          <w:szCs w:val="18"/>
          <w:color w:val="343434"/>
        </w:rPr>
        <w:t xml:space="preserve"> au</w:t>
      </w:r>
      <w:r>
        <w:rPr>
          <w:rFonts w:ascii="Arial" w:cs="Arial" w:eastAsia="Arial" w:hAnsi="Arial"/>
          <w:sz w:val="18"/>
          <w:szCs w:val="18"/>
          <w:color w:val="131313"/>
        </w:rPr>
        <w:t>thorizatio</w:t>
      </w:r>
      <w:r>
        <w:rPr>
          <w:rFonts w:ascii="Arial" w:cs="Arial" w:eastAsia="Arial" w:hAnsi="Arial"/>
          <w:sz w:val="18"/>
          <w:szCs w:val="18"/>
          <w:color w:val="343434"/>
        </w:rPr>
        <w:t xml:space="preserve">n </w:t>
      </w:r>
      <w:r>
        <w:rPr>
          <w:rFonts w:ascii="Arial" w:cs="Arial" w:eastAsia="Arial" w:hAnsi="Arial"/>
          <w:sz w:val="18"/>
          <w:szCs w:val="18"/>
          <w:color w:val="232323"/>
        </w:rPr>
        <w:t>upon</w:t>
      </w:r>
      <w:r>
        <w:rPr>
          <w:rFonts w:ascii="Arial" w:cs="Arial" w:eastAsia="Arial" w:hAnsi="Arial"/>
          <w:sz w:val="18"/>
          <w:szCs w:val="18"/>
          <w:color w:val="343434"/>
        </w:rPr>
        <w:t xml:space="preserve"> request </w:t>
      </w:r>
      <w:r>
        <w:rPr>
          <w:rFonts w:ascii="Arial" w:cs="Arial" w:eastAsia="Arial" w:hAnsi="Arial"/>
          <w:sz w:val="18"/>
          <w:szCs w:val="18"/>
          <w:color w:val="232323"/>
        </w:rPr>
        <w:t>b</w:t>
      </w:r>
      <w:r>
        <w:rPr>
          <w:rFonts w:ascii="Arial" w:cs="Arial" w:eastAsia="Arial" w:hAnsi="Arial"/>
          <w:sz w:val="18"/>
          <w:szCs w:val="18"/>
          <w:color w:val="484848"/>
        </w:rPr>
        <w:t>y</w:t>
      </w:r>
      <w:r>
        <w:rPr>
          <w:rFonts w:ascii="Arial" w:cs="Arial" w:eastAsia="Arial" w:hAnsi="Arial"/>
          <w:sz w:val="18"/>
          <w:szCs w:val="18"/>
          <w:color w:val="343434"/>
        </w:rPr>
        <w:t xml:space="preserve"> </w:t>
      </w:r>
      <w:r>
        <w:rPr>
          <w:rFonts w:ascii="Arial" w:cs="Arial" w:eastAsia="Arial" w:hAnsi="Arial"/>
          <w:sz w:val="18"/>
          <w:szCs w:val="18"/>
          <w:color w:val="232323"/>
        </w:rPr>
        <w:t>Di</w:t>
      </w:r>
      <w:r>
        <w:rPr>
          <w:rFonts w:ascii="Arial" w:cs="Arial" w:eastAsia="Arial" w:hAnsi="Arial"/>
          <w:sz w:val="18"/>
          <w:szCs w:val="18"/>
          <w:color w:val="484848"/>
        </w:rPr>
        <w:t>s</w:t>
      </w:r>
      <w:r>
        <w:rPr>
          <w:rFonts w:ascii="Arial" w:cs="Arial" w:eastAsia="Arial" w:hAnsi="Arial"/>
          <w:sz w:val="18"/>
          <w:szCs w:val="18"/>
          <w:color w:val="232323"/>
        </w:rPr>
        <w:t>tributor following</w:t>
      </w:r>
      <w:r>
        <w:rPr>
          <w:rFonts w:ascii="Arial" w:cs="Arial" w:eastAsia="Arial" w:hAnsi="Arial"/>
          <w:sz w:val="18"/>
          <w:szCs w:val="18"/>
          <w:color w:val="343434"/>
        </w:rPr>
        <w:t xml:space="preserve"> confirmation of the claimed non</w:t>
      </w:r>
      <w:r>
        <w:rPr>
          <w:rFonts w:ascii="Arial" w:cs="Arial" w:eastAsia="Arial" w:hAnsi="Arial"/>
          <w:sz w:val="18"/>
          <w:szCs w:val="18"/>
          <w:color w:val="676767"/>
        </w:rPr>
        <w:t>-</w:t>
      </w:r>
      <w:r>
        <w:rPr>
          <w:rFonts w:ascii="Arial" w:cs="Arial" w:eastAsia="Arial" w:hAnsi="Arial"/>
          <w:sz w:val="18"/>
          <w:szCs w:val="18"/>
          <w:color w:val="343434"/>
        </w:rPr>
        <w:t>co</w:t>
      </w:r>
      <w:r>
        <w:rPr>
          <w:rFonts w:ascii="Arial" w:cs="Arial" w:eastAsia="Arial" w:hAnsi="Arial"/>
          <w:sz w:val="18"/>
          <w:szCs w:val="18"/>
          <w:color w:val="131313"/>
        </w:rPr>
        <w:t>n</w:t>
      </w:r>
      <w:r>
        <w:rPr>
          <w:rFonts w:ascii="Arial" w:cs="Arial" w:eastAsia="Arial" w:hAnsi="Arial"/>
          <w:sz w:val="18"/>
          <w:szCs w:val="18"/>
          <w:color w:val="343434"/>
        </w:rPr>
        <w:t>fo</w:t>
      </w:r>
      <w:r>
        <w:rPr>
          <w:rFonts w:ascii="Arial" w:cs="Arial" w:eastAsia="Arial" w:hAnsi="Arial"/>
          <w:sz w:val="18"/>
          <w:szCs w:val="18"/>
          <w:color w:val="131313"/>
        </w:rPr>
        <w:t>r</w:t>
      </w:r>
      <w:r>
        <w:rPr>
          <w:rFonts w:ascii="Arial" w:cs="Arial" w:eastAsia="Arial" w:hAnsi="Arial"/>
          <w:sz w:val="18"/>
          <w:szCs w:val="18"/>
          <w:color w:val="343434"/>
        </w:rPr>
        <w:t>mi</w:t>
      </w:r>
      <w:r>
        <w:rPr>
          <w:rFonts w:ascii="Arial" w:cs="Arial" w:eastAsia="Arial" w:hAnsi="Arial"/>
          <w:sz w:val="18"/>
          <w:szCs w:val="18"/>
          <w:color w:val="131313"/>
        </w:rPr>
        <w:t>t</w:t>
      </w:r>
      <w:r>
        <w:rPr>
          <w:rFonts w:ascii="Arial" w:cs="Arial" w:eastAsia="Arial" w:hAnsi="Arial"/>
          <w:sz w:val="18"/>
          <w:szCs w:val="18"/>
          <w:color w:val="343434"/>
        </w:rPr>
        <w:t xml:space="preserve">y </w:t>
      </w:r>
      <w:r>
        <w:rPr>
          <w:rFonts w:ascii="Arial" w:cs="Arial" w:eastAsia="Arial" w:hAnsi="Arial"/>
          <w:sz w:val="18"/>
          <w:szCs w:val="18"/>
          <w:color w:val="232323"/>
        </w:rPr>
        <w:t>by</w:t>
      </w:r>
      <w:r>
        <w:rPr>
          <w:rFonts w:ascii="Arial" w:cs="Arial" w:eastAsia="Arial" w:hAnsi="Arial"/>
          <w:sz w:val="18"/>
          <w:szCs w:val="18"/>
          <w:color w:val="343434"/>
        </w:rPr>
        <w:t xml:space="preserve"> </w:t>
      </w:r>
      <w:r>
        <w:rPr>
          <w:rFonts w:ascii="Arial" w:cs="Arial" w:eastAsia="Arial" w:hAnsi="Arial"/>
          <w:sz w:val="18"/>
          <w:szCs w:val="18"/>
          <w:color w:val="484848"/>
        </w:rPr>
        <w:t>Compa</w:t>
      </w:r>
      <w:r>
        <w:rPr>
          <w:rFonts w:ascii="Arial" w:cs="Arial" w:eastAsia="Arial" w:hAnsi="Arial"/>
          <w:sz w:val="18"/>
          <w:szCs w:val="18"/>
          <w:color w:val="232323"/>
        </w:rPr>
        <w:t>ny. Di</w:t>
      </w:r>
      <w:r>
        <w:rPr>
          <w:rFonts w:ascii="Arial" w:cs="Arial" w:eastAsia="Arial" w:hAnsi="Arial"/>
          <w:sz w:val="18"/>
          <w:szCs w:val="18"/>
          <w:color w:val="484848"/>
        </w:rPr>
        <w:t>str</w:t>
      </w:r>
      <w:r>
        <w:rPr>
          <w:rFonts w:ascii="Arial" w:cs="Arial" w:eastAsia="Arial" w:hAnsi="Arial"/>
          <w:sz w:val="18"/>
          <w:szCs w:val="18"/>
          <w:color w:val="131313"/>
        </w:rPr>
        <w:t>ibu</w:t>
      </w:r>
      <w:r>
        <w:rPr>
          <w:rFonts w:ascii="Arial" w:cs="Arial" w:eastAsia="Arial" w:hAnsi="Arial"/>
          <w:sz w:val="18"/>
          <w:szCs w:val="18"/>
          <w:color w:val="343434"/>
        </w:rPr>
        <w:t xml:space="preserve">tor </w:t>
      </w:r>
      <w:r>
        <w:rPr>
          <w:rFonts w:ascii="Arial" w:cs="Arial" w:eastAsia="Arial" w:hAnsi="Arial"/>
          <w:sz w:val="18"/>
          <w:szCs w:val="18"/>
          <w:color w:val="484848"/>
        </w:rPr>
        <w:t>s</w:t>
      </w:r>
      <w:r>
        <w:rPr>
          <w:rFonts w:ascii="Arial" w:cs="Arial" w:eastAsia="Arial" w:hAnsi="Arial"/>
          <w:sz w:val="18"/>
          <w:szCs w:val="18"/>
          <w:color w:val="232323"/>
        </w:rPr>
        <w:t>hall</w:t>
      </w:r>
      <w:r>
        <w:rPr>
          <w:rFonts w:ascii="Arial" w:cs="Arial" w:eastAsia="Arial" w:hAnsi="Arial"/>
          <w:sz w:val="18"/>
          <w:szCs w:val="18"/>
          <w:color w:val="343434"/>
        </w:rPr>
        <w:t xml:space="preserve"> </w:t>
      </w:r>
      <w:r>
        <w:rPr>
          <w:rFonts w:ascii="Arial" w:cs="Arial" w:eastAsia="Arial" w:hAnsi="Arial"/>
          <w:sz w:val="18"/>
          <w:szCs w:val="18"/>
          <w:color w:val="131313"/>
        </w:rPr>
        <w:t>di</w:t>
      </w:r>
      <w:r>
        <w:rPr>
          <w:rFonts w:ascii="Arial" w:cs="Arial" w:eastAsia="Arial" w:hAnsi="Arial"/>
          <w:sz w:val="18"/>
          <w:szCs w:val="18"/>
          <w:color w:val="343434"/>
        </w:rPr>
        <w:t>sp</w:t>
      </w:r>
      <w:r>
        <w:rPr>
          <w:rFonts w:ascii="Arial" w:cs="Arial" w:eastAsia="Arial" w:hAnsi="Arial"/>
          <w:sz w:val="18"/>
          <w:szCs w:val="18"/>
          <w:color w:val="131313"/>
        </w:rPr>
        <w:t>l</w:t>
      </w:r>
      <w:r>
        <w:rPr>
          <w:rFonts w:ascii="Arial" w:cs="Arial" w:eastAsia="Arial" w:hAnsi="Arial"/>
          <w:sz w:val="18"/>
          <w:szCs w:val="18"/>
          <w:color w:val="343434"/>
        </w:rPr>
        <w:t>ay such aut</w:t>
      </w:r>
      <w:r>
        <w:rPr>
          <w:rFonts w:ascii="Arial" w:cs="Arial" w:eastAsia="Arial" w:hAnsi="Arial"/>
          <w:sz w:val="18"/>
          <w:szCs w:val="18"/>
          <w:color w:val="131313"/>
        </w:rPr>
        <w:t>hori</w:t>
      </w:r>
      <w:r>
        <w:rPr>
          <w:rFonts w:ascii="Arial" w:cs="Arial" w:eastAsia="Arial" w:hAnsi="Arial"/>
          <w:sz w:val="18"/>
          <w:szCs w:val="18"/>
          <w:color w:val="484848"/>
        </w:rPr>
        <w:t>zation</w:t>
      </w:r>
      <w:r>
        <w:rPr>
          <w:rFonts w:ascii="Arial" w:cs="Arial" w:eastAsia="Arial" w:hAnsi="Arial"/>
          <w:sz w:val="18"/>
          <w:szCs w:val="18"/>
          <w:color w:val="343434"/>
        </w:rPr>
        <w:t xml:space="preserve"> prominent</w:t>
      </w:r>
      <w:r>
        <w:rPr>
          <w:rFonts w:ascii="Arial" w:cs="Arial" w:eastAsia="Arial" w:hAnsi="Arial"/>
          <w:sz w:val="18"/>
          <w:szCs w:val="18"/>
          <w:color w:val="131313"/>
        </w:rPr>
        <w:t>l</w:t>
      </w:r>
      <w:r>
        <w:rPr>
          <w:rFonts w:ascii="Arial" w:cs="Arial" w:eastAsia="Arial" w:hAnsi="Arial"/>
          <w:sz w:val="18"/>
          <w:szCs w:val="18"/>
          <w:color w:val="343434"/>
        </w:rPr>
        <w:t xml:space="preserve">y on the packaging for any </w:t>
      </w:r>
      <w:r>
        <w:rPr>
          <w:rFonts w:ascii="Arial" w:cs="Arial" w:eastAsia="Arial" w:hAnsi="Arial"/>
          <w:sz w:val="18"/>
          <w:szCs w:val="18"/>
          <w:color w:val="484848"/>
        </w:rPr>
        <w:t>s</w:t>
      </w:r>
      <w:r>
        <w:rPr>
          <w:rFonts w:ascii="Arial" w:cs="Arial" w:eastAsia="Arial" w:hAnsi="Arial"/>
          <w:sz w:val="18"/>
          <w:szCs w:val="18"/>
          <w:color w:val="232323"/>
        </w:rPr>
        <w:t>uch</w:t>
      </w:r>
      <w:r>
        <w:rPr>
          <w:rFonts w:ascii="Arial" w:cs="Arial" w:eastAsia="Arial" w:hAnsi="Arial"/>
          <w:sz w:val="18"/>
          <w:szCs w:val="18"/>
          <w:color w:val="343434"/>
        </w:rPr>
        <w:t xml:space="preserve"> returned </w:t>
      </w:r>
      <w:r>
        <w:rPr>
          <w:rFonts w:ascii="Arial" w:cs="Arial" w:eastAsia="Arial" w:hAnsi="Arial"/>
          <w:sz w:val="18"/>
          <w:szCs w:val="18"/>
          <w:color w:val="232323"/>
        </w:rPr>
        <w:t>Products. Distributor</w:t>
      </w:r>
      <w:r>
        <w:rPr>
          <w:rFonts w:ascii="Arial" w:cs="Arial" w:eastAsia="Arial" w:hAnsi="Arial"/>
          <w:sz w:val="18"/>
          <w:szCs w:val="18"/>
          <w:color w:val="343434"/>
        </w:rPr>
        <w:t xml:space="preserve"> must </w:t>
      </w:r>
      <w:r>
        <w:rPr>
          <w:rFonts w:ascii="Arial" w:cs="Arial" w:eastAsia="Arial" w:hAnsi="Arial"/>
          <w:sz w:val="18"/>
          <w:szCs w:val="18"/>
          <w:color w:val="232323"/>
        </w:rPr>
        <w:t>return</w:t>
      </w:r>
      <w:r>
        <w:rPr>
          <w:rFonts w:ascii="Arial" w:cs="Arial" w:eastAsia="Arial" w:hAnsi="Arial"/>
          <w:sz w:val="18"/>
          <w:szCs w:val="18"/>
          <w:color w:val="343434"/>
        </w:rPr>
        <w:t xml:space="preserve"> </w:t>
      </w:r>
      <w:r>
        <w:rPr>
          <w:rFonts w:ascii="Arial" w:cs="Arial" w:eastAsia="Arial" w:hAnsi="Arial"/>
          <w:sz w:val="18"/>
          <w:szCs w:val="18"/>
          <w:color w:val="484848"/>
        </w:rPr>
        <w:t>a</w:t>
      </w:r>
      <w:r>
        <w:rPr>
          <w:rFonts w:ascii="Arial" w:cs="Arial" w:eastAsia="Arial" w:hAnsi="Arial"/>
          <w:sz w:val="18"/>
          <w:szCs w:val="18"/>
          <w:color w:val="232323"/>
        </w:rPr>
        <w:t>ll</w:t>
      </w:r>
      <w:r>
        <w:rPr>
          <w:rFonts w:ascii="Arial" w:cs="Arial" w:eastAsia="Arial" w:hAnsi="Arial"/>
          <w:sz w:val="18"/>
          <w:szCs w:val="18"/>
          <w:color w:val="343434"/>
        </w:rPr>
        <w:t xml:space="preserve"> Products </w:t>
      </w:r>
      <w:r>
        <w:rPr>
          <w:rFonts w:ascii="Arial" w:cs="Arial" w:eastAsia="Arial" w:hAnsi="Arial"/>
          <w:sz w:val="18"/>
          <w:szCs w:val="18"/>
          <w:color w:val="232323"/>
        </w:rPr>
        <w:t>to</w:t>
      </w:r>
      <w:r>
        <w:rPr>
          <w:rFonts w:ascii="Arial" w:cs="Arial" w:eastAsia="Arial" w:hAnsi="Arial"/>
          <w:sz w:val="18"/>
          <w:szCs w:val="18"/>
          <w:color w:val="343434"/>
        </w:rPr>
        <w:t xml:space="preserve"> Company. Company sha</w:t>
      </w:r>
      <w:r>
        <w:rPr>
          <w:rFonts w:ascii="Arial" w:cs="Arial" w:eastAsia="Arial" w:hAnsi="Arial"/>
          <w:sz w:val="18"/>
          <w:szCs w:val="18"/>
          <w:color w:val="131313"/>
        </w:rPr>
        <w:t>ll</w:t>
      </w:r>
      <w:r>
        <w:rPr>
          <w:rFonts w:ascii="Arial" w:cs="Arial" w:eastAsia="Arial" w:hAnsi="Arial"/>
          <w:sz w:val="18"/>
          <w:szCs w:val="18"/>
          <w:color w:val="343434"/>
        </w:rPr>
        <w:t xml:space="preserve"> pay all sh</w:t>
      </w:r>
      <w:r>
        <w:rPr>
          <w:rFonts w:ascii="Arial" w:cs="Arial" w:eastAsia="Arial" w:hAnsi="Arial"/>
          <w:sz w:val="18"/>
          <w:szCs w:val="18"/>
          <w:color w:val="131313"/>
        </w:rPr>
        <w:t>i</w:t>
      </w:r>
      <w:r>
        <w:rPr>
          <w:rFonts w:ascii="Arial" w:cs="Arial" w:eastAsia="Arial" w:hAnsi="Arial"/>
          <w:sz w:val="18"/>
          <w:szCs w:val="18"/>
          <w:color w:val="343434"/>
        </w:rPr>
        <w:t>pp</w:t>
      </w:r>
      <w:r>
        <w:rPr>
          <w:rFonts w:ascii="Arial" w:cs="Arial" w:eastAsia="Arial" w:hAnsi="Arial"/>
          <w:sz w:val="18"/>
          <w:szCs w:val="18"/>
          <w:color w:val="131313"/>
        </w:rPr>
        <w:t>in</w:t>
      </w:r>
      <w:r>
        <w:rPr>
          <w:rFonts w:ascii="Arial" w:cs="Arial" w:eastAsia="Arial" w:hAnsi="Arial"/>
          <w:sz w:val="18"/>
          <w:szCs w:val="18"/>
          <w:color w:val="484848"/>
        </w:rPr>
        <w:t>g</w:t>
      </w:r>
      <w:r>
        <w:rPr>
          <w:rFonts w:ascii="Arial" w:cs="Arial" w:eastAsia="Arial" w:hAnsi="Arial"/>
          <w:sz w:val="18"/>
          <w:szCs w:val="18"/>
          <w:color w:val="343434"/>
        </w:rPr>
        <w:t xml:space="preserve"> c</w:t>
      </w:r>
      <w:r>
        <w:rPr>
          <w:rFonts w:ascii="Arial" w:cs="Arial" w:eastAsia="Arial" w:hAnsi="Arial"/>
          <w:sz w:val="18"/>
          <w:szCs w:val="18"/>
          <w:color w:val="131313"/>
        </w:rPr>
        <w:t>h</w:t>
      </w:r>
      <w:r>
        <w:rPr>
          <w:rFonts w:ascii="Arial" w:cs="Arial" w:eastAsia="Arial" w:hAnsi="Arial"/>
          <w:sz w:val="18"/>
          <w:szCs w:val="18"/>
          <w:color w:val="343434"/>
        </w:rPr>
        <w:t xml:space="preserve">arges for Product from </w:t>
      </w:r>
      <w:r>
        <w:rPr>
          <w:rFonts w:ascii="Arial" w:cs="Arial" w:eastAsia="Arial" w:hAnsi="Arial"/>
          <w:sz w:val="18"/>
          <w:szCs w:val="18"/>
          <w:color w:val="232323"/>
        </w:rPr>
        <w:t>Di</w:t>
      </w:r>
      <w:r>
        <w:rPr>
          <w:rFonts w:ascii="Arial" w:cs="Arial" w:eastAsia="Arial" w:hAnsi="Arial"/>
          <w:sz w:val="18"/>
          <w:szCs w:val="18"/>
          <w:color w:val="484848"/>
        </w:rPr>
        <w:t>str</w:t>
      </w:r>
      <w:r>
        <w:rPr>
          <w:rFonts w:ascii="Arial" w:cs="Arial" w:eastAsia="Arial" w:hAnsi="Arial"/>
          <w:sz w:val="18"/>
          <w:szCs w:val="18"/>
          <w:color w:val="131313"/>
        </w:rPr>
        <w:t>i</w:t>
      </w:r>
      <w:r>
        <w:rPr>
          <w:rFonts w:ascii="Arial" w:cs="Arial" w:eastAsia="Arial" w:hAnsi="Arial"/>
          <w:sz w:val="18"/>
          <w:szCs w:val="18"/>
          <w:color w:val="343434"/>
        </w:rPr>
        <w:t xml:space="preserve">butor. Any Products </w:t>
      </w:r>
      <w:r>
        <w:rPr>
          <w:rFonts w:ascii="Arial" w:cs="Arial" w:eastAsia="Arial" w:hAnsi="Arial"/>
          <w:sz w:val="18"/>
          <w:szCs w:val="18"/>
          <w:color w:val="232323"/>
        </w:rPr>
        <w:t>r</w:t>
      </w:r>
      <w:r>
        <w:rPr>
          <w:rFonts w:ascii="Arial" w:cs="Arial" w:eastAsia="Arial" w:hAnsi="Arial"/>
          <w:sz w:val="18"/>
          <w:szCs w:val="18"/>
          <w:color w:val="484848"/>
        </w:rPr>
        <w:t>e</w:t>
      </w:r>
      <w:r>
        <w:rPr>
          <w:rFonts w:ascii="Arial" w:cs="Arial" w:eastAsia="Arial" w:hAnsi="Arial"/>
          <w:sz w:val="18"/>
          <w:szCs w:val="18"/>
          <w:color w:val="232323"/>
        </w:rPr>
        <w:t>turn</w:t>
      </w:r>
      <w:r>
        <w:rPr>
          <w:rFonts w:ascii="Arial" w:cs="Arial" w:eastAsia="Arial" w:hAnsi="Arial"/>
          <w:sz w:val="18"/>
          <w:szCs w:val="18"/>
          <w:color w:val="484848"/>
        </w:rPr>
        <w:t>ed to Co</w:t>
      </w:r>
      <w:r>
        <w:rPr>
          <w:rFonts w:ascii="Arial" w:cs="Arial" w:eastAsia="Arial" w:hAnsi="Arial"/>
          <w:sz w:val="18"/>
          <w:szCs w:val="18"/>
          <w:color w:val="232323"/>
        </w:rPr>
        <w:t>mpan</w:t>
      </w:r>
      <w:r>
        <w:rPr>
          <w:rFonts w:ascii="Arial" w:cs="Arial" w:eastAsia="Arial" w:hAnsi="Arial"/>
          <w:sz w:val="18"/>
          <w:szCs w:val="18"/>
          <w:color w:val="484848"/>
        </w:rPr>
        <w:t>y</w:t>
      </w:r>
      <w:r>
        <w:rPr>
          <w:rFonts w:ascii="Arial" w:cs="Arial" w:eastAsia="Arial" w:hAnsi="Arial"/>
          <w:sz w:val="18"/>
          <w:szCs w:val="18"/>
          <w:color w:val="343434"/>
        </w:rPr>
        <w:t xml:space="preserve"> other </w:t>
      </w:r>
      <w:r>
        <w:rPr>
          <w:rFonts w:ascii="Arial" w:cs="Arial" w:eastAsia="Arial" w:hAnsi="Arial"/>
          <w:sz w:val="18"/>
          <w:szCs w:val="18"/>
          <w:color w:val="484848"/>
        </w:rPr>
        <w:t>t</w:t>
      </w:r>
      <w:r>
        <w:rPr>
          <w:rFonts w:ascii="Arial" w:cs="Arial" w:eastAsia="Arial" w:hAnsi="Arial"/>
          <w:sz w:val="18"/>
          <w:szCs w:val="18"/>
          <w:color w:val="131313"/>
        </w:rPr>
        <w:t>h</w:t>
      </w:r>
      <w:r>
        <w:rPr>
          <w:rFonts w:ascii="Arial" w:cs="Arial" w:eastAsia="Arial" w:hAnsi="Arial"/>
          <w:sz w:val="18"/>
          <w:szCs w:val="18"/>
          <w:color w:val="343434"/>
        </w:rPr>
        <w:t xml:space="preserve">an in accordance with </w:t>
      </w:r>
      <w:r>
        <w:rPr>
          <w:rFonts w:ascii="Arial" w:cs="Arial" w:eastAsia="Arial" w:hAnsi="Arial"/>
          <w:sz w:val="18"/>
          <w:szCs w:val="18"/>
          <w:color w:val="232323"/>
        </w:rPr>
        <w:t>th</w:t>
      </w:r>
      <w:r>
        <w:rPr>
          <w:rFonts w:ascii="Arial" w:cs="Arial" w:eastAsia="Arial" w:hAnsi="Arial"/>
          <w:sz w:val="18"/>
          <w:szCs w:val="18"/>
          <w:color w:val="484848"/>
        </w:rPr>
        <w:t>e</w:t>
      </w:r>
      <w:r>
        <w:rPr>
          <w:rFonts w:ascii="Arial" w:cs="Arial" w:eastAsia="Arial" w:hAnsi="Arial"/>
          <w:sz w:val="18"/>
          <w:szCs w:val="18"/>
          <w:color w:val="343434"/>
        </w:rPr>
        <w:t xml:space="preserve"> </w:t>
      </w:r>
      <w:r>
        <w:rPr>
          <w:rFonts w:ascii="Arial" w:cs="Arial" w:eastAsia="Arial" w:hAnsi="Arial"/>
          <w:sz w:val="18"/>
          <w:szCs w:val="18"/>
          <w:color w:val="131313"/>
        </w:rPr>
        <w:t>t</w:t>
      </w:r>
      <w:r>
        <w:rPr>
          <w:rFonts w:ascii="Arial" w:cs="Arial" w:eastAsia="Arial" w:hAnsi="Arial"/>
          <w:sz w:val="18"/>
          <w:szCs w:val="18"/>
          <w:color w:val="343434"/>
        </w:rPr>
        <w:t xml:space="preserve">erms of this </w:t>
      </w:r>
      <w:r>
        <w:rPr>
          <w:rFonts w:ascii="Arial" w:cs="Arial" w:eastAsia="Arial" w:hAnsi="Arial"/>
          <w:sz w:val="18"/>
          <w:szCs w:val="18"/>
          <w:color w:val="232323"/>
        </w:rPr>
        <w:t>A</w:t>
      </w:r>
      <w:r>
        <w:rPr>
          <w:rFonts w:ascii="Arial" w:cs="Arial" w:eastAsia="Arial" w:hAnsi="Arial"/>
          <w:sz w:val="18"/>
          <w:szCs w:val="18"/>
          <w:color w:val="484848"/>
        </w:rPr>
        <w:t>g</w:t>
      </w:r>
      <w:r>
        <w:rPr>
          <w:rFonts w:ascii="Arial" w:cs="Arial" w:eastAsia="Arial" w:hAnsi="Arial"/>
          <w:sz w:val="18"/>
          <w:szCs w:val="18"/>
          <w:color w:val="232323"/>
        </w:rPr>
        <w:t>reement may</w:t>
      </w:r>
      <w:r>
        <w:rPr>
          <w:rFonts w:ascii="Arial" w:cs="Arial" w:eastAsia="Arial" w:hAnsi="Arial"/>
          <w:sz w:val="18"/>
          <w:szCs w:val="18"/>
          <w:color w:val="343434"/>
        </w:rPr>
        <w:t xml:space="preserve"> be refused by Compa</w:t>
      </w:r>
      <w:r>
        <w:rPr>
          <w:rFonts w:ascii="Arial" w:cs="Arial" w:eastAsia="Arial" w:hAnsi="Arial"/>
          <w:sz w:val="18"/>
          <w:szCs w:val="18"/>
          <w:color w:val="131313"/>
        </w:rPr>
        <w:t>n</w:t>
      </w:r>
      <w:r>
        <w:rPr>
          <w:rFonts w:ascii="Arial" w:cs="Arial" w:eastAsia="Arial" w:hAnsi="Arial"/>
          <w:sz w:val="18"/>
          <w:szCs w:val="18"/>
          <w:color w:val="343434"/>
        </w:rPr>
        <w:t xml:space="preserve">y, at </w:t>
      </w:r>
      <w:r>
        <w:rPr>
          <w:rFonts w:ascii="Arial" w:cs="Arial" w:eastAsia="Arial" w:hAnsi="Arial"/>
          <w:sz w:val="18"/>
          <w:szCs w:val="18"/>
          <w:color w:val="131313"/>
        </w:rPr>
        <w:t>i</w:t>
      </w:r>
      <w:r>
        <w:rPr>
          <w:rFonts w:ascii="Arial" w:cs="Arial" w:eastAsia="Arial" w:hAnsi="Arial"/>
          <w:sz w:val="18"/>
          <w:szCs w:val="18"/>
          <w:color w:val="343434"/>
        </w:rPr>
        <w:t>ts so</w:t>
      </w:r>
      <w:r>
        <w:rPr>
          <w:rFonts w:ascii="Arial" w:cs="Arial" w:eastAsia="Arial" w:hAnsi="Arial"/>
          <w:sz w:val="18"/>
          <w:szCs w:val="18"/>
          <w:color w:val="131313"/>
        </w:rPr>
        <w:t>l</w:t>
      </w:r>
      <w:r>
        <w:rPr>
          <w:rFonts w:ascii="Arial" w:cs="Arial" w:eastAsia="Arial" w:hAnsi="Arial"/>
          <w:sz w:val="18"/>
          <w:szCs w:val="18"/>
          <w:color w:val="343434"/>
        </w:rPr>
        <w:t>e discretion</w:t>
      </w:r>
      <w:r>
        <w:rPr>
          <w:rFonts w:ascii="Arial" w:cs="Arial" w:eastAsia="Arial" w:hAnsi="Arial"/>
          <w:sz w:val="18"/>
          <w:szCs w:val="18"/>
          <w:color w:val="595959"/>
        </w:rPr>
        <w:t>.</w:t>
      </w:r>
    </w:p>
    <w:p>
      <w:pPr>
        <w:spacing w:after="0" w:line="198" w:lineRule="exact"/>
        <w:rPr>
          <w:sz w:val="20"/>
          <w:szCs w:val="20"/>
          <w:color w:val="auto"/>
        </w:rPr>
      </w:pPr>
    </w:p>
    <w:p>
      <w:pPr>
        <w:ind w:left="320" w:right="180" w:hanging="323"/>
        <w:spacing w:after="0" w:line="22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131313"/>
        </w:rPr>
        <w:t>Disclaim</w:t>
      </w:r>
      <w:r>
        <w:rPr>
          <w:rFonts w:ascii="Arial" w:cs="Arial" w:eastAsia="Arial" w:hAnsi="Arial"/>
          <w:sz w:val="18"/>
          <w:szCs w:val="18"/>
          <w:b w:val="1"/>
          <w:bCs w:val="1"/>
          <w:color w:val="343434"/>
        </w:rPr>
        <w:t>er</w:t>
      </w:r>
      <w:r>
        <w:rPr>
          <w:rFonts w:ascii="Arial" w:cs="Arial" w:eastAsia="Arial" w:hAnsi="Arial"/>
          <w:sz w:val="18"/>
          <w:szCs w:val="18"/>
          <w:b w:val="1"/>
          <w:bCs w:val="1"/>
          <w:color w:val="131313"/>
        </w:rPr>
        <w:t>.</w:t>
      </w:r>
      <w:r>
        <w:rPr>
          <w:rFonts w:ascii="Arial" w:cs="Arial" w:eastAsia="Arial" w:hAnsi="Arial"/>
          <w:sz w:val="18"/>
          <w:szCs w:val="18"/>
          <w:color w:val="auto"/>
        </w:rPr>
        <w:t xml:space="preserve"> </w:t>
      </w:r>
      <w:r>
        <w:rPr>
          <w:rFonts w:ascii="Arial" w:cs="Arial" w:eastAsia="Arial" w:hAnsi="Arial"/>
          <w:sz w:val="18"/>
          <w:szCs w:val="18"/>
          <w:color w:val="343434"/>
        </w:rPr>
        <w:t>EXCEPT AS EXPRESSLY</w:t>
      </w:r>
      <w:r>
        <w:rPr>
          <w:rFonts w:ascii="Arial" w:cs="Arial" w:eastAsia="Arial" w:hAnsi="Arial"/>
          <w:sz w:val="18"/>
          <w:szCs w:val="18"/>
          <w:color w:val="auto"/>
        </w:rPr>
        <w:t xml:space="preserve"> </w:t>
      </w:r>
      <w:r>
        <w:rPr>
          <w:rFonts w:ascii="Arial" w:cs="Arial" w:eastAsia="Arial" w:hAnsi="Arial"/>
          <w:sz w:val="18"/>
          <w:szCs w:val="18"/>
          <w:color w:val="232323"/>
        </w:rPr>
        <w:t>PROVIDED IN</w:t>
      </w:r>
      <w:r>
        <w:rPr>
          <w:rFonts w:ascii="Arial" w:cs="Arial" w:eastAsia="Arial" w:hAnsi="Arial"/>
          <w:sz w:val="18"/>
          <w:szCs w:val="18"/>
          <w:color w:val="auto"/>
        </w:rPr>
        <w:t xml:space="preserve"> </w:t>
      </w:r>
      <w:r>
        <w:rPr>
          <w:rFonts w:ascii="Arial" w:cs="Arial" w:eastAsia="Arial" w:hAnsi="Arial"/>
          <w:sz w:val="18"/>
          <w:szCs w:val="18"/>
          <w:color w:val="343434"/>
        </w:rPr>
        <w:t>SECTION 8</w:t>
      </w:r>
      <w:r>
        <w:rPr>
          <w:rFonts w:ascii="Arial" w:cs="Arial" w:eastAsia="Arial" w:hAnsi="Arial"/>
          <w:sz w:val="18"/>
          <w:szCs w:val="18"/>
          <w:color w:val="131313"/>
        </w:rPr>
        <w:t>.1</w:t>
      </w:r>
      <w:r>
        <w:rPr>
          <w:rFonts w:ascii="Arial" w:cs="Arial" w:eastAsia="Arial" w:hAnsi="Arial"/>
          <w:sz w:val="18"/>
          <w:szCs w:val="18"/>
          <w:color w:val="auto"/>
        </w:rPr>
        <w:t xml:space="preserve"> </w:t>
      </w:r>
      <w:r>
        <w:rPr>
          <w:rFonts w:ascii="Arial" w:cs="Arial" w:eastAsia="Arial" w:hAnsi="Arial"/>
          <w:sz w:val="18"/>
          <w:szCs w:val="18"/>
          <w:color w:val="343434"/>
        </w:rPr>
        <w:t>(</w:t>
      </w:r>
      <w:r>
        <w:rPr>
          <w:rFonts w:ascii="Arial" w:cs="Arial" w:eastAsia="Arial" w:hAnsi="Arial"/>
          <w:sz w:val="18"/>
          <w:szCs w:val="18"/>
          <w:b w:val="1"/>
          <w:bCs w:val="1"/>
          <w:color w:val="343434"/>
        </w:rPr>
        <w:t>“</w:t>
      </w:r>
      <w:r>
        <w:rPr>
          <w:rFonts w:ascii="Arial" w:cs="Arial" w:eastAsia="Arial" w:hAnsi="Arial"/>
          <w:sz w:val="18"/>
          <w:szCs w:val="18"/>
          <w:b w:val="1"/>
          <w:bCs w:val="1"/>
          <w:color w:val="auto"/>
        </w:rPr>
        <w:t>WARRANTY”</w:t>
      </w:r>
      <w:r>
        <w:rPr>
          <w:rFonts w:ascii="Arial" w:cs="Arial" w:eastAsia="Arial" w:hAnsi="Arial"/>
          <w:sz w:val="18"/>
          <w:szCs w:val="18"/>
          <w:color w:val="343434"/>
        </w:rPr>
        <w:t>)</w:t>
      </w:r>
      <w:r>
        <w:rPr>
          <w:rFonts w:ascii="Arial" w:cs="Arial" w:eastAsia="Arial" w:hAnsi="Arial"/>
          <w:sz w:val="18"/>
          <w:szCs w:val="18"/>
          <w:color w:val="auto"/>
        </w:rPr>
        <w:t xml:space="preserve"> </w:t>
      </w:r>
      <w:r>
        <w:rPr>
          <w:rFonts w:ascii="Arial" w:cs="Arial" w:eastAsia="Arial" w:hAnsi="Arial"/>
          <w:sz w:val="18"/>
          <w:szCs w:val="18"/>
          <w:color w:val="131313"/>
        </w:rPr>
        <w:t>H</w:t>
      </w:r>
      <w:r>
        <w:rPr>
          <w:rFonts w:ascii="Arial" w:cs="Arial" w:eastAsia="Arial" w:hAnsi="Arial"/>
          <w:sz w:val="18"/>
          <w:szCs w:val="18"/>
          <w:color w:val="343434"/>
        </w:rPr>
        <w:t>EREOF</w:t>
      </w:r>
      <w:r>
        <w:rPr>
          <w:rFonts w:ascii="Arial" w:cs="Arial" w:eastAsia="Arial" w:hAnsi="Arial"/>
          <w:sz w:val="18"/>
          <w:szCs w:val="18"/>
          <w:color w:val="595959"/>
        </w:rPr>
        <w:t>,</w:t>
      </w:r>
      <w:r>
        <w:rPr>
          <w:rFonts w:ascii="Arial" w:cs="Arial" w:eastAsia="Arial" w:hAnsi="Arial"/>
          <w:sz w:val="18"/>
          <w:szCs w:val="18"/>
          <w:color w:val="auto"/>
        </w:rPr>
        <w:t xml:space="preserve"> </w:t>
      </w:r>
      <w:r>
        <w:rPr>
          <w:rFonts w:ascii="Arial" w:cs="Arial" w:eastAsia="Arial" w:hAnsi="Arial"/>
          <w:sz w:val="18"/>
          <w:szCs w:val="18"/>
          <w:color w:val="343434"/>
        </w:rPr>
        <w:t>PRODUCTS ARE</w:t>
      </w:r>
      <w:r>
        <w:rPr>
          <w:rFonts w:ascii="Arial" w:cs="Arial" w:eastAsia="Arial" w:hAnsi="Arial"/>
          <w:sz w:val="18"/>
          <w:szCs w:val="18"/>
          <w:color w:val="auto"/>
        </w:rPr>
        <w:t xml:space="preserve"> </w:t>
      </w:r>
      <w:r>
        <w:rPr>
          <w:rFonts w:ascii="Arial" w:cs="Arial" w:eastAsia="Arial" w:hAnsi="Arial"/>
          <w:sz w:val="18"/>
          <w:szCs w:val="18"/>
          <w:color w:val="232323"/>
        </w:rPr>
        <w:t>PROVID</w:t>
      </w:r>
      <w:r>
        <w:rPr>
          <w:rFonts w:ascii="Arial" w:cs="Arial" w:eastAsia="Arial" w:hAnsi="Arial"/>
          <w:sz w:val="18"/>
          <w:szCs w:val="18"/>
          <w:color w:val="484848"/>
        </w:rPr>
        <w:t>E</w:t>
      </w:r>
      <w:r>
        <w:rPr>
          <w:rFonts w:ascii="Arial" w:cs="Arial" w:eastAsia="Arial" w:hAnsi="Arial"/>
          <w:sz w:val="18"/>
          <w:szCs w:val="18"/>
          <w:color w:val="232323"/>
        </w:rPr>
        <w:t>D</w:t>
      </w:r>
      <w:r>
        <w:rPr>
          <w:rFonts w:ascii="Arial" w:cs="Arial" w:eastAsia="Arial" w:hAnsi="Arial"/>
          <w:sz w:val="18"/>
          <w:szCs w:val="18"/>
          <w:color w:val="auto"/>
        </w:rPr>
        <w:t xml:space="preserve"> </w:t>
      </w:r>
      <w:r>
        <w:rPr>
          <w:rFonts w:ascii="Arial" w:cs="Arial" w:eastAsia="Arial" w:hAnsi="Arial"/>
          <w:sz w:val="18"/>
          <w:szCs w:val="18"/>
          <w:color w:val="343434"/>
        </w:rPr>
        <w:t xml:space="preserve">ON AN </w:t>
      </w:r>
      <w:r>
        <w:rPr>
          <w:rFonts w:ascii="Arial" w:cs="Arial" w:eastAsia="Arial" w:hAnsi="Arial"/>
          <w:sz w:val="18"/>
          <w:szCs w:val="18"/>
          <w:color w:val="484848"/>
        </w:rPr>
        <w:t>“AS</w:t>
      </w:r>
      <w:r>
        <w:rPr>
          <w:rFonts w:ascii="Arial" w:cs="Arial" w:eastAsia="Arial" w:hAnsi="Arial"/>
          <w:sz w:val="18"/>
          <w:szCs w:val="18"/>
          <w:color w:val="343434"/>
        </w:rPr>
        <w:t xml:space="preserve"> </w:t>
      </w:r>
      <w:r>
        <w:rPr>
          <w:rFonts w:ascii="Arial" w:cs="Arial" w:eastAsia="Arial" w:hAnsi="Arial"/>
          <w:sz w:val="18"/>
          <w:szCs w:val="18"/>
          <w:color w:val="232323"/>
        </w:rPr>
        <w:t>I</w:t>
      </w:r>
      <w:r>
        <w:rPr>
          <w:rFonts w:ascii="Arial" w:cs="Arial" w:eastAsia="Arial" w:hAnsi="Arial"/>
          <w:sz w:val="18"/>
          <w:szCs w:val="18"/>
          <w:color w:val="484848"/>
        </w:rPr>
        <w:t>S”</w:t>
      </w:r>
      <w:r>
        <w:rPr>
          <w:rFonts w:ascii="Arial" w:cs="Arial" w:eastAsia="Arial" w:hAnsi="Arial"/>
          <w:sz w:val="18"/>
          <w:szCs w:val="18"/>
          <w:color w:val="343434"/>
        </w:rPr>
        <w:t xml:space="preserve"> BAS</w:t>
      </w:r>
      <w:r>
        <w:rPr>
          <w:rFonts w:ascii="Arial" w:cs="Arial" w:eastAsia="Arial" w:hAnsi="Arial"/>
          <w:sz w:val="18"/>
          <w:szCs w:val="18"/>
          <w:color w:val="131313"/>
        </w:rPr>
        <w:t>I</w:t>
      </w:r>
      <w:r>
        <w:rPr>
          <w:rFonts w:ascii="Arial" w:cs="Arial" w:eastAsia="Arial" w:hAnsi="Arial"/>
          <w:sz w:val="18"/>
          <w:szCs w:val="18"/>
          <w:color w:val="343434"/>
        </w:rPr>
        <w:t xml:space="preserve">S WITHOUT ANY WARRANTY WHATSOEVER, AND COMPANY EXPRESSLY </w:t>
      </w:r>
      <w:r>
        <w:rPr>
          <w:rFonts w:ascii="Arial" w:cs="Arial" w:eastAsia="Arial" w:hAnsi="Arial"/>
          <w:sz w:val="18"/>
          <w:szCs w:val="18"/>
          <w:color w:val="232323"/>
        </w:rPr>
        <w:t>DIS</w:t>
      </w:r>
      <w:r>
        <w:rPr>
          <w:rFonts w:ascii="Arial" w:cs="Arial" w:eastAsia="Arial" w:hAnsi="Arial"/>
          <w:sz w:val="18"/>
          <w:szCs w:val="18"/>
          <w:color w:val="484848"/>
        </w:rPr>
        <w:t>CLA</w:t>
      </w:r>
      <w:r>
        <w:rPr>
          <w:rFonts w:ascii="Arial" w:cs="Arial" w:eastAsia="Arial" w:hAnsi="Arial"/>
          <w:sz w:val="18"/>
          <w:szCs w:val="18"/>
          <w:color w:val="131313"/>
        </w:rPr>
        <w:t>IM</w:t>
      </w:r>
      <w:r>
        <w:rPr>
          <w:rFonts w:ascii="Arial" w:cs="Arial" w:eastAsia="Arial" w:hAnsi="Arial"/>
          <w:sz w:val="18"/>
          <w:szCs w:val="18"/>
          <w:color w:val="343434"/>
        </w:rPr>
        <w:t>S ALL WARRANTIES</w:t>
      </w:r>
      <w:r>
        <w:rPr>
          <w:rFonts w:ascii="Arial" w:cs="Arial" w:eastAsia="Arial" w:hAnsi="Arial"/>
          <w:sz w:val="18"/>
          <w:szCs w:val="18"/>
          <w:color w:val="595959"/>
        </w:rPr>
        <w:t>,</w:t>
      </w:r>
      <w:r>
        <w:rPr>
          <w:rFonts w:ascii="Arial" w:cs="Arial" w:eastAsia="Arial" w:hAnsi="Arial"/>
          <w:sz w:val="18"/>
          <w:szCs w:val="18"/>
          <w:color w:val="343434"/>
        </w:rPr>
        <w:t xml:space="preserve"> EXPRESS, </w:t>
      </w:r>
      <w:r>
        <w:rPr>
          <w:rFonts w:ascii="Arial" w:cs="Arial" w:eastAsia="Arial" w:hAnsi="Arial"/>
          <w:sz w:val="18"/>
          <w:szCs w:val="18"/>
          <w:color w:val="131313"/>
        </w:rPr>
        <w:t>IM</w:t>
      </w:r>
      <w:r>
        <w:rPr>
          <w:rFonts w:ascii="Arial" w:cs="Arial" w:eastAsia="Arial" w:hAnsi="Arial"/>
          <w:sz w:val="18"/>
          <w:szCs w:val="18"/>
          <w:color w:val="343434"/>
        </w:rPr>
        <w:t xml:space="preserve">PLIED, AND </w:t>
      </w:r>
      <w:r>
        <w:rPr>
          <w:rFonts w:ascii="Arial" w:cs="Arial" w:eastAsia="Arial" w:hAnsi="Arial"/>
          <w:sz w:val="18"/>
          <w:szCs w:val="18"/>
          <w:color w:val="484848"/>
        </w:rPr>
        <w:t>STATU</w:t>
      </w:r>
      <w:r>
        <w:rPr>
          <w:rFonts w:ascii="Arial" w:cs="Arial" w:eastAsia="Arial" w:hAnsi="Arial"/>
          <w:sz w:val="18"/>
          <w:szCs w:val="18"/>
          <w:color w:val="232323"/>
        </w:rPr>
        <w:t>TORY INCLUDING</w:t>
      </w:r>
      <w:r>
        <w:rPr>
          <w:rFonts w:ascii="Arial" w:cs="Arial" w:eastAsia="Arial" w:hAnsi="Arial"/>
          <w:sz w:val="18"/>
          <w:szCs w:val="18"/>
          <w:color w:val="343434"/>
        </w:rPr>
        <w:t xml:space="preserve"> W</w:t>
      </w:r>
      <w:r>
        <w:rPr>
          <w:rFonts w:ascii="Arial" w:cs="Arial" w:eastAsia="Arial" w:hAnsi="Arial"/>
          <w:sz w:val="18"/>
          <w:szCs w:val="18"/>
          <w:color w:val="131313"/>
        </w:rPr>
        <w:t>I</w:t>
      </w:r>
      <w:r>
        <w:rPr>
          <w:rFonts w:ascii="Arial" w:cs="Arial" w:eastAsia="Arial" w:hAnsi="Arial"/>
          <w:sz w:val="18"/>
          <w:szCs w:val="18"/>
          <w:color w:val="343434"/>
        </w:rPr>
        <w:t xml:space="preserve">THOUT </w:t>
      </w:r>
      <w:r>
        <w:rPr>
          <w:rFonts w:ascii="Arial" w:cs="Arial" w:eastAsia="Arial" w:hAnsi="Arial"/>
          <w:sz w:val="18"/>
          <w:szCs w:val="18"/>
          <w:color w:val="232323"/>
        </w:rPr>
        <w:t>LIMI</w:t>
      </w:r>
      <w:r>
        <w:rPr>
          <w:rFonts w:ascii="Arial" w:cs="Arial" w:eastAsia="Arial" w:hAnsi="Arial"/>
          <w:sz w:val="18"/>
          <w:szCs w:val="18"/>
          <w:color w:val="484848"/>
        </w:rPr>
        <w:t>TAT</w:t>
      </w:r>
      <w:r>
        <w:rPr>
          <w:rFonts w:ascii="Arial" w:cs="Arial" w:eastAsia="Arial" w:hAnsi="Arial"/>
          <w:sz w:val="18"/>
          <w:szCs w:val="18"/>
          <w:color w:val="131313"/>
        </w:rPr>
        <w:t>I</w:t>
      </w:r>
      <w:r>
        <w:rPr>
          <w:rFonts w:ascii="Arial" w:cs="Arial" w:eastAsia="Arial" w:hAnsi="Arial"/>
          <w:sz w:val="18"/>
          <w:szCs w:val="18"/>
          <w:color w:val="484848"/>
        </w:rPr>
        <w:t>ON THE</w:t>
      </w:r>
      <w:r>
        <w:rPr>
          <w:rFonts w:ascii="Arial" w:cs="Arial" w:eastAsia="Arial" w:hAnsi="Arial"/>
          <w:sz w:val="18"/>
          <w:szCs w:val="18"/>
          <w:color w:val="343434"/>
        </w:rPr>
        <w:t xml:space="preserve"> </w:t>
      </w:r>
      <w:r>
        <w:rPr>
          <w:rFonts w:ascii="Arial" w:cs="Arial" w:eastAsia="Arial" w:hAnsi="Arial"/>
          <w:sz w:val="18"/>
          <w:szCs w:val="18"/>
          <w:color w:val="131313"/>
        </w:rPr>
        <w:t>IM</w:t>
      </w:r>
      <w:r>
        <w:rPr>
          <w:rFonts w:ascii="Arial" w:cs="Arial" w:eastAsia="Arial" w:hAnsi="Arial"/>
          <w:sz w:val="18"/>
          <w:szCs w:val="18"/>
          <w:color w:val="343434"/>
        </w:rPr>
        <w:t xml:space="preserve">PLIED WARRANTIES OF </w:t>
      </w:r>
      <w:r>
        <w:rPr>
          <w:rFonts w:ascii="Arial" w:cs="Arial" w:eastAsia="Arial" w:hAnsi="Arial"/>
          <w:sz w:val="18"/>
          <w:szCs w:val="18"/>
          <w:color w:val="232323"/>
        </w:rPr>
        <w:t>MERCHANTABILITY,</w:t>
      </w:r>
      <w:r>
        <w:rPr>
          <w:rFonts w:ascii="Arial" w:cs="Arial" w:eastAsia="Arial" w:hAnsi="Arial"/>
          <w:sz w:val="18"/>
          <w:szCs w:val="18"/>
          <w:color w:val="343434"/>
        </w:rPr>
        <w:t xml:space="preserve"> TITLE</w:t>
      </w:r>
      <w:r>
        <w:rPr>
          <w:rFonts w:ascii="Arial" w:cs="Arial" w:eastAsia="Arial" w:hAnsi="Arial"/>
          <w:sz w:val="18"/>
          <w:szCs w:val="18"/>
          <w:color w:val="676767"/>
        </w:rPr>
        <w:t>,</w:t>
      </w:r>
      <w:r>
        <w:rPr>
          <w:rFonts w:ascii="Arial" w:cs="Arial" w:eastAsia="Arial" w:hAnsi="Arial"/>
          <w:sz w:val="18"/>
          <w:szCs w:val="18"/>
          <w:color w:val="343434"/>
        </w:rPr>
        <w:t xml:space="preserve"> </w:t>
      </w:r>
      <w:r>
        <w:rPr>
          <w:rFonts w:ascii="Arial" w:cs="Arial" w:eastAsia="Arial" w:hAnsi="Arial"/>
          <w:sz w:val="18"/>
          <w:szCs w:val="18"/>
          <w:color w:val="232323"/>
        </w:rPr>
        <w:t>NON- INFRIN</w:t>
      </w:r>
      <w:r>
        <w:rPr>
          <w:rFonts w:ascii="Arial" w:cs="Arial" w:eastAsia="Arial" w:hAnsi="Arial"/>
          <w:sz w:val="18"/>
          <w:szCs w:val="18"/>
          <w:color w:val="484848"/>
        </w:rPr>
        <w:t>GE</w:t>
      </w:r>
      <w:r>
        <w:rPr>
          <w:rFonts w:ascii="Arial" w:cs="Arial" w:eastAsia="Arial" w:hAnsi="Arial"/>
          <w:sz w:val="18"/>
          <w:szCs w:val="18"/>
          <w:color w:val="232323"/>
        </w:rPr>
        <w:t>M</w:t>
      </w:r>
      <w:r>
        <w:rPr>
          <w:rFonts w:ascii="Arial" w:cs="Arial" w:eastAsia="Arial" w:hAnsi="Arial"/>
          <w:sz w:val="18"/>
          <w:szCs w:val="18"/>
          <w:color w:val="484848"/>
        </w:rPr>
        <w:t>EN</w:t>
      </w:r>
      <w:r>
        <w:rPr>
          <w:rFonts w:ascii="Arial" w:cs="Arial" w:eastAsia="Arial" w:hAnsi="Arial"/>
          <w:sz w:val="18"/>
          <w:szCs w:val="18"/>
          <w:color w:val="232323"/>
        </w:rPr>
        <w:t>T</w:t>
      </w:r>
      <w:r>
        <w:rPr>
          <w:rFonts w:ascii="Arial" w:cs="Arial" w:eastAsia="Arial" w:hAnsi="Arial"/>
          <w:sz w:val="18"/>
          <w:szCs w:val="18"/>
          <w:color w:val="343434"/>
        </w:rPr>
        <w:t xml:space="preserve"> OF TH</w:t>
      </w:r>
      <w:r>
        <w:rPr>
          <w:rFonts w:ascii="Arial" w:cs="Arial" w:eastAsia="Arial" w:hAnsi="Arial"/>
          <w:sz w:val="18"/>
          <w:szCs w:val="18"/>
          <w:color w:val="131313"/>
        </w:rPr>
        <w:t>IRD</w:t>
      </w:r>
      <w:r>
        <w:rPr>
          <w:rFonts w:ascii="Arial" w:cs="Arial" w:eastAsia="Arial" w:hAnsi="Arial"/>
          <w:sz w:val="18"/>
          <w:szCs w:val="18"/>
          <w:color w:val="343434"/>
        </w:rPr>
        <w:t xml:space="preserve"> PARTY </w:t>
      </w:r>
      <w:r>
        <w:rPr>
          <w:rFonts w:ascii="Arial" w:cs="Arial" w:eastAsia="Arial" w:hAnsi="Arial"/>
          <w:sz w:val="18"/>
          <w:szCs w:val="18"/>
          <w:color w:val="232323"/>
        </w:rPr>
        <w:t>RIGH</w:t>
      </w:r>
      <w:r>
        <w:rPr>
          <w:rFonts w:ascii="Arial" w:cs="Arial" w:eastAsia="Arial" w:hAnsi="Arial"/>
          <w:sz w:val="18"/>
          <w:szCs w:val="18"/>
          <w:color w:val="484848"/>
        </w:rPr>
        <w:t>TS</w:t>
      </w:r>
      <w:r>
        <w:rPr>
          <w:rFonts w:ascii="Arial" w:cs="Arial" w:eastAsia="Arial" w:hAnsi="Arial"/>
          <w:sz w:val="18"/>
          <w:szCs w:val="18"/>
          <w:color w:val="343434"/>
        </w:rPr>
        <w:t xml:space="preserve"> AND F</w:t>
      </w:r>
      <w:r>
        <w:rPr>
          <w:rFonts w:ascii="Arial" w:cs="Arial" w:eastAsia="Arial" w:hAnsi="Arial"/>
          <w:sz w:val="18"/>
          <w:szCs w:val="18"/>
          <w:color w:val="131313"/>
        </w:rPr>
        <w:t>I</w:t>
      </w:r>
      <w:r>
        <w:rPr>
          <w:rFonts w:ascii="Arial" w:cs="Arial" w:eastAsia="Arial" w:hAnsi="Arial"/>
          <w:sz w:val="18"/>
          <w:szCs w:val="18"/>
          <w:color w:val="595959"/>
        </w:rPr>
        <w:t>T</w:t>
      </w:r>
      <w:r>
        <w:rPr>
          <w:rFonts w:ascii="Arial" w:cs="Arial" w:eastAsia="Arial" w:hAnsi="Arial"/>
          <w:sz w:val="18"/>
          <w:szCs w:val="18"/>
          <w:color w:val="343434"/>
        </w:rPr>
        <w:t xml:space="preserve">NESS FOR A </w:t>
      </w:r>
      <w:r>
        <w:rPr>
          <w:rFonts w:ascii="Arial" w:cs="Arial" w:eastAsia="Arial" w:hAnsi="Arial"/>
          <w:sz w:val="18"/>
          <w:szCs w:val="18"/>
          <w:color w:val="232323"/>
        </w:rPr>
        <w:t>PARTICULAR</w:t>
      </w:r>
      <w:r>
        <w:rPr>
          <w:rFonts w:ascii="Arial" w:cs="Arial" w:eastAsia="Arial" w:hAnsi="Arial"/>
          <w:sz w:val="18"/>
          <w:szCs w:val="18"/>
          <w:color w:val="343434"/>
        </w:rPr>
        <w:t xml:space="preserve"> PURPOSE. THE </w:t>
      </w:r>
      <w:r>
        <w:rPr>
          <w:rFonts w:ascii="Arial" w:cs="Arial" w:eastAsia="Arial" w:hAnsi="Arial"/>
          <w:sz w:val="18"/>
          <w:szCs w:val="18"/>
          <w:color w:val="131313"/>
        </w:rPr>
        <w:t>U</w:t>
      </w:r>
      <w:r>
        <w:rPr>
          <w:rFonts w:ascii="Arial" w:cs="Arial" w:eastAsia="Arial" w:hAnsi="Arial"/>
          <w:sz w:val="18"/>
          <w:szCs w:val="18"/>
          <w:color w:val="343434"/>
        </w:rPr>
        <w:t>NITED NAT</w:t>
      </w:r>
      <w:r>
        <w:rPr>
          <w:rFonts w:ascii="Arial" w:cs="Arial" w:eastAsia="Arial" w:hAnsi="Arial"/>
          <w:sz w:val="18"/>
          <w:szCs w:val="18"/>
          <w:color w:val="131313"/>
        </w:rPr>
        <w:t>I</w:t>
      </w:r>
      <w:r>
        <w:rPr>
          <w:rFonts w:ascii="Arial" w:cs="Arial" w:eastAsia="Arial" w:hAnsi="Arial"/>
          <w:sz w:val="18"/>
          <w:szCs w:val="18"/>
          <w:color w:val="343434"/>
        </w:rPr>
        <w:t xml:space="preserve">ONS CONVENTION ON </w:t>
      </w:r>
      <w:r>
        <w:rPr>
          <w:rFonts w:ascii="Arial" w:cs="Arial" w:eastAsia="Arial" w:hAnsi="Arial"/>
          <w:sz w:val="18"/>
          <w:szCs w:val="18"/>
          <w:color w:val="2F2F2F"/>
        </w:rPr>
        <w:t>CONTRACTS FOR THE</w:t>
      </w:r>
      <w:r>
        <w:rPr>
          <w:rFonts w:ascii="Arial" w:cs="Arial" w:eastAsia="Arial" w:hAnsi="Arial"/>
          <w:sz w:val="18"/>
          <w:szCs w:val="18"/>
          <w:color w:val="343434"/>
        </w:rPr>
        <w:t xml:space="preserve"> </w:t>
      </w:r>
      <w:r>
        <w:rPr>
          <w:rFonts w:ascii="Arial" w:cs="Arial" w:eastAsia="Arial" w:hAnsi="Arial"/>
          <w:sz w:val="18"/>
          <w:szCs w:val="18"/>
          <w:color w:val="1A1A1A"/>
        </w:rPr>
        <w:t>INT</w:t>
      </w:r>
      <w:r>
        <w:rPr>
          <w:rFonts w:ascii="Arial" w:cs="Arial" w:eastAsia="Arial" w:hAnsi="Arial"/>
          <w:sz w:val="18"/>
          <w:szCs w:val="18"/>
          <w:color w:val="444444"/>
        </w:rPr>
        <w:t>ERNATIONA</w:t>
      </w:r>
      <w:r>
        <w:rPr>
          <w:rFonts w:ascii="Arial" w:cs="Arial" w:eastAsia="Arial" w:hAnsi="Arial"/>
          <w:sz w:val="18"/>
          <w:szCs w:val="18"/>
          <w:color w:val="1A1A1A"/>
        </w:rPr>
        <w:t>L</w:t>
      </w:r>
      <w:r>
        <w:rPr>
          <w:rFonts w:ascii="Arial" w:cs="Arial" w:eastAsia="Arial" w:hAnsi="Arial"/>
          <w:sz w:val="18"/>
          <w:szCs w:val="18"/>
          <w:color w:val="343434"/>
        </w:rPr>
        <w:t xml:space="preserve"> </w:t>
      </w:r>
      <w:r>
        <w:rPr>
          <w:rFonts w:ascii="Arial" w:cs="Arial" w:eastAsia="Arial" w:hAnsi="Arial"/>
          <w:sz w:val="18"/>
          <w:szCs w:val="18"/>
          <w:color w:val="2F2F2F"/>
        </w:rPr>
        <w:t>SALE OF GOODS</w:t>
      </w:r>
      <w:r>
        <w:rPr>
          <w:rFonts w:ascii="Arial" w:cs="Arial" w:eastAsia="Arial" w:hAnsi="Arial"/>
          <w:sz w:val="18"/>
          <w:szCs w:val="18"/>
          <w:color w:val="343434"/>
        </w:rPr>
        <w:t xml:space="preserve"> </w:t>
      </w:r>
      <w:r>
        <w:rPr>
          <w:rFonts w:ascii="Arial" w:cs="Arial" w:eastAsia="Arial" w:hAnsi="Arial"/>
          <w:sz w:val="18"/>
          <w:szCs w:val="18"/>
          <w:color w:val="444444"/>
        </w:rPr>
        <w:t>S</w:t>
      </w:r>
      <w:r>
        <w:rPr>
          <w:rFonts w:ascii="Arial" w:cs="Arial" w:eastAsia="Arial" w:hAnsi="Arial"/>
          <w:sz w:val="18"/>
          <w:szCs w:val="18"/>
          <w:color w:val="1A1A1A"/>
        </w:rPr>
        <w:t>HALL</w:t>
      </w:r>
      <w:r>
        <w:rPr>
          <w:rFonts w:ascii="Arial" w:cs="Arial" w:eastAsia="Arial" w:hAnsi="Arial"/>
          <w:sz w:val="18"/>
          <w:szCs w:val="18"/>
          <w:color w:val="343434"/>
        </w:rPr>
        <w:t xml:space="preserve"> </w:t>
      </w:r>
      <w:r>
        <w:rPr>
          <w:rFonts w:ascii="Arial" w:cs="Arial" w:eastAsia="Arial" w:hAnsi="Arial"/>
          <w:sz w:val="18"/>
          <w:szCs w:val="18"/>
          <w:color w:val="444444"/>
        </w:rPr>
        <w:t>NO</w:t>
      </w:r>
      <w:r>
        <w:rPr>
          <w:rFonts w:ascii="Arial" w:cs="Arial" w:eastAsia="Arial" w:hAnsi="Arial"/>
          <w:sz w:val="18"/>
          <w:szCs w:val="18"/>
          <w:color w:val="1A1A1A"/>
        </w:rPr>
        <w:t>T APPLY</w:t>
      </w:r>
      <w:r>
        <w:rPr>
          <w:rFonts w:ascii="Arial" w:cs="Arial" w:eastAsia="Arial" w:hAnsi="Arial"/>
          <w:sz w:val="18"/>
          <w:szCs w:val="18"/>
          <w:color w:val="444444"/>
        </w:rPr>
        <w:t xml:space="preserve"> </w:t>
      </w:r>
      <w:r>
        <w:rPr>
          <w:rFonts w:ascii="Arial" w:cs="Arial" w:eastAsia="Arial" w:hAnsi="Arial"/>
          <w:sz w:val="18"/>
          <w:szCs w:val="18"/>
          <w:color w:val="2F2F2F"/>
        </w:rPr>
        <w:t>TO THIS</w:t>
      </w:r>
      <w:r>
        <w:rPr>
          <w:rFonts w:ascii="Arial" w:cs="Arial" w:eastAsia="Arial" w:hAnsi="Arial"/>
          <w:sz w:val="18"/>
          <w:szCs w:val="18"/>
          <w:color w:val="444444"/>
        </w:rPr>
        <w:t xml:space="preserve"> </w:t>
      </w:r>
      <w:r>
        <w:rPr>
          <w:rFonts w:ascii="Arial" w:cs="Arial" w:eastAsia="Arial" w:hAnsi="Arial"/>
          <w:sz w:val="18"/>
          <w:szCs w:val="18"/>
          <w:color w:val="1A1A1A"/>
        </w:rPr>
        <w:t>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232323"/>
        </w:rPr>
        <w:t>Quality.</w:t>
      </w:r>
    </w:p>
    <w:p>
      <w:pPr>
        <w:spacing w:after="0" w:line="225" w:lineRule="exact"/>
        <w:rPr>
          <w:sz w:val="20"/>
          <w:szCs w:val="20"/>
          <w:color w:val="auto"/>
        </w:rPr>
      </w:pPr>
    </w:p>
    <w:p>
      <w:pPr>
        <w:ind w:left="980" w:right="40" w:hanging="332"/>
        <w:spacing w:after="0" w:line="235" w:lineRule="auto"/>
        <w:tabs>
          <w:tab w:leader="none" w:pos="97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232323"/>
        </w:rPr>
        <w:t xml:space="preserve">Audits and Records. </w:t>
      </w:r>
      <w:r>
        <w:rPr>
          <w:rFonts w:ascii="Arial" w:cs="Arial" w:eastAsia="Arial" w:hAnsi="Arial"/>
          <w:sz w:val="17"/>
          <w:szCs w:val="17"/>
          <w:color w:val="232323"/>
        </w:rPr>
        <w:t>Company will provide Distributor with reasonable access to its manufacturing facilities, where the</w:t>
      </w:r>
      <w:r>
        <w:rPr>
          <w:rFonts w:ascii="Arial" w:cs="Arial" w:eastAsia="Arial" w:hAnsi="Arial"/>
          <w:sz w:val="17"/>
          <w:szCs w:val="17"/>
          <w:b w:val="1"/>
          <w:bCs w:val="1"/>
          <w:color w:val="232323"/>
        </w:rPr>
        <w:t xml:space="preserve"> </w:t>
      </w:r>
      <w:r>
        <w:rPr>
          <w:rFonts w:ascii="Arial" w:cs="Arial" w:eastAsia="Arial" w:hAnsi="Arial"/>
          <w:sz w:val="17"/>
          <w:szCs w:val="17"/>
          <w:color w:val="232323"/>
        </w:rPr>
        <w:t>Products are being manufactured during regular business hours in order that Distributor may make audits, upon providing a request to Company not less than [***] advance notice. Distributor shall provide Company with details for the audit with the notification; such details shall include but not be limited to purpose, scope, auditor’s background and functions. In case of critical complaints, recall or equivalent severe conditions regarding the Products resulting in Company not being able to comply with the obligations of this Agreement or as requested or required by a regulatory body, Company shall grant Distributor access to the manufacturing facilities upon an advance notice of at least [***]. Company shall keep complete and systematic written records of all Products supplied to Distributor. Such records shall include records relevant to manufacturing, quality and regulatory obligations and such other material documentation reasonably pertaining to Company’s performance under this Agreement, and Company shall preserve all such records until [***] . Company shall fully cooperate in any such audit of its facilities or records, subject to any confidentiality obligations to third parties and the protection of Company trade secrets. All information which becomes available to Distributor as a result of an audit shall be Confidential Information (as defined in Section 4.1 of the Agreement). Any audit conducted by Distributor shall not relieve Company from any of its obligation or liabilities under the Agreement, however, Distributor shall give Company notice within reasonable time of any non-compliance with the terms of the Agreement of which Distributor becomes aware during an audit or inspection. The audit or inspection will be conducted at Distributor’s expense. Upon receipt and approval of the audit report from Distributor [***], Company shall take all necessary or reasonably desirable corrective and preventive actions to resolve any breaches of the Agreement discovered by any audit conducted by Distributor.</w:t>
      </w:r>
    </w:p>
    <w:p>
      <w:pPr>
        <w:spacing w:after="0" w:line="199" w:lineRule="exact"/>
        <w:rPr>
          <w:rFonts w:ascii="Arial" w:cs="Arial" w:eastAsia="Arial" w:hAnsi="Arial"/>
          <w:sz w:val="17"/>
          <w:szCs w:val="17"/>
          <w:color w:val="auto"/>
        </w:rPr>
      </w:pPr>
    </w:p>
    <w:p>
      <w:pPr>
        <w:ind w:left="980" w:right="140" w:hanging="332"/>
        <w:spacing w:after="0" w:line="229"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232323"/>
        </w:rPr>
        <w:t xml:space="preserve">Manufacturing Changes. </w:t>
      </w:r>
      <w:r>
        <w:rPr>
          <w:rFonts w:ascii="Arial" w:cs="Arial" w:eastAsia="Arial" w:hAnsi="Arial"/>
          <w:sz w:val="18"/>
          <w:szCs w:val="18"/>
          <w:color w:val="232323"/>
        </w:rPr>
        <w:t>If Company desires to outsource manufacturing of the Products containing Custom Luer to a sub-contractor, Company will give Distributor at least [***] advance written notice and an opportunity to inspect and audit the new manufacturing facility. Any material change in the manufacturing process or design of the Products containing Custom Luer which is anticipated to involve a regulatory filing shall be disclosed by Company to Distributor in writing [***] of the Company’s determination that such a filing is reasonably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60"/>
          </w:cols>
          <w:pgMar w:left="130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60" w:right="40" w:hanging="332"/>
        <w:spacing w:after="0" w:line="236" w:lineRule="auto"/>
        <w:tabs>
          <w:tab w:leader="none" w:pos="195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232323"/>
        </w:rPr>
        <w:t xml:space="preserve">Use of Subcontractors. </w:t>
      </w:r>
      <w:r>
        <w:rPr>
          <w:rFonts w:ascii="Arial" w:cs="Arial" w:eastAsia="Arial" w:hAnsi="Arial"/>
          <w:sz w:val="18"/>
          <w:szCs w:val="18"/>
          <w:color w:val="232323"/>
        </w:rPr>
        <w:t>Company shall be solely responsible for the job performance, actions, and/or omissions of each</w:t>
      </w:r>
      <w:r>
        <w:rPr>
          <w:rFonts w:ascii="Arial" w:cs="Arial" w:eastAsia="Arial" w:hAnsi="Arial"/>
          <w:sz w:val="18"/>
          <w:szCs w:val="18"/>
          <w:b w:val="1"/>
          <w:bCs w:val="1"/>
          <w:color w:val="232323"/>
        </w:rPr>
        <w:t xml:space="preserve"> </w:t>
      </w:r>
      <w:r>
        <w:rPr>
          <w:rFonts w:ascii="Arial" w:cs="Arial" w:eastAsia="Arial" w:hAnsi="Arial"/>
          <w:sz w:val="18"/>
          <w:szCs w:val="18"/>
          <w:color w:val="232323"/>
        </w:rPr>
        <w:t>subcontractor and its employees, agents or representatives in the performance under this Agreement, excluding the Custom Luer Supplier.</w:t>
      </w:r>
    </w:p>
    <w:p>
      <w:pPr>
        <w:spacing w:after="0" w:line="199" w:lineRule="exact"/>
        <w:rPr>
          <w:rFonts w:ascii="Arial" w:cs="Arial" w:eastAsia="Arial" w:hAnsi="Arial"/>
          <w:sz w:val="18"/>
          <w:szCs w:val="18"/>
          <w:color w:val="auto"/>
        </w:rPr>
      </w:pPr>
    </w:p>
    <w:p>
      <w:pPr>
        <w:ind w:left="1960" w:right="60" w:hanging="332"/>
        <w:spacing w:after="0" w:line="250" w:lineRule="auto"/>
        <w:tabs>
          <w:tab w:leader="none" w:pos="1960"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232323"/>
        </w:rPr>
        <w:t xml:space="preserve">Product Traceability. </w:t>
      </w:r>
      <w:r>
        <w:rPr>
          <w:rFonts w:ascii="Arial" w:cs="Arial" w:eastAsia="Arial" w:hAnsi="Arial"/>
          <w:sz w:val="18"/>
          <w:szCs w:val="18"/>
          <w:color w:val="232323"/>
        </w:rPr>
        <w:t>Company agrees to number Products so that they may be traced back to the manufacturing lot in the case</w:t>
      </w:r>
      <w:r>
        <w:rPr>
          <w:rFonts w:ascii="Arial" w:cs="Arial" w:eastAsia="Arial" w:hAnsi="Arial"/>
          <w:sz w:val="18"/>
          <w:szCs w:val="18"/>
          <w:b w:val="1"/>
          <w:bCs w:val="1"/>
          <w:color w:val="232323"/>
        </w:rPr>
        <w:t xml:space="preserve"> </w:t>
      </w:r>
      <w:r>
        <w:rPr>
          <w:rFonts w:ascii="Arial" w:cs="Arial" w:eastAsia="Arial" w:hAnsi="Arial"/>
          <w:sz w:val="18"/>
          <w:szCs w:val="18"/>
          <w:color w:val="232323"/>
        </w:rPr>
        <w:t>of a recall.</w:t>
      </w:r>
    </w:p>
    <w:p>
      <w:pPr>
        <w:spacing w:after="0" w:line="189" w:lineRule="exact"/>
        <w:rPr>
          <w:rFonts w:ascii="Arial" w:cs="Arial" w:eastAsia="Arial" w:hAnsi="Arial"/>
          <w:sz w:val="18"/>
          <w:szCs w:val="18"/>
          <w:color w:val="auto"/>
        </w:rPr>
      </w:pPr>
    </w:p>
    <w:p>
      <w:pPr>
        <w:ind w:left="180" w:hanging="172"/>
        <w:spacing w:after="0"/>
        <w:tabs>
          <w:tab w:leader="none" w:pos="180" w:val="left"/>
        </w:tabs>
        <w:numPr>
          <w:ilvl w:val="0"/>
          <w:numId w:val="85"/>
        </w:numPr>
        <w:rPr>
          <w:rFonts w:ascii="Arial" w:cs="Arial" w:eastAsia="Arial" w:hAnsi="Arial"/>
          <w:sz w:val="18"/>
          <w:szCs w:val="18"/>
          <w:b w:val="1"/>
          <w:bCs w:val="1"/>
          <w:u w:val="single" w:color="auto"/>
          <w:color w:val="1A1A1A"/>
        </w:rPr>
      </w:pPr>
      <w:r>
        <w:rPr>
          <w:rFonts w:ascii="Arial" w:cs="Arial" w:eastAsia="Arial" w:hAnsi="Arial"/>
          <w:sz w:val="18"/>
          <w:szCs w:val="18"/>
          <w:b w:val="1"/>
          <w:bCs w:val="1"/>
          <w:u w:val="single" w:color="auto"/>
          <w:color w:val="1A1A1A"/>
        </w:rPr>
        <w:t>TRADEMARKS, PACKAGING AND DOCUMENTATION</w:t>
      </w:r>
      <w:r>
        <w:rPr>
          <w:rFonts w:ascii="Arial" w:cs="Arial" w:eastAsia="Arial" w:hAnsi="Arial"/>
          <w:sz w:val="18"/>
          <w:szCs w:val="18"/>
          <w:b w:val="1"/>
          <w:bCs w:val="1"/>
          <w:color w:val="444444"/>
        </w:rPr>
        <w:t>.</w:t>
      </w:r>
    </w:p>
    <w:p>
      <w:pPr>
        <w:spacing w:after="0" w:line="225" w:lineRule="exact"/>
        <w:rPr>
          <w:sz w:val="20"/>
          <w:szCs w:val="20"/>
          <w:color w:val="auto"/>
        </w:rPr>
      </w:pPr>
    </w:p>
    <w:p>
      <w:pPr>
        <w:ind w:left="1300" w:right="120" w:hanging="323"/>
        <w:spacing w:after="0" w:line="25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1A1A1A"/>
        </w:rPr>
        <w:t>Trademarks.</w:t>
      </w:r>
      <w:r>
        <w:rPr>
          <w:rFonts w:ascii="Arial" w:cs="Arial" w:eastAsia="Arial" w:hAnsi="Arial"/>
          <w:sz w:val="16"/>
          <w:szCs w:val="16"/>
          <w:color w:val="auto"/>
        </w:rPr>
        <w:t xml:space="preserve"> </w:t>
      </w:r>
      <w:r>
        <w:rPr>
          <w:rFonts w:ascii="Arial" w:cs="Arial" w:eastAsia="Arial" w:hAnsi="Arial"/>
          <w:sz w:val="16"/>
          <w:szCs w:val="16"/>
          <w:color w:val="2F2F2F"/>
        </w:rPr>
        <w:t>During</w:t>
      </w:r>
      <w:r>
        <w:rPr>
          <w:rFonts w:ascii="Arial" w:cs="Arial" w:eastAsia="Arial" w:hAnsi="Arial"/>
          <w:sz w:val="16"/>
          <w:szCs w:val="16"/>
          <w:color w:val="auto"/>
        </w:rPr>
        <w:t xml:space="preserve"> </w:t>
      </w:r>
      <w:r>
        <w:rPr>
          <w:rFonts w:ascii="Arial" w:cs="Arial" w:eastAsia="Arial" w:hAnsi="Arial"/>
          <w:sz w:val="16"/>
          <w:szCs w:val="16"/>
          <w:color w:val="444444"/>
        </w:rPr>
        <w:t>t</w:t>
      </w:r>
      <w:r>
        <w:rPr>
          <w:rFonts w:ascii="Arial" w:cs="Arial" w:eastAsia="Arial" w:hAnsi="Arial"/>
          <w:sz w:val="16"/>
          <w:szCs w:val="16"/>
          <w:color w:val="1A1A1A"/>
        </w:rPr>
        <w:t>he</w:t>
      </w:r>
      <w:r>
        <w:rPr>
          <w:rFonts w:ascii="Arial" w:cs="Arial" w:eastAsia="Arial" w:hAnsi="Arial"/>
          <w:sz w:val="16"/>
          <w:szCs w:val="16"/>
          <w:color w:val="auto"/>
        </w:rPr>
        <w:t xml:space="preserve"> </w:t>
      </w:r>
      <w:r>
        <w:rPr>
          <w:rFonts w:ascii="Arial" w:cs="Arial" w:eastAsia="Arial" w:hAnsi="Arial"/>
          <w:sz w:val="16"/>
          <w:szCs w:val="16"/>
          <w:color w:val="2F2F2F"/>
        </w:rPr>
        <w:t>Term</w:t>
      </w:r>
      <w:r>
        <w:rPr>
          <w:rFonts w:ascii="Arial" w:cs="Arial" w:eastAsia="Arial" w:hAnsi="Arial"/>
          <w:sz w:val="16"/>
          <w:szCs w:val="16"/>
          <w:color w:val="565656"/>
        </w:rPr>
        <w:t>,</w:t>
      </w:r>
      <w:r>
        <w:rPr>
          <w:rFonts w:ascii="Arial" w:cs="Arial" w:eastAsia="Arial" w:hAnsi="Arial"/>
          <w:sz w:val="16"/>
          <w:szCs w:val="16"/>
          <w:color w:val="auto"/>
        </w:rPr>
        <w:t xml:space="preserve"> </w:t>
      </w:r>
      <w:r>
        <w:rPr>
          <w:rFonts w:ascii="Arial" w:cs="Arial" w:eastAsia="Arial" w:hAnsi="Arial"/>
          <w:sz w:val="16"/>
          <w:szCs w:val="16"/>
          <w:color w:val="444444"/>
        </w:rPr>
        <w:t>s</w:t>
      </w:r>
      <w:r>
        <w:rPr>
          <w:rFonts w:ascii="Arial" w:cs="Arial" w:eastAsia="Arial" w:hAnsi="Arial"/>
          <w:sz w:val="16"/>
          <w:szCs w:val="16"/>
          <w:color w:val="1A1A1A"/>
        </w:rPr>
        <w:t>o</w:t>
      </w:r>
      <w:r>
        <w:rPr>
          <w:rFonts w:ascii="Arial" w:cs="Arial" w:eastAsia="Arial" w:hAnsi="Arial"/>
          <w:sz w:val="16"/>
          <w:szCs w:val="16"/>
          <w:color w:val="444444"/>
        </w:rPr>
        <w:t>lely</w:t>
      </w:r>
      <w:r>
        <w:rPr>
          <w:rFonts w:ascii="Arial" w:cs="Arial" w:eastAsia="Arial" w:hAnsi="Arial"/>
          <w:sz w:val="16"/>
          <w:szCs w:val="16"/>
          <w:color w:val="auto"/>
        </w:rPr>
        <w:t xml:space="preserve"> </w:t>
      </w:r>
      <w:r>
        <w:rPr>
          <w:rFonts w:ascii="Arial" w:cs="Arial" w:eastAsia="Arial" w:hAnsi="Arial"/>
          <w:sz w:val="16"/>
          <w:szCs w:val="16"/>
          <w:color w:val="2F2F2F"/>
        </w:rPr>
        <w:t>in</w:t>
      </w:r>
      <w:r>
        <w:rPr>
          <w:rFonts w:ascii="Arial" w:cs="Arial" w:eastAsia="Arial" w:hAnsi="Arial"/>
          <w:sz w:val="16"/>
          <w:szCs w:val="16"/>
          <w:color w:val="auto"/>
        </w:rPr>
        <w:t xml:space="preserve"> </w:t>
      </w:r>
      <w:r>
        <w:rPr>
          <w:rFonts w:ascii="Arial" w:cs="Arial" w:eastAsia="Arial" w:hAnsi="Arial"/>
          <w:sz w:val="16"/>
          <w:szCs w:val="16"/>
          <w:color w:val="444444"/>
        </w:rPr>
        <w:t>con</w:t>
      </w:r>
      <w:r>
        <w:rPr>
          <w:rFonts w:ascii="Arial" w:cs="Arial" w:eastAsia="Arial" w:hAnsi="Arial"/>
          <w:sz w:val="16"/>
          <w:szCs w:val="16"/>
          <w:color w:val="1A1A1A"/>
        </w:rPr>
        <w:t>n</w:t>
      </w:r>
      <w:r>
        <w:rPr>
          <w:rFonts w:ascii="Arial" w:cs="Arial" w:eastAsia="Arial" w:hAnsi="Arial"/>
          <w:sz w:val="16"/>
          <w:szCs w:val="16"/>
          <w:color w:val="444444"/>
        </w:rPr>
        <w:t>ect</w:t>
      </w:r>
      <w:r>
        <w:rPr>
          <w:rFonts w:ascii="Arial" w:cs="Arial" w:eastAsia="Arial" w:hAnsi="Arial"/>
          <w:sz w:val="16"/>
          <w:szCs w:val="16"/>
          <w:color w:val="1A1A1A"/>
        </w:rPr>
        <w:t>ion</w:t>
      </w:r>
      <w:r>
        <w:rPr>
          <w:rFonts w:ascii="Arial" w:cs="Arial" w:eastAsia="Arial" w:hAnsi="Arial"/>
          <w:sz w:val="16"/>
          <w:szCs w:val="16"/>
          <w:color w:val="auto"/>
        </w:rPr>
        <w:t xml:space="preserve"> </w:t>
      </w:r>
      <w:r>
        <w:rPr>
          <w:rFonts w:ascii="Arial" w:cs="Arial" w:eastAsia="Arial" w:hAnsi="Arial"/>
          <w:sz w:val="16"/>
          <w:szCs w:val="16"/>
          <w:color w:val="2F2F2F"/>
        </w:rPr>
        <w:t>with</w:t>
      </w:r>
      <w:r>
        <w:rPr>
          <w:rFonts w:ascii="Arial" w:cs="Arial" w:eastAsia="Arial" w:hAnsi="Arial"/>
          <w:sz w:val="16"/>
          <w:szCs w:val="16"/>
          <w:color w:val="auto"/>
        </w:rPr>
        <w:t xml:space="preserve"> </w:t>
      </w:r>
      <w:r>
        <w:rPr>
          <w:rFonts w:ascii="Arial" w:cs="Arial" w:eastAsia="Arial" w:hAnsi="Arial"/>
          <w:sz w:val="16"/>
          <w:szCs w:val="16"/>
          <w:color w:val="1A1A1A"/>
        </w:rPr>
        <w:t>Distributor’s</w:t>
      </w:r>
      <w:r>
        <w:rPr>
          <w:rFonts w:ascii="Arial" w:cs="Arial" w:eastAsia="Arial" w:hAnsi="Arial"/>
          <w:sz w:val="16"/>
          <w:szCs w:val="16"/>
          <w:color w:val="auto"/>
        </w:rPr>
        <w:t xml:space="preserve"> </w:t>
      </w:r>
      <w:r>
        <w:rPr>
          <w:rFonts w:ascii="Arial" w:cs="Arial" w:eastAsia="Arial" w:hAnsi="Arial"/>
          <w:sz w:val="16"/>
          <w:szCs w:val="16"/>
          <w:color w:val="2F2F2F"/>
        </w:rPr>
        <w:t>advertising</w:t>
      </w:r>
      <w:r>
        <w:rPr>
          <w:rFonts w:ascii="Arial" w:cs="Arial" w:eastAsia="Arial" w:hAnsi="Arial"/>
          <w:sz w:val="16"/>
          <w:szCs w:val="16"/>
          <w:color w:val="565656"/>
        </w:rPr>
        <w:t>,</w:t>
      </w:r>
      <w:r>
        <w:rPr>
          <w:rFonts w:ascii="Arial" w:cs="Arial" w:eastAsia="Arial" w:hAnsi="Arial"/>
          <w:sz w:val="16"/>
          <w:szCs w:val="16"/>
          <w:color w:val="auto"/>
        </w:rPr>
        <w:t xml:space="preserve"> </w:t>
      </w:r>
      <w:r>
        <w:rPr>
          <w:rFonts w:ascii="Arial" w:cs="Arial" w:eastAsia="Arial" w:hAnsi="Arial"/>
          <w:sz w:val="16"/>
          <w:szCs w:val="16"/>
          <w:color w:val="2F2F2F"/>
        </w:rPr>
        <w:t>promo</w:t>
      </w:r>
      <w:r>
        <w:rPr>
          <w:rFonts w:ascii="Arial" w:cs="Arial" w:eastAsia="Arial" w:hAnsi="Arial"/>
          <w:sz w:val="16"/>
          <w:szCs w:val="16"/>
          <w:color w:val="565656"/>
        </w:rPr>
        <w:t>t</w:t>
      </w:r>
      <w:r>
        <w:rPr>
          <w:rFonts w:ascii="Arial" w:cs="Arial" w:eastAsia="Arial" w:hAnsi="Arial"/>
          <w:sz w:val="16"/>
          <w:szCs w:val="16"/>
          <w:color w:val="1A1A1A"/>
        </w:rPr>
        <w:t>ion</w:t>
      </w:r>
      <w:r>
        <w:rPr>
          <w:rFonts w:ascii="Arial" w:cs="Arial" w:eastAsia="Arial" w:hAnsi="Arial"/>
          <w:sz w:val="16"/>
          <w:szCs w:val="16"/>
          <w:color w:val="auto"/>
        </w:rPr>
        <w:t xml:space="preserve"> </w:t>
      </w:r>
      <w:r>
        <w:rPr>
          <w:rFonts w:ascii="Arial" w:cs="Arial" w:eastAsia="Arial" w:hAnsi="Arial"/>
          <w:sz w:val="16"/>
          <w:szCs w:val="16"/>
          <w:color w:val="2F2F2F"/>
        </w:rPr>
        <w:t>and</w:t>
      </w:r>
      <w:r>
        <w:rPr>
          <w:rFonts w:ascii="Arial" w:cs="Arial" w:eastAsia="Arial" w:hAnsi="Arial"/>
          <w:sz w:val="16"/>
          <w:szCs w:val="16"/>
          <w:color w:val="auto"/>
        </w:rPr>
        <w:t xml:space="preserve"> </w:t>
      </w:r>
      <w:r>
        <w:rPr>
          <w:rFonts w:ascii="Arial" w:cs="Arial" w:eastAsia="Arial" w:hAnsi="Arial"/>
          <w:sz w:val="16"/>
          <w:szCs w:val="16"/>
          <w:color w:val="1A1A1A"/>
        </w:rPr>
        <w:t>marketing</w:t>
      </w:r>
      <w:r>
        <w:rPr>
          <w:rFonts w:ascii="Arial" w:cs="Arial" w:eastAsia="Arial" w:hAnsi="Arial"/>
          <w:sz w:val="16"/>
          <w:szCs w:val="16"/>
          <w:color w:val="auto"/>
        </w:rPr>
        <w:t xml:space="preserve"> </w:t>
      </w:r>
      <w:r>
        <w:rPr>
          <w:rFonts w:ascii="Arial" w:cs="Arial" w:eastAsia="Arial" w:hAnsi="Arial"/>
          <w:sz w:val="16"/>
          <w:szCs w:val="16"/>
          <w:color w:val="2F2F2F"/>
        </w:rPr>
        <w:t>of</w:t>
      </w:r>
      <w:r>
        <w:rPr>
          <w:rFonts w:ascii="Arial" w:cs="Arial" w:eastAsia="Arial" w:hAnsi="Arial"/>
          <w:sz w:val="16"/>
          <w:szCs w:val="16"/>
          <w:color w:val="auto"/>
        </w:rPr>
        <w:t xml:space="preserve"> </w:t>
      </w:r>
      <w:r>
        <w:rPr>
          <w:rFonts w:ascii="Arial" w:cs="Arial" w:eastAsia="Arial" w:hAnsi="Arial"/>
          <w:sz w:val="16"/>
          <w:szCs w:val="16"/>
          <w:color w:val="1A1A1A"/>
        </w:rPr>
        <w:t>the Prod</w:t>
      </w:r>
      <w:r>
        <w:rPr>
          <w:rFonts w:ascii="Arial" w:cs="Arial" w:eastAsia="Arial" w:hAnsi="Arial"/>
          <w:sz w:val="16"/>
          <w:szCs w:val="16"/>
          <w:color w:val="444444"/>
        </w:rPr>
        <w:t>ucts,</w:t>
      </w:r>
      <w:r>
        <w:rPr>
          <w:rFonts w:ascii="Arial" w:cs="Arial" w:eastAsia="Arial" w:hAnsi="Arial"/>
          <w:sz w:val="16"/>
          <w:szCs w:val="16"/>
          <w:color w:val="auto"/>
        </w:rPr>
        <w:t xml:space="preserve"> </w:t>
      </w:r>
      <w:r>
        <w:rPr>
          <w:rFonts w:ascii="Arial" w:cs="Arial" w:eastAsia="Arial" w:hAnsi="Arial"/>
          <w:sz w:val="16"/>
          <w:szCs w:val="16"/>
          <w:color w:val="2F2F2F"/>
        </w:rPr>
        <w:t>and in</w:t>
      </w:r>
      <w:r>
        <w:rPr>
          <w:rFonts w:ascii="Arial" w:cs="Arial" w:eastAsia="Arial" w:hAnsi="Arial"/>
          <w:sz w:val="16"/>
          <w:szCs w:val="16"/>
          <w:color w:val="auto"/>
        </w:rPr>
        <w:t xml:space="preserve"> </w:t>
      </w:r>
      <w:r>
        <w:rPr>
          <w:rFonts w:ascii="Arial" w:cs="Arial" w:eastAsia="Arial" w:hAnsi="Arial"/>
          <w:sz w:val="16"/>
          <w:szCs w:val="16"/>
          <w:color w:val="2F2F2F"/>
        </w:rPr>
        <w:t xml:space="preserve">related brochures </w:t>
      </w:r>
      <w:r>
        <w:rPr>
          <w:rFonts w:ascii="Arial" w:cs="Arial" w:eastAsia="Arial" w:hAnsi="Arial"/>
          <w:sz w:val="16"/>
          <w:szCs w:val="16"/>
          <w:color w:val="444444"/>
        </w:rPr>
        <w:t>an</w:t>
      </w:r>
      <w:r>
        <w:rPr>
          <w:rFonts w:ascii="Arial" w:cs="Arial" w:eastAsia="Arial" w:hAnsi="Arial"/>
          <w:sz w:val="16"/>
          <w:szCs w:val="16"/>
          <w:color w:val="1A1A1A"/>
        </w:rPr>
        <w:t>d</w:t>
      </w:r>
      <w:r>
        <w:rPr>
          <w:rFonts w:ascii="Arial" w:cs="Arial" w:eastAsia="Arial" w:hAnsi="Arial"/>
          <w:sz w:val="16"/>
          <w:szCs w:val="16"/>
          <w:color w:val="2F2F2F"/>
        </w:rPr>
        <w:t xml:space="preserve"> other materials</w:t>
      </w:r>
      <w:r>
        <w:rPr>
          <w:rFonts w:ascii="Arial" w:cs="Arial" w:eastAsia="Arial" w:hAnsi="Arial"/>
          <w:sz w:val="16"/>
          <w:szCs w:val="16"/>
          <w:color w:val="565656"/>
        </w:rPr>
        <w:t>,</w:t>
      </w:r>
      <w:r>
        <w:rPr>
          <w:rFonts w:ascii="Arial" w:cs="Arial" w:eastAsia="Arial" w:hAnsi="Arial"/>
          <w:sz w:val="16"/>
          <w:szCs w:val="16"/>
          <w:color w:val="2F2F2F"/>
        </w:rPr>
        <w:t xml:space="preserve"> Company </w:t>
      </w:r>
      <w:r>
        <w:rPr>
          <w:rFonts w:ascii="Arial" w:cs="Arial" w:eastAsia="Arial" w:hAnsi="Arial"/>
          <w:sz w:val="16"/>
          <w:szCs w:val="16"/>
          <w:color w:val="1A1A1A"/>
        </w:rPr>
        <w:t>h</w:t>
      </w:r>
      <w:r>
        <w:rPr>
          <w:rFonts w:ascii="Arial" w:cs="Arial" w:eastAsia="Arial" w:hAnsi="Arial"/>
          <w:sz w:val="16"/>
          <w:szCs w:val="16"/>
          <w:color w:val="444444"/>
        </w:rPr>
        <w:t>ere</w:t>
      </w:r>
      <w:r>
        <w:rPr>
          <w:rFonts w:ascii="Arial" w:cs="Arial" w:eastAsia="Arial" w:hAnsi="Arial"/>
          <w:sz w:val="16"/>
          <w:szCs w:val="16"/>
          <w:color w:val="2F2F2F"/>
        </w:rPr>
        <w:t xml:space="preserve"> </w:t>
      </w:r>
      <w:r>
        <w:rPr>
          <w:rFonts w:ascii="Arial" w:cs="Arial" w:eastAsia="Arial" w:hAnsi="Arial"/>
          <w:sz w:val="16"/>
          <w:szCs w:val="16"/>
          <w:color w:val="1A1A1A"/>
        </w:rPr>
        <w:t>b</w:t>
      </w:r>
      <w:r>
        <w:rPr>
          <w:rFonts w:ascii="Arial" w:cs="Arial" w:eastAsia="Arial" w:hAnsi="Arial"/>
          <w:sz w:val="16"/>
          <w:szCs w:val="16"/>
          <w:color w:val="444444"/>
        </w:rPr>
        <w:t>y grants</w:t>
      </w:r>
      <w:r>
        <w:rPr>
          <w:rFonts w:ascii="Arial" w:cs="Arial" w:eastAsia="Arial" w:hAnsi="Arial"/>
          <w:sz w:val="16"/>
          <w:szCs w:val="16"/>
          <w:color w:val="2F2F2F"/>
        </w:rPr>
        <w:t xml:space="preserve"> to </w:t>
      </w:r>
      <w:r>
        <w:rPr>
          <w:rFonts w:ascii="Arial" w:cs="Arial" w:eastAsia="Arial" w:hAnsi="Arial"/>
          <w:sz w:val="16"/>
          <w:szCs w:val="16"/>
          <w:color w:val="1A1A1A"/>
        </w:rPr>
        <w:t>Distributor a</w:t>
      </w:r>
      <w:r>
        <w:rPr>
          <w:rFonts w:ascii="Arial" w:cs="Arial" w:eastAsia="Arial" w:hAnsi="Arial"/>
          <w:sz w:val="16"/>
          <w:szCs w:val="16"/>
          <w:color w:val="2F2F2F"/>
        </w:rPr>
        <w:t xml:space="preserve"> revocable, non-exclusive</w:t>
      </w:r>
      <w:r>
        <w:rPr>
          <w:rFonts w:ascii="Arial" w:cs="Arial" w:eastAsia="Arial" w:hAnsi="Arial"/>
          <w:sz w:val="16"/>
          <w:szCs w:val="16"/>
          <w:color w:val="565656"/>
        </w:rPr>
        <w:t>,</w:t>
      </w:r>
      <w:r>
        <w:rPr>
          <w:rFonts w:ascii="Arial" w:cs="Arial" w:eastAsia="Arial" w:hAnsi="Arial"/>
          <w:sz w:val="16"/>
          <w:szCs w:val="16"/>
          <w:color w:val="2F2F2F"/>
        </w:rPr>
        <w:t xml:space="preserve"> </w:t>
      </w:r>
      <w:r>
        <w:rPr>
          <w:rFonts w:ascii="Arial" w:cs="Arial" w:eastAsia="Arial" w:hAnsi="Arial"/>
          <w:sz w:val="16"/>
          <w:szCs w:val="16"/>
          <w:color w:val="1A1A1A"/>
        </w:rPr>
        <w:t>non-transferable</w:t>
      </w:r>
      <w:r>
        <w:rPr>
          <w:rFonts w:ascii="Arial" w:cs="Arial" w:eastAsia="Arial" w:hAnsi="Arial"/>
          <w:sz w:val="16"/>
          <w:szCs w:val="16"/>
          <w:color w:val="2F2F2F"/>
        </w:rPr>
        <w:t xml:space="preserve"> (except as </w:t>
      </w:r>
      <w:r>
        <w:rPr>
          <w:rFonts w:ascii="Arial" w:cs="Arial" w:eastAsia="Arial" w:hAnsi="Arial"/>
          <w:sz w:val="16"/>
          <w:szCs w:val="16"/>
          <w:color w:val="1A1A1A"/>
        </w:rPr>
        <w:t xml:space="preserve">provided in </w:t>
      </w:r>
      <w:r>
        <w:rPr>
          <w:rFonts w:ascii="Arial" w:cs="Arial" w:eastAsia="Arial" w:hAnsi="Arial"/>
          <w:sz w:val="16"/>
          <w:szCs w:val="16"/>
          <w:color w:val="2F2F2F"/>
        </w:rPr>
        <w:t>Section</w:t>
      </w:r>
      <w:r>
        <w:rPr>
          <w:rFonts w:ascii="Arial" w:cs="Arial" w:eastAsia="Arial" w:hAnsi="Arial"/>
          <w:sz w:val="16"/>
          <w:szCs w:val="16"/>
          <w:color w:val="1A1A1A"/>
        </w:rPr>
        <w:t xml:space="preserve"> 11.1) licen</w:t>
      </w:r>
      <w:r>
        <w:rPr>
          <w:rFonts w:ascii="Arial" w:cs="Arial" w:eastAsia="Arial" w:hAnsi="Arial"/>
          <w:sz w:val="16"/>
          <w:szCs w:val="16"/>
          <w:color w:val="444444"/>
        </w:rPr>
        <w:t>se</w:t>
      </w:r>
      <w:r>
        <w:rPr>
          <w:rFonts w:ascii="Arial" w:cs="Arial" w:eastAsia="Arial" w:hAnsi="Arial"/>
          <w:sz w:val="16"/>
          <w:szCs w:val="16"/>
          <w:color w:val="1A1A1A"/>
        </w:rPr>
        <w:t xml:space="preserve"> </w:t>
      </w:r>
      <w:r>
        <w:rPr>
          <w:rFonts w:ascii="Arial" w:cs="Arial" w:eastAsia="Arial" w:hAnsi="Arial"/>
          <w:sz w:val="16"/>
          <w:szCs w:val="16"/>
          <w:color w:val="2F2F2F"/>
        </w:rPr>
        <w:t>(without</w:t>
      </w:r>
      <w:r>
        <w:rPr>
          <w:rFonts w:ascii="Arial" w:cs="Arial" w:eastAsia="Arial" w:hAnsi="Arial"/>
          <w:sz w:val="16"/>
          <w:szCs w:val="16"/>
          <w:color w:val="1A1A1A"/>
        </w:rPr>
        <w:t xml:space="preserve"> the right to </w:t>
      </w:r>
      <w:r>
        <w:rPr>
          <w:rFonts w:ascii="Arial" w:cs="Arial" w:eastAsia="Arial" w:hAnsi="Arial"/>
          <w:sz w:val="16"/>
          <w:szCs w:val="16"/>
          <w:color w:val="2F2F2F"/>
        </w:rPr>
        <w:t>grant sublicenses)</w:t>
      </w:r>
      <w:r>
        <w:rPr>
          <w:rFonts w:ascii="Arial" w:cs="Arial" w:eastAsia="Arial" w:hAnsi="Arial"/>
          <w:sz w:val="16"/>
          <w:szCs w:val="16"/>
          <w:color w:val="1A1A1A"/>
        </w:rPr>
        <w:t xml:space="preserve"> to </w:t>
      </w:r>
      <w:r>
        <w:rPr>
          <w:rFonts w:ascii="Arial" w:cs="Arial" w:eastAsia="Arial" w:hAnsi="Arial"/>
          <w:sz w:val="16"/>
          <w:szCs w:val="16"/>
          <w:color w:val="2F2F2F"/>
        </w:rPr>
        <w:t>use</w:t>
      </w:r>
      <w:r>
        <w:rPr>
          <w:rFonts w:ascii="Arial" w:cs="Arial" w:eastAsia="Arial" w:hAnsi="Arial"/>
          <w:sz w:val="16"/>
          <w:szCs w:val="16"/>
          <w:color w:val="1A1A1A"/>
        </w:rPr>
        <w:t xml:space="preserve"> the trad</w:t>
      </w:r>
      <w:r>
        <w:rPr>
          <w:rFonts w:ascii="Arial" w:cs="Arial" w:eastAsia="Arial" w:hAnsi="Arial"/>
          <w:sz w:val="16"/>
          <w:szCs w:val="16"/>
          <w:color w:val="444444"/>
        </w:rPr>
        <w:t>emarks,</w:t>
      </w:r>
      <w:r>
        <w:rPr>
          <w:rFonts w:ascii="Arial" w:cs="Arial" w:eastAsia="Arial" w:hAnsi="Arial"/>
          <w:sz w:val="16"/>
          <w:szCs w:val="16"/>
          <w:color w:val="1A1A1A"/>
        </w:rPr>
        <w:t xml:space="preserve"> </w:t>
      </w:r>
      <w:r>
        <w:rPr>
          <w:rFonts w:ascii="Arial" w:cs="Arial" w:eastAsia="Arial" w:hAnsi="Arial"/>
          <w:sz w:val="16"/>
          <w:szCs w:val="16"/>
          <w:color w:val="2F2F2F"/>
        </w:rPr>
        <w:t>trade</w:t>
      </w:r>
      <w:r>
        <w:rPr>
          <w:rFonts w:ascii="Arial" w:cs="Arial" w:eastAsia="Arial" w:hAnsi="Arial"/>
          <w:sz w:val="16"/>
          <w:szCs w:val="16"/>
          <w:color w:val="1A1A1A"/>
        </w:rPr>
        <w:t xml:space="preserve"> nam</w:t>
      </w:r>
      <w:r>
        <w:rPr>
          <w:rFonts w:ascii="Arial" w:cs="Arial" w:eastAsia="Arial" w:hAnsi="Arial"/>
          <w:sz w:val="16"/>
          <w:szCs w:val="16"/>
          <w:color w:val="444444"/>
        </w:rPr>
        <w:t>es</w:t>
      </w:r>
      <w:r>
        <w:rPr>
          <w:rFonts w:ascii="Arial" w:cs="Arial" w:eastAsia="Arial" w:hAnsi="Arial"/>
          <w:sz w:val="16"/>
          <w:szCs w:val="16"/>
          <w:color w:val="1A1A1A"/>
        </w:rPr>
        <w:t xml:space="preserve"> </w:t>
      </w:r>
      <w:r>
        <w:rPr>
          <w:rFonts w:ascii="Arial" w:cs="Arial" w:eastAsia="Arial" w:hAnsi="Arial"/>
          <w:sz w:val="16"/>
          <w:szCs w:val="16"/>
          <w:color w:val="2F2F2F"/>
        </w:rPr>
        <w:t>and other</w:t>
      </w:r>
      <w:r>
        <w:rPr>
          <w:rFonts w:ascii="Arial" w:cs="Arial" w:eastAsia="Arial" w:hAnsi="Arial"/>
          <w:sz w:val="16"/>
          <w:szCs w:val="16"/>
          <w:color w:val="1A1A1A"/>
        </w:rPr>
        <w:t xml:space="preserve"> marketing name</w:t>
      </w:r>
      <w:r>
        <w:rPr>
          <w:rFonts w:ascii="Arial" w:cs="Arial" w:eastAsia="Arial" w:hAnsi="Arial"/>
          <w:sz w:val="16"/>
          <w:szCs w:val="16"/>
          <w:color w:val="444444"/>
        </w:rPr>
        <w:t>s</w:t>
      </w:r>
      <w:r>
        <w:rPr>
          <w:rFonts w:ascii="Arial" w:cs="Arial" w:eastAsia="Arial" w:hAnsi="Arial"/>
          <w:sz w:val="16"/>
          <w:szCs w:val="16"/>
          <w:color w:val="1A1A1A"/>
        </w:rPr>
        <w:t xml:space="preserve"> </w:t>
      </w:r>
      <w:r>
        <w:rPr>
          <w:rFonts w:ascii="Arial" w:cs="Arial" w:eastAsia="Arial" w:hAnsi="Arial"/>
          <w:sz w:val="16"/>
          <w:szCs w:val="16"/>
          <w:color w:val="2F2F2F"/>
        </w:rPr>
        <w:t xml:space="preserve">used by Company for the Products as set forth on Exhibit </w:t>
      </w:r>
      <w:r>
        <w:rPr>
          <w:rFonts w:ascii="Arial" w:cs="Arial" w:eastAsia="Arial" w:hAnsi="Arial"/>
          <w:sz w:val="16"/>
          <w:szCs w:val="16"/>
          <w:color w:val="1A1A1A"/>
        </w:rPr>
        <w:t>A</w:t>
      </w:r>
      <w:r>
        <w:rPr>
          <w:rFonts w:ascii="Arial" w:cs="Arial" w:eastAsia="Arial" w:hAnsi="Arial"/>
          <w:sz w:val="16"/>
          <w:szCs w:val="16"/>
          <w:color w:val="2F2F2F"/>
        </w:rPr>
        <w:t xml:space="preserve"> (the </w:t>
      </w:r>
      <w:r>
        <w:rPr>
          <w:rFonts w:ascii="Arial" w:cs="Arial" w:eastAsia="Arial" w:hAnsi="Arial"/>
          <w:sz w:val="16"/>
          <w:szCs w:val="16"/>
          <w:color w:val="565656"/>
        </w:rPr>
        <w:t>“</w:t>
      </w:r>
      <w:r>
        <w:rPr>
          <w:rFonts w:ascii="Arial" w:cs="Arial" w:eastAsia="Arial" w:hAnsi="Arial"/>
          <w:sz w:val="16"/>
          <w:szCs w:val="16"/>
          <w:color w:val="2F2F2F"/>
        </w:rPr>
        <w:t>Trademarks”)</w:t>
      </w:r>
      <w:r>
        <w:rPr>
          <w:rFonts w:ascii="Arial" w:cs="Arial" w:eastAsia="Arial" w:hAnsi="Arial"/>
          <w:sz w:val="16"/>
          <w:szCs w:val="16"/>
          <w:color w:val="565656"/>
        </w:rPr>
        <w:t>,</w:t>
      </w:r>
      <w:r>
        <w:rPr>
          <w:rFonts w:ascii="Arial" w:cs="Arial" w:eastAsia="Arial" w:hAnsi="Arial"/>
          <w:sz w:val="16"/>
          <w:szCs w:val="16"/>
          <w:color w:val="2F2F2F"/>
        </w:rPr>
        <w:t xml:space="preserve"> solely: </w:t>
      </w:r>
      <w:r>
        <w:rPr>
          <w:rFonts w:ascii="Arial" w:cs="Arial" w:eastAsia="Arial" w:hAnsi="Arial"/>
          <w:sz w:val="16"/>
          <w:szCs w:val="16"/>
          <w:color w:val="444444"/>
        </w:rPr>
        <w:t>(</w:t>
      </w:r>
      <w:r>
        <w:rPr>
          <w:rFonts w:ascii="Arial" w:cs="Arial" w:eastAsia="Arial" w:hAnsi="Arial"/>
          <w:sz w:val="16"/>
          <w:szCs w:val="16"/>
          <w:color w:val="1A1A1A"/>
        </w:rPr>
        <w:t>i)</w:t>
      </w:r>
      <w:r>
        <w:rPr>
          <w:rFonts w:ascii="Arial" w:cs="Arial" w:eastAsia="Arial" w:hAnsi="Arial"/>
          <w:sz w:val="16"/>
          <w:szCs w:val="16"/>
          <w:color w:val="2F2F2F"/>
        </w:rPr>
        <w:t xml:space="preserve"> on or with </w:t>
      </w:r>
      <w:r>
        <w:rPr>
          <w:rFonts w:ascii="Arial" w:cs="Arial" w:eastAsia="Arial" w:hAnsi="Arial"/>
          <w:sz w:val="16"/>
          <w:szCs w:val="16"/>
          <w:color w:val="1A1A1A"/>
        </w:rPr>
        <w:t>the Products</w:t>
      </w:r>
      <w:r>
        <w:rPr>
          <w:rFonts w:ascii="Arial" w:cs="Arial" w:eastAsia="Arial" w:hAnsi="Arial"/>
          <w:sz w:val="16"/>
          <w:szCs w:val="16"/>
          <w:color w:val="444444"/>
        </w:rPr>
        <w:t>,</w:t>
      </w:r>
      <w:r>
        <w:rPr>
          <w:rFonts w:ascii="Arial" w:cs="Arial" w:eastAsia="Arial" w:hAnsi="Arial"/>
          <w:sz w:val="16"/>
          <w:szCs w:val="16"/>
          <w:color w:val="2F2F2F"/>
        </w:rPr>
        <w:t xml:space="preserve"> </w:t>
      </w:r>
      <w:r>
        <w:rPr>
          <w:rFonts w:ascii="Arial" w:cs="Arial" w:eastAsia="Arial" w:hAnsi="Arial"/>
          <w:sz w:val="16"/>
          <w:szCs w:val="16"/>
          <w:color w:val="1A1A1A"/>
        </w:rPr>
        <w:t>including</w:t>
      </w:r>
      <w:r>
        <w:rPr>
          <w:rFonts w:ascii="Arial" w:cs="Arial" w:eastAsia="Arial" w:hAnsi="Arial"/>
          <w:sz w:val="16"/>
          <w:szCs w:val="16"/>
          <w:color w:val="2F2F2F"/>
        </w:rPr>
        <w:t xml:space="preserve"> the packaging, advertising, marketing and other </w:t>
      </w:r>
      <w:r>
        <w:rPr>
          <w:rFonts w:ascii="Arial" w:cs="Arial" w:eastAsia="Arial" w:hAnsi="Arial"/>
          <w:sz w:val="16"/>
          <w:szCs w:val="16"/>
          <w:color w:val="1A1A1A"/>
        </w:rPr>
        <w:t>mater</w:t>
      </w:r>
      <w:r>
        <w:rPr>
          <w:rFonts w:ascii="Arial" w:cs="Arial" w:eastAsia="Arial" w:hAnsi="Arial"/>
          <w:sz w:val="16"/>
          <w:szCs w:val="16"/>
          <w:color w:val="444444"/>
        </w:rPr>
        <w:t>ia</w:t>
      </w:r>
      <w:r>
        <w:rPr>
          <w:rFonts w:ascii="Arial" w:cs="Arial" w:eastAsia="Arial" w:hAnsi="Arial"/>
          <w:sz w:val="16"/>
          <w:szCs w:val="16"/>
          <w:color w:val="1A1A1A"/>
        </w:rPr>
        <w:t>ls</w:t>
      </w:r>
      <w:r>
        <w:rPr>
          <w:rFonts w:ascii="Arial" w:cs="Arial" w:eastAsia="Arial" w:hAnsi="Arial"/>
          <w:sz w:val="16"/>
          <w:szCs w:val="16"/>
          <w:color w:val="2F2F2F"/>
        </w:rPr>
        <w:t xml:space="preserve"> associated therewith; </w:t>
      </w:r>
      <w:r>
        <w:rPr>
          <w:rFonts w:ascii="Arial" w:cs="Arial" w:eastAsia="Arial" w:hAnsi="Arial"/>
          <w:sz w:val="16"/>
          <w:szCs w:val="16"/>
          <w:color w:val="444444"/>
        </w:rPr>
        <w:t>(ii)</w:t>
      </w:r>
      <w:r>
        <w:rPr>
          <w:rFonts w:ascii="Arial" w:cs="Arial" w:eastAsia="Arial" w:hAnsi="Arial"/>
          <w:sz w:val="16"/>
          <w:szCs w:val="16"/>
          <w:color w:val="2F2F2F"/>
        </w:rPr>
        <w:t xml:space="preserve"> </w:t>
      </w:r>
      <w:r>
        <w:rPr>
          <w:rFonts w:ascii="Arial" w:cs="Arial" w:eastAsia="Arial" w:hAnsi="Arial"/>
          <w:sz w:val="16"/>
          <w:szCs w:val="16"/>
          <w:color w:val="1A1A1A"/>
        </w:rPr>
        <w:t>in full</w:t>
      </w:r>
      <w:r>
        <w:rPr>
          <w:rFonts w:ascii="Arial" w:cs="Arial" w:eastAsia="Arial" w:hAnsi="Arial"/>
          <w:sz w:val="16"/>
          <w:szCs w:val="16"/>
          <w:color w:val="2F2F2F"/>
        </w:rPr>
        <w:t xml:space="preserve"> accordance with all guidelines and instructions as may be </w:t>
      </w:r>
      <w:r>
        <w:rPr>
          <w:rFonts w:ascii="Arial" w:cs="Arial" w:eastAsia="Arial" w:hAnsi="Arial"/>
          <w:sz w:val="16"/>
          <w:szCs w:val="16"/>
          <w:color w:val="1A1A1A"/>
        </w:rPr>
        <w:t>promulgated</w:t>
      </w:r>
      <w:r>
        <w:rPr>
          <w:rFonts w:ascii="Arial" w:cs="Arial" w:eastAsia="Arial" w:hAnsi="Arial"/>
          <w:sz w:val="16"/>
          <w:szCs w:val="16"/>
          <w:color w:val="2F2F2F"/>
        </w:rPr>
        <w:t xml:space="preserve"> from </w:t>
      </w:r>
      <w:r>
        <w:rPr>
          <w:rFonts w:ascii="Arial" w:cs="Arial" w:eastAsia="Arial" w:hAnsi="Arial"/>
          <w:sz w:val="16"/>
          <w:szCs w:val="16"/>
          <w:color w:val="1A1A1A"/>
        </w:rPr>
        <w:t>time to tim</w:t>
      </w:r>
      <w:r>
        <w:rPr>
          <w:rFonts w:ascii="Arial" w:cs="Arial" w:eastAsia="Arial" w:hAnsi="Arial"/>
          <w:sz w:val="16"/>
          <w:szCs w:val="16"/>
          <w:color w:val="444444"/>
        </w:rPr>
        <w:t>e by</w:t>
      </w:r>
      <w:r>
        <w:rPr>
          <w:rFonts w:ascii="Arial" w:cs="Arial" w:eastAsia="Arial" w:hAnsi="Arial"/>
          <w:sz w:val="16"/>
          <w:szCs w:val="16"/>
          <w:color w:val="2F2F2F"/>
        </w:rPr>
        <w:t xml:space="preserve"> Company. Company grants </w:t>
      </w:r>
      <w:r>
        <w:rPr>
          <w:rFonts w:ascii="Arial" w:cs="Arial" w:eastAsia="Arial" w:hAnsi="Arial"/>
          <w:sz w:val="16"/>
          <w:szCs w:val="16"/>
          <w:color w:val="1A1A1A"/>
        </w:rPr>
        <w:t>no rights</w:t>
      </w:r>
      <w:r>
        <w:rPr>
          <w:rFonts w:ascii="Arial" w:cs="Arial" w:eastAsia="Arial" w:hAnsi="Arial"/>
          <w:sz w:val="16"/>
          <w:szCs w:val="16"/>
          <w:color w:val="2F2F2F"/>
        </w:rPr>
        <w:t xml:space="preserve"> other than as expressly granted </w:t>
      </w:r>
      <w:r>
        <w:rPr>
          <w:rFonts w:ascii="Arial" w:cs="Arial" w:eastAsia="Arial" w:hAnsi="Arial"/>
          <w:sz w:val="16"/>
          <w:szCs w:val="16"/>
          <w:color w:val="1A1A1A"/>
        </w:rPr>
        <w:t>hereunder. Distributor</w:t>
      </w:r>
      <w:r>
        <w:rPr>
          <w:rFonts w:ascii="Arial" w:cs="Arial" w:eastAsia="Arial" w:hAnsi="Arial"/>
          <w:sz w:val="16"/>
          <w:szCs w:val="16"/>
          <w:color w:val="2F2F2F"/>
        </w:rPr>
        <w:t xml:space="preserve"> acknowledges Company’s exclusive </w:t>
      </w:r>
      <w:r>
        <w:rPr>
          <w:rFonts w:ascii="Arial" w:cs="Arial" w:eastAsia="Arial" w:hAnsi="Arial"/>
          <w:sz w:val="16"/>
          <w:szCs w:val="16"/>
          <w:color w:val="1A1A1A"/>
        </w:rPr>
        <w:t>ownership</w:t>
      </w:r>
      <w:r>
        <w:rPr>
          <w:rFonts w:ascii="Arial" w:cs="Arial" w:eastAsia="Arial" w:hAnsi="Arial"/>
          <w:sz w:val="16"/>
          <w:szCs w:val="16"/>
          <w:color w:val="2F2F2F"/>
        </w:rPr>
        <w:t xml:space="preserve"> of </w:t>
      </w:r>
      <w:r>
        <w:rPr>
          <w:rFonts w:ascii="Arial" w:cs="Arial" w:eastAsia="Arial" w:hAnsi="Arial"/>
          <w:sz w:val="16"/>
          <w:szCs w:val="16"/>
          <w:color w:val="444444"/>
        </w:rPr>
        <w:t>s</w:t>
      </w:r>
      <w:r>
        <w:rPr>
          <w:rFonts w:ascii="Arial" w:cs="Arial" w:eastAsia="Arial" w:hAnsi="Arial"/>
          <w:sz w:val="16"/>
          <w:szCs w:val="16"/>
          <w:color w:val="1A1A1A"/>
        </w:rPr>
        <w:t>uch</w:t>
      </w:r>
      <w:r>
        <w:rPr>
          <w:rFonts w:ascii="Arial" w:cs="Arial" w:eastAsia="Arial" w:hAnsi="Arial"/>
          <w:sz w:val="16"/>
          <w:szCs w:val="16"/>
          <w:color w:val="2F2F2F"/>
        </w:rPr>
        <w:t xml:space="preserve"> Trademarks</w:t>
      </w:r>
      <w:r>
        <w:rPr>
          <w:rFonts w:ascii="Arial" w:cs="Arial" w:eastAsia="Arial" w:hAnsi="Arial"/>
          <w:sz w:val="16"/>
          <w:szCs w:val="16"/>
          <w:color w:val="565656"/>
        </w:rPr>
        <w:t>,</w:t>
      </w:r>
      <w:r>
        <w:rPr>
          <w:rFonts w:ascii="Arial" w:cs="Arial" w:eastAsia="Arial" w:hAnsi="Arial"/>
          <w:sz w:val="16"/>
          <w:szCs w:val="16"/>
          <w:color w:val="2F2F2F"/>
        </w:rPr>
        <w:t xml:space="preserve"> and </w:t>
      </w:r>
      <w:r>
        <w:rPr>
          <w:rFonts w:ascii="Arial" w:cs="Arial" w:eastAsia="Arial" w:hAnsi="Arial"/>
          <w:sz w:val="16"/>
          <w:szCs w:val="16"/>
          <w:color w:val="1A1A1A"/>
        </w:rPr>
        <w:t>Distributor</w:t>
      </w:r>
      <w:r>
        <w:rPr>
          <w:rFonts w:ascii="Arial" w:cs="Arial" w:eastAsia="Arial" w:hAnsi="Arial"/>
          <w:sz w:val="16"/>
          <w:szCs w:val="16"/>
          <w:color w:val="2F2F2F"/>
        </w:rPr>
        <w:t xml:space="preserve"> agrees </w:t>
      </w:r>
      <w:r>
        <w:rPr>
          <w:rFonts w:ascii="Arial" w:cs="Arial" w:eastAsia="Arial" w:hAnsi="Arial"/>
          <w:sz w:val="16"/>
          <w:szCs w:val="16"/>
          <w:color w:val="1A1A1A"/>
        </w:rPr>
        <w:t>not</w:t>
      </w:r>
      <w:r>
        <w:rPr>
          <w:rFonts w:ascii="Arial" w:cs="Arial" w:eastAsia="Arial" w:hAnsi="Arial"/>
          <w:sz w:val="16"/>
          <w:szCs w:val="16"/>
          <w:color w:val="2F2F2F"/>
        </w:rPr>
        <w:t xml:space="preserve"> to take any action inconsistent with such </w:t>
      </w:r>
      <w:r>
        <w:rPr>
          <w:rFonts w:ascii="Arial" w:cs="Arial" w:eastAsia="Arial" w:hAnsi="Arial"/>
          <w:sz w:val="16"/>
          <w:szCs w:val="16"/>
          <w:color w:val="1A1A1A"/>
        </w:rPr>
        <w:t xml:space="preserve">ownership </w:t>
      </w:r>
      <w:r>
        <w:rPr>
          <w:rFonts w:ascii="Arial" w:cs="Arial" w:eastAsia="Arial" w:hAnsi="Arial"/>
          <w:sz w:val="16"/>
          <w:szCs w:val="16"/>
          <w:color w:val="2F2F2F"/>
        </w:rPr>
        <w:t>by Company,</w:t>
      </w:r>
      <w:r>
        <w:rPr>
          <w:rFonts w:ascii="Arial" w:cs="Arial" w:eastAsia="Arial" w:hAnsi="Arial"/>
          <w:sz w:val="16"/>
          <w:szCs w:val="16"/>
          <w:color w:val="1A1A1A"/>
        </w:rPr>
        <w:t xml:space="preserve"> including </w:t>
      </w:r>
      <w:r>
        <w:rPr>
          <w:rFonts w:ascii="Arial" w:cs="Arial" w:eastAsia="Arial" w:hAnsi="Arial"/>
          <w:sz w:val="16"/>
          <w:szCs w:val="16"/>
          <w:color w:val="2F2F2F"/>
        </w:rPr>
        <w:t>without</w:t>
      </w:r>
      <w:r>
        <w:rPr>
          <w:rFonts w:ascii="Arial" w:cs="Arial" w:eastAsia="Arial" w:hAnsi="Arial"/>
          <w:sz w:val="16"/>
          <w:szCs w:val="16"/>
          <w:color w:val="1A1A1A"/>
        </w:rPr>
        <w:t xml:space="preserve"> limitation </w:t>
      </w:r>
      <w:r>
        <w:rPr>
          <w:rFonts w:ascii="Arial" w:cs="Arial" w:eastAsia="Arial" w:hAnsi="Arial"/>
          <w:sz w:val="16"/>
          <w:szCs w:val="16"/>
          <w:color w:val="2F2F2F"/>
        </w:rPr>
        <w:t>the adoption</w:t>
      </w:r>
      <w:r>
        <w:rPr>
          <w:rFonts w:ascii="Arial" w:cs="Arial" w:eastAsia="Arial" w:hAnsi="Arial"/>
          <w:sz w:val="16"/>
          <w:szCs w:val="16"/>
          <w:color w:val="1A1A1A"/>
        </w:rPr>
        <w:t xml:space="preserve"> by Distributor </w:t>
      </w:r>
      <w:r>
        <w:rPr>
          <w:rFonts w:ascii="Arial" w:cs="Arial" w:eastAsia="Arial" w:hAnsi="Arial"/>
          <w:sz w:val="16"/>
          <w:szCs w:val="16"/>
          <w:color w:val="2F2F2F"/>
        </w:rPr>
        <w:t>of any marks confusingly similar</w:t>
      </w:r>
      <w:r>
        <w:rPr>
          <w:rFonts w:ascii="Arial" w:cs="Arial" w:eastAsia="Arial" w:hAnsi="Arial"/>
          <w:sz w:val="16"/>
          <w:szCs w:val="16"/>
          <w:color w:val="1A1A1A"/>
        </w:rPr>
        <w:t xml:space="preserve"> to </w:t>
      </w:r>
      <w:r>
        <w:rPr>
          <w:rFonts w:ascii="Arial" w:cs="Arial" w:eastAsia="Arial" w:hAnsi="Arial"/>
          <w:sz w:val="16"/>
          <w:szCs w:val="16"/>
          <w:color w:val="2F2F2F"/>
        </w:rPr>
        <w:t>the</w:t>
      </w:r>
      <w:r>
        <w:rPr>
          <w:rFonts w:ascii="Arial" w:cs="Arial" w:eastAsia="Arial" w:hAnsi="Arial"/>
          <w:sz w:val="16"/>
          <w:szCs w:val="16"/>
          <w:color w:val="1A1A1A"/>
        </w:rPr>
        <w:t xml:space="preserve"> Trademarks</w:t>
      </w:r>
      <w:r>
        <w:rPr>
          <w:rFonts w:ascii="Arial" w:cs="Arial" w:eastAsia="Arial" w:hAnsi="Arial"/>
          <w:sz w:val="16"/>
          <w:szCs w:val="16"/>
          <w:color w:val="444444"/>
        </w:rPr>
        <w:t>,</w:t>
      </w:r>
      <w:r>
        <w:rPr>
          <w:rFonts w:ascii="Arial" w:cs="Arial" w:eastAsia="Arial" w:hAnsi="Arial"/>
          <w:sz w:val="16"/>
          <w:szCs w:val="16"/>
          <w:color w:val="1A1A1A"/>
        </w:rPr>
        <w:t xml:space="preserve"> </w:t>
      </w:r>
      <w:r>
        <w:rPr>
          <w:rFonts w:ascii="Arial" w:cs="Arial" w:eastAsia="Arial" w:hAnsi="Arial"/>
          <w:sz w:val="16"/>
          <w:szCs w:val="16"/>
          <w:color w:val="2F2F2F"/>
        </w:rPr>
        <w:t>or</w:t>
      </w:r>
      <w:r>
        <w:rPr>
          <w:rFonts w:ascii="Arial" w:cs="Arial" w:eastAsia="Arial" w:hAnsi="Arial"/>
          <w:sz w:val="16"/>
          <w:szCs w:val="16"/>
          <w:color w:val="1A1A1A"/>
        </w:rPr>
        <w:t xml:space="preserve"> the </w:t>
      </w:r>
      <w:r>
        <w:rPr>
          <w:rFonts w:ascii="Arial" w:cs="Arial" w:eastAsia="Arial" w:hAnsi="Arial"/>
          <w:sz w:val="16"/>
          <w:szCs w:val="16"/>
          <w:color w:val="2F2F2F"/>
        </w:rPr>
        <w:t>combination of the Trademarks w</w:t>
      </w:r>
      <w:r>
        <w:rPr>
          <w:rFonts w:ascii="Arial" w:cs="Arial" w:eastAsia="Arial" w:hAnsi="Arial"/>
          <w:sz w:val="16"/>
          <w:szCs w:val="16"/>
          <w:color w:val="565656"/>
        </w:rPr>
        <w:t>i</w:t>
      </w:r>
      <w:r>
        <w:rPr>
          <w:rFonts w:ascii="Arial" w:cs="Arial" w:eastAsia="Arial" w:hAnsi="Arial"/>
          <w:sz w:val="16"/>
          <w:szCs w:val="16"/>
          <w:color w:val="2F2F2F"/>
        </w:rPr>
        <w:t>th any other</w:t>
      </w:r>
      <w:r>
        <w:rPr>
          <w:rFonts w:ascii="Arial" w:cs="Arial" w:eastAsia="Arial" w:hAnsi="Arial"/>
          <w:sz w:val="16"/>
          <w:szCs w:val="16"/>
          <w:color w:val="1A1A1A"/>
        </w:rPr>
        <w:t xml:space="preserve"> mar</w:t>
      </w:r>
      <w:r>
        <w:rPr>
          <w:rFonts w:ascii="Arial" w:cs="Arial" w:eastAsia="Arial" w:hAnsi="Arial"/>
          <w:sz w:val="16"/>
          <w:szCs w:val="16"/>
          <w:color w:val="444444"/>
        </w:rPr>
        <w:t>ks</w:t>
      </w:r>
      <w:r>
        <w:rPr>
          <w:rFonts w:ascii="Arial" w:cs="Arial" w:eastAsia="Arial" w:hAnsi="Arial"/>
          <w:sz w:val="16"/>
          <w:szCs w:val="16"/>
          <w:color w:val="1A1A1A"/>
        </w:rPr>
        <w:t xml:space="preserve">. Distributor </w:t>
      </w:r>
      <w:r>
        <w:rPr>
          <w:rFonts w:ascii="Arial" w:cs="Arial" w:eastAsia="Arial" w:hAnsi="Arial"/>
          <w:sz w:val="16"/>
          <w:szCs w:val="16"/>
          <w:color w:val="2F2F2F"/>
        </w:rPr>
        <w:t>agrees to</w:t>
      </w:r>
      <w:r>
        <w:rPr>
          <w:rFonts w:ascii="Arial" w:cs="Arial" w:eastAsia="Arial" w:hAnsi="Arial"/>
          <w:sz w:val="16"/>
          <w:szCs w:val="16"/>
          <w:color w:val="1A1A1A"/>
        </w:rPr>
        <w:t xml:space="preserve"> maintain </w:t>
      </w:r>
      <w:r>
        <w:rPr>
          <w:rFonts w:ascii="Arial" w:cs="Arial" w:eastAsia="Arial" w:hAnsi="Arial"/>
          <w:sz w:val="16"/>
          <w:szCs w:val="16"/>
          <w:color w:val="2F2F2F"/>
        </w:rPr>
        <w:t>the</w:t>
      </w:r>
      <w:r>
        <w:rPr>
          <w:rFonts w:ascii="Arial" w:cs="Arial" w:eastAsia="Arial" w:hAnsi="Arial"/>
          <w:sz w:val="16"/>
          <w:szCs w:val="16"/>
          <w:color w:val="1A1A1A"/>
        </w:rPr>
        <w:t xml:space="preserve"> quality </w:t>
      </w:r>
      <w:r>
        <w:rPr>
          <w:rFonts w:ascii="Arial" w:cs="Arial" w:eastAsia="Arial" w:hAnsi="Arial"/>
          <w:sz w:val="16"/>
          <w:szCs w:val="16"/>
          <w:color w:val="2F2F2F"/>
        </w:rPr>
        <w:t>of</w:t>
      </w:r>
      <w:r>
        <w:rPr>
          <w:rFonts w:ascii="Arial" w:cs="Arial" w:eastAsia="Arial" w:hAnsi="Arial"/>
          <w:sz w:val="16"/>
          <w:szCs w:val="16"/>
          <w:color w:val="1A1A1A"/>
        </w:rPr>
        <w:t xml:space="preserve"> Products </w:t>
      </w:r>
      <w:r>
        <w:rPr>
          <w:rFonts w:ascii="Arial" w:cs="Arial" w:eastAsia="Arial" w:hAnsi="Arial"/>
          <w:sz w:val="16"/>
          <w:szCs w:val="16"/>
          <w:color w:val="2F2F2F"/>
        </w:rPr>
        <w:t>Sold by</w:t>
      </w:r>
      <w:r>
        <w:rPr>
          <w:rFonts w:ascii="Arial" w:cs="Arial" w:eastAsia="Arial" w:hAnsi="Arial"/>
          <w:sz w:val="16"/>
          <w:szCs w:val="16"/>
          <w:color w:val="1A1A1A"/>
        </w:rPr>
        <w:t xml:space="preserve"> Distributor </w:t>
      </w:r>
      <w:r>
        <w:rPr>
          <w:rFonts w:ascii="Arial" w:cs="Arial" w:eastAsia="Arial" w:hAnsi="Arial"/>
          <w:sz w:val="16"/>
          <w:szCs w:val="16"/>
          <w:color w:val="2F2F2F"/>
        </w:rPr>
        <w:t>and</w:t>
      </w:r>
      <w:r>
        <w:rPr>
          <w:rFonts w:ascii="Arial" w:cs="Arial" w:eastAsia="Arial" w:hAnsi="Arial"/>
          <w:sz w:val="16"/>
          <w:szCs w:val="16"/>
          <w:color w:val="1A1A1A"/>
        </w:rPr>
        <w:t xml:space="preserve"> </w:t>
      </w:r>
      <w:r>
        <w:rPr>
          <w:rFonts w:ascii="Arial" w:cs="Arial" w:eastAsia="Arial" w:hAnsi="Arial"/>
          <w:sz w:val="16"/>
          <w:szCs w:val="16"/>
          <w:color w:val="2F2F2F"/>
        </w:rPr>
        <w:t xml:space="preserve">agrees not to register or attempt </w:t>
      </w:r>
      <w:r>
        <w:rPr>
          <w:rFonts w:ascii="Arial" w:cs="Arial" w:eastAsia="Arial" w:hAnsi="Arial"/>
          <w:sz w:val="16"/>
          <w:szCs w:val="16"/>
          <w:color w:val="1A1A1A"/>
        </w:rPr>
        <w:t>to</w:t>
      </w:r>
      <w:r>
        <w:rPr>
          <w:rFonts w:ascii="Arial" w:cs="Arial" w:eastAsia="Arial" w:hAnsi="Arial"/>
          <w:sz w:val="16"/>
          <w:szCs w:val="16"/>
          <w:color w:val="2F2F2F"/>
        </w:rPr>
        <w:t xml:space="preserve"> register any </w:t>
      </w:r>
      <w:r>
        <w:rPr>
          <w:rFonts w:ascii="Arial" w:cs="Arial" w:eastAsia="Arial" w:hAnsi="Arial"/>
          <w:sz w:val="16"/>
          <w:szCs w:val="16"/>
          <w:color w:val="1A1A1A"/>
        </w:rPr>
        <w:t>Trademark in</w:t>
      </w:r>
      <w:r>
        <w:rPr>
          <w:rFonts w:ascii="Arial" w:cs="Arial" w:eastAsia="Arial" w:hAnsi="Arial"/>
          <w:sz w:val="16"/>
          <w:szCs w:val="16"/>
          <w:color w:val="2F2F2F"/>
        </w:rPr>
        <w:t xml:space="preserve"> any </w:t>
      </w:r>
      <w:r>
        <w:rPr>
          <w:rFonts w:ascii="Arial" w:cs="Arial" w:eastAsia="Arial" w:hAnsi="Arial"/>
          <w:sz w:val="16"/>
          <w:szCs w:val="16"/>
          <w:color w:val="1A1A1A"/>
        </w:rPr>
        <w:t>juri</w:t>
      </w:r>
      <w:r>
        <w:rPr>
          <w:rFonts w:ascii="Arial" w:cs="Arial" w:eastAsia="Arial" w:hAnsi="Arial"/>
          <w:sz w:val="16"/>
          <w:szCs w:val="16"/>
          <w:color w:val="444444"/>
        </w:rPr>
        <w:t>sd</w:t>
      </w:r>
      <w:r>
        <w:rPr>
          <w:rFonts w:ascii="Arial" w:cs="Arial" w:eastAsia="Arial" w:hAnsi="Arial"/>
          <w:sz w:val="16"/>
          <w:szCs w:val="16"/>
          <w:color w:val="1A1A1A"/>
        </w:rPr>
        <w:t>iction</w:t>
      </w:r>
      <w:r>
        <w:rPr>
          <w:rFonts w:ascii="Arial" w:cs="Arial" w:eastAsia="Arial" w:hAnsi="Arial"/>
          <w:sz w:val="16"/>
          <w:szCs w:val="16"/>
          <w:color w:val="444444"/>
        </w:rPr>
        <w:t>.</w:t>
      </w:r>
      <w:r>
        <w:rPr>
          <w:rFonts w:ascii="Arial" w:cs="Arial" w:eastAsia="Arial" w:hAnsi="Arial"/>
          <w:sz w:val="16"/>
          <w:szCs w:val="16"/>
          <w:color w:val="2F2F2F"/>
        </w:rPr>
        <w:t xml:space="preserve"> </w:t>
      </w:r>
      <w:r>
        <w:rPr>
          <w:rFonts w:ascii="Arial" w:cs="Arial" w:eastAsia="Arial" w:hAnsi="Arial"/>
          <w:sz w:val="16"/>
          <w:szCs w:val="16"/>
          <w:color w:val="1A1A1A"/>
        </w:rPr>
        <w:t>Di</w:t>
      </w:r>
      <w:r>
        <w:rPr>
          <w:rFonts w:ascii="Arial" w:cs="Arial" w:eastAsia="Arial" w:hAnsi="Arial"/>
          <w:sz w:val="16"/>
          <w:szCs w:val="16"/>
          <w:color w:val="444444"/>
        </w:rPr>
        <w:t>str</w:t>
      </w:r>
      <w:r>
        <w:rPr>
          <w:rFonts w:ascii="Arial" w:cs="Arial" w:eastAsia="Arial" w:hAnsi="Arial"/>
          <w:sz w:val="16"/>
          <w:szCs w:val="16"/>
          <w:color w:val="1A1A1A"/>
        </w:rPr>
        <w:t>ibutor further</w:t>
      </w:r>
      <w:r>
        <w:rPr>
          <w:rFonts w:ascii="Arial" w:cs="Arial" w:eastAsia="Arial" w:hAnsi="Arial"/>
          <w:sz w:val="16"/>
          <w:szCs w:val="16"/>
          <w:color w:val="2F2F2F"/>
        </w:rPr>
        <w:t xml:space="preserve"> acknowledges that all goodwill arising </w:t>
      </w:r>
      <w:r>
        <w:rPr>
          <w:rFonts w:ascii="Arial" w:cs="Arial" w:eastAsia="Arial" w:hAnsi="Arial"/>
          <w:sz w:val="16"/>
          <w:szCs w:val="16"/>
          <w:color w:val="1A1A1A"/>
        </w:rPr>
        <w:t xml:space="preserve">from or in connection </w:t>
      </w:r>
      <w:r>
        <w:rPr>
          <w:rFonts w:ascii="Arial" w:cs="Arial" w:eastAsia="Arial" w:hAnsi="Arial"/>
          <w:sz w:val="16"/>
          <w:szCs w:val="16"/>
          <w:color w:val="2F2F2F"/>
        </w:rPr>
        <w:t>with any exercise by</w:t>
      </w:r>
      <w:r>
        <w:rPr>
          <w:rFonts w:ascii="Arial" w:cs="Arial" w:eastAsia="Arial" w:hAnsi="Arial"/>
          <w:sz w:val="16"/>
          <w:szCs w:val="16"/>
          <w:color w:val="1A1A1A"/>
        </w:rPr>
        <w:t xml:space="preserve"> Distributor </w:t>
      </w:r>
      <w:r>
        <w:rPr>
          <w:rFonts w:ascii="Arial" w:cs="Arial" w:eastAsia="Arial" w:hAnsi="Arial"/>
          <w:sz w:val="16"/>
          <w:szCs w:val="16"/>
          <w:color w:val="2F2F2F"/>
        </w:rPr>
        <w:t>of the foregoing</w:t>
      </w:r>
      <w:r>
        <w:rPr>
          <w:rFonts w:ascii="Arial" w:cs="Arial" w:eastAsia="Arial" w:hAnsi="Arial"/>
          <w:sz w:val="16"/>
          <w:szCs w:val="16"/>
          <w:color w:val="1A1A1A"/>
        </w:rPr>
        <w:t xml:space="preserve"> license </w:t>
      </w:r>
      <w:r>
        <w:rPr>
          <w:rFonts w:ascii="Arial" w:cs="Arial" w:eastAsia="Arial" w:hAnsi="Arial"/>
          <w:sz w:val="16"/>
          <w:szCs w:val="16"/>
          <w:color w:val="2F2F2F"/>
        </w:rPr>
        <w:t>shall at</w:t>
      </w:r>
      <w:r>
        <w:rPr>
          <w:rFonts w:ascii="Arial" w:cs="Arial" w:eastAsia="Arial" w:hAnsi="Arial"/>
          <w:sz w:val="16"/>
          <w:szCs w:val="16"/>
          <w:color w:val="1A1A1A"/>
        </w:rPr>
        <w:t xml:space="preserve"> </w:t>
      </w:r>
      <w:r>
        <w:rPr>
          <w:rFonts w:ascii="Arial" w:cs="Arial" w:eastAsia="Arial" w:hAnsi="Arial"/>
          <w:sz w:val="16"/>
          <w:szCs w:val="16"/>
          <w:color w:val="444444"/>
        </w:rPr>
        <w:t>all</w:t>
      </w:r>
      <w:r>
        <w:rPr>
          <w:rFonts w:ascii="Arial" w:cs="Arial" w:eastAsia="Arial" w:hAnsi="Arial"/>
          <w:sz w:val="16"/>
          <w:szCs w:val="16"/>
          <w:color w:val="1A1A1A"/>
        </w:rPr>
        <w:t xml:space="preserve"> </w:t>
      </w:r>
      <w:r>
        <w:rPr>
          <w:rFonts w:ascii="Arial" w:cs="Arial" w:eastAsia="Arial" w:hAnsi="Arial"/>
          <w:sz w:val="16"/>
          <w:szCs w:val="16"/>
          <w:color w:val="2F2F2F"/>
        </w:rPr>
        <w:t>times</w:t>
      </w:r>
      <w:r>
        <w:rPr>
          <w:rFonts w:ascii="Arial" w:cs="Arial" w:eastAsia="Arial" w:hAnsi="Arial"/>
          <w:sz w:val="16"/>
          <w:szCs w:val="16"/>
          <w:color w:val="1A1A1A"/>
        </w:rPr>
        <w:t xml:space="preserve"> remain </w:t>
      </w:r>
      <w:r>
        <w:rPr>
          <w:rFonts w:ascii="Arial" w:cs="Arial" w:eastAsia="Arial" w:hAnsi="Arial"/>
          <w:sz w:val="16"/>
          <w:szCs w:val="16"/>
          <w:color w:val="2F2F2F"/>
        </w:rPr>
        <w:t>solely with Company.</w:t>
      </w:r>
    </w:p>
    <w:p>
      <w:pPr>
        <w:spacing w:after="0" w:line="189" w:lineRule="exact"/>
        <w:rPr>
          <w:sz w:val="20"/>
          <w:szCs w:val="20"/>
          <w:color w:val="auto"/>
        </w:rPr>
      </w:pPr>
    </w:p>
    <w:p>
      <w:pPr>
        <w:ind w:left="1300" w:right="180" w:hanging="323"/>
        <w:spacing w:after="0" w:line="27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1A1A1A"/>
        </w:rPr>
        <w:t>Reproductions and</w:t>
      </w:r>
      <w:r>
        <w:rPr>
          <w:rFonts w:ascii="Arial" w:cs="Arial" w:eastAsia="Arial" w:hAnsi="Arial"/>
          <w:sz w:val="17"/>
          <w:szCs w:val="17"/>
          <w:color w:val="auto"/>
        </w:rPr>
        <w:t xml:space="preserve"> </w:t>
      </w:r>
      <w:r>
        <w:rPr>
          <w:rFonts w:ascii="Arial" w:cs="Arial" w:eastAsia="Arial" w:hAnsi="Arial"/>
          <w:sz w:val="17"/>
          <w:szCs w:val="17"/>
          <w:b w:val="1"/>
          <w:bCs w:val="1"/>
          <w:color w:val="2F2F2F"/>
        </w:rPr>
        <w:t>Proprietary</w:t>
      </w:r>
      <w:r>
        <w:rPr>
          <w:rFonts w:ascii="Arial" w:cs="Arial" w:eastAsia="Arial" w:hAnsi="Arial"/>
          <w:sz w:val="17"/>
          <w:szCs w:val="17"/>
          <w:color w:val="auto"/>
        </w:rPr>
        <w:t xml:space="preserve"> </w:t>
      </w:r>
      <w:r>
        <w:rPr>
          <w:rFonts w:ascii="Arial" w:cs="Arial" w:eastAsia="Arial" w:hAnsi="Arial"/>
          <w:sz w:val="17"/>
          <w:szCs w:val="17"/>
          <w:b w:val="1"/>
          <w:bCs w:val="1"/>
          <w:color w:val="1A1A1A"/>
        </w:rPr>
        <w:t>Notice.</w:t>
      </w:r>
      <w:r>
        <w:rPr>
          <w:rFonts w:ascii="Arial" w:cs="Arial" w:eastAsia="Arial" w:hAnsi="Arial"/>
          <w:sz w:val="17"/>
          <w:szCs w:val="17"/>
          <w:color w:val="auto"/>
        </w:rPr>
        <w:t xml:space="preserve"> </w:t>
      </w:r>
      <w:r>
        <w:rPr>
          <w:rFonts w:ascii="Arial" w:cs="Arial" w:eastAsia="Arial" w:hAnsi="Arial"/>
          <w:sz w:val="17"/>
          <w:szCs w:val="17"/>
          <w:color w:val="1A1A1A"/>
        </w:rPr>
        <w:t>Any</w:t>
      </w:r>
      <w:r>
        <w:rPr>
          <w:rFonts w:ascii="Arial" w:cs="Arial" w:eastAsia="Arial" w:hAnsi="Arial"/>
          <w:sz w:val="17"/>
          <w:szCs w:val="17"/>
          <w:color w:val="auto"/>
        </w:rPr>
        <w:t xml:space="preserve"> </w:t>
      </w:r>
      <w:r>
        <w:rPr>
          <w:rFonts w:ascii="Arial" w:cs="Arial" w:eastAsia="Arial" w:hAnsi="Arial"/>
          <w:sz w:val="17"/>
          <w:szCs w:val="17"/>
          <w:color w:val="2F2F2F"/>
        </w:rPr>
        <w:t>reproductions of</w:t>
      </w:r>
      <w:r>
        <w:rPr>
          <w:rFonts w:ascii="Arial" w:cs="Arial" w:eastAsia="Arial" w:hAnsi="Arial"/>
          <w:sz w:val="17"/>
          <w:szCs w:val="17"/>
          <w:color w:val="auto"/>
        </w:rPr>
        <w:t xml:space="preserve"> </w:t>
      </w:r>
      <w:r>
        <w:rPr>
          <w:rFonts w:ascii="Arial" w:cs="Arial" w:eastAsia="Arial" w:hAnsi="Arial"/>
          <w:sz w:val="17"/>
          <w:szCs w:val="17"/>
          <w:color w:val="1A1A1A"/>
        </w:rPr>
        <w:t>th</w:t>
      </w:r>
      <w:r>
        <w:rPr>
          <w:rFonts w:ascii="Arial" w:cs="Arial" w:eastAsia="Arial" w:hAnsi="Arial"/>
          <w:sz w:val="17"/>
          <w:szCs w:val="17"/>
          <w:color w:val="444444"/>
        </w:rPr>
        <w:t>e</w:t>
      </w:r>
      <w:r>
        <w:rPr>
          <w:rFonts w:ascii="Arial" w:cs="Arial" w:eastAsia="Arial" w:hAnsi="Arial"/>
          <w:sz w:val="17"/>
          <w:szCs w:val="17"/>
          <w:color w:val="auto"/>
        </w:rPr>
        <w:t xml:space="preserve"> </w:t>
      </w:r>
      <w:r>
        <w:rPr>
          <w:rFonts w:ascii="Arial" w:cs="Arial" w:eastAsia="Arial" w:hAnsi="Arial"/>
          <w:sz w:val="17"/>
          <w:szCs w:val="17"/>
          <w:color w:val="1A1A1A"/>
        </w:rPr>
        <w:t>Trademarks</w:t>
      </w:r>
      <w:r>
        <w:rPr>
          <w:rFonts w:ascii="Arial" w:cs="Arial" w:eastAsia="Arial" w:hAnsi="Arial"/>
          <w:sz w:val="17"/>
          <w:szCs w:val="17"/>
          <w:color w:val="auto"/>
        </w:rPr>
        <w:t xml:space="preserve"> </w:t>
      </w:r>
      <w:r>
        <w:rPr>
          <w:rFonts w:ascii="Arial" w:cs="Arial" w:eastAsia="Arial" w:hAnsi="Arial"/>
          <w:sz w:val="17"/>
          <w:szCs w:val="17"/>
          <w:color w:val="2F2F2F"/>
        </w:rPr>
        <w:t>shall</w:t>
      </w:r>
      <w:r>
        <w:rPr>
          <w:rFonts w:ascii="Arial" w:cs="Arial" w:eastAsia="Arial" w:hAnsi="Arial"/>
          <w:sz w:val="17"/>
          <w:szCs w:val="17"/>
          <w:color w:val="auto"/>
        </w:rPr>
        <w:t xml:space="preserve"> </w:t>
      </w:r>
      <w:r>
        <w:rPr>
          <w:rFonts w:ascii="Arial" w:cs="Arial" w:eastAsia="Arial" w:hAnsi="Arial"/>
          <w:sz w:val="17"/>
          <w:szCs w:val="17"/>
          <w:color w:val="1A1A1A"/>
        </w:rPr>
        <w:t>be</w:t>
      </w:r>
      <w:r>
        <w:rPr>
          <w:rFonts w:ascii="Arial" w:cs="Arial" w:eastAsia="Arial" w:hAnsi="Arial"/>
          <w:sz w:val="17"/>
          <w:szCs w:val="17"/>
          <w:color w:val="auto"/>
        </w:rPr>
        <w:t xml:space="preserve"> </w:t>
      </w:r>
      <w:r>
        <w:rPr>
          <w:rFonts w:ascii="Arial" w:cs="Arial" w:eastAsia="Arial" w:hAnsi="Arial"/>
          <w:sz w:val="17"/>
          <w:szCs w:val="17"/>
          <w:color w:val="444444"/>
        </w:rPr>
        <w:t>true</w:t>
      </w:r>
      <w:r>
        <w:rPr>
          <w:rFonts w:ascii="Arial" w:cs="Arial" w:eastAsia="Arial" w:hAnsi="Arial"/>
          <w:sz w:val="17"/>
          <w:szCs w:val="17"/>
          <w:color w:val="auto"/>
        </w:rPr>
        <w:t xml:space="preserve"> </w:t>
      </w:r>
      <w:r>
        <w:rPr>
          <w:rFonts w:ascii="Arial" w:cs="Arial" w:eastAsia="Arial" w:hAnsi="Arial"/>
          <w:sz w:val="17"/>
          <w:szCs w:val="17"/>
          <w:color w:val="2F2F2F"/>
        </w:rPr>
        <w:t>reproductions.</w:t>
      </w:r>
      <w:r>
        <w:rPr>
          <w:rFonts w:ascii="Arial" w:cs="Arial" w:eastAsia="Arial" w:hAnsi="Arial"/>
          <w:sz w:val="17"/>
          <w:szCs w:val="17"/>
          <w:color w:val="auto"/>
        </w:rPr>
        <w:t xml:space="preserve"> </w:t>
      </w:r>
      <w:r>
        <w:rPr>
          <w:rFonts w:ascii="Arial" w:cs="Arial" w:eastAsia="Arial" w:hAnsi="Arial"/>
          <w:sz w:val="17"/>
          <w:szCs w:val="17"/>
          <w:color w:val="1A1A1A"/>
        </w:rPr>
        <w:t>Distr</w:t>
      </w:r>
      <w:r>
        <w:rPr>
          <w:rFonts w:ascii="Arial" w:cs="Arial" w:eastAsia="Arial" w:hAnsi="Arial"/>
          <w:sz w:val="17"/>
          <w:szCs w:val="17"/>
          <w:color w:val="444444"/>
        </w:rPr>
        <w:t>ibu</w:t>
      </w:r>
      <w:r>
        <w:rPr>
          <w:rFonts w:ascii="Arial" w:cs="Arial" w:eastAsia="Arial" w:hAnsi="Arial"/>
          <w:sz w:val="17"/>
          <w:szCs w:val="17"/>
          <w:color w:val="1A1A1A"/>
        </w:rPr>
        <w:t>tor</w:t>
      </w:r>
      <w:r>
        <w:rPr>
          <w:rFonts w:ascii="Arial" w:cs="Arial" w:eastAsia="Arial" w:hAnsi="Arial"/>
          <w:sz w:val="17"/>
          <w:szCs w:val="17"/>
          <w:color w:val="auto"/>
        </w:rPr>
        <w:t xml:space="preserve"> </w:t>
      </w:r>
      <w:r>
        <w:rPr>
          <w:rFonts w:ascii="Arial" w:cs="Arial" w:eastAsia="Arial" w:hAnsi="Arial"/>
          <w:sz w:val="17"/>
          <w:szCs w:val="17"/>
          <w:color w:val="2F2F2F"/>
        </w:rPr>
        <w:t>will</w:t>
      </w:r>
      <w:r>
        <w:rPr>
          <w:rFonts w:ascii="Arial" w:cs="Arial" w:eastAsia="Arial" w:hAnsi="Arial"/>
          <w:sz w:val="17"/>
          <w:szCs w:val="17"/>
          <w:color w:val="auto"/>
        </w:rPr>
        <w:t xml:space="preserve"> </w:t>
      </w:r>
      <w:r>
        <w:rPr>
          <w:rFonts w:ascii="Arial" w:cs="Arial" w:eastAsia="Arial" w:hAnsi="Arial"/>
          <w:sz w:val="17"/>
          <w:szCs w:val="17"/>
          <w:color w:val="1A1A1A"/>
        </w:rPr>
        <w:t>not remove</w:t>
      </w:r>
      <w:r>
        <w:rPr>
          <w:rFonts w:ascii="Arial" w:cs="Arial" w:eastAsia="Arial" w:hAnsi="Arial"/>
          <w:sz w:val="17"/>
          <w:szCs w:val="17"/>
          <w:color w:val="auto"/>
        </w:rPr>
        <w:t xml:space="preserve"> </w:t>
      </w:r>
      <w:r>
        <w:rPr>
          <w:rFonts w:ascii="Arial" w:cs="Arial" w:eastAsia="Arial" w:hAnsi="Arial"/>
          <w:sz w:val="17"/>
          <w:szCs w:val="17"/>
          <w:color w:val="2F2F2F"/>
        </w:rPr>
        <w:t xml:space="preserve">or permit the alteration of any </w:t>
      </w:r>
      <w:r>
        <w:rPr>
          <w:rFonts w:ascii="Arial" w:cs="Arial" w:eastAsia="Arial" w:hAnsi="Arial"/>
          <w:sz w:val="17"/>
          <w:szCs w:val="17"/>
          <w:color w:val="1A1A1A"/>
        </w:rPr>
        <w:t>labels</w:t>
      </w:r>
      <w:r>
        <w:rPr>
          <w:rFonts w:ascii="Arial" w:cs="Arial" w:eastAsia="Arial" w:hAnsi="Arial"/>
          <w:sz w:val="17"/>
          <w:szCs w:val="17"/>
          <w:color w:val="2F2F2F"/>
        </w:rPr>
        <w:t xml:space="preserve"> or </w:t>
      </w:r>
      <w:r>
        <w:rPr>
          <w:rFonts w:ascii="Arial" w:cs="Arial" w:eastAsia="Arial" w:hAnsi="Arial"/>
          <w:sz w:val="17"/>
          <w:szCs w:val="17"/>
          <w:color w:val="1A1A1A"/>
        </w:rPr>
        <w:t>identi</w:t>
      </w:r>
      <w:r>
        <w:rPr>
          <w:rFonts w:ascii="Arial" w:cs="Arial" w:eastAsia="Arial" w:hAnsi="Arial"/>
          <w:sz w:val="17"/>
          <w:szCs w:val="17"/>
          <w:color w:val="444444"/>
        </w:rPr>
        <w:t>fy</w:t>
      </w:r>
      <w:r>
        <w:rPr>
          <w:rFonts w:ascii="Arial" w:cs="Arial" w:eastAsia="Arial" w:hAnsi="Arial"/>
          <w:sz w:val="17"/>
          <w:szCs w:val="17"/>
          <w:color w:val="1A1A1A"/>
        </w:rPr>
        <w:t>ing ma</w:t>
      </w:r>
      <w:r>
        <w:rPr>
          <w:rFonts w:ascii="Arial" w:cs="Arial" w:eastAsia="Arial" w:hAnsi="Arial"/>
          <w:sz w:val="17"/>
          <w:szCs w:val="17"/>
          <w:color w:val="444444"/>
        </w:rPr>
        <w:t>rkings,</w:t>
      </w:r>
      <w:r>
        <w:rPr>
          <w:rFonts w:ascii="Arial" w:cs="Arial" w:eastAsia="Arial" w:hAnsi="Arial"/>
          <w:sz w:val="17"/>
          <w:szCs w:val="17"/>
          <w:color w:val="2F2F2F"/>
        </w:rPr>
        <w:t xml:space="preserve"> </w:t>
      </w:r>
      <w:r>
        <w:rPr>
          <w:rFonts w:ascii="Arial" w:cs="Arial" w:eastAsia="Arial" w:hAnsi="Arial"/>
          <w:sz w:val="17"/>
          <w:szCs w:val="17"/>
          <w:color w:val="1A1A1A"/>
        </w:rPr>
        <w:t>including</w:t>
      </w:r>
      <w:r>
        <w:rPr>
          <w:rFonts w:ascii="Arial" w:cs="Arial" w:eastAsia="Arial" w:hAnsi="Arial"/>
          <w:sz w:val="17"/>
          <w:szCs w:val="17"/>
          <w:color w:val="2F2F2F"/>
        </w:rPr>
        <w:t xml:space="preserve"> without </w:t>
      </w:r>
      <w:r>
        <w:rPr>
          <w:rFonts w:ascii="Arial" w:cs="Arial" w:eastAsia="Arial" w:hAnsi="Arial"/>
          <w:sz w:val="17"/>
          <w:szCs w:val="17"/>
          <w:color w:val="1A1A1A"/>
        </w:rPr>
        <w:t>limitation the</w:t>
      </w:r>
      <w:r>
        <w:rPr>
          <w:rFonts w:ascii="Arial" w:cs="Arial" w:eastAsia="Arial" w:hAnsi="Arial"/>
          <w:sz w:val="17"/>
          <w:szCs w:val="17"/>
          <w:color w:val="2F2F2F"/>
        </w:rPr>
        <w:t xml:space="preserve"> Trademarks, </w:t>
      </w:r>
      <w:r>
        <w:rPr>
          <w:rFonts w:ascii="Arial" w:cs="Arial" w:eastAsia="Arial" w:hAnsi="Arial"/>
          <w:sz w:val="17"/>
          <w:szCs w:val="17"/>
          <w:color w:val="1A1A1A"/>
        </w:rPr>
        <w:t>on</w:t>
      </w:r>
      <w:r>
        <w:rPr>
          <w:rFonts w:ascii="Arial" w:cs="Arial" w:eastAsia="Arial" w:hAnsi="Arial"/>
          <w:sz w:val="17"/>
          <w:szCs w:val="17"/>
          <w:color w:val="2F2F2F"/>
        </w:rPr>
        <w:t xml:space="preserve"> </w:t>
      </w:r>
      <w:r>
        <w:rPr>
          <w:rFonts w:ascii="Arial" w:cs="Arial" w:eastAsia="Arial" w:hAnsi="Arial"/>
          <w:sz w:val="17"/>
          <w:szCs w:val="17"/>
          <w:color w:val="444444"/>
        </w:rPr>
        <w:t>t</w:t>
      </w:r>
      <w:r>
        <w:rPr>
          <w:rFonts w:ascii="Arial" w:cs="Arial" w:eastAsia="Arial" w:hAnsi="Arial"/>
          <w:sz w:val="17"/>
          <w:szCs w:val="17"/>
          <w:color w:val="1A1A1A"/>
        </w:rPr>
        <w:t>he Product</w:t>
      </w:r>
      <w:r>
        <w:rPr>
          <w:rFonts w:ascii="Arial" w:cs="Arial" w:eastAsia="Arial" w:hAnsi="Arial"/>
          <w:sz w:val="17"/>
          <w:szCs w:val="17"/>
          <w:color w:val="444444"/>
        </w:rPr>
        <w:t>s</w:t>
      </w:r>
      <w:r>
        <w:rPr>
          <w:rFonts w:ascii="Arial" w:cs="Arial" w:eastAsia="Arial" w:hAnsi="Arial"/>
          <w:sz w:val="17"/>
          <w:szCs w:val="17"/>
          <w:color w:val="1A1A1A"/>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A1A1A"/>
        </w:rPr>
        <w:t>10. INDEMNITIES.</w:t>
      </w:r>
    </w:p>
    <w:p>
      <w:pPr>
        <w:spacing w:after="0" w:line="225" w:lineRule="exact"/>
        <w:rPr>
          <w:sz w:val="20"/>
          <w:szCs w:val="20"/>
          <w:color w:val="auto"/>
        </w:rPr>
      </w:pPr>
    </w:p>
    <w:p>
      <w:pPr>
        <w:ind w:left="660" w:right="120"/>
        <w:spacing w:after="0" w:line="239" w:lineRule="auto"/>
        <w:rPr>
          <w:sz w:val="20"/>
          <w:szCs w:val="20"/>
          <w:color w:val="auto"/>
        </w:rPr>
      </w:pPr>
      <w:r>
        <w:rPr>
          <w:rFonts w:ascii="Arial" w:cs="Arial" w:eastAsia="Arial" w:hAnsi="Arial"/>
          <w:sz w:val="17"/>
          <w:szCs w:val="17"/>
          <w:b w:val="1"/>
          <w:bCs w:val="1"/>
          <w:color w:val="2F2F2F"/>
        </w:rPr>
        <w:t xml:space="preserve">10.1 Scope </w:t>
      </w:r>
      <w:r>
        <w:rPr>
          <w:rFonts w:ascii="Arial" w:cs="Arial" w:eastAsia="Arial" w:hAnsi="Arial"/>
          <w:sz w:val="17"/>
          <w:szCs w:val="17"/>
          <w:b w:val="1"/>
          <w:bCs w:val="1"/>
          <w:color w:val="1A1A1A"/>
        </w:rPr>
        <w:t>of</w:t>
      </w:r>
      <w:r>
        <w:rPr>
          <w:rFonts w:ascii="Arial" w:cs="Arial" w:eastAsia="Arial" w:hAnsi="Arial"/>
          <w:sz w:val="17"/>
          <w:szCs w:val="17"/>
          <w:b w:val="1"/>
          <w:bCs w:val="1"/>
          <w:color w:val="2F2F2F"/>
        </w:rPr>
        <w:t xml:space="preserve"> Company </w:t>
      </w:r>
      <w:r>
        <w:rPr>
          <w:rFonts w:ascii="Arial" w:cs="Arial" w:eastAsia="Arial" w:hAnsi="Arial"/>
          <w:sz w:val="17"/>
          <w:szCs w:val="17"/>
          <w:b w:val="1"/>
          <w:bCs w:val="1"/>
          <w:color w:val="1A1A1A"/>
        </w:rPr>
        <w:t>Indemnity.</w:t>
      </w:r>
      <w:r>
        <w:rPr>
          <w:rFonts w:ascii="Arial" w:cs="Arial" w:eastAsia="Arial" w:hAnsi="Arial"/>
          <w:sz w:val="17"/>
          <w:szCs w:val="17"/>
          <w:b w:val="1"/>
          <w:bCs w:val="1"/>
          <w:color w:val="2F2F2F"/>
        </w:rPr>
        <w:t xml:space="preserve"> </w:t>
      </w:r>
      <w:r>
        <w:rPr>
          <w:rFonts w:ascii="Arial" w:cs="Arial" w:eastAsia="Arial" w:hAnsi="Arial"/>
          <w:sz w:val="17"/>
          <w:szCs w:val="17"/>
          <w:color w:val="2F2F2F"/>
        </w:rPr>
        <w:t>Company shall according to</w:t>
      </w:r>
      <w:r>
        <w:rPr>
          <w:rFonts w:ascii="Arial" w:cs="Arial" w:eastAsia="Arial" w:hAnsi="Arial"/>
          <w:sz w:val="17"/>
          <w:szCs w:val="17"/>
          <w:b w:val="1"/>
          <w:bCs w:val="1"/>
          <w:color w:val="2F2F2F"/>
        </w:rPr>
        <w:t xml:space="preserve"> </w:t>
      </w:r>
      <w:r>
        <w:rPr>
          <w:rFonts w:ascii="Arial" w:cs="Arial" w:eastAsia="Arial" w:hAnsi="Arial"/>
          <w:sz w:val="17"/>
          <w:szCs w:val="17"/>
          <w:color w:val="1A1A1A"/>
        </w:rPr>
        <w:t>the</w:t>
      </w:r>
      <w:r>
        <w:rPr>
          <w:rFonts w:ascii="Arial" w:cs="Arial" w:eastAsia="Arial" w:hAnsi="Arial"/>
          <w:sz w:val="17"/>
          <w:szCs w:val="17"/>
          <w:b w:val="1"/>
          <w:bCs w:val="1"/>
          <w:color w:val="2F2F2F"/>
        </w:rPr>
        <w:t xml:space="preserve"> </w:t>
      </w:r>
      <w:r>
        <w:rPr>
          <w:rFonts w:ascii="Arial" w:cs="Arial" w:eastAsia="Arial" w:hAnsi="Arial"/>
          <w:sz w:val="17"/>
          <w:szCs w:val="17"/>
          <w:color w:val="2F2F2F"/>
        </w:rPr>
        <w:t>provisions of</w:t>
      </w:r>
      <w:r>
        <w:rPr>
          <w:rFonts w:ascii="Arial" w:cs="Arial" w:eastAsia="Arial" w:hAnsi="Arial"/>
          <w:sz w:val="17"/>
          <w:szCs w:val="17"/>
          <w:b w:val="1"/>
          <w:bCs w:val="1"/>
          <w:color w:val="2F2F2F"/>
        </w:rPr>
        <w:t xml:space="preserve"> </w:t>
      </w:r>
      <w:r>
        <w:rPr>
          <w:rFonts w:ascii="Arial" w:cs="Arial" w:eastAsia="Arial" w:hAnsi="Arial"/>
          <w:sz w:val="17"/>
          <w:szCs w:val="17"/>
          <w:color w:val="1A1A1A"/>
        </w:rPr>
        <w:t>thi</w:t>
      </w:r>
      <w:r>
        <w:rPr>
          <w:rFonts w:ascii="Arial" w:cs="Arial" w:eastAsia="Arial" w:hAnsi="Arial"/>
          <w:sz w:val="17"/>
          <w:szCs w:val="17"/>
          <w:color w:val="444444"/>
        </w:rPr>
        <w:t>s</w:t>
      </w:r>
      <w:r>
        <w:rPr>
          <w:rFonts w:ascii="Arial" w:cs="Arial" w:eastAsia="Arial" w:hAnsi="Arial"/>
          <w:sz w:val="17"/>
          <w:szCs w:val="17"/>
          <w:b w:val="1"/>
          <w:bCs w:val="1"/>
          <w:color w:val="2F2F2F"/>
        </w:rPr>
        <w:t xml:space="preserve"> </w:t>
      </w:r>
      <w:r>
        <w:rPr>
          <w:rFonts w:ascii="Arial" w:cs="Arial" w:eastAsia="Arial" w:hAnsi="Arial"/>
          <w:sz w:val="17"/>
          <w:szCs w:val="17"/>
          <w:color w:val="2F2F2F"/>
        </w:rPr>
        <w:t>Agreem</w:t>
      </w:r>
      <w:r>
        <w:rPr>
          <w:rFonts w:ascii="Arial" w:cs="Arial" w:eastAsia="Arial" w:hAnsi="Arial"/>
          <w:sz w:val="17"/>
          <w:szCs w:val="17"/>
          <w:color w:val="565656"/>
        </w:rPr>
        <w:t>e</w:t>
      </w:r>
      <w:r>
        <w:rPr>
          <w:rFonts w:ascii="Arial" w:cs="Arial" w:eastAsia="Arial" w:hAnsi="Arial"/>
          <w:sz w:val="17"/>
          <w:szCs w:val="17"/>
          <w:color w:val="1A1A1A"/>
        </w:rPr>
        <w:t>n</w:t>
      </w:r>
      <w:r>
        <w:rPr>
          <w:rFonts w:ascii="Arial" w:cs="Arial" w:eastAsia="Arial" w:hAnsi="Arial"/>
          <w:sz w:val="17"/>
          <w:szCs w:val="17"/>
          <w:color w:val="444444"/>
        </w:rPr>
        <w:t>t</w:t>
      </w:r>
      <w:r>
        <w:rPr>
          <w:rFonts w:ascii="Arial" w:cs="Arial" w:eastAsia="Arial" w:hAnsi="Arial"/>
          <w:sz w:val="17"/>
          <w:szCs w:val="17"/>
          <w:b w:val="1"/>
          <w:bCs w:val="1"/>
          <w:color w:val="2F2F2F"/>
        </w:rPr>
        <w:t xml:space="preserve"> </w:t>
      </w:r>
      <w:r>
        <w:rPr>
          <w:rFonts w:ascii="Arial" w:cs="Arial" w:eastAsia="Arial" w:hAnsi="Arial"/>
          <w:sz w:val="17"/>
          <w:szCs w:val="17"/>
          <w:color w:val="2F2F2F"/>
        </w:rPr>
        <w:t>fully</w:t>
      </w:r>
      <w:r>
        <w:rPr>
          <w:rFonts w:ascii="Arial" w:cs="Arial" w:eastAsia="Arial" w:hAnsi="Arial"/>
          <w:sz w:val="17"/>
          <w:szCs w:val="17"/>
          <w:b w:val="1"/>
          <w:bCs w:val="1"/>
          <w:color w:val="2F2F2F"/>
        </w:rPr>
        <w:t xml:space="preserve"> </w:t>
      </w:r>
      <w:r>
        <w:rPr>
          <w:rFonts w:ascii="Arial" w:cs="Arial" w:eastAsia="Arial" w:hAnsi="Arial"/>
          <w:sz w:val="17"/>
          <w:szCs w:val="17"/>
          <w:color w:val="1A1A1A"/>
        </w:rPr>
        <w:t>d</w:t>
      </w:r>
      <w:r>
        <w:rPr>
          <w:rFonts w:ascii="Arial" w:cs="Arial" w:eastAsia="Arial" w:hAnsi="Arial"/>
          <w:sz w:val="17"/>
          <w:szCs w:val="17"/>
          <w:color w:val="444444"/>
        </w:rPr>
        <w:t>efe</w:t>
      </w:r>
      <w:r>
        <w:rPr>
          <w:rFonts w:ascii="Arial" w:cs="Arial" w:eastAsia="Arial" w:hAnsi="Arial"/>
          <w:sz w:val="17"/>
          <w:szCs w:val="17"/>
          <w:color w:val="1A1A1A"/>
        </w:rPr>
        <w:t>nd, indemnify</w:t>
      </w:r>
      <w:r>
        <w:rPr>
          <w:rFonts w:ascii="Arial" w:cs="Arial" w:eastAsia="Arial" w:hAnsi="Arial"/>
          <w:sz w:val="17"/>
          <w:szCs w:val="17"/>
          <w:b w:val="1"/>
          <w:bCs w:val="1"/>
          <w:color w:val="2F2F2F"/>
        </w:rPr>
        <w:t xml:space="preserve"> </w:t>
      </w:r>
      <w:r>
        <w:rPr>
          <w:rFonts w:ascii="Arial" w:cs="Arial" w:eastAsia="Arial" w:hAnsi="Arial"/>
          <w:sz w:val="17"/>
          <w:szCs w:val="17"/>
          <w:color w:val="2F2F2F"/>
        </w:rPr>
        <w:t>and hold</w:t>
      </w:r>
      <w:r>
        <w:rPr>
          <w:rFonts w:ascii="Arial" w:cs="Arial" w:eastAsia="Arial" w:hAnsi="Arial"/>
          <w:sz w:val="17"/>
          <w:szCs w:val="17"/>
          <w:b w:val="1"/>
          <w:bCs w:val="1"/>
          <w:color w:val="2F2F2F"/>
        </w:rPr>
        <w:t xml:space="preserve"> </w:t>
      </w:r>
      <w:r>
        <w:rPr>
          <w:rFonts w:ascii="Arial" w:cs="Arial" w:eastAsia="Arial" w:hAnsi="Arial"/>
          <w:sz w:val="17"/>
          <w:szCs w:val="17"/>
          <w:color w:val="1A1A1A"/>
        </w:rPr>
        <w:t>harmless</w:t>
      </w:r>
      <w:r>
        <w:rPr>
          <w:rFonts w:ascii="Arial" w:cs="Arial" w:eastAsia="Arial" w:hAnsi="Arial"/>
          <w:sz w:val="17"/>
          <w:szCs w:val="17"/>
          <w:b w:val="1"/>
          <w:bCs w:val="1"/>
          <w:color w:val="2F2F2F"/>
        </w:rPr>
        <w:t xml:space="preserve"> </w:t>
      </w:r>
      <w:r>
        <w:rPr>
          <w:rFonts w:ascii="Arial" w:cs="Arial" w:eastAsia="Arial" w:hAnsi="Arial"/>
          <w:sz w:val="17"/>
          <w:szCs w:val="17"/>
          <w:color w:val="2F2F2F"/>
        </w:rPr>
        <w:t xml:space="preserve">Distributor from and against any and all </w:t>
      </w:r>
      <w:r>
        <w:rPr>
          <w:rFonts w:ascii="Arial" w:cs="Arial" w:eastAsia="Arial" w:hAnsi="Arial"/>
          <w:sz w:val="17"/>
          <w:szCs w:val="17"/>
          <w:color w:val="1A1A1A"/>
        </w:rPr>
        <w:t>lo</w:t>
      </w:r>
      <w:r>
        <w:rPr>
          <w:rFonts w:ascii="Arial" w:cs="Arial" w:eastAsia="Arial" w:hAnsi="Arial"/>
          <w:sz w:val="17"/>
          <w:szCs w:val="17"/>
          <w:color w:val="444444"/>
        </w:rPr>
        <w:t>sses</w:t>
      </w:r>
      <w:r>
        <w:rPr>
          <w:rFonts w:ascii="Arial" w:cs="Arial" w:eastAsia="Arial" w:hAnsi="Arial"/>
          <w:sz w:val="17"/>
          <w:szCs w:val="17"/>
          <w:color w:val="2F2F2F"/>
        </w:rPr>
        <w:t xml:space="preserve"> or damages (including reasonable attorneys’ </w:t>
      </w:r>
      <w:r>
        <w:rPr>
          <w:rFonts w:ascii="Arial" w:cs="Arial" w:eastAsia="Arial" w:hAnsi="Arial"/>
          <w:sz w:val="17"/>
          <w:szCs w:val="17"/>
          <w:color w:val="1A1A1A"/>
        </w:rPr>
        <w:t>fe</w:t>
      </w:r>
      <w:r>
        <w:rPr>
          <w:rFonts w:ascii="Arial" w:cs="Arial" w:eastAsia="Arial" w:hAnsi="Arial"/>
          <w:sz w:val="17"/>
          <w:szCs w:val="17"/>
          <w:color w:val="444444"/>
        </w:rPr>
        <w:t>es)</w:t>
      </w:r>
      <w:r>
        <w:rPr>
          <w:rFonts w:ascii="Arial" w:cs="Arial" w:eastAsia="Arial" w:hAnsi="Arial"/>
          <w:sz w:val="17"/>
          <w:szCs w:val="17"/>
          <w:color w:val="2F2F2F"/>
        </w:rPr>
        <w:t xml:space="preserve"> for any claims, suits</w:t>
      </w:r>
      <w:r>
        <w:rPr>
          <w:rFonts w:ascii="Arial" w:cs="Arial" w:eastAsia="Arial" w:hAnsi="Arial"/>
          <w:sz w:val="17"/>
          <w:szCs w:val="17"/>
          <w:color w:val="565656"/>
        </w:rPr>
        <w:t>,</w:t>
      </w:r>
      <w:r>
        <w:rPr>
          <w:rFonts w:ascii="Arial" w:cs="Arial" w:eastAsia="Arial" w:hAnsi="Arial"/>
          <w:sz w:val="17"/>
          <w:szCs w:val="17"/>
          <w:color w:val="2F2F2F"/>
        </w:rPr>
        <w:t xml:space="preserve"> actions</w:t>
      </w:r>
      <w:r>
        <w:rPr>
          <w:rFonts w:ascii="Arial" w:cs="Arial" w:eastAsia="Arial" w:hAnsi="Arial"/>
          <w:sz w:val="17"/>
          <w:szCs w:val="17"/>
          <w:color w:val="565656"/>
        </w:rPr>
        <w:t>,</w:t>
      </w:r>
      <w:r>
        <w:rPr>
          <w:rFonts w:ascii="Arial" w:cs="Arial" w:eastAsia="Arial" w:hAnsi="Arial"/>
          <w:sz w:val="17"/>
          <w:szCs w:val="17"/>
          <w:color w:val="2F2F2F"/>
        </w:rPr>
        <w:t xml:space="preserve"> demands and threats (collectively</w:t>
      </w:r>
      <w:r>
        <w:rPr>
          <w:rFonts w:ascii="Arial" w:cs="Arial" w:eastAsia="Arial" w:hAnsi="Arial"/>
          <w:sz w:val="17"/>
          <w:szCs w:val="17"/>
          <w:color w:val="565656"/>
        </w:rPr>
        <w:t>,</w:t>
      </w:r>
      <w:r>
        <w:rPr>
          <w:rFonts w:ascii="Arial" w:cs="Arial" w:eastAsia="Arial" w:hAnsi="Arial"/>
          <w:sz w:val="17"/>
          <w:szCs w:val="17"/>
          <w:color w:val="2F2F2F"/>
        </w:rPr>
        <w:t xml:space="preserve"> </w:t>
      </w:r>
      <w:r>
        <w:rPr>
          <w:rFonts w:ascii="Arial" w:cs="Arial" w:eastAsia="Arial" w:hAnsi="Arial"/>
          <w:sz w:val="17"/>
          <w:szCs w:val="17"/>
          <w:b w:val="1"/>
          <w:bCs w:val="1"/>
          <w:color w:val="444444"/>
        </w:rPr>
        <w:t>“C</w:t>
      </w:r>
      <w:r>
        <w:rPr>
          <w:rFonts w:ascii="Arial" w:cs="Arial" w:eastAsia="Arial" w:hAnsi="Arial"/>
          <w:sz w:val="17"/>
          <w:szCs w:val="17"/>
          <w:b w:val="1"/>
          <w:bCs w:val="1"/>
          <w:color w:val="1A1A1A"/>
        </w:rPr>
        <w:t>laims”</w:t>
      </w:r>
      <w:r>
        <w:rPr>
          <w:rFonts w:ascii="Arial" w:cs="Arial" w:eastAsia="Arial" w:hAnsi="Arial"/>
          <w:sz w:val="17"/>
          <w:szCs w:val="17"/>
          <w:color w:val="444444"/>
        </w:rPr>
        <w:t>)</w:t>
      </w:r>
      <w:r>
        <w:rPr>
          <w:rFonts w:ascii="Arial" w:cs="Arial" w:eastAsia="Arial" w:hAnsi="Arial"/>
          <w:sz w:val="17"/>
          <w:szCs w:val="17"/>
          <w:color w:val="2F2F2F"/>
        </w:rPr>
        <w:t xml:space="preserve"> based on [***]</w:t>
      </w:r>
      <w:r>
        <w:rPr>
          <w:rFonts w:ascii="Arial" w:cs="Arial" w:eastAsia="Arial" w:hAnsi="Arial"/>
          <w:sz w:val="17"/>
          <w:szCs w:val="17"/>
          <w:color w:val="1A1A1A"/>
        </w:rPr>
        <w:t>;</w:t>
      </w:r>
      <w:r>
        <w:rPr>
          <w:rFonts w:ascii="Arial" w:cs="Arial" w:eastAsia="Arial" w:hAnsi="Arial"/>
          <w:sz w:val="17"/>
          <w:szCs w:val="17"/>
          <w:color w:val="2F2F2F"/>
        </w:rPr>
        <w:t xml:space="preserve"> provided that </w:t>
      </w:r>
      <w:r>
        <w:rPr>
          <w:rFonts w:ascii="Arial" w:cs="Arial" w:eastAsia="Arial" w:hAnsi="Arial"/>
          <w:sz w:val="17"/>
          <w:szCs w:val="17"/>
          <w:color w:val="1A1A1A"/>
        </w:rPr>
        <w:t>Distributor</w:t>
      </w:r>
      <w:r>
        <w:rPr>
          <w:rFonts w:ascii="Arial" w:cs="Arial" w:eastAsia="Arial" w:hAnsi="Arial"/>
          <w:sz w:val="17"/>
          <w:szCs w:val="17"/>
          <w:color w:val="2F2F2F"/>
        </w:rPr>
        <w:t xml:space="preserve"> (i) promptly </w:t>
      </w:r>
      <w:r>
        <w:rPr>
          <w:rFonts w:ascii="Arial" w:cs="Arial" w:eastAsia="Arial" w:hAnsi="Arial"/>
          <w:sz w:val="17"/>
          <w:szCs w:val="17"/>
          <w:color w:val="1A1A1A"/>
        </w:rPr>
        <w:t>notifie</w:t>
      </w:r>
      <w:r>
        <w:rPr>
          <w:rFonts w:ascii="Arial" w:cs="Arial" w:eastAsia="Arial" w:hAnsi="Arial"/>
          <w:sz w:val="17"/>
          <w:szCs w:val="17"/>
          <w:color w:val="444444"/>
        </w:rPr>
        <w:t>s</w:t>
      </w:r>
      <w:r>
        <w:rPr>
          <w:rFonts w:ascii="Arial" w:cs="Arial" w:eastAsia="Arial" w:hAnsi="Arial"/>
          <w:sz w:val="17"/>
          <w:szCs w:val="17"/>
          <w:color w:val="2F2F2F"/>
        </w:rPr>
        <w:t xml:space="preserve"> Company, in writing</w:t>
      </w:r>
      <w:r>
        <w:rPr>
          <w:rFonts w:ascii="Arial" w:cs="Arial" w:eastAsia="Arial" w:hAnsi="Arial"/>
          <w:sz w:val="17"/>
          <w:szCs w:val="17"/>
          <w:color w:val="565656"/>
        </w:rPr>
        <w:t>,</w:t>
      </w:r>
      <w:r>
        <w:rPr>
          <w:rFonts w:ascii="Arial" w:cs="Arial" w:eastAsia="Arial" w:hAnsi="Arial"/>
          <w:sz w:val="17"/>
          <w:szCs w:val="17"/>
          <w:color w:val="2F2F2F"/>
        </w:rPr>
        <w:t xml:space="preserve"> of </w:t>
      </w:r>
      <w:r>
        <w:rPr>
          <w:rFonts w:ascii="Arial" w:cs="Arial" w:eastAsia="Arial" w:hAnsi="Arial"/>
          <w:sz w:val="17"/>
          <w:szCs w:val="17"/>
          <w:color w:val="444444"/>
        </w:rPr>
        <w:t>all</w:t>
      </w:r>
      <w:r>
        <w:rPr>
          <w:rFonts w:ascii="Arial" w:cs="Arial" w:eastAsia="Arial" w:hAnsi="Arial"/>
          <w:sz w:val="17"/>
          <w:szCs w:val="17"/>
          <w:color w:val="2F2F2F"/>
        </w:rPr>
        <w:t xml:space="preserve"> such Claims; (ii) cooperates reasonably with Company (at Company</w:t>
      </w:r>
      <w:r>
        <w:rPr>
          <w:rFonts w:ascii="Arial" w:cs="Arial" w:eastAsia="Arial" w:hAnsi="Arial"/>
          <w:sz w:val="17"/>
          <w:szCs w:val="17"/>
          <w:color w:val="565656"/>
        </w:rPr>
        <w:t>’</w:t>
      </w:r>
      <w:r>
        <w:rPr>
          <w:rFonts w:ascii="Arial" w:cs="Arial" w:eastAsia="Arial" w:hAnsi="Arial"/>
          <w:sz w:val="17"/>
          <w:szCs w:val="17"/>
          <w:color w:val="2F2F2F"/>
        </w:rPr>
        <w:t xml:space="preserve">s expense) </w:t>
      </w:r>
      <w:r>
        <w:rPr>
          <w:rFonts w:ascii="Arial" w:cs="Arial" w:eastAsia="Arial" w:hAnsi="Arial"/>
          <w:sz w:val="17"/>
          <w:szCs w:val="17"/>
          <w:color w:val="1A1A1A"/>
        </w:rPr>
        <w:t>in</w:t>
      </w:r>
      <w:r>
        <w:rPr>
          <w:rFonts w:ascii="Arial" w:cs="Arial" w:eastAsia="Arial" w:hAnsi="Arial"/>
          <w:sz w:val="17"/>
          <w:szCs w:val="17"/>
          <w:color w:val="2F2F2F"/>
        </w:rPr>
        <w:t xml:space="preserve"> defending </w:t>
      </w:r>
      <w:r>
        <w:rPr>
          <w:rFonts w:ascii="Arial" w:cs="Arial" w:eastAsia="Arial" w:hAnsi="Arial"/>
          <w:sz w:val="17"/>
          <w:szCs w:val="17"/>
          <w:color w:val="444444"/>
        </w:rPr>
        <w:t>such</w:t>
      </w:r>
      <w:r>
        <w:rPr>
          <w:rFonts w:ascii="Arial" w:cs="Arial" w:eastAsia="Arial" w:hAnsi="Arial"/>
          <w:sz w:val="17"/>
          <w:szCs w:val="17"/>
          <w:color w:val="2F2F2F"/>
        </w:rPr>
        <w:t xml:space="preserve"> Claims; and (iii) allows Company </w:t>
      </w:r>
      <w:r>
        <w:rPr>
          <w:rFonts w:ascii="Arial" w:cs="Arial" w:eastAsia="Arial" w:hAnsi="Arial"/>
          <w:sz w:val="17"/>
          <w:szCs w:val="17"/>
          <w:color w:val="1A1A1A"/>
        </w:rPr>
        <w:t>the</w:t>
      </w:r>
      <w:r>
        <w:rPr>
          <w:rFonts w:ascii="Arial" w:cs="Arial" w:eastAsia="Arial" w:hAnsi="Arial"/>
          <w:sz w:val="17"/>
          <w:szCs w:val="17"/>
          <w:color w:val="2F2F2F"/>
        </w:rPr>
        <w:t xml:space="preserve"> sole right </w:t>
      </w:r>
      <w:r>
        <w:rPr>
          <w:rFonts w:ascii="Arial" w:cs="Arial" w:eastAsia="Arial" w:hAnsi="Arial"/>
          <w:sz w:val="17"/>
          <w:szCs w:val="17"/>
          <w:color w:val="1A1A1A"/>
        </w:rPr>
        <w:t>to</w:t>
      </w:r>
      <w:r>
        <w:rPr>
          <w:rFonts w:ascii="Arial" w:cs="Arial" w:eastAsia="Arial" w:hAnsi="Arial"/>
          <w:sz w:val="17"/>
          <w:szCs w:val="17"/>
          <w:color w:val="2F2F2F"/>
        </w:rPr>
        <w:t xml:space="preserve"> defend</w:t>
      </w:r>
      <w:r>
        <w:rPr>
          <w:rFonts w:ascii="Arial" w:cs="Arial" w:eastAsia="Arial" w:hAnsi="Arial"/>
          <w:sz w:val="17"/>
          <w:szCs w:val="17"/>
          <w:color w:val="565656"/>
        </w:rPr>
        <w:t>,</w:t>
      </w:r>
      <w:r>
        <w:rPr>
          <w:rFonts w:ascii="Arial" w:cs="Arial" w:eastAsia="Arial" w:hAnsi="Arial"/>
          <w:sz w:val="17"/>
          <w:szCs w:val="17"/>
          <w:color w:val="2F2F2F"/>
        </w:rPr>
        <w:t xml:space="preserve"> or </w:t>
      </w:r>
      <w:r>
        <w:rPr>
          <w:rFonts w:ascii="Arial" w:cs="Arial" w:eastAsia="Arial" w:hAnsi="Arial"/>
          <w:sz w:val="17"/>
          <w:szCs w:val="17"/>
          <w:color w:val="1A1A1A"/>
        </w:rPr>
        <w:t>at</w:t>
      </w:r>
      <w:r>
        <w:rPr>
          <w:rFonts w:ascii="Arial" w:cs="Arial" w:eastAsia="Arial" w:hAnsi="Arial"/>
          <w:sz w:val="17"/>
          <w:szCs w:val="17"/>
          <w:color w:val="2F2F2F"/>
        </w:rPr>
        <w:t xml:space="preserve"> </w:t>
      </w:r>
      <w:r>
        <w:rPr>
          <w:rFonts w:ascii="Arial" w:cs="Arial" w:eastAsia="Arial" w:hAnsi="Arial"/>
          <w:sz w:val="17"/>
          <w:szCs w:val="17"/>
          <w:color w:val="444444"/>
        </w:rPr>
        <w:t>Co</w:t>
      </w:r>
      <w:r>
        <w:rPr>
          <w:rFonts w:ascii="Arial" w:cs="Arial" w:eastAsia="Arial" w:hAnsi="Arial"/>
          <w:sz w:val="17"/>
          <w:szCs w:val="17"/>
          <w:color w:val="1A1A1A"/>
        </w:rPr>
        <w:t>mpany</w:t>
      </w:r>
      <w:r>
        <w:rPr>
          <w:rFonts w:ascii="Arial" w:cs="Arial" w:eastAsia="Arial" w:hAnsi="Arial"/>
          <w:sz w:val="17"/>
          <w:szCs w:val="17"/>
          <w:color w:val="444444"/>
        </w:rPr>
        <w:t xml:space="preserve">’s </w:t>
      </w:r>
      <w:r>
        <w:rPr>
          <w:rFonts w:ascii="Arial" w:cs="Arial" w:eastAsia="Arial" w:hAnsi="Arial"/>
          <w:sz w:val="17"/>
          <w:szCs w:val="17"/>
          <w:color w:val="2F2F2F"/>
        </w:rPr>
        <w:t>option</w:t>
      </w:r>
      <w:r>
        <w:rPr>
          <w:rFonts w:ascii="Arial" w:cs="Arial" w:eastAsia="Arial" w:hAnsi="Arial"/>
          <w:sz w:val="17"/>
          <w:szCs w:val="17"/>
          <w:color w:val="444444"/>
        </w:rPr>
        <w:t xml:space="preserve"> </w:t>
      </w:r>
      <w:r>
        <w:rPr>
          <w:rFonts w:ascii="Arial" w:cs="Arial" w:eastAsia="Arial" w:hAnsi="Arial"/>
          <w:sz w:val="17"/>
          <w:szCs w:val="17"/>
          <w:color w:val="1A1A1A"/>
        </w:rPr>
        <w:t>to</w:t>
      </w:r>
      <w:r>
        <w:rPr>
          <w:rFonts w:ascii="Arial" w:cs="Arial" w:eastAsia="Arial" w:hAnsi="Arial"/>
          <w:sz w:val="17"/>
          <w:szCs w:val="17"/>
          <w:color w:val="444444"/>
        </w:rPr>
        <w:t xml:space="preserve"> </w:t>
      </w:r>
      <w:r>
        <w:rPr>
          <w:rFonts w:ascii="Arial" w:cs="Arial" w:eastAsia="Arial" w:hAnsi="Arial"/>
          <w:sz w:val="17"/>
          <w:szCs w:val="17"/>
          <w:color w:val="2F2F2F"/>
        </w:rPr>
        <w:t>settle, all such Claims.</w:t>
      </w:r>
      <w:r>
        <w:rPr>
          <w:rFonts w:ascii="Arial" w:cs="Arial" w:eastAsia="Arial" w:hAnsi="Arial"/>
          <w:sz w:val="17"/>
          <w:szCs w:val="17"/>
          <w:color w:val="444444"/>
        </w:rPr>
        <w:t xml:space="preserve"> </w:t>
      </w:r>
      <w:r>
        <w:rPr>
          <w:rFonts w:ascii="Arial" w:cs="Arial" w:eastAsia="Arial" w:hAnsi="Arial"/>
          <w:sz w:val="17"/>
          <w:szCs w:val="17"/>
          <w:color w:val="1A1A1A"/>
        </w:rPr>
        <w:t>In</w:t>
      </w:r>
      <w:r>
        <w:rPr>
          <w:rFonts w:ascii="Arial" w:cs="Arial" w:eastAsia="Arial" w:hAnsi="Arial"/>
          <w:sz w:val="17"/>
          <w:szCs w:val="17"/>
          <w:color w:val="444444"/>
        </w:rPr>
        <w:t xml:space="preserve"> </w:t>
      </w:r>
      <w:r>
        <w:rPr>
          <w:rFonts w:ascii="Arial" w:cs="Arial" w:eastAsia="Arial" w:hAnsi="Arial"/>
          <w:sz w:val="17"/>
          <w:szCs w:val="17"/>
          <w:color w:val="2F2F2F"/>
        </w:rPr>
        <w:t>the</w:t>
      </w:r>
      <w:r>
        <w:rPr>
          <w:rFonts w:ascii="Arial" w:cs="Arial" w:eastAsia="Arial" w:hAnsi="Arial"/>
          <w:sz w:val="17"/>
          <w:szCs w:val="17"/>
          <w:color w:val="444444"/>
        </w:rPr>
        <w:t xml:space="preserve"> </w:t>
      </w:r>
      <w:r>
        <w:rPr>
          <w:rFonts w:ascii="Arial" w:cs="Arial" w:eastAsia="Arial" w:hAnsi="Arial"/>
          <w:sz w:val="17"/>
          <w:szCs w:val="17"/>
          <w:color w:val="565656"/>
        </w:rPr>
        <w:t>e</w:t>
      </w:r>
      <w:r>
        <w:rPr>
          <w:rFonts w:ascii="Arial" w:cs="Arial" w:eastAsia="Arial" w:hAnsi="Arial"/>
          <w:sz w:val="17"/>
          <w:szCs w:val="17"/>
          <w:color w:val="2F2F2F"/>
        </w:rPr>
        <w:t>vent Company becomes aware of a</w:t>
      </w:r>
      <w:r>
        <w:rPr>
          <w:rFonts w:ascii="Arial" w:cs="Arial" w:eastAsia="Arial" w:hAnsi="Arial"/>
          <w:sz w:val="17"/>
          <w:szCs w:val="17"/>
          <w:color w:val="444444"/>
        </w:rPr>
        <w:t xml:space="preserve"> C</w:t>
      </w:r>
      <w:r>
        <w:rPr>
          <w:rFonts w:ascii="Arial" w:cs="Arial" w:eastAsia="Arial" w:hAnsi="Arial"/>
          <w:sz w:val="17"/>
          <w:szCs w:val="17"/>
          <w:color w:val="1A1A1A"/>
        </w:rPr>
        <w:t>laim</w:t>
      </w:r>
      <w:r>
        <w:rPr>
          <w:rFonts w:ascii="Arial" w:cs="Arial" w:eastAsia="Arial" w:hAnsi="Arial"/>
          <w:sz w:val="17"/>
          <w:szCs w:val="17"/>
          <w:color w:val="444444"/>
        </w:rPr>
        <w:t xml:space="preserve"> </w:t>
      </w:r>
      <w:r>
        <w:rPr>
          <w:rFonts w:ascii="Arial" w:cs="Arial" w:eastAsia="Arial" w:hAnsi="Arial"/>
          <w:sz w:val="17"/>
          <w:szCs w:val="17"/>
          <w:color w:val="2F2F2F"/>
        </w:rPr>
        <w:t>under clause (b) above, Company may, in</w:t>
      </w:r>
      <w:r>
        <w:rPr>
          <w:rFonts w:ascii="Arial" w:cs="Arial" w:eastAsia="Arial" w:hAnsi="Arial"/>
          <w:sz w:val="17"/>
          <w:szCs w:val="17"/>
          <w:color w:val="444444"/>
        </w:rPr>
        <w:t xml:space="preserve"> </w:t>
      </w:r>
      <w:r>
        <w:rPr>
          <w:rFonts w:ascii="Arial" w:cs="Arial" w:eastAsia="Arial" w:hAnsi="Arial"/>
          <w:sz w:val="17"/>
          <w:szCs w:val="17"/>
          <w:color w:val="1A1A1A"/>
        </w:rPr>
        <w:t>it</w:t>
      </w:r>
      <w:r>
        <w:rPr>
          <w:rFonts w:ascii="Arial" w:cs="Arial" w:eastAsia="Arial" w:hAnsi="Arial"/>
          <w:sz w:val="17"/>
          <w:szCs w:val="17"/>
          <w:color w:val="444444"/>
        </w:rPr>
        <w:t xml:space="preserve">s sole </w:t>
      </w:r>
      <w:r>
        <w:rPr>
          <w:rFonts w:ascii="Arial" w:cs="Arial" w:eastAsia="Arial" w:hAnsi="Arial"/>
          <w:sz w:val="17"/>
          <w:szCs w:val="17"/>
          <w:color w:val="2F2F2F"/>
        </w:rPr>
        <w:t xml:space="preserve">discretion: (x) [***](y) [***] (z) accept return of the </w:t>
      </w:r>
      <w:r>
        <w:rPr>
          <w:rFonts w:ascii="Arial" w:cs="Arial" w:eastAsia="Arial" w:hAnsi="Arial"/>
          <w:sz w:val="17"/>
          <w:szCs w:val="17"/>
          <w:color w:val="1A1A1A"/>
        </w:rPr>
        <w:t>Products from Distributor</w:t>
      </w:r>
      <w:r>
        <w:rPr>
          <w:rFonts w:ascii="Arial" w:cs="Arial" w:eastAsia="Arial" w:hAnsi="Arial"/>
          <w:sz w:val="17"/>
          <w:szCs w:val="17"/>
          <w:color w:val="2F2F2F"/>
        </w:rPr>
        <w:t xml:space="preserve"> and pay </w:t>
      </w:r>
      <w:r>
        <w:rPr>
          <w:rFonts w:ascii="Arial" w:cs="Arial" w:eastAsia="Arial" w:hAnsi="Arial"/>
          <w:sz w:val="17"/>
          <w:szCs w:val="17"/>
          <w:color w:val="1A1A1A"/>
        </w:rPr>
        <w:t>to D</w:t>
      </w:r>
      <w:r>
        <w:rPr>
          <w:rFonts w:ascii="Arial" w:cs="Arial" w:eastAsia="Arial" w:hAnsi="Arial"/>
          <w:sz w:val="17"/>
          <w:szCs w:val="17"/>
          <w:color w:val="444444"/>
        </w:rPr>
        <w:t>istr</w:t>
      </w:r>
      <w:r>
        <w:rPr>
          <w:rFonts w:ascii="Arial" w:cs="Arial" w:eastAsia="Arial" w:hAnsi="Arial"/>
          <w:sz w:val="17"/>
          <w:szCs w:val="17"/>
          <w:color w:val="1A1A1A"/>
        </w:rPr>
        <w:t>ibuto</w:t>
      </w:r>
      <w:r>
        <w:rPr>
          <w:rFonts w:ascii="Arial" w:cs="Arial" w:eastAsia="Arial" w:hAnsi="Arial"/>
          <w:sz w:val="17"/>
          <w:szCs w:val="17"/>
          <w:color w:val="444444"/>
        </w:rPr>
        <w:t>r</w:t>
      </w:r>
      <w:r>
        <w:rPr>
          <w:rFonts w:ascii="Arial" w:cs="Arial" w:eastAsia="Arial" w:hAnsi="Arial"/>
          <w:sz w:val="17"/>
          <w:szCs w:val="17"/>
          <w:color w:val="2F2F2F"/>
        </w:rPr>
        <w:t xml:space="preserve"> a refund of </w:t>
      </w:r>
      <w:r>
        <w:rPr>
          <w:rFonts w:ascii="Arial" w:cs="Arial" w:eastAsia="Arial" w:hAnsi="Arial"/>
          <w:sz w:val="17"/>
          <w:szCs w:val="17"/>
          <w:color w:val="1A1A1A"/>
        </w:rPr>
        <w:t>money</w:t>
      </w:r>
      <w:r>
        <w:rPr>
          <w:rFonts w:ascii="Arial" w:cs="Arial" w:eastAsia="Arial" w:hAnsi="Arial"/>
          <w:sz w:val="17"/>
          <w:szCs w:val="17"/>
          <w:color w:val="2F2F2F"/>
        </w:rPr>
        <w:t xml:space="preserve"> paid by </w:t>
      </w:r>
      <w:r>
        <w:rPr>
          <w:rFonts w:ascii="Arial" w:cs="Arial" w:eastAsia="Arial" w:hAnsi="Arial"/>
          <w:sz w:val="17"/>
          <w:szCs w:val="17"/>
          <w:color w:val="1A1A1A"/>
        </w:rPr>
        <w:t>Distributor</w:t>
      </w:r>
      <w:r>
        <w:rPr>
          <w:rFonts w:ascii="Arial" w:cs="Arial" w:eastAsia="Arial" w:hAnsi="Arial"/>
          <w:sz w:val="17"/>
          <w:szCs w:val="17"/>
          <w:color w:val="2F2F2F"/>
        </w:rPr>
        <w:t xml:space="preserve"> for </w:t>
      </w:r>
      <w:r>
        <w:rPr>
          <w:rFonts w:ascii="Arial" w:cs="Arial" w:eastAsia="Arial" w:hAnsi="Arial"/>
          <w:sz w:val="17"/>
          <w:szCs w:val="17"/>
          <w:color w:val="444444"/>
        </w:rPr>
        <w:t xml:space="preserve">such </w:t>
      </w:r>
      <w:r>
        <w:rPr>
          <w:rFonts w:ascii="Arial" w:cs="Arial" w:eastAsia="Arial" w:hAnsi="Arial"/>
          <w:sz w:val="17"/>
          <w:szCs w:val="17"/>
          <w:color w:val="1A1A1A"/>
        </w:rPr>
        <w:t>Product</w:t>
      </w:r>
      <w:r>
        <w:rPr>
          <w:rFonts w:ascii="Arial" w:cs="Arial" w:eastAsia="Arial" w:hAnsi="Arial"/>
          <w:sz w:val="17"/>
          <w:szCs w:val="17"/>
          <w:color w:val="444444"/>
        </w:rPr>
        <w:t xml:space="preserve">s. </w:t>
      </w:r>
      <w:r>
        <w:rPr>
          <w:rFonts w:ascii="Arial" w:cs="Arial" w:eastAsia="Arial" w:hAnsi="Arial"/>
          <w:sz w:val="17"/>
          <w:szCs w:val="17"/>
          <w:color w:val="1A1A1A"/>
        </w:rPr>
        <w:t>[***]. Notwithstanding the foregoing, the Company shall not be required to defend, indemnify or hold harmless Distributor [***].</w:t>
      </w:r>
      <w:r>
        <w:rPr>
          <w:rFonts w:ascii="Arial" w:cs="Arial" w:eastAsia="Arial" w:hAnsi="Arial"/>
          <w:sz w:val="17"/>
          <w:szCs w:val="17"/>
          <w:color w:val="444444"/>
        </w:rPr>
        <w:t xml:space="preserve"> </w:t>
      </w:r>
      <w:r>
        <w:rPr>
          <w:rFonts w:ascii="Arial" w:cs="Arial" w:eastAsia="Arial" w:hAnsi="Arial"/>
          <w:sz w:val="17"/>
          <w:szCs w:val="17"/>
          <w:color w:val="1A1A1A"/>
        </w:rPr>
        <w:t>In the event that the Claim is attributable to [***].</w:t>
      </w:r>
    </w:p>
    <w:p>
      <w:pPr>
        <w:spacing w:after="0" w:line="198" w:lineRule="exact"/>
        <w:rPr>
          <w:sz w:val="20"/>
          <w:szCs w:val="20"/>
          <w:color w:val="auto"/>
        </w:rPr>
      </w:pPr>
    </w:p>
    <w:p>
      <w:pPr>
        <w:ind w:left="660" w:right="60"/>
        <w:spacing w:after="0" w:line="229" w:lineRule="auto"/>
        <w:rPr>
          <w:sz w:val="20"/>
          <w:szCs w:val="20"/>
          <w:color w:val="auto"/>
        </w:rPr>
      </w:pPr>
      <w:r>
        <w:rPr>
          <w:rFonts w:ascii="Arial" w:cs="Arial" w:eastAsia="Arial" w:hAnsi="Arial"/>
          <w:sz w:val="18"/>
          <w:szCs w:val="18"/>
          <w:b w:val="1"/>
          <w:bCs w:val="1"/>
          <w:color w:val="2F2F2F"/>
        </w:rPr>
        <w:t xml:space="preserve">10.2 Scope </w:t>
      </w:r>
      <w:r>
        <w:rPr>
          <w:rFonts w:ascii="Arial" w:cs="Arial" w:eastAsia="Arial" w:hAnsi="Arial"/>
          <w:sz w:val="18"/>
          <w:szCs w:val="18"/>
          <w:b w:val="1"/>
          <w:bCs w:val="1"/>
          <w:color w:val="1A1A1A"/>
        </w:rPr>
        <w:t>of Distributor Indemnity</w:t>
      </w:r>
      <w:r>
        <w:rPr>
          <w:rFonts w:ascii="Arial" w:cs="Arial" w:eastAsia="Arial" w:hAnsi="Arial"/>
          <w:sz w:val="18"/>
          <w:szCs w:val="18"/>
          <w:b w:val="1"/>
          <w:bCs w:val="1"/>
          <w:color w:val="444444"/>
        </w:rPr>
        <w:t>.</w:t>
      </w:r>
      <w:r>
        <w:rPr>
          <w:rFonts w:ascii="Arial" w:cs="Arial" w:eastAsia="Arial" w:hAnsi="Arial"/>
          <w:sz w:val="18"/>
          <w:szCs w:val="18"/>
          <w:b w:val="1"/>
          <w:bCs w:val="1"/>
          <w:color w:val="2F2F2F"/>
        </w:rPr>
        <w:t xml:space="preserve"> </w:t>
      </w:r>
      <w:r>
        <w:rPr>
          <w:rFonts w:ascii="Arial" w:cs="Arial" w:eastAsia="Arial" w:hAnsi="Arial"/>
          <w:sz w:val="18"/>
          <w:szCs w:val="18"/>
          <w:color w:val="2F2F2F"/>
        </w:rPr>
        <w:t>Distributor</w:t>
      </w:r>
      <w:r>
        <w:rPr>
          <w:rFonts w:ascii="Arial" w:cs="Arial" w:eastAsia="Arial" w:hAnsi="Arial"/>
          <w:sz w:val="18"/>
          <w:szCs w:val="18"/>
          <w:b w:val="1"/>
          <w:bCs w:val="1"/>
          <w:color w:val="2F2F2F"/>
        </w:rPr>
        <w:t xml:space="preserve"> </w:t>
      </w:r>
      <w:r>
        <w:rPr>
          <w:rFonts w:ascii="Arial" w:cs="Arial" w:eastAsia="Arial" w:hAnsi="Arial"/>
          <w:sz w:val="18"/>
          <w:szCs w:val="18"/>
          <w:color w:val="444444"/>
        </w:rPr>
        <w:t>s</w:t>
      </w:r>
      <w:r>
        <w:rPr>
          <w:rFonts w:ascii="Arial" w:cs="Arial" w:eastAsia="Arial" w:hAnsi="Arial"/>
          <w:sz w:val="18"/>
          <w:szCs w:val="18"/>
          <w:color w:val="1A1A1A"/>
        </w:rPr>
        <w:t>hall</w:t>
      </w:r>
      <w:r>
        <w:rPr>
          <w:rFonts w:ascii="Arial" w:cs="Arial" w:eastAsia="Arial" w:hAnsi="Arial"/>
          <w:sz w:val="18"/>
          <w:szCs w:val="18"/>
          <w:b w:val="1"/>
          <w:bCs w:val="1"/>
          <w:color w:val="2F2F2F"/>
        </w:rPr>
        <w:t xml:space="preserve"> </w:t>
      </w:r>
      <w:r>
        <w:rPr>
          <w:rFonts w:ascii="Arial" w:cs="Arial" w:eastAsia="Arial" w:hAnsi="Arial"/>
          <w:sz w:val="18"/>
          <w:szCs w:val="18"/>
          <w:color w:val="2F2F2F"/>
        </w:rPr>
        <w:t>fully d</w:t>
      </w:r>
      <w:r>
        <w:rPr>
          <w:rFonts w:ascii="Arial" w:cs="Arial" w:eastAsia="Arial" w:hAnsi="Arial"/>
          <w:sz w:val="18"/>
          <w:szCs w:val="18"/>
          <w:color w:val="565656"/>
        </w:rPr>
        <w:t>efen</w:t>
      </w:r>
      <w:r>
        <w:rPr>
          <w:rFonts w:ascii="Arial" w:cs="Arial" w:eastAsia="Arial" w:hAnsi="Arial"/>
          <w:sz w:val="18"/>
          <w:szCs w:val="18"/>
          <w:color w:val="2F2F2F"/>
        </w:rPr>
        <w:t>d</w:t>
      </w:r>
      <w:r>
        <w:rPr>
          <w:rFonts w:ascii="Arial" w:cs="Arial" w:eastAsia="Arial" w:hAnsi="Arial"/>
          <w:sz w:val="18"/>
          <w:szCs w:val="18"/>
          <w:color w:val="565656"/>
        </w:rPr>
        <w:t>,</w:t>
      </w:r>
      <w:r>
        <w:rPr>
          <w:rFonts w:ascii="Arial" w:cs="Arial" w:eastAsia="Arial" w:hAnsi="Arial"/>
          <w:sz w:val="18"/>
          <w:szCs w:val="18"/>
          <w:b w:val="1"/>
          <w:bCs w:val="1"/>
          <w:color w:val="2F2F2F"/>
        </w:rPr>
        <w:t xml:space="preserve"> </w:t>
      </w:r>
      <w:r>
        <w:rPr>
          <w:rFonts w:ascii="Arial" w:cs="Arial" w:eastAsia="Arial" w:hAnsi="Arial"/>
          <w:sz w:val="18"/>
          <w:szCs w:val="18"/>
          <w:color w:val="2F2F2F"/>
        </w:rPr>
        <w:t>indemnify and</w:t>
      </w:r>
      <w:r>
        <w:rPr>
          <w:rFonts w:ascii="Arial" w:cs="Arial" w:eastAsia="Arial" w:hAnsi="Arial"/>
          <w:sz w:val="18"/>
          <w:szCs w:val="18"/>
          <w:b w:val="1"/>
          <w:bCs w:val="1"/>
          <w:color w:val="2F2F2F"/>
        </w:rPr>
        <w:t xml:space="preserve"> </w:t>
      </w:r>
      <w:r>
        <w:rPr>
          <w:rFonts w:ascii="Arial" w:cs="Arial" w:eastAsia="Arial" w:hAnsi="Arial"/>
          <w:sz w:val="18"/>
          <w:szCs w:val="18"/>
          <w:color w:val="1A1A1A"/>
        </w:rPr>
        <w:t>hold</w:t>
      </w:r>
      <w:r>
        <w:rPr>
          <w:rFonts w:ascii="Arial" w:cs="Arial" w:eastAsia="Arial" w:hAnsi="Arial"/>
          <w:sz w:val="18"/>
          <w:szCs w:val="18"/>
          <w:b w:val="1"/>
          <w:bCs w:val="1"/>
          <w:color w:val="2F2F2F"/>
        </w:rPr>
        <w:t xml:space="preserve"> </w:t>
      </w:r>
      <w:r>
        <w:rPr>
          <w:rFonts w:ascii="Arial" w:cs="Arial" w:eastAsia="Arial" w:hAnsi="Arial"/>
          <w:sz w:val="18"/>
          <w:szCs w:val="18"/>
          <w:color w:val="2F2F2F"/>
        </w:rPr>
        <w:t>harm</w:t>
      </w:r>
      <w:r>
        <w:rPr>
          <w:rFonts w:ascii="Arial" w:cs="Arial" w:eastAsia="Arial" w:hAnsi="Arial"/>
          <w:sz w:val="18"/>
          <w:szCs w:val="18"/>
          <w:color w:val="565656"/>
        </w:rPr>
        <w:t>less</w:t>
      </w:r>
      <w:r>
        <w:rPr>
          <w:rFonts w:ascii="Arial" w:cs="Arial" w:eastAsia="Arial" w:hAnsi="Arial"/>
          <w:sz w:val="18"/>
          <w:szCs w:val="18"/>
          <w:b w:val="1"/>
          <w:bCs w:val="1"/>
          <w:color w:val="2F2F2F"/>
        </w:rPr>
        <w:t xml:space="preserve"> </w:t>
      </w:r>
      <w:r>
        <w:rPr>
          <w:rFonts w:ascii="Arial" w:cs="Arial" w:eastAsia="Arial" w:hAnsi="Arial"/>
          <w:sz w:val="18"/>
          <w:szCs w:val="18"/>
          <w:color w:val="444444"/>
        </w:rPr>
        <w:t>Co</w:t>
      </w:r>
      <w:r>
        <w:rPr>
          <w:rFonts w:ascii="Arial" w:cs="Arial" w:eastAsia="Arial" w:hAnsi="Arial"/>
          <w:sz w:val="18"/>
          <w:szCs w:val="18"/>
          <w:color w:val="1A1A1A"/>
        </w:rPr>
        <w:t>mpany</w:t>
      </w:r>
      <w:r>
        <w:rPr>
          <w:rFonts w:ascii="Arial" w:cs="Arial" w:eastAsia="Arial" w:hAnsi="Arial"/>
          <w:sz w:val="18"/>
          <w:szCs w:val="18"/>
          <w:color w:val="444444"/>
        </w:rPr>
        <w:t>,</w:t>
      </w:r>
      <w:r>
        <w:rPr>
          <w:rFonts w:ascii="Arial" w:cs="Arial" w:eastAsia="Arial" w:hAnsi="Arial"/>
          <w:sz w:val="18"/>
          <w:szCs w:val="18"/>
          <w:b w:val="1"/>
          <w:bCs w:val="1"/>
          <w:color w:val="2F2F2F"/>
        </w:rPr>
        <w:t xml:space="preserve"> </w:t>
      </w:r>
      <w:r>
        <w:rPr>
          <w:rFonts w:ascii="Arial" w:cs="Arial" w:eastAsia="Arial" w:hAnsi="Arial"/>
          <w:sz w:val="18"/>
          <w:szCs w:val="18"/>
          <w:color w:val="1A1A1A"/>
        </w:rPr>
        <w:t>it</w:t>
      </w:r>
      <w:r>
        <w:rPr>
          <w:rFonts w:ascii="Arial" w:cs="Arial" w:eastAsia="Arial" w:hAnsi="Arial"/>
          <w:sz w:val="18"/>
          <w:szCs w:val="18"/>
          <w:color w:val="444444"/>
        </w:rPr>
        <w:t>s</w:t>
      </w:r>
      <w:r>
        <w:rPr>
          <w:rFonts w:ascii="Arial" w:cs="Arial" w:eastAsia="Arial" w:hAnsi="Arial"/>
          <w:sz w:val="18"/>
          <w:szCs w:val="18"/>
          <w:b w:val="1"/>
          <w:bCs w:val="1"/>
          <w:color w:val="2F2F2F"/>
        </w:rPr>
        <w:t xml:space="preserve"> </w:t>
      </w:r>
      <w:r>
        <w:rPr>
          <w:rFonts w:ascii="Arial" w:cs="Arial" w:eastAsia="Arial" w:hAnsi="Arial"/>
          <w:sz w:val="18"/>
          <w:szCs w:val="18"/>
          <w:color w:val="2F2F2F"/>
        </w:rPr>
        <w:t>directors</w:t>
      </w:r>
      <w:r>
        <w:rPr>
          <w:rFonts w:ascii="Arial" w:cs="Arial" w:eastAsia="Arial" w:hAnsi="Arial"/>
          <w:sz w:val="18"/>
          <w:szCs w:val="18"/>
          <w:color w:val="565656"/>
        </w:rPr>
        <w:t>,</w:t>
      </w:r>
      <w:r>
        <w:rPr>
          <w:rFonts w:ascii="Arial" w:cs="Arial" w:eastAsia="Arial" w:hAnsi="Arial"/>
          <w:sz w:val="18"/>
          <w:szCs w:val="18"/>
          <w:b w:val="1"/>
          <w:bCs w:val="1"/>
          <w:color w:val="2F2F2F"/>
        </w:rPr>
        <w:t xml:space="preserve"> </w:t>
      </w:r>
      <w:r>
        <w:rPr>
          <w:rFonts w:ascii="Arial" w:cs="Arial" w:eastAsia="Arial" w:hAnsi="Arial"/>
          <w:sz w:val="18"/>
          <w:szCs w:val="18"/>
          <w:color w:val="444444"/>
        </w:rPr>
        <w:t>officers, e</w:t>
      </w:r>
      <w:r>
        <w:rPr>
          <w:rFonts w:ascii="Arial" w:cs="Arial" w:eastAsia="Arial" w:hAnsi="Arial"/>
          <w:sz w:val="18"/>
          <w:szCs w:val="18"/>
          <w:color w:val="1A1A1A"/>
        </w:rPr>
        <w:t>mploy</w:t>
      </w:r>
      <w:r>
        <w:rPr>
          <w:rFonts w:ascii="Arial" w:cs="Arial" w:eastAsia="Arial" w:hAnsi="Arial"/>
          <w:sz w:val="18"/>
          <w:szCs w:val="18"/>
          <w:color w:val="444444"/>
        </w:rPr>
        <w:t>ees,</w:t>
      </w:r>
      <w:r>
        <w:rPr>
          <w:rFonts w:ascii="Arial" w:cs="Arial" w:eastAsia="Arial" w:hAnsi="Arial"/>
          <w:sz w:val="18"/>
          <w:szCs w:val="18"/>
          <w:b w:val="1"/>
          <w:bCs w:val="1"/>
          <w:color w:val="2F2F2F"/>
        </w:rPr>
        <w:t xml:space="preserve"> </w:t>
      </w:r>
      <w:r>
        <w:rPr>
          <w:rFonts w:ascii="Arial" w:cs="Arial" w:eastAsia="Arial" w:hAnsi="Arial"/>
          <w:sz w:val="18"/>
          <w:szCs w:val="18"/>
          <w:color w:val="444444"/>
        </w:rPr>
        <w:t>sha</w:t>
      </w:r>
      <w:r>
        <w:rPr>
          <w:rFonts w:ascii="Arial" w:cs="Arial" w:eastAsia="Arial" w:hAnsi="Arial"/>
          <w:sz w:val="18"/>
          <w:szCs w:val="18"/>
          <w:color w:val="1A1A1A"/>
        </w:rPr>
        <w:t>r</w:t>
      </w:r>
      <w:r>
        <w:rPr>
          <w:rFonts w:ascii="Arial" w:cs="Arial" w:eastAsia="Arial" w:hAnsi="Arial"/>
          <w:sz w:val="18"/>
          <w:szCs w:val="18"/>
          <w:color w:val="444444"/>
        </w:rPr>
        <w:t>e</w:t>
      </w:r>
      <w:r>
        <w:rPr>
          <w:rFonts w:ascii="Arial" w:cs="Arial" w:eastAsia="Arial" w:hAnsi="Arial"/>
          <w:sz w:val="18"/>
          <w:szCs w:val="18"/>
          <w:color w:val="1A1A1A"/>
        </w:rPr>
        <w:t>hold</w:t>
      </w:r>
      <w:r>
        <w:rPr>
          <w:rFonts w:ascii="Arial" w:cs="Arial" w:eastAsia="Arial" w:hAnsi="Arial"/>
          <w:sz w:val="18"/>
          <w:szCs w:val="18"/>
          <w:color w:val="444444"/>
        </w:rPr>
        <w:t xml:space="preserve">ers, </w:t>
      </w:r>
      <w:r>
        <w:rPr>
          <w:rFonts w:ascii="Arial" w:cs="Arial" w:eastAsia="Arial" w:hAnsi="Arial"/>
          <w:sz w:val="18"/>
          <w:szCs w:val="18"/>
          <w:color w:val="2F2F2F"/>
        </w:rPr>
        <w:t>customers</w:t>
      </w:r>
      <w:r>
        <w:rPr>
          <w:rFonts w:ascii="Arial" w:cs="Arial" w:eastAsia="Arial" w:hAnsi="Arial"/>
          <w:sz w:val="18"/>
          <w:szCs w:val="18"/>
          <w:color w:val="565656"/>
        </w:rPr>
        <w:t>,</w:t>
      </w:r>
      <w:r>
        <w:rPr>
          <w:rFonts w:ascii="Arial" w:cs="Arial" w:eastAsia="Arial" w:hAnsi="Arial"/>
          <w:sz w:val="18"/>
          <w:szCs w:val="18"/>
          <w:color w:val="444444"/>
        </w:rPr>
        <w:t xml:space="preserve"> </w:t>
      </w:r>
      <w:r>
        <w:rPr>
          <w:rFonts w:ascii="Arial" w:cs="Arial" w:eastAsia="Arial" w:hAnsi="Arial"/>
          <w:sz w:val="18"/>
          <w:szCs w:val="18"/>
          <w:color w:val="2F2F2F"/>
        </w:rPr>
        <w:t>affiliated companies and agents from and against</w:t>
      </w:r>
      <w:r>
        <w:rPr>
          <w:rFonts w:ascii="Arial" w:cs="Arial" w:eastAsia="Arial" w:hAnsi="Arial"/>
          <w:sz w:val="18"/>
          <w:szCs w:val="18"/>
          <w:color w:val="444444"/>
        </w:rPr>
        <w:t xml:space="preserve"> any </w:t>
      </w:r>
      <w:r>
        <w:rPr>
          <w:rFonts w:ascii="Arial" w:cs="Arial" w:eastAsia="Arial" w:hAnsi="Arial"/>
          <w:sz w:val="18"/>
          <w:szCs w:val="18"/>
          <w:color w:val="2F2F2F"/>
        </w:rPr>
        <w:t>and all</w:t>
      </w:r>
      <w:r>
        <w:rPr>
          <w:rFonts w:ascii="Arial" w:cs="Arial" w:eastAsia="Arial" w:hAnsi="Arial"/>
          <w:sz w:val="18"/>
          <w:szCs w:val="18"/>
          <w:color w:val="444444"/>
        </w:rPr>
        <w:t xml:space="preserve"> </w:t>
      </w:r>
      <w:r>
        <w:rPr>
          <w:rFonts w:ascii="Arial" w:cs="Arial" w:eastAsia="Arial" w:hAnsi="Arial"/>
          <w:sz w:val="18"/>
          <w:szCs w:val="18"/>
          <w:color w:val="1A1A1A"/>
        </w:rPr>
        <w:t>lo</w:t>
      </w:r>
      <w:r>
        <w:rPr>
          <w:rFonts w:ascii="Arial" w:cs="Arial" w:eastAsia="Arial" w:hAnsi="Arial"/>
          <w:sz w:val="18"/>
          <w:szCs w:val="18"/>
          <w:color w:val="444444"/>
        </w:rPr>
        <w:t xml:space="preserve">sses, </w:t>
      </w:r>
      <w:r>
        <w:rPr>
          <w:rFonts w:ascii="Arial" w:cs="Arial" w:eastAsia="Arial" w:hAnsi="Arial"/>
          <w:sz w:val="18"/>
          <w:szCs w:val="18"/>
          <w:color w:val="2F2F2F"/>
        </w:rPr>
        <w:t>damages or</w:t>
      </w:r>
      <w:r>
        <w:rPr>
          <w:rFonts w:ascii="Arial" w:cs="Arial" w:eastAsia="Arial" w:hAnsi="Arial"/>
          <w:sz w:val="18"/>
          <w:szCs w:val="18"/>
          <w:color w:val="444444"/>
        </w:rPr>
        <w:t xml:space="preserve"> </w:t>
      </w:r>
      <w:r>
        <w:rPr>
          <w:rFonts w:ascii="Arial" w:cs="Arial" w:eastAsia="Arial" w:hAnsi="Arial"/>
          <w:sz w:val="18"/>
          <w:szCs w:val="18"/>
          <w:color w:val="1A1A1A"/>
        </w:rPr>
        <w:t>liability</w:t>
      </w:r>
      <w:r>
        <w:rPr>
          <w:rFonts w:ascii="Arial" w:cs="Arial" w:eastAsia="Arial" w:hAnsi="Arial"/>
          <w:sz w:val="18"/>
          <w:szCs w:val="18"/>
          <w:color w:val="444444"/>
        </w:rPr>
        <w:t xml:space="preserve"> </w:t>
      </w:r>
      <w:r>
        <w:rPr>
          <w:rFonts w:ascii="Arial" w:cs="Arial" w:eastAsia="Arial" w:hAnsi="Arial"/>
          <w:sz w:val="18"/>
          <w:szCs w:val="18"/>
          <w:color w:val="2F2F2F"/>
        </w:rPr>
        <w:t>(including</w:t>
      </w:r>
      <w:r>
        <w:rPr>
          <w:rFonts w:ascii="Arial" w:cs="Arial" w:eastAsia="Arial" w:hAnsi="Arial"/>
          <w:sz w:val="18"/>
          <w:szCs w:val="18"/>
          <w:color w:val="444444"/>
        </w:rPr>
        <w:t xml:space="preserve"> </w:t>
      </w:r>
      <w:r>
        <w:rPr>
          <w:rFonts w:ascii="Arial" w:cs="Arial" w:eastAsia="Arial" w:hAnsi="Arial"/>
          <w:sz w:val="18"/>
          <w:szCs w:val="18"/>
          <w:color w:val="1A1A1A"/>
        </w:rPr>
        <w:t>r</w:t>
      </w:r>
      <w:r>
        <w:rPr>
          <w:rFonts w:ascii="Arial" w:cs="Arial" w:eastAsia="Arial" w:hAnsi="Arial"/>
          <w:sz w:val="18"/>
          <w:szCs w:val="18"/>
          <w:color w:val="444444"/>
        </w:rPr>
        <w:t>easo</w:t>
      </w:r>
      <w:r>
        <w:rPr>
          <w:rFonts w:ascii="Arial" w:cs="Arial" w:eastAsia="Arial" w:hAnsi="Arial"/>
          <w:sz w:val="18"/>
          <w:szCs w:val="18"/>
          <w:color w:val="1A1A1A"/>
        </w:rPr>
        <w:t>nabl</w:t>
      </w:r>
      <w:r>
        <w:rPr>
          <w:rFonts w:ascii="Arial" w:cs="Arial" w:eastAsia="Arial" w:hAnsi="Arial"/>
          <w:sz w:val="18"/>
          <w:szCs w:val="18"/>
          <w:color w:val="444444"/>
        </w:rPr>
        <w:t xml:space="preserve">e </w:t>
      </w:r>
      <w:r>
        <w:rPr>
          <w:rFonts w:ascii="Arial" w:cs="Arial" w:eastAsia="Arial" w:hAnsi="Arial"/>
          <w:sz w:val="18"/>
          <w:szCs w:val="18"/>
          <w:color w:val="2F2F2F"/>
        </w:rPr>
        <w:t>attorneys’</w:t>
      </w:r>
      <w:r>
        <w:rPr>
          <w:rFonts w:ascii="Arial" w:cs="Arial" w:eastAsia="Arial" w:hAnsi="Arial"/>
          <w:sz w:val="18"/>
          <w:szCs w:val="18"/>
          <w:color w:val="444444"/>
        </w:rPr>
        <w:t xml:space="preserve"> </w:t>
      </w:r>
      <w:r>
        <w:rPr>
          <w:rFonts w:ascii="Arial" w:cs="Arial" w:eastAsia="Arial" w:hAnsi="Arial"/>
          <w:sz w:val="18"/>
          <w:szCs w:val="18"/>
          <w:color w:val="2F2F2F"/>
        </w:rPr>
        <w:t>fees) for any claims</w:t>
      </w:r>
      <w:r>
        <w:rPr>
          <w:rFonts w:ascii="Arial" w:cs="Arial" w:eastAsia="Arial" w:hAnsi="Arial"/>
          <w:sz w:val="18"/>
          <w:szCs w:val="18"/>
          <w:color w:val="777777"/>
        </w:rPr>
        <w:t>,</w:t>
      </w:r>
      <w:r>
        <w:rPr>
          <w:rFonts w:ascii="Arial" w:cs="Arial" w:eastAsia="Arial" w:hAnsi="Arial"/>
          <w:sz w:val="18"/>
          <w:szCs w:val="18"/>
          <w:color w:val="2F2F2F"/>
        </w:rPr>
        <w:t xml:space="preserve"> </w:t>
      </w:r>
      <w:r>
        <w:rPr>
          <w:rFonts w:ascii="Arial" w:cs="Arial" w:eastAsia="Arial" w:hAnsi="Arial"/>
          <w:sz w:val="18"/>
          <w:szCs w:val="18"/>
          <w:color w:val="444444"/>
        </w:rPr>
        <w:t>s</w:t>
      </w:r>
      <w:r>
        <w:rPr>
          <w:rFonts w:ascii="Arial" w:cs="Arial" w:eastAsia="Arial" w:hAnsi="Arial"/>
          <w:sz w:val="18"/>
          <w:szCs w:val="18"/>
          <w:color w:val="1A1A1A"/>
        </w:rPr>
        <w:t>uit</w:t>
      </w:r>
      <w:r>
        <w:rPr>
          <w:rFonts w:ascii="Arial" w:cs="Arial" w:eastAsia="Arial" w:hAnsi="Arial"/>
          <w:sz w:val="18"/>
          <w:szCs w:val="18"/>
          <w:color w:val="444444"/>
        </w:rPr>
        <w:t>s,</w:t>
      </w:r>
      <w:r>
        <w:rPr>
          <w:rFonts w:ascii="Arial" w:cs="Arial" w:eastAsia="Arial" w:hAnsi="Arial"/>
          <w:sz w:val="18"/>
          <w:szCs w:val="18"/>
          <w:color w:val="2F2F2F"/>
        </w:rPr>
        <w:t xml:space="preserve"> actions, demand</w:t>
      </w:r>
      <w:r>
        <w:rPr>
          <w:rFonts w:ascii="Arial" w:cs="Arial" w:eastAsia="Arial" w:hAnsi="Arial"/>
          <w:sz w:val="18"/>
          <w:szCs w:val="18"/>
          <w:color w:val="565656"/>
        </w:rPr>
        <w:t>s</w:t>
      </w:r>
      <w:r>
        <w:rPr>
          <w:rFonts w:ascii="Arial" w:cs="Arial" w:eastAsia="Arial" w:hAnsi="Arial"/>
          <w:sz w:val="18"/>
          <w:szCs w:val="18"/>
          <w:color w:val="2F2F2F"/>
        </w:rPr>
        <w:t xml:space="preserve"> or threat</w:t>
      </w:r>
      <w:r>
        <w:rPr>
          <w:rFonts w:ascii="Arial" w:cs="Arial" w:eastAsia="Arial" w:hAnsi="Arial"/>
          <w:sz w:val="18"/>
          <w:szCs w:val="18"/>
          <w:color w:val="565656"/>
        </w:rPr>
        <w:t>s</w:t>
      </w:r>
      <w:r>
        <w:rPr>
          <w:rFonts w:ascii="Arial" w:cs="Arial" w:eastAsia="Arial" w:hAnsi="Arial"/>
          <w:sz w:val="18"/>
          <w:szCs w:val="18"/>
          <w:color w:val="2F2F2F"/>
        </w:rPr>
        <w:t xml:space="preserve"> of </w:t>
      </w:r>
      <w:r>
        <w:rPr>
          <w:rFonts w:ascii="Arial" w:cs="Arial" w:eastAsia="Arial" w:hAnsi="Arial"/>
          <w:sz w:val="18"/>
          <w:szCs w:val="18"/>
          <w:color w:val="444444"/>
        </w:rPr>
        <w:t>any</w:t>
      </w:r>
      <w:r>
        <w:rPr>
          <w:rFonts w:ascii="Arial" w:cs="Arial" w:eastAsia="Arial" w:hAnsi="Arial"/>
          <w:sz w:val="18"/>
          <w:szCs w:val="18"/>
          <w:color w:val="2F2F2F"/>
        </w:rPr>
        <w:t xml:space="preserve"> third </w:t>
      </w:r>
      <w:r>
        <w:rPr>
          <w:rFonts w:ascii="Arial" w:cs="Arial" w:eastAsia="Arial" w:hAnsi="Arial"/>
          <w:sz w:val="18"/>
          <w:szCs w:val="18"/>
          <w:color w:val="444444"/>
        </w:rPr>
        <w:t>party</w:t>
      </w:r>
      <w:r>
        <w:rPr>
          <w:rFonts w:ascii="Arial" w:cs="Arial" w:eastAsia="Arial" w:hAnsi="Arial"/>
          <w:sz w:val="18"/>
          <w:szCs w:val="18"/>
          <w:color w:val="2F2F2F"/>
        </w:rPr>
        <w:t xml:space="preserve"> based </w:t>
      </w:r>
      <w:r>
        <w:rPr>
          <w:rFonts w:ascii="Arial" w:cs="Arial" w:eastAsia="Arial" w:hAnsi="Arial"/>
          <w:sz w:val="18"/>
          <w:szCs w:val="18"/>
          <w:color w:val="1A1A1A"/>
        </w:rPr>
        <w:t>[***].</w:t>
      </w:r>
      <w:r>
        <w:rPr>
          <w:rFonts w:ascii="Arial" w:cs="Arial" w:eastAsia="Arial" w:hAnsi="Arial"/>
          <w:sz w:val="18"/>
          <w:szCs w:val="18"/>
          <w:color w:val="2F2F2F"/>
        </w:rPr>
        <w:t xml:space="preserve"> Company </w:t>
      </w:r>
      <w:r>
        <w:rPr>
          <w:rFonts w:ascii="Arial" w:cs="Arial" w:eastAsia="Arial" w:hAnsi="Arial"/>
          <w:sz w:val="18"/>
          <w:szCs w:val="18"/>
          <w:color w:val="444444"/>
        </w:rPr>
        <w:t>sha</w:t>
      </w:r>
      <w:r>
        <w:rPr>
          <w:rFonts w:ascii="Arial" w:cs="Arial" w:eastAsia="Arial" w:hAnsi="Arial"/>
          <w:sz w:val="18"/>
          <w:szCs w:val="18"/>
          <w:color w:val="1A1A1A"/>
        </w:rPr>
        <w:t>ll</w:t>
      </w:r>
      <w:r>
        <w:rPr>
          <w:rFonts w:ascii="Arial" w:cs="Arial" w:eastAsia="Arial" w:hAnsi="Arial"/>
          <w:sz w:val="18"/>
          <w:szCs w:val="18"/>
          <w:color w:val="2F2F2F"/>
        </w:rPr>
        <w:t xml:space="preserve"> </w:t>
      </w:r>
      <w:r>
        <w:rPr>
          <w:rFonts w:ascii="Arial" w:cs="Arial" w:eastAsia="Arial" w:hAnsi="Arial"/>
          <w:sz w:val="18"/>
          <w:szCs w:val="18"/>
          <w:color w:val="444444"/>
        </w:rPr>
        <w:t>give</w:t>
      </w:r>
      <w:r>
        <w:rPr>
          <w:rFonts w:ascii="Arial" w:cs="Arial" w:eastAsia="Arial" w:hAnsi="Arial"/>
          <w:sz w:val="18"/>
          <w:szCs w:val="18"/>
          <w:color w:val="2F2F2F"/>
        </w:rPr>
        <w:t xml:space="preserve"> prompt, written notice thereof to Di</w:t>
      </w:r>
      <w:r>
        <w:rPr>
          <w:rFonts w:ascii="Arial" w:cs="Arial" w:eastAsia="Arial" w:hAnsi="Arial"/>
          <w:sz w:val="18"/>
          <w:szCs w:val="18"/>
          <w:color w:val="565656"/>
        </w:rPr>
        <w:t>st</w:t>
      </w:r>
      <w:r>
        <w:rPr>
          <w:rFonts w:ascii="Arial" w:cs="Arial" w:eastAsia="Arial" w:hAnsi="Arial"/>
          <w:sz w:val="18"/>
          <w:szCs w:val="18"/>
          <w:color w:val="1A1A1A"/>
        </w:rPr>
        <w:t>ributor</w:t>
      </w:r>
      <w:r>
        <w:rPr>
          <w:rFonts w:ascii="Arial" w:cs="Arial" w:eastAsia="Arial" w:hAnsi="Arial"/>
          <w:sz w:val="18"/>
          <w:szCs w:val="18"/>
          <w:color w:val="565656"/>
        </w:rPr>
        <w:t>,</w:t>
      </w:r>
      <w:r>
        <w:rPr>
          <w:rFonts w:ascii="Arial" w:cs="Arial" w:eastAsia="Arial" w:hAnsi="Arial"/>
          <w:sz w:val="18"/>
          <w:szCs w:val="18"/>
          <w:color w:val="2F2F2F"/>
        </w:rPr>
        <w:t xml:space="preserve"> shall cooperate </w:t>
      </w:r>
      <w:r>
        <w:rPr>
          <w:rFonts w:ascii="Arial" w:cs="Arial" w:eastAsia="Arial" w:hAnsi="Arial"/>
          <w:sz w:val="18"/>
          <w:szCs w:val="18"/>
          <w:color w:val="1A1A1A"/>
        </w:rPr>
        <w:t>r</w:t>
      </w:r>
      <w:r>
        <w:rPr>
          <w:rFonts w:ascii="Arial" w:cs="Arial" w:eastAsia="Arial" w:hAnsi="Arial"/>
          <w:sz w:val="18"/>
          <w:szCs w:val="18"/>
          <w:color w:val="444444"/>
        </w:rPr>
        <w:t>easo</w:t>
      </w:r>
      <w:r>
        <w:rPr>
          <w:rFonts w:ascii="Arial" w:cs="Arial" w:eastAsia="Arial" w:hAnsi="Arial"/>
          <w:sz w:val="18"/>
          <w:szCs w:val="18"/>
          <w:color w:val="1A1A1A"/>
        </w:rPr>
        <w:t>nab</w:t>
      </w:r>
      <w:r>
        <w:rPr>
          <w:rFonts w:ascii="Arial" w:cs="Arial" w:eastAsia="Arial" w:hAnsi="Arial"/>
          <w:sz w:val="18"/>
          <w:szCs w:val="18"/>
          <w:color w:val="444444"/>
        </w:rPr>
        <w:t>ly w</w:t>
      </w:r>
      <w:r>
        <w:rPr>
          <w:rFonts w:ascii="Arial" w:cs="Arial" w:eastAsia="Arial" w:hAnsi="Arial"/>
          <w:sz w:val="18"/>
          <w:szCs w:val="18"/>
          <w:color w:val="1A1A1A"/>
        </w:rPr>
        <w:t>ith</w:t>
      </w:r>
      <w:r>
        <w:rPr>
          <w:rFonts w:ascii="Arial" w:cs="Arial" w:eastAsia="Arial" w:hAnsi="Arial"/>
          <w:sz w:val="18"/>
          <w:szCs w:val="18"/>
          <w:color w:val="2F2F2F"/>
        </w:rPr>
        <w:t xml:space="preserve"> Distributor (at Distributor</w:t>
      </w:r>
      <w:r>
        <w:rPr>
          <w:rFonts w:ascii="Arial" w:cs="Arial" w:eastAsia="Arial" w:hAnsi="Arial"/>
          <w:sz w:val="18"/>
          <w:szCs w:val="18"/>
          <w:color w:val="565656"/>
        </w:rPr>
        <w:t>’s</w:t>
      </w:r>
      <w:r>
        <w:rPr>
          <w:rFonts w:ascii="Arial" w:cs="Arial" w:eastAsia="Arial" w:hAnsi="Arial"/>
          <w:sz w:val="18"/>
          <w:szCs w:val="18"/>
          <w:color w:val="2F2F2F"/>
        </w:rPr>
        <w:t xml:space="preserve"> expense)</w:t>
      </w:r>
      <w:r>
        <w:rPr>
          <w:rFonts w:ascii="Arial" w:cs="Arial" w:eastAsia="Arial" w:hAnsi="Arial"/>
          <w:sz w:val="18"/>
          <w:szCs w:val="18"/>
          <w:color w:val="565656"/>
        </w:rPr>
        <w:t>,</w:t>
      </w:r>
      <w:r>
        <w:rPr>
          <w:rFonts w:ascii="Arial" w:cs="Arial" w:eastAsia="Arial" w:hAnsi="Arial"/>
          <w:sz w:val="18"/>
          <w:szCs w:val="18"/>
          <w:color w:val="2F2F2F"/>
        </w:rPr>
        <w:t xml:space="preserve"> </w:t>
      </w:r>
      <w:r>
        <w:rPr>
          <w:rFonts w:ascii="Arial" w:cs="Arial" w:eastAsia="Arial" w:hAnsi="Arial"/>
          <w:sz w:val="18"/>
          <w:szCs w:val="18"/>
          <w:color w:val="444444"/>
        </w:rPr>
        <w:t>and s</w:t>
      </w:r>
      <w:r>
        <w:rPr>
          <w:rFonts w:ascii="Arial" w:cs="Arial" w:eastAsia="Arial" w:hAnsi="Arial"/>
          <w:sz w:val="18"/>
          <w:szCs w:val="18"/>
          <w:color w:val="1A1A1A"/>
        </w:rPr>
        <w:t>hall</w:t>
      </w:r>
      <w:r>
        <w:rPr>
          <w:rFonts w:ascii="Arial" w:cs="Arial" w:eastAsia="Arial" w:hAnsi="Arial"/>
          <w:sz w:val="18"/>
          <w:szCs w:val="18"/>
          <w:color w:val="2F2F2F"/>
        </w:rPr>
        <w:t xml:space="preserve"> allow Distributor the sole right to defend</w:t>
      </w:r>
      <w:r>
        <w:rPr>
          <w:rFonts w:ascii="Arial" w:cs="Arial" w:eastAsia="Arial" w:hAnsi="Arial"/>
          <w:sz w:val="18"/>
          <w:szCs w:val="18"/>
          <w:color w:val="565656"/>
        </w:rPr>
        <w:t>,</w:t>
      </w:r>
      <w:r>
        <w:rPr>
          <w:rFonts w:ascii="Arial" w:cs="Arial" w:eastAsia="Arial" w:hAnsi="Arial"/>
          <w:sz w:val="18"/>
          <w:szCs w:val="18"/>
          <w:color w:val="2F2F2F"/>
        </w:rPr>
        <w:t xml:space="preserve"> or </w:t>
      </w:r>
      <w:r>
        <w:rPr>
          <w:rFonts w:ascii="Arial" w:cs="Arial" w:eastAsia="Arial" w:hAnsi="Arial"/>
          <w:sz w:val="18"/>
          <w:szCs w:val="18"/>
          <w:color w:val="444444"/>
        </w:rPr>
        <w:t>at</w:t>
      </w:r>
      <w:r>
        <w:rPr>
          <w:rFonts w:ascii="Arial" w:cs="Arial" w:eastAsia="Arial" w:hAnsi="Arial"/>
          <w:sz w:val="18"/>
          <w:szCs w:val="18"/>
          <w:color w:val="2F2F2F"/>
        </w:rPr>
        <w:t xml:space="preserve"> Distributor’s </w:t>
      </w:r>
      <w:r>
        <w:rPr>
          <w:rFonts w:ascii="Arial" w:cs="Arial" w:eastAsia="Arial" w:hAnsi="Arial"/>
          <w:sz w:val="18"/>
          <w:szCs w:val="18"/>
          <w:color w:val="444444"/>
        </w:rPr>
        <w:t>op</w:t>
      </w:r>
      <w:r>
        <w:rPr>
          <w:rFonts w:ascii="Arial" w:cs="Arial" w:eastAsia="Arial" w:hAnsi="Arial"/>
          <w:sz w:val="18"/>
          <w:szCs w:val="18"/>
          <w:color w:val="1A1A1A"/>
        </w:rPr>
        <w:t>tion</w:t>
      </w:r>
      <w:r>
        <w:rPr>
          <w:rFonts w:ascii="Arial" w:cs="Arial" w:eastAsia="Arial" w:hAnsi="Arial"/>
          <w:sz w:val="18"/>
          <w:szCs w:val="18"/>
          <w:color w:val="565656"/>
        </w:rPr>
        <w:t>,</w:t>
      </w:r>
      <w:r>
        <w:rPr>
          <w:rFonts w:ascii="Arial" w:cs="Arial" w:eastAsia="Arial" w:hAnsi="Arial"/>
          <w:sz w:val="18"/>
          <w:szCs w:val="18"/>
          <w:color w:val="2F2F2F"/>
        </w:rPr>
        <w:t xml:space="preserve"> to </w:t>
      </w:r>
      <w:r>
        <w:rPr>
          <w:rFonts w:ascii="Arial" w:cs="Arial" w:eastAsia="Arial" w:hAnsi="Arial"/>
          <w:sz w:val="18"/>
          <w:szCs w:val="18"/>
          <w:color w:val="444444"/>
        </w:rPr>
        <w:t>se</w:t>
      </w:r>
      <w:r>
        <w:rPr>
          <w:rFonts w:ascii="Arial" w:cs="Arial" w:eastAsia="Arial" w:hAnsi="Arial"/>
          <w:sz w:val="18"/>
          <w:szCs w:val="18"/>
          <w:color w:val="1A1A1A"/>
        </w:rPr>
        <w:t>ttle</w:t>
      </w:r>
      <w:r>
        <w:rPr>
          <w:rFonts w:ascii="Arial" w:cs="Arial" w:eastAsia="Arial" w:hAnsi="Arial"/>
          <w:sz w:val="18"/>
          <w:szCs w:val="18"/>
          <w:color w:val="2F2F2F"/>
        </w:rPr>
        <w:t xml:space="preserve"> all of </w:t>
      </w:r>
      <w:r>
        <w:rPr>
          <w:rFonts w:ascii="Arial" w:cs="Arial" w:eastAsia="Arial" w:hAnsi="Arial"/>
          <w:sz w:val="18"/>
          <w:szCs w:val="18"/>
          <w:color w:val="1A1A1A"/>
        </w:rPr>
        <w:t>th</w:t>
      </w:r>
      <w:r>
        <w:rPr>
          <w:rFonts w:ascii="Arial" w:cs="Arial" w:eastAsia="Arial" w:hAnsi="Arial"/>
          <w:sz w:val="18"/>
          <w:szCs w:val="18"/>
          <w:color w:val="444444"/>
        </w:rPr>
        <w:t>e</w:t>
      </w:r>
      <w:r>
        <w:rPr>
          <w:rFonts w:ascii="Arial" w:cs="Arial" w:eastAsia="Arial" w:hAnsi="Arial"/>
          <w:sz w:val="18"/>
          <w:szCs w:val="18"/>
          <w:color w:val="2F2F2F"/>
        </w:rPr>
        <w:t xml:space="preserve"> foregoin</w:t>
      </w:r>
      <w:r>
        <w:rPr>
          <w:rFonts w:ascii="Arial" w:cs="Arial" w:eastAsia="Arial" w:hAnsi="Arial"/>
          <w:sz w:val="18"/>
          <w:szCs w:val="18"/>
          <w:color w:val="565656"/>
        </w:rPr>
        <w:t>g</w:t>
      </w:r>
      <w:r>
        <w:rPr>
          <w:rFonts w:ascii="Arial" w:cs="Arial" w:eastAsia="Arial" w:hAnsi="Arial"/>
          <w:sz w:val="18"/>
          <w:szCs w:val="18"/>
          <w:color w:val="1A1A1A"/>
        </w:rPr>
        <w: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A2A2A"/>
        </w:rPr>
        <w:t>11. GENERAL</w:t>
      </w:r>
    </w:p>
    <w:p>
      <w:pPr>
        <w:spacing w:after="0" w:line="225" w:lineRule="exact"/>
        <w:rPr>
          <w:sz w:val="20"/>
          <w:szCs w:val="20"/>
          <w:color w:val="auto"/>
        </w:rPr>
      </w:pPr>
    </w:p>
    <w:p>
      <w:pPr>
        <w:ind w:left="1300" w:right="160" w:hanging="323"/>
        <w:spacing w:after="0" w:line="236" w:lineRule="auto"/>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1A1A1A"/>
        </w:rPr>
        <w:t>Assignment.</w:t>
      </w:r>
      <w:r>
        <w:rPr>
          <w:rFonts w:ascii="Arial" w:cs="Arial" w:eastAsia="Arial" w:hAnsi="Arial"/>
          <w:sz w:val="18"/>
          <w:szCs w:val="18"/>
          <w:color w:val="auto"/>
        </w:rPr>
        <w:t xml:space="preserve"> </w:t>
      </w:r>
      <w:r>
        <w:rPr>
          <w:rFonts w:ascii="Arial" w:cs="Arial" w:eastAsia="Arial" w:hAnsi="Arial"/>
          <w:sz w:val="18"/>
          <w:szCs w:val="18"/>
          <w:color w:val="2A2A2A"/>
        </w:rPr>
        <w:t>This Agreement may not be assigned</w:t>
      </w:r>
      <w:r>
        <w:rPr>
          <w:rFonts w:ascii="Arial" w:cs="Arial" w:eastAsia="Arial" w:hAnsi="Arial"/>
          <w:sz w:val="18"/>
          <w:szCs w:val="18"/>
          <w:color w:val="auto"/>
        </w:rPr>
        <w:t xml:space="preserve"> </w:t>
      </w:r>
      <w:r>
        <w:rPr>
          <w:rFonts w:ascii="Arial" w:cs="Arial" w:eastAsia="Arial" w:hAnsi="Arial"/>
          <w:sz w:val="18"/>
          <w:szCs w:val="18"/>
          <w:color w:val="1A1A1A"/>
        </w:rPr>
        <w:t>b</w:t>
      </w:r>
      <w:r>
        <w:rPr>
          <w:rFonts w:ascii="Arial" w:cs="Arial" w:eastAsia="Arial" w:hAnsi="Arial"/>
          <w:sz w:val="18"/>
          <w:szCs w:val="18"/>
          <w:color w:val="3B3B3B"/>
        </w:rPr>
        <w:t>y</w:t>
      </w:r>
      <w:r>
        <w:rPr>
          <w:rFonts w:ascii="Arial" w:cs="Arial" w:eastAsia="Arial" w:hAnsi="Arial"/>
          <w:sz w:val="18"/>
          <w:szCs w:val="18"/>
          <w:color w:val="auto"/>
        </w:rPr>
        <w:t xml:space="preserve"> </w:t>
      </w:r>
      <w:r>
        <w:rPr>
          <w:rFonts w:ascii="Arial" w:cs="Arial" w:eastAsia="Arial" w:hAnsi="Arial"/>
          <w:sz w:val="18"/>
          <w:szCs w:val="18"/>
          <w:color w:val="2A2A2A"/>
        </w:rPr>
        <w:t>either</w:t>
      </w:r>
      <w:r>
        <w:rPr>
          <w:rFonts w:ascii="Arial" w:cs="Arial" w:eastAsia="Arial" w:hAnsi="Arial"/>
          <w:sz w:val="18"/>
          <w:szCs w:val="18"/>
          <w:color w:val="auto"/>
        </w:rPr>
        <w:t xml:space="preserve"> </w:t>
      </w:r>
      <w:r>
        <w:rPr>
          <w:rFonts w:ascii="Arial" w:cs="Arial" w:eastAsia="Arial" w:hAnsi="Arial"/>
          <w:sz w:val="18"/>
          <w:szCs w:val="18"/>
          <w:color w:val="1A1A1A"/>
        </w:rPr>
        <w:t>Party</w:t>
      </w:r>
      <w:r>
        <w:rPr>
          <w:rFonts w:ascii="Arial" w:cs="Arial" w:eastAsia="Arial" w:hAnsi="Arial"/>
          <w:sz w:val="18"/>
          <w:szCs w:val="18"/>
          <w:color w:val="auto"/>
        </w:rPr>
        <w:t xml:space="preserve"> </w:t>
      </w:r>
      <w:r>
        <w:rPr>
          <w:rFonts w:ascii="Arial" w:cs="Arial" w:eastAsia="Arial" w:hAnsi="Arial"/>
          <w:sz w:val="18"/>
          <w:szCs w:val="18"/>
          <w:color w:val="2A2A2A"/>
        </w:rPr>
        <w:t>without</w:t>
      </w:r>
      <w:r>
        <w:rPr>
          <w:rFonts w:ascii="Arial" w:cs="Arial" w:eastAsia="Arial" w:hAnsi="Arial"/>
          <w:sz w:val="18"/>
          <w:szCs w:val="18"/>
          <w:color w:val="auto"/>
        </w:rPr>
        <w:t xml:space="preserve"> </w:t>
      </w:r>
      <w:r>
        <w:rPr>
          <w:rFonts w:ascii="Arial" w:cs="Arial" w:eastAsia="Arial" w:hAnsi="Arial"/>
          <w:sz w:val="18"/>
          <w:szCs w:val="18"/>
          <w:color w:val="1A1A1A"/>
        </w:rPr>
        <w:t>t</w:t>
      </w:r>
      <w:r>
        <w:rPr>
          <w:rFonts w:ascii="Arial" w:cs="Arial" w:eastAsia="Arial" w:hAnsi="Arial"/>
          <w:sz w:val="18"/>
          <w:szCs w:val="18"/>
          <w:color w:val="3B3B3B"/>
        </w:rPr>
        <w:t>he express</w:t>
      </w:r>
      <w:r>
        <w:rPr>
          <w:rFonts w:ascii="Arial" w:cs="Arial" w:eastAsia="Arial" w:hAnsi="Arial"/>
          <w:sz w:val="18"/>
          <w:szCs w:val="18"/>
          <w:color w:val="auto"/>
        </w:rPr>
        <w:t xml:space="preserve"> </w:t>
      </w:r>
      <w:r>
        <w:rPr>
          <w:rFonts w:ascii="Arial" w:cs="Arial" w:eastAsia="Arial" w:hAnsi="Arial"/>
          <w:sz w:val="18"/>
          <w:szCs w:val="18"/>
          <w:color w:val="2A2A2A"/>
        </w:rPr>
        <w:t>prior written consent of</w:t>
      </w:r>
      <w:r>
        <w:rPr>
          <w:rFonts w:ascii="Arial" w:cs="Arial" w:eastAsia="Arial" w:hAnsi="Arial"/>
          <w:sz w:val="18"/>
          <w:szCs w:val="18"/>
          <w:color w:val="auto"/>
        </w:rPr>
        <w:t xml:space="preserve"> </w:t>
      </w:r>
      <w:r>
        <w:rPr>
          <w:rFonts w:ascii="Arial" w:cs="Arial" w:eastAsia="Arial" w:hAnsi="Arial"/>
          <w:sz w:val="18"/>
          <w:szCs w:val="18"/>
          <w:color w:val="1A1A1A"/>
        </w:rPr>
        <w:t>the other Party</w:t>
      </w:r>
      <w:r>
        <w:rPr>
          <w:rFonts w:ascii="Arial" w:cs="Arial" w:eastAsia="Arial" w:hAnsi="Arial"/>
          <w:sz w:val="18"/>
          <w:szCs w:val="18"/>
          <w:color w:val="3B3B3B"/>
        </w:rPr>
        <w:t>,</w:t>
      </w:r>
      <w:r>
        <w:rPr>
          <w:rFonts w:ascii="Arial" w:cs="Arial" w:eastAsia="Arial" w:hAnsi="Arial"/>
          <w:sz w:val="18"/>
          <w:szCs w:val="18"/>
          <w:color w:val="auto"/>
        </w:rPr>
        <w:t xml:space="preserve"> </w:t>
      </w:r>
      <w:r>
        <w:rPr>
          <w:rFonts w:ascii="Arial" w:cs="Arial" w:eastAsia="Arial" w:hAnsi="Arial"/>
          <w:sz w:val="18"/>
          <w:szCs w:val="18"/>
          <w:color w:val="2A2A2A"/>
        </w:rPr>
        <w:t>provided</w:t>
      </w:r>
      <w:r>
        <w:rPr>
          <w:rFonts w:ascii="Arial" w:cs="Arial" w:eastAsia="Arial" w:hAnsi="Arial"/>
          <w:sz w:val="18"/>
          <w:szCs w:val="18"/>
          <w:color w:val="auto"/>
        </w:rPr>
        <w:t xml:space="preserve"> </w:t>
      </w:r>
      <w:r>
        <w:rPr>
          <w:rFonts w:ascii="Arial" w:cs="Arial" w:eastAsia="Arial" w:hAnsi="Arial"/>
          <w:sz w:val="18"/>
          <w:szCs w:val="18"/>
          <w:color w:val="1A1A1A"/>
        </w:rPr>
        <w:t xml:space="preserve">that </w:t>
      </w:r>
      <w:r>
        <w:rPr>
          <w:rFonts w:ascii="Arial" w:cs="Arial" w:eastAsia="Arial" w:hAnsi="Arial"/>
          <w:sz w:val="18"/>
          <w:szCs w:val="18"/>
          <w:color w:val="2A2A2A"/>
        </w:rPr>
        <w:t>either Party may</w:t>
      </w:r>
      <w:r>
        <w:rPr>
          <w:rFonts w:ascii="Arial" w:cs="Arial" w:eastAsia="Arial" w:hAnsi="Arial"/>
          <w:sz w:val="18"/>
          <w:szCs w:val="18"/>
          <w:color w:val="1A1A1A"/>
        </w:rPr>
        <w:t xml:space="preserve"> </w:t>
      </w:r>
      <w:r>
        <w:rPr>
          <w:rFonts w:ascii="Arial" w:cs="Arial" w:eastAsia="Arial" w:hAnsi="Arial"/>
          <w:sz w:val="18"/>
          <w:szCs w:val="18"/>
          <w:color w:val="3B3B3B"/>
        </w:rPr>
        <w:t>assig</w:t>
      </w:r>
      <w:r>
        <w:rPr>
          <w:rFonts w:ascii="Arial" w:cs="Arial" w:eastAsia="Arial" w:hAnsi="Arial"/>
          <w:sz w:val="18"/>
          <w:szCs w:val="18"/>
          <w:color w:val="1A1A1A"/>
        </w:rPr>
        <w:t xml:space="preserve">n </w:t>
      </w:r>
      <w:r>
        <w:rPr>
          <w:rFonts w:ascii="Arial" w:cs="Arial" w:eastAsia="Arial" w:hAnsi="Arial"/>
          <w:sz w:val="18"/>
          <w:szCs w:val="18"/>
          <w:color w:val="3B3B3B"/>
        </w:rPr>
        <w:t>t</w:t>
      </w:r>
      <w:r>
        <w:rPr>
          <w:rFonts w:ascii="Arial" w:cs="Arial" w:eastAsia="Arial" w:hAnsi="Arial"/>
          <w:sz w:val="18"/>
          <w:szCs w:val="18"/>
          <w:color w:val="1A1A1A"/>
        </w:rPr>
        <w:t>hi</w:t>
      </w:r>
      <w:r>
        <w:rPr>
          <w:rFonts w:ascii="Arial" w:cs="Arial" w:eastAsia="Arial" w:hAnsi="Arial"/>
          <w:sz w:val="18"/>
          <w:szCs w:val="18"/>
          <w:color w:val="3B3B3B"/>
        </w:rPr>
        <w:t>s</w:t>
      </w:r>
      <w:r>
        <w:rPr>
          <w:rFonts w:ascii="Arial" w:cs="Arial" w:eastAsia="Arial" w:hAnsi="Arial"/>
          <w:sz w:val="18"/>
          <w:szCs w:val="18"/>
          <w:color w:val="1A1A1A"/>
        </w:rPr>
        <w:t xml:space="preserve"> </w:t>
      </w:r>
      <w:r>
        <w:rPr>
          <w:rFonts w:ascii="Arial" w:cs="Arial" w:eastAsia="Arial" w:hAnsi="Arial"/>
          <w:sz w:val="18"/>
          <w:szCs w:val="18"/>
          <w:color w:val="2A2A2A"/>
        </w:rPr>
        <w:t>Agreement</w:t>
      </w:r>
      <w:r>
        <w:rPr>
          <w:rFonts w:ascii="Arial" w:cs="Arial" w:eastAsia="Arial" w:hAnsi="Arial"/>
          <w:sz w:val="18"/>
          <w:szCs w:val="18"/>
          <w:color w:val="1A1A1A"/>
        </w:rPr>
        <w:t xml:space="preserve"> in </w:t>
      </w:r>
      <w:r>
        <w:rPr>
          <w:rFonts w:ascii="Arial" w:cs="Arial" w:eastAsia="Arial" w:hAnsi="Arial"/>
          <w:sz w:val="18"/>
          <w:szCs w:val="18"/>
          <w:color w:val="2A2A2A"/>
        </w:rPr>
        <w:t>whole and</w:t>
      </w:r>
      <w:r>
        <w:rPr>
          <w:rFonts w:ascii="Arial" w:cs="Arial" w:eastAsia="Arial" w:hAnsi="Arial"/>
          <w:sz w:val="18"/>
          <w:szCs w:val="18"/>
          <w:color w:val="1A1A1A"/>
        </w:rPr>
        <w:t xml:space="preserve"> i</w:t>
      </w:r>
      <w:r>
        <w:rPr>
          <w:rFonts w:ascii="Arial" w:cs="Arial" w:eastAsia="Arial" w:hAnsi="Arial"/>
          <w:sz w:val="18"/>
          <w:szCs w:val="18"/>
          <w:color w:val="3B3B3B"/>
        </w:rPr>
        <w:t>n</w:t>
      </w:r>
      <w:r>
        <w:rPr>
          <w:rFonts w:ascii="Arial" w:cs="Arial" w:eastAsia="Arial" w:hAnsi="Arial"/>
          <w:sz w:val="18"/>
          <w:szCs w:val="18"/>
          <w:color w:val="1A1A1A"/>
        </w:rPr>
        <w:t xml:space="preserve"> part </w:t>
      </w:r>
      <w:r>
        <w:rPr>
          <w:rFonts w:ascii="Arial" w:cs="Arial" w:eastAsia="Arial" w:hAnsi="Arial"/>
          <w:sz w:val="18"/>
          <w:szCs w:val="18"/>
          <w:color w:val="3B3B3B"/>
        </w:rPr>
        <w:t>t</w:t>
      </w:r>
      <w:r>
        <w:rPr>
          <w:rFonts w:ascii="Arial" w:cs="Arial" w:eastAsia="Arial" w:hAnsi="Arial"/>
          <w:sz w:val="18"/>
          <w:szCs w:val="18"/>
          <w:color w:val="1A1A1A"/>
        </w:rPr>
        <w:t xml:space="preserve">o </w:t>
      </w:r>
      <w:r>
        <w:rPr>
          <w:rFonts w:ascii="Arial" w:cs="Arial" w:eastAsia="Arial" w:hAnsi="Arial"/>
          <w:sz w:val="18"/>
          <w:szCs w:val="18"/>
          <w:color w:val="2A2A2A"/>
        </w:rPr>
        <w:t>a</w:t>
      </w:r>
      <w:r>
        <w:rPr>
          <w:rFonts w:ascii="Arial" w:cs="Arial" w:eastAsia="Arial" w:hAnsi="Arial"/>
          <w:sz w:val="18"/>
          <w:szCs w:val="18"/>
          <w:color w:val="1A1A1A"/>
        </w:rPr>
        <w:t xml:space="preserve"> </w:t>
      </w:r>
      <w:r>
        <w:rPr>
          <w:rFonts w:ascii="Arial" w:cs="Arial" w:eastAsia="Arial" w:hAnsi="Arial"/>
          <w:sz w:val="18"/>
          <w:szCs w:val="18"/>
          <w:color w:val="3B3B3B"/>
        </w:rPr>
        <w:t>th</w:t>
      </w:r>
      <w:r>
        <w:rPr>
          <w:rFonts w:ascii="Arial" w:cs="Arial" w:eastAsia="Arial" w:hAnsi="Arial"/>
          <w:sz w:val="18"/>
          <w:szCs w:val="18"/>
          <w:color w:val="1A1A1A"/>
        </w:rPr>
        <w:t>ir</w:t>
      </w:r>
      <w:r>
        <w:rPr>
          <w:rFonts w:ascii="Arial" w:cs="Arial" w:eastAsia="Arial" w:hAnsi="Arial"/>
          <w:sz w:val="18"/>
          <w:szCs w:val="18"/>
          <w:color w:val="3B3B3B"/>
        </w:rPr>
        <w:t>d</w:t>
      </w:r>
      <w:r>
        <w:rPr>
          <w:rFonts w:ascii="Arial" w:cs="Arial" w:eastAsia="Arial" w:hAnsi="Arial"/>
          <w:sz w:val="18"/>
          <w:szCs w:val="18"/>
          <w:color w:val="1A1A1A"/>
        </w:rPr>
        <w:t xml:space="preserve"> p</w:t>
      </w:r>
      <w:r>
        <w:rPr>
          <w:rFonts w:ascii="Arial" w:cs="Arial" w:eastAsia="Arial" w:hAnsi="Arial"/>
          <w:sz w:val="18"/>
          <w:szCs w:val="18"/>
          <w:color w:val="3B3B3B"/>
        </w:rPr>
        <w:t>arty,</w:t>
      </w:r>
      <w:r>
        <w:rPr>
          <w:rFonts w:ascii="Arial" w:cs="Arial" w:eastAsia="Arial" w:hAnsi="Arial"/>
          <w:sz w:val="18"/>
          <w:szCs w:val="18"/>
          <w:color w:val="1A1A1A"/>
        </w:rPr>
        <w:t xml:space="preserve"> in </w:t>
      </w:r>
      <w:r>
        <w:rPr>
          <w:rFonts w:ascii="Arial" w:cs="Arial" w:eastAsia="Arial" w:hAnsi="Arial"/>
          <w:sz w:val="18"/>
          <w:szCs w:val="18"/>
          <w:color w:val="3B3B3B"/>
        </w:rPr>
        <w:t>the</w:t>
      </w:r>
      <w:r>
        <w:rPr>
          <w:rFonts w:ascii="Arial" w:cs="Arial" w:eastAsia="Arial" w:hAnsi="Arial"/>
          <w:sz w:val="18"/>
          <w:szCs w:val="18"/>
          <w:color w:val="1A1A1A"/>
        </w:rPr>
        <w:t xml:space="preserve"> </w:t>
      </w:r>
      <w:r>
        <w:rPr>
          <w:rFonts w:ascii="Arial" w:cs="Arial" w:eastAsia="Arial" w:hAnsi="Arial"/>
          <w:sz w:val="18"/>
          <w:szCs w:val="18"/>
          <w:color w:val="2A2A2A"/>
        </w:rPr>
        <w:t>course of</w:t>
      </w:r>
      <w:r>
        <w:rPr>
          <w:rFonts w:ascii="Arial" w:cs="Arial" w:eastAsia="Arial" w:hAnsi="Arial"/>
          <w:sz w:val="18"/>
          <w:szCs w:val="18"/>
          <w:color w:val="1A1A1A"/>
        </w:rPr>
        <w:t xml:space="preserve"> </w:t>
      </w:r>
      <w:r>
        <w:rPr>
          <w:rFonts w:ascii="Arial" w:cs="Arial" w:eastAsia="Arial" w:hAnsi="Arial"/>
          <w:sz w:val="18"/>
          <w:szCs w:val="18"/>
          <w:color w:val="3B3B3B"/>
        </w:rPr>
        <w:t>a</w:t>
      </w:r>
      <w:r>
        <w:rPr>
          <w:rFonts w:ascii="Arial" w:cs="Arial" w:eastAsia="Arial" w:hAnsi="Arial"/>
          <w:sz w:val="18"/>
          <w:szCs w:val="18"/>
          <w:color w:val="1A1A1A"/>
        </w:rPr>
        <w:t xml:space="preserve"> m</w:t>
      </w:r>
      <w:r>
        <w:rPr>
          <w:rFonts w:ascii="Arial" w:cs="Arial" w:eastAsia="Arial" w:hAnsi="Arial"/>
          <w:sz w:val="18"/>
          <w:szCs w:val="18"/>
          <w:color w:val="3B3B3B"/>
        </w:rPr>
        <w:t>erger</w:t>
      </w:r>
      <w:r>
        <w:rPr>
          <w:rFonts w:ascii="Arial" w:cs="Arial" w:eastAsia="Arial" w:hAnsi="Arial"/>
          <w:sz w:val="18"/>
          <w:szCs w:val="18"/>
          <w:color w:val="1A1A1A"/>
        </w:rPr>
        <w:t xml:space="preserve"> </w:t>
      </w:r>
      <w:r>
        <w:rPr>
          <w:rFonts w:ascii="Arial" w:cs="Arial" w:eastAsia="Arial" w:hAnsi="Arial"/>
          <w:sz w:val="18"/>
          <w:szCs w:val="18"/>
          <w:color w:val="2A2A2A"/>
        </w:rPr>
        <w:t>or acquisition by or of</w:t>
      </w:r>
      <w:r>
        <w:rPr>
          <w:rFonts w:ascii="Arial" w:cs="Arial" w:eastAsia="Arial" w:hAnsi="Arial"/>
          <w:sz w:val="18"/>
          <w:szCs w:val="18"/>
          <w:color w:val="1A1A1A"/>
        </w:rPr>
        <w:t xml:space="preserve"> </w:t>
      </w:r>
      <w:r>
        <w:rPr>
          <w:rFonts w:ascii="Arial" w:cs="Arial" w:eastAsia="Arial" w:hAnsi="Arial"/>
          <w:sz w:val="18"/>
          <w:szCs w:val="18"/>
          <w:color w:val="3B3B3B"/>
        </w:rPr>
        <w:t>suc</w:t>
      </w:r>
      <w:r>
        <w:rPr>
          <w:rFonts w:ascii="Arial" w:cs="Arial" w:eastAsia="Arial" w:hAnsi="Arial"/>
          <w:sz w:val="18"/>
          <w:szCs w:val="18"/>
          <w:color w:val="1A1A1A"/>
        </w:rPr>
        <w:t xml:space="preserve">h </w:t>
      </w:r>
      <w:r>
        <w:rPr>
          <w:rFonts w:ascii="Arial" w:cs="Arial" w:eastAsia="Arial" w:hAnsi="Arial"/>
          <w:sz w:val="18"/>
          <w:szCs w:val="18"/>
          <w:color w:val="3B3B3B"/>
        </w:rPr>
        <w:t>P</w:t>
      </w:r>
      <w:r>
        <w:rPr>
          <w:rFonts w:ascii="Arial" w:cs="Arial" w:eastAsia="Arial" w:hAnsi="Arial"/>
          <w:sz w:val="18"/>
          <w:szCs w:val="18"/>
          <w:color w:val="1A1A1A"/>
        </w:rPr>
        <w:t>a</w:t>
      </w:r>
      <w:r>
        <w:rPr>
          <w:rFonts w:ascii="Arial" w:cs="Arial" w:eastAsia="Arial" w:hAnsi="Arial"/>
          <w:sz w:val="18"/>
          <w:szCs w:val="18"/>
          <w:color w:val="3B3B3B"/>
        </w:rPr>
        <w:t xml:space="preserve">rty, </w:t>
      </w:r>
      <w:r>
        <w:rPr>
          <w:rFonts w:ascii="Arial" w:cs="Arial" w:eastAsia="Arial" w:hAnsi="Arial"/>
          <w:sz w:val="18"/>
          <w:szCs w:val="18"/>
          <w:color w:val="2A2A2A"/>
        </w:rPr>
        <w:t>or</w:t>
      </w:r>
      <w:r>
        <w:rPr>
          <w:rFonts w:ascii="Arial" w:cs="Arial" w:eastAsia="Arial" w:hAnsi="Arial"/>
          <w:sz w:val="18"/>
          <w:szCs w:val="18"/>
          <w:color w:val="3B3B3B"/>
        </w:rPr>
        <w:t xml:space="preserve"> in </w:t>
      </w:r>
      <w:r>
        <w:rPr>
          <w:rFonts w:ascii="Arial" w:cs="Arial" w:eastAsia="Arial" w:hAnsi="Arial"/>
          <w:sz w:val="18"/>
          <w:szCs w:val="18"/>
          <w:color w:val="1A1A1A"/>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right="640"/>
        <w:spacing w:after="0" w:line="246" w:lineRule="auto"/>
        <w:rPr>
          <w:sz w:val="20"/>
          <w:szCs w:val="20"/>
          <w:color w:val="auto"/>
        </w:rPr>
      </w:pPr>
      <w:r>
        <w:rPr>
          <w:rFonts w:ascii="Arial" w:cs="Arial" w:eastAsia="Arial" w:hAnsi="Arial"/>
          <w:sz w:val="18"/>
          <w:szCs w:val="18"/>
          <w:color w:val="3B3B3B"/>
        </w:rPr>
        <w:t xml:space="preserve">course of </w:t>
      </w:r>
      <w:r>
        <w:rPr>
          <w:rFonts w:ascii="Arial" w:cs="Arial" w:eastAsia="Arial" w:hAnsi="Arial"/>
          <w:sz w:val="18"/>
          <w:szCs w:val="18"/>
          <w:color w:val="2A2A2A"/>
        </w:rPr>
        <w:t>a reorganization or</w:t>
      </w:r>
      <w:r>
        <w:rPr>
          <w:rFonts w:ascii="Arial" w:cs="Arial" w:eastAsia="Arial" w:hAnsi="Arial"/>
          <w:sz w:val="18"/>
          <w:szCs w:val="18"/>
          <w:color w:val="3B3B3B"/>
        </w:rPr>
        <w:t xml:space="preserve"> reca</w:t>
      </w:r>
      <w:r>
        <w:rPr>
          <w:rFonts w:ascii="Arial" w:cs="Arial" w:eastAsia="Arial" w:hAnsi="Arial"/>
          <w:sz w:val="18"/>
          <w:szCs w:val="18"/>
          <w:color w:val="1A1A1A"/>
        </w:rPr>
        <w:t>pitaliz</w:t>
      </w:r>
      <w:r>
        <w:rPr>
          <w:rFonts w:ascii="Arial" w:cs="Arial" w:eastAsia="Arial" w:hAnsi="Arial"/>
          <w:sz w:val="18"/>
          <w:szCs w:val="18"/>
          <w:color w:val="3B3B3B"/>
        </w:rPr>
        <w:t>a</w:t>
      </w:r>
      <w:r>
        <w:rPr>
          <w:rFonts w:ascii="Arial" w:cs="Arial" w:eastAsia="Arial" w:hAnsi="Arial"/>
          <w:sz w:val="18"/>
          <w:szCs w:val="18"/>
          <w:color w:val="1A1A1A"/>
        </w:rPr>
        <w:t>tion</w:t>
      </w:r>
      <w:r>
        <w:rPr>
          <w:rFonts w:ascii="Arial" w:cs="Arial" w:eastAsia="Arial" w:hAnsi="Arial"/>
          <w:sz w:val="18"/>
          <w:szCs w:val="18"/>
          <w:color w:val="3B3B3B"/>
        </w:rPr>
        <w:t xml:space="preserve">, </w:t>
      </w:r>
      <w:r>
        <w:rPr>
          <w:rFonts w:ascii="Arial" w:cs="Arial" w:eastAsia="Arial" w:hAnsi="Arial"/>
          <w:sz w:val="18"/>
          <w:szCs w:val="18"/>
          <w:color w:val="1A1A1A"/>
        </w:rPr>
        <w:t>upon</w:t>
      </w:r>
      <w:r>
        <w:rPr>
          <w:rFonts w:ascii="Arial" w:cs="Arial" w:eastAsia="Arial" w:hAnsi="Arial"/>
          <w:sz w:val="18"/>
          <w:szCs w:val="18"/>
          <w:color w:val="3B3B3B"/>
        </w:rPr>
        <w:t xml:space="preserve"> </w:t>
      </w:r>
      <w:r>
        <w:rPr>
          <w:rFonts w:ascii="Arial" w:cs="Arial" w:eastAsia="Arial" w:hAnsi="Arial"/>
          <w:sz w:val="18"/>
          <w:szCs w:val="18"/>
          <w:color w:val="2A2A2A"/>
        </w:rPr>
        <w:t>written notice to</w:t>
      </w:r>
      <w:r>
        <w:rPr>
          <w:rFonts w:ascii="Arial" w:cs="Arial" w:eastAsia="Arial" w:hAnsi="Arial"/>
          <w:sz w:val="18"/>
          <w:szCs w:val="18"/>
          <w:color w:val="3B3B3B"/>
        </w:rPr>
        <w:t xml:space="preserve"> </w:t>
      </w:r>
      <w:r>
        <w:rPr>
          <w:rFonts w:ascii="Arial" w:cs="Arial" w:eastAsia="Arial" w:hAnsi="Arial"/>
          <w:sz w:val="18"/>
          <w:szCs w:val="18"/>
          <w:color w:val="1A1A1A"/>
        </w:rPr>
        <w:t>th</w:t>
      </w:r>
      <w:r>
        <w:rPr>
          <w:rFonts w:ascii="Arial" w:cs="Arial" w:eastAsia="Arial" w:hAnsi="Arial"/>
          <w:sz w:val="18"/>
          <w:szCs w:val="18"/>
          <w:color w:val="3B3B3B"/>
        </w:rPr>
        <w:t>e o</w:t>
      </w:r>
      <w:r>
        <w:rPr>
          <w:rFonts w:ascii="Arial" w:cs="Arial" w:eastAsia="Arial" w:hAnsi="Arial"/>
          <w:sz w:val="18"/>
          <w:szCs w:val="18"/>
          <w:color w:val="1A1A1A"/>
        </w:rPr>
        <w:t>th</w:t>
      </w:r>
      <w:r>
        <w:rPr>
          <w:rFonts w:ascii="Arial" w:cs="Arial" w:eastAsia="Arial" w:hAnsi="Arial"/>
          <w:sz w:val="18"/>
          <w:szCs w:val="18"/>
          <w:color w:val="3B3B3B"/>
        </w:rPr>
        <w:t xml:space="preserve">er </w:t>
      </w:r>
      <w:r>
        <w:rPr>
          <w:rFonts w:ascii="Arial" w:cs="Arial" w:eastAsia="Arial" w:hAnsi="Arial"/>
          <w:sz w:val="18"/>
          <w:szCs w:val="18"/>
          <w:color w:val="1A1A1A"/>
        </w:rPr>
        <w:t>Par</w:t>
      </w:r>
      <w:r>
        <w:rPr>
          <w:rFonts w:ascii="Arial" w:cs="Arial" w:eastAsia="Arial" w:hAnsi="Arial"/>
          <w:sz w:val="18"/>
          <w:szCs w:val="18"/>
          <w:color w:val="3B3B3B"/>
        </w:rPr>
        <w:t>ty</w:t>
      </w:r>
      <w:r>
        <w:rPr>
          <w:rFonts w:ascii="Arial" w:cs="Arial" w:eastAsia="Arial" w:hAnsi="Arial"/>
          <w:sz w:val="18"/>
          <w:szCs w:val="18"/>
          <w:color w:val="1A1A1A"/>
        </w:rPr>
        <w:t>.</w:t>
      </w:r>
      <w:r>
        <w:rPr>
          <w:rFonts w:ascii="Arial" w:cs="Arial" w:eastAsia="Arial" w:hAnsi="Arial"/>
          <w:sz w:val="18"/>
          <w:szCs w:val="18"/>
          <w:color w:val="3B3B3B"/>
        </w:rPr>
        <w:t xml:space="preserve"> A</w:t>
      </w:r>
      <w:r>
        <w:rPr>
          <w:rFonts w:ascii="Arial" w:cs="Arial" w:eastAsia="Arial" w:hAnsi="Arial"/>
          <w:sz w:val="18"/>
          <w:szCs w:val="18"/>
          <w:color w:val="1A1A1A"/>
        </w:rPr>
        <w:t>n</w:t>
      </w:r>
      <w:r>
        <w:rPr>
          <w:rFonts w:ascii="Arial" w:cs="Arial" w:eastAsia="Arial" w:hAnsi="Arial"/>
          <w:sz w:val="18"/>
          <w:szCs w:val="18"/>
          <w:color w:val="3B3B3B"/>
        </w:rPr>
        <w:t xml:space="preserve">y </w:t>
      </w:r>
      <w:r>
        <w:rPr>
          <w:rFonts w:ascii="Arial" w:cs="Arial" w:eastAsia="Arial" w:hAnsi="Arial"/>
          <w:sz w:val="18"/>
          <w:szCs w:val="18"/>
          <w:color w:val="2A2A2A"/>
        </w:rPr>
        <w:t>attempted assignment</w:t>
      </w:r>
      <w:r>
        <w:rPr>
          <w:rFonts w:ascii="Arial" w:cs="Arial" w:eastAsia="Arial" w:hAnsi="Arial"/>
          <w:sz w:val="18"/>
          <w:szCs w:val="18"/>
          <w:color w:val="3B3B3B"/>
        </w:rPr>
        <w:t xml:space="preserve"> </w:t>
      </w:r>
      <w:r>
        <w:rPr>
          <w:rFonts w:ascii="Arial" w:cs="Arial" w:eastAsia="Arial" w:hAnsi="Arial"/>
          <w:sz w:val="18"/>
          <w:szCs w:val="18"/>
          <w:color w:val="1A1A1A"/>
        </w:rPr>
        <w:t>b</w:t>
      </w:r>
      <w:r>
        <w:rPr>
          <w:rFonts w:ascii="Arial" w:cs="Arial" w:eastAsia="Arial" w:hAnsi="Arial"/>
          <w:sz w:val="18"/>
          <w:szCs w:val="18"/>
          <w:color w:val="3B3B3B"/>
        </w:rPr>
        <w:t xml:space="preserve">y </w:t>
      </w:r>
      <w:r>
        <w:rPr>
          <w:rFonts w:ascii="Arial" w:cs="Arial" w:eastAsia="Arial" w:hAnsi="Arial"/>
          <w:sz w:val="18"/>
          <w:szCs w:val="18"/>
          <w:color w:val="2A2A2A"/>
        </w:rPr>
        <w:t>either</w:t>
      </w:r>
      <w:r>
        <w:rPr>
          <w:rFonts w:ascii="Arial" w:cs="Arial" w:eastAsia="Arial" w:hAnsi="Arial"/>
          <w:sz w:val="18"/>
          <w:szCs w:val="18"/>
          <w:color w:val="3B3B3B"/>
        </w:rPr>
        <w:t xml:space="preserve"> </w:t>
      </w:r>
      <w:r>
        <w:rPr>
          <w:rFonts w:ascii="Arial" w:cs="Arial" w:eastAsia="Arial" w:hAnsi="Arial"/>
          <w:sz w:val="18"/>
          <w:szCs w:val="18"/>
          <w:color w:val="1A1A1A"/>
        </w:rPr>
        <w:t>Party</w:t>
      </w:r>
      <w:r>
        <w:rPr>
          <w:rFonts w:ascii="Arial" w:cs="Arial" w:eastAsia="Arial" w:hAnsi="Arial"/>
          <w:sz w:val="18"/>
          <w:szCs w:val="18"/>
          <w:color w:val="3B3B3B"/>
        </w:rPr>
        <w:t xml:space="preserve"> </w:t>
      </w:r>
      <w:r>
        <w:rPr>
          <w:rFonts w:ascii="Arial" w:cs="Arial" w:eastAsia="Arial" w:hAnsi="Arial"/>
          <w:sz w:val="18"/>
          <w:szCs w:val="18"/>
          <w:color w:val="2A2A2A"/>
        </w:rPr>
        <w:t>in</w:t>
      </w:r>
      <w:r>
        <w:rPr>
          <w:rFonts w:ascii="Arial" w:cs="Arial" w:eastAsia="Arial" w:hAnsi="Arial"/>
          <w:sz w:val="18"/>
          <w:szCs w:val="18"/>
          <w:color w:val="3B3B3B"/>
        </w:rPr>
        <w:t xml:space="preserve"> </w:t>
      </w:r>
      <w:r>
        <w:rPr>
          <w:rFonts w:ascii="Arial" w:cs="Arial" w:eastAsia="Arial" w:hAnsi="Arial"/>
          <w:sz w:val="18"/>
          <w:szCs w:val="18"/>
          <w:color w:val="2A2A2A"/>
        </w:rPr>
        <w:t xml:space="preserve">derogation of </w:t>
      </w:r>
      <w:r>
        <w:rPr>
          <w:rFonts w:ascii="Arial" w:cs="Arial" w:eastAsia="Arial" w:hAnsi="Arial"/>
          <w:sz w:val="18"/>
          <w:szCs w:val="18"/>
          <w:color w:val="3B3B3B"/>
        </w:rPr>
        <w:t>t</w:t>
      </w:r>
      <w:r>
        <w:rPr>
          <w:rFonts w:ascii="Arial" w:cs="Arial" w:eastAsia="Arial" w:hAnsi="Arial"/>
          <w:sz w:val="18"/>
          <w:szCs w:val="18"/>
          <w:color w:val="1A1A1A"/>
        </w:rPr>
        <w:t>he</w:t>
      </w:r>
      <w:r>
        <w:rPr>
          <w:rFonts w:ascii="Arial" w:cs="Arial" w:eastAsia="Arial" w:hAnsi="Arial"/>
          <w:sz w:val="18"/>
          <w:szCs w:val="18"/>
          <w:color w:val="2A2A2A"/>
        </w:rPr>
        <w:t xml:space="preserve"> foregoing </w:t>
      </w:r>
      <w:r>
        <w:rPr>
          <w:rFonts w:ascii="Arial" w:cs="Arial" w:eastAsia="Arial" w:hAnsi="Arial"/>
          <w:sz w:val="18"/>
          <w:szCs w:val="18"/>
          <w:color w:val="3B3B3B"/>
        </w:rPr>
        <w:t>shall</w:t>
      </w:r>
      <w:r>
        <w:rPr>
          <w:rFonts w:ascii="Arial" w:cs="Arial" w:eastAsia="Arial" w:hAnsi="Arial"/>
          <w:sz w:val="18"/>
          <w:szCs w:val="18"/>
          <w:color w:val="2A2A2A"/>
        </w:rPr>
        <w:t xml:space="preserve"> </w:t>
      </w:r>
      <w:r>
        <w:rPr>
          <w:rFonts w:ascii="Arial" w:cs="Arial" w:eastAsia="Arial" w:hAnsi="Arial"/>
          <w:sz w:val="18"/>
          <w:szCs w:val="18"/>
          <w:color w:val="1A1A1A"/>
        </w:rPr>
        <w:t>be</w:t>
      </w:r>
      <w:r>
        <w:rPr>
          <w:rFonts w:ascii="Arial" w:cs="Arial" w:eastAsia="Arial" w:hAnsi="Arial"/>
          <w:sz w:val="18"/>
          <w:szCs w:val="18"/>
          <w:color w:val="2A2A2A"/>
        </w:rPr>
        <w:t xml:space="preserve"> void.</w:t>
      </w:r>
    </w:p>
    <w:p>
      <w:pPr>
        <w:spacing w:after="0" w:line="193" w:lineRule="exact"/>
        <w:rPr>
          <w:sz w:val="20"/>
          <w:szCs w:val="20"/>
          <w:color w:val="auto"/>
        </w:rPr>
      </w:pPr>
    </w:p>
    <w:p>
      <w:pPr>
        <w:ind w:left="320" w:right="60" w:hanging="323"/>
        <w:spacing w:after="0" w:line="232"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1A1A1A"/>
        </w:rPr>
        <w:t>Notices.</w:t>
      </w:r>
      <w:r>
        <w:rPr>
          <w:rFonts w:ascii="Arial" w:cs="Arial" w:eastAsia="Arial" w:hAnsi="Arial"/>
          <w:sz w:val="18"/>
          <w:szCs w:val="18"/>
          <w:color w:val="auto"/>
        </w:rPr>
        <w:t xml:space="preserve"> </w:t>
      </w:r>
      <w:r>
        <w:rPr>
          <w:rFonts w:ascii="Arial" w:cs="Arial" w:eastAsia="Arial" w:hAnsi="Arial"/>
          <w:sz w:val="18"/>
          <w:szCs w:val="18"/>
          <w:color w:val="2A2A2A"/>
        </w:rPr>
        <w:t>Any notices</w:t>
      </w:r>
      <w:r>
        <w:rPr>
          <w:rFonts w:ascii="Arial" w:cs="Arial" w:eastAsia="Arial" w:hAnsi="Arial"/>
          <w:sz w:val="18"/>
          <w:szCs w:val="18"/>
          <w:color w:val="auto"/>
        </w:rPr>
        <w:t xml:space="preserve"> </w:t>
      </w:r>
      <w:r>
        <w:rPr>
          <w:rFonts w:ascii="Arial" w:cs="Arial" w:eastAsia="Arial" w:hAnsi="Arial"/>
          <w:sz w:val="18"/>
          <w:szCs w:val="18"/>
          <w:color w:val="1A1A1A"/>
        </w:rPr>
        <w:t>requir</w:t>
      </w:r>
      <w:r>
        <w:rPr>
          <w:rFonts w:ascii="Arial" w:cs="Arial" w:eastAsia="Arial" w:hAnsi="Arial"/>
          <w:sz w:val="18"/>
          <w:szCs w:val="18"/>
          <w:color w:val="3B3B3B"/>
        </w:rPr>
        <w:t>ed</w:t>
      </w:r>
      <w:r>
        <w:rPr>
          <w:rFonts w:ascii="Arial" w:cs="Arial" w:eastAsia="Arial" w:hAnsi="Arial"/>
          <w:sz w:val="18"/>
          <w:szCs w:val="18"/>
          <w:color w:val="auto"/>
        </w:rPr>
        <w:t xml:space="preserve"> </w:t>
      </w:r>
      <w:r>
        <w:rPr>
          <w:rFonts w:ascii="Arial" w:cs="Arial" w:eastAsia="Arial" w:hAnsi="Arial"/>
          <w:sz w:val="18"/>
          <w:szCs w:val="18"/>
          <w:color w:val="2A2A2A"/>
        </w:rPr>
        <w:t>or permitted to be</w:t>
      </w:r>
      <w:r>
        <w:rPr>
          <w:rFonts w:ascii="Arial" w:cs="Arial" w:eastAsia="Arial" w:hAnsi="Arial"/>
          <w:sz w:val="18"/>
          <w:szCs w:val="18"/>
          <w:color w:val="auto"/>
        </w:rPr>
        <w:t xml:space="preserve"> </w:t>
      </w:r>
      <w:r>
        <w:rPr>
          <w:rFonts w:ascii="Arial" w:cs="Arial" w:eastAsia="Arial" w:hAnsi="Arial"/>
          <w:sz w:val="18"/>
          <w:szCs w:val="18"/>
          <w:color w:val="3B3B3B"/>
        </w:rPr>
        <w:t>give</w:t>
      </w:r>
      <w:r>
        <w:rPr>
          <w:rFonts w:ascii="Arial" w:cs="Arial" w:eastAsia="Arial" w:hAnsi="Arial"/>
          <w:sz w:val="18"/>
          <w:szCs w:val="18"/>
          <w:color w:val="1A1A1A"/>
        </w:rPr>
        <w:t>n</w:t>
      </w:r>
      <w:r>
        <w:rPr>
          <w:rFonts w:ascii="Arial" w:cs="Arial" w:eastAsia="Arial" w:hAnsi="Arial"/>
          <w:sz w:val="18"/>
          <w:szCs w:val="18"/>
          <w:color w:val="auto"/>
        </w:rPr>
        <w:t xml:space="preserve"> </w:t>
      </w:r>
      <w:r>
        <w:rPr>
          <w:rFonts w:ascii="Arial" w:cs="Arial" w:eastAsia="Arial" w:hAnsi="Arial"/>
          <w:sz w:val="18"/>
          <w:szCs w:val="18"/>
          <w:color w:val="2A2A2A"/>
        </w:rPr>
        <w:t>to</w:t>
      </w:r>
      <w:r>
        <w:rPr>
          <w:rFonts w:ascii="Arial" w:cs="Arial" w:eastAsia="Arial" w:hAnsi="Arial"/>
          <w:sz w:val="18"/>
          <w:szCs w:val="18"/>
          <w:color w:val="auto"/>
        </w:rPr>
        <w:t xml:space="preserve"> </w:t>
      </w:r>
      <w:r>
        <w:rPr>
          <w:rFonts w:ascii="Arial" w:cs="Arial" w:eastAsia="Arial" w:hAnsi="Arial"/>
          <w:sz w:val="18"/>
          <w:szCs w:val="18"/>
          <w:color w:val="3B3B3B"/>
        </w:rPr>
        <w:t>e</w:t>
      </w:r>
      <w:r>
        <w:rPr>
          <w:rFonts w:ascii="Arial" w:cs="Arial" w:eastAsia="Arial" w:hAnsi="Arial"/>
          <w:sz w:val="18"/>
          <w:szCs w:val="18"/>
          <w:color w:val="1A1A1A"/>
        </w:rPr>
        <w:t>ith</w:t>
      </w:r>
      <w:r>
        <w:rPr>
          <w:rFonts w:ascii="Arial" w:cs="Arial" w:eastAsia="Arial" w:hAnsi="Arial"/>
          <w:sz w:val="18"/>
          <w:szCs w:val="18"/>
          <w:color w:val="3B3B3B"/>
        </w:rPr>
        <w:t>er</w:t>
      </w:r>
      <w:r>
        <w:rPr>
          <w:rFonts w:ascii="Arial" w:cs="Arial" w:eastAsia="Arial" w:hAnsi="Arial"/>
          <w:sz w:val="18"/>
          <w:szCs w:val="18"/>
          <w:color w:val="auto"/>
        </w:rPr>
        <w:t xml:space="preserve"> </w:t>
      </w:r>
      <w:r>
        <w:rPr>
          <w:rFonts w:ascii="Arial" w:cs="Arial" w:eastAsia="Arial" w:hAnsi="Arial"/>
          <w:sz w:val="18"/>
          <w:szCs w:val="18"/>
          <w:color w:val="1A1A1A"/>
        </w:rPr>
        <w:t>Part</w:t>
      </w:r>
      <w:r>
        <w:rPr>
          <w:rFonts w:ascii="Arial" w:cs="Arial" w:eastAsia="Arial" w:hAnsi="Arial"/>
          <w:sz w:val="18"/>
          <w:szCs w:val="18"/>
          <w:color w:val="3B3B3B"/>
        </w:rPr>
        <w:t>y</w:t>
      </w:r>
      <w:r>
        <w:rPr>
          <w:rFonts w:ascii="Arial" w:cs="Arial" w:eastAsia="Arial" w:hAnsi="Arial"/>
          <w:sz w:val="18"/>
          <w:szCs w:val="18"/>
          <w:color w:val="auto"/>
        </w:rPr>
        <w:t xml:space="preserve"> </w:t>
      </w:r>
      <w:r>
        <w:rPr>
          <w:rFonts w:ascii="Arial" w:cs="Arial" w:eastAsia="Arial" w:hAnsi="Arial"/>
          <w:sz w:val="18"/>
          <w:szCs w:val="18"/>
          <w:color w:val="1A1A1A"/>
        </w:rPr>
        <w:t>hereunder</w:t>
      </w:r>
      <w:r>
        <w:rPr>
          <w:rFonts w:ascii="Arial" w:cs="Arial" w:eastAsia="Arial" w:hAnsi="Arial"/>
          <w:sz w:val="18"/>
          <w:szCs w:val="18"/>
          <w:color w:val="auto"/>
        </w:rPr>
        <w:t xml:space="preserve"> </w:t>
      </w:r>
      <w:r>
        <w:rPr>
          <w:rFonts w:ascii="Arial" w:cs="Arial" w:eastAsia="Arial" w:hAnsi="Arial"/>
          <w:sz w:val="18"/>
          <w:szCs w:val="18"/>
          <w:color w:val="3B3B3B"/>
        </w:rPr>
        <w:t>s</w:t>
      </w:r>
      <w:r>
        <w:rPr>
          <w:rFonts w:ascii="Arial" w:cs="Arial" w:eastAsia="Arial" w:hAnsi="Arial"/>
          <w:sz w:val="18"/>
          <w:szCs w:val="18"/>
          <w:color w:val="1A1A1A"/>
        </w:rPr>
        <w:t>hall be</w:t>
      </w:r>
      <w:r>
        <w:rPr>
          <w:rFonts w:ascii="Arial" w:cs="Arial" w:eastAsia="Arial" w:hAnsi="Arial"/>
          <w:sz w:val="18"/>
          <w:szCs w:val="18"/>
          <w:color w:val="auto"/>
        </w:rPr>
        <w:t xml:space="preserve"> </w:t>
      </w:r>
      <w:r>
        <w:rPr>
          <w:rFonts w:ascii="Arial" w:cs="Arial" w:eastAsia="Arial" w:hAnsi="Arial"/>
          <w:sz w:val="18"/>
          <w:szCs w:val="18"/>
          <w:color w:val="2A2A2A"/>
        </w:rPr>
        <w:t>deemed properly</w:t>
      </w:r>
      <w:r>
        <w:rPr>
          <w:rFonts w:ascii="Arial" w:cs="Arial" w:eastAsia="Arial" w:hAnsi="Arial"/>
          <w:sz w:val="18"/>
          <w:szCs w:val="18"/>
          <w:color w:val="auto"/>
        </w:rPr>
        <w:t xml:space="preserve"> </w:t>
      </w:r>
      <w:r>
        <w:rPr>
          <w:rFonts w:ascii="Arial" w:cs="Arial" w:eastAsia="Arial" w:hAnsi="Arial"/>
          <w:sz w:val="18"/>
          <w:szCs w:val="18"/>
          <w:color w:val="3B3B3B"/>
        </w:rPr>
        <w:t>given</w:t>
      </w:r>
      <w:r>
        <w:rPr>
          <w:rFonts w:ascii="Arial" w:cs="Arial" w:eastAsia="Arial" w:hAnsi="Arial"/>
          <w:sz w:val="18"/>
          <w:szCs w:val="18"/>
          <w:color w:val="auto"/>
        </w:rPr>
        <w:t xml:space="preserve"> </w:t>
      </w:r>
      <w:r>
        <w:rPr>
          <w:rFonts w:ascii="Arial" w:cs="Arial" w:eastAsia="Arial" w:hAnsi="Arial"/>
          <w:sz w:val="18"/>
          <w:szCs w:val="18"/>
          <w:color w:val="2A2A2A"/>
        </w:rPr>
        <w:t>when received by</w:t>
      </w:r>
      <w:r>
        <w:rPr>
          <w:rFonts w:ascii="Arial" w:cs="Arial" w:eastAsia="Arial" w:hAnsi="Arial"/>
          <w:sz w:val="18"/>
          <w:szCs w:val="18"/>
          <w:color w:val="auto"/>
        </w:rPr>
        <w:t xml:space="preserve"> </w:t>
      </w:r>
      <w:r>
        <w:rPr>
          <w:rFonts w:ascii="Arial" w:cs="Arial" w:eastAsia="Arial" w:hAnsi="Arial"/>
          <w:sz w:val="18"/>
          <w:szCs w:val="18"/>
          <w:color w:val="2A2A2A"/>
        </w:rPr>
        <w:t xml:space="preserve">certified mail (return </w:t>
      </w:r>
      <w:r>
        <w:rPr>
          <w:rFonts w:ascii="Arial" w:cs="Arial" w:eastAsia="Arial" w:hAnsi="Arial"/>
          <w:sz w:val="18"/>
          <w:szCs w:val="18"/>
          <w:color w:val="1A1A1A"/>
        </w:rPr>
        <w:t>rec</w:t>
      </w:r>
      <w:r>
        <w:rPr>
          <w:rFonts w:ascii="Arial" w:cs="Arial" w:eastAsia="Arial" w:hAnsi="Arial"/>
          <w:sz w:val="18"/>
          <w:szCs w:val="18"/>
          <w:color w:val="3B3B3B"/>
        </w:rPr>
        <w:t>ei</w:t>
      </w:r>
      <w:r>
        <w:rPr>
          <w:rFonts w:ascii="Arial" w:cs="Arial" w:eastAsia="Arial" w:hAnsi="Arial"/>
          <w:sz w:val="18"/>
          <w:szCs w:val="18"/>
          <w:color w:val="1A1A1A"/>
        </w:rPr>
        <w:t>pt</w:t>
      </w:r>
      <w:r>
        <w:rPr>
          <w:rFonts w:ascii="Arial" w:cs="Arial" w:eastAsia="Arial" w:hAnsi="Arial"/>
          <w:sz w:val="18"/>
          <w:szCs w:val="18"/>
          <w:color w:val="2A2A2A"/>
        </w:rPr>
        <w:t xml:space="preserve"> </w:t>
      </w:r>
      <w:r>
        <w:rPr>
          <w:rFonts w:ascii="Arial" w:cs="Arial" w:eastAsia="Arial" w:hAnsi="Arial"/>
          <w:sz w:val="18"/>
          <w:szCs w:val="18"/>
          <w:color w:val="3B3B3B"/>
        </w:rPr>
        <w:t>requested),</w:t>
      </w:r>
      <w:r>
        <w:rPr>
          <w:rFonts w:ascii="Arial" w:cs="Arial" w:eastAsia="Arial" w:hAnsi="Arial"/>
          <w:sz w:val="18"/>
          <w:szCs w:val="18"/>
          <w:color w:val="2A2A2A"/>
        </w:rPr>
        <w:t xml:space="preserve"> hand delivery, or certified overnight </w:t>
      </w:r>
      <w:r>
        <w:rPr>
          <w:rFonts w:ascii="Arial" w:cs="Arial" w:eastAsia="Arial" w:hAnsi="Arial"/>
          <w:sz w:val="18"/>
          <w:szCs w:val="18"/>
          <w:color w:val="3B3B3B"/>
        </w:rPr>
        <w:t>de</w:t>
      </w:r>
      <w:r>
        <w:rPr>
          <w:rFonts w:ascii="Arial" w:cs="Arial" w:eastAsia="Arial" w:hAnsi="Arial"/>
          <w:sz w:val="18"/>
          <w:szCs w:val="18"/>
          <w:color w:val="1A1A1A"/>
        </w:rPr>
        <w:t>liv</w:t>
      </w:r>
      <w:r>
        <w:rPr>
          <w:rFonts w:ascii="Arial" w:cs="Arial" w:eastAsia="Arial" w:hAnsi="Arial"/>
          <w:sz w:val="18"/>
          <w:szCs w:val="18"/>
          <w:color w:val="3B3B3B"/>
        </w:rPr>
        <w:t>e</w:t>
      </w:r>
      <w:r>
        <w:rPr>
          <w:rFonts w:ascii="Arial" w:cs="Arial" w:eastAsia="Arial" w:hAnsi="Arial"/>
          <w:sz w:val="18"/>
          <w:szCs w:val="18"/>
          <w:color w:val="1A1A1A"/>
        </w:rPr>
        <w:t>r</w:t>
      </w:r>
      <w:r>
        <w:rPr>
          <w:rFonts w:ascii="Arial" w:cs="Arial" w:eastAsia="Arial" w:hAnsi="Arial"/>
          <w:sz w:val="18"/>
          <w:szCs w:val="18"/>
          <w:color w:val="3B3B3B"/>
        </w:rPr>
        <w:t>y such</w:t>
      </w:r>
      <w:r>
        <w:rPr>
          <w:rFonts w:ascii="Arial" w:cs="Arial" w:eastAsia="Arial" w:hAnsi="Arial"/>
          <w:sz w:val="18"/>
          <w:szCs w:val="18"/>
          <w:color w:val="2A2A2A"/>
        </w:rPr>
        <w:t xml:space="preserve"> as </w:t>
      </w:r>
      <w:r>
        <w:rPr>
          <w:rFonts w:ascii="Arial" w:cs="Arial" w:eastAsia="Arial" w:hAnsi="Arial"/>
          <w:sz w:val="18"/>
          <w:szCs w:val="18"/>
          <w:color w:val="1A1A1A"/>
        </w:rPr>
        <w:t>F</w:t>
      </w:r>
      <w:r>
        <w:rPr>
          <w:rFonts w:ascii="Arial" w:cs="Arial" w:eastAsia="Arial" w:hAnsi="Arial"/>
          <w:sz w:val="18"/>
          <w:szCs w:val="18"/>
          <w:color w:val="3B3B3B"/>
        </w:rPr>
        <w:t>e</w:t>
      </w:r>
      <w:r>
        <w:rPr>
          <w:rFonts w:ascii="Arial" w:cs="Arial" w:eastAsia="Arial" w:hAnsi="Arial"/>
          <w:sz w:val="18"/>
          <w:szCs w:val="18"/>
          <w:color w:val="1A1A1A"/>
        </w:rPr>
        <w:t>d</w:t>
      </w:r>
      <w:r>
        <w:rPr>
          <w:rFonts w:ascii="Arial" w:cs="Arial" w:eastAsia="Arial" w:hAnsi="Arial"/>
          <w:sz w:val="18"/>
          <w:szCs w:val="18"/>
          <w:color w:val="3B3B3B"/>
        </w:rPr>
        <w:t>e</w:t>
      </w:r>
      <w:r>
        <w:rPr>
          <w:rFonts w:ascii="Arial" w:cs="Arial" w:eastAsia="Arial" w:hAnsi="Arial"/>
          <w:sz w:val="18"/>
          <w:szCs w:val="18"/>
          <w:color w:val="1A1A1A"/>
        </w:rPr>
        <w:t>ral Express</w:t>
      </w:r>
      <w:r>
        <w:rPr>
          <w:rFonts w:ascii="Arial" w:cs="Arial" w:eastAsia="Arial" w:hAnsi="Arial"/>
          <w:sz w:val="18"/>
          <w:szCs w:val="18"/>
          <w:color w:val="3B3B3B"/>
        </w:rPr>
        <w:t>,</w:t>
      </w:r>
      <w:r>
        <w:rPr>
          <w:rFonts w:ascii="Arial" w:cs="Arial" w:eastAsia="Arial" w:hAnsi="Arial"/>
          <w:sz w:val="18"/>
          <w:szCs w:val="18"/>
          <w:color w:val="2A2A2A"/>
        </w:rPr>
        <w:t xml:space="preserve"> and </w:t>
      </w:r>
      <w:r>
        <w:rPr>
          <w:rFonts w:ascii="Arial" w:cs="Arial" w:eastAsia="Arial" w:hAnsi="Arial"/>
          <w:sz w:val="18"/>
          <w:szCs w:val="18"/>
          <w:color w:val="1A1A1A"/>
        </w:rPr>
        <w:t>directed</w:t>
      </w:r>
      <w:r>
        <w:rPr>
          <w:rFonts w:ascii="Arial" w:cs="Arial" w:eastAsia="Arial" w:hAnsi="Arial"/>
          <w:sz w:val="18"/>
          <w:szCs w:val="18"/>
          <w:color w:val="2A2A2A"/>
        </w:rPr>
        <w:t xml:space="preserve"> to such Party at </w:t>
      </w:r>
      <w:r>
        <w:rPr>
          <w:rFonts w:ascii="Arial" w:cs="Arial" w:eastAsia="Arial" w:hAnsi="Arial"/>
          <w:sz w:val="18"/>
          <w:szCs w:val="18"/>
          <w:color w:val="3B3B3B"/>
        </w:rPr>
        <w:t>t</w:t>
      </w:r>
      <w:r>
        <w:rPr>
          <w:rFonts w:ascii="Arial" w:cs="Arial" w:eastAsia="Arial" w:hAnsi="Arial"/>
          <w:sz w:val="18"/>
          <w:szCs w:val="18"/>
          <w:color w:val="1A1A1A"/>
        </w:rPr>
        <w:t>he</w:t>
      </w:r>
      <w:r>
        <w:rPr>
          <w:rFonts w:ascii="Arial" w:cs="Arial" w:eastAsia="Arial" w:hAnsi="Arial"/>
          <w:sz w:val="18"/>
          <w:szCs w:val="18"/>
          <w:color w:val="2A2A2A"/>
        </w:rPr>
        <w:t xml:space="preserve"> address appearing in </w:t>
      </w:r>
      <w:r>
        <w:rPr>
          <w:rFonts w:ascii="Arial" w:cs="Arial" w:eastAsia="Arial" w:hAnsi="Arial"/>
          <w:sz w:val="18"/>
          <w:szCs w:val="18"/>
          <w:color w:val="3B3B3B"/>
        </w:rPr>
        <w:t>t</w:t>
      </w:r>
      <w:r>
        <w:rPr>
          <w:rFonts w:ascii="Arial" w:cs="Arial" w:eastAsia="Arial" w:hAnsi="Arial"/>
          <w:sz w:val="18"/>
          <w:szCs w:val="18"/>
          <w:color w:val="1A1A1A"/>
        </w:rPr>
        <w:t>h</w:t>
      </w:r>
      <w:r>
        <w:rPr>
          <w:rFonts w:ascii="Arial" w:cs="Arial" w:eastAsia="Arial" w:hAnsi="Arial"/>
          <w:sz w:val="18"/>
          <w:szCs w:val="18"/>
          <w:color w:val="3B3B3B"/>
        </w:rPr>
        <w:t>e</w:t>
      </w:r>
      <w:r>
        <w:rPr>
          <w:rFonts w:ascii="Arial" w:cs="Arial" w:eastAsia="Arial" w:hAnsi="Arial"/>
          <w:sz w:val="18"/>
          <w:szCs w:val="18"/>
          <w:color w:val="2A2A2A"/>
        </w:rPr>
        <w:t xml:space="preserve"> first </w:t>
      </w:r>
      <w:r>
        <w:rPr>
          <w:rFonts w:ascii="Arial" w:cs="Arial" w:eastAsia="Arial" w:hAnsi="Arial"/>
          <w:sz w:val="18"/>
          <w:szCs w:val="18"/>
          <w:color w:val="1A1A1A"/>
        </w:rPr>
        <w:t>paragraph</w:t>
      </w:r>
      <w:r>
        <w:rPr>
          <w:rFonts w:ascii="Arial" w:cs="Arial" w:eastAsia="Arial" w:hAnsi="Arial"/>
          <w:sz w:val="18"/>
          <w:szCs w:val="18"/>
          <w:color w:val="2A2A2A"/>
        </w:rPr>
        <w:t xml:space="preserve"> of </w:t>
      </w:r>
      <w:r>
        <w:rPr>
          <w:rFonts w:ascii="Arial" w:cs="Arial" w:eastAsia="Arial" w:hAnsi="Arial"/>
          <w:sz w:val="18"/>
          <w:szCs w:val="18"/>
          <w:color w:val="1A1A1A"/>
        </w:rPr>
        <w:t>thi</w:t>
      </w:r>
      <w:r>
        <w:rPr>
          <w:rFonts w:ascii="Arial" w:cs="Arial" w:eastAsia="Arial" w:hAnsi="Arial"/>
          <w:sz w:val="18"/>
          <w:szCs w:val="18"/>
          <w:color w:val="3B3B3B"/>
        </w:rPr>
        <w:t>s</w:t>
      </w:r>
      <w:r>
        <w:rPr>
          <w:rFonts w:ascii="Arial" w:cs="Arial" w:eastAsia="Arial" w:hAnsi="Arial"/>
          <w:sz w:val="18"/>
          <w:szCs w:val="18"/>
          <w:color w:val="2A2A2A"/>
        </w:rPr>
        <w:t xml:space="preserve"> Agreement. Either Party may </w:t>
      </w:r>
      <w:r>
        <w:rPr>
          <w:rFonts w:ascii="Arial" w:cs="Arial" w:eastAsia="Arial" w:hAnsi="Arial"/>
          <w:sz w:val="18"/>
          <w:szCs w:val="18"/>
          <w:color w:val="3B3B3B"/>
        </w:rPr>
        <w:t>c</w:t>
      </w:r>
      <w:r>
        <w:rPr>
          <w:rFonts w:ascii="Arial" w:cs="Arial" w:eastAsia="Arial" w:hAnsi="Arial"/>
          <w:sz w:val="18"/>
          <w:szCs w:val="18"/>
          <w:color w:val="1A1A1A"/>
        </w:rPr>
        <w:t>hang</w:t>
      </w:r>
      <w:r>
        <w:rPr>
          <w:rFonts w:ascii="Arial" w:cs="Arial" w:eastAsia="Arial" w:hAnsi="Arial"/>
          <w:sz w:val="18"/>
          <w:szCs w:val="18"/>
          <w:color w:val="3B3B3B"/>
        </w:rPr>
        <w:t>e</w:t>
      </w:r>
      <w:r>
        <w:rPr>
          <w:rFonts w:ascii="Arial" w:cs="Arial" w:eastAsia="Arial" w:hAnsi="Arial"/>
          <w:sz w:val="18"/>
          <w:szCs w:val="18"/>
          <w:color w:val="2A2A2A"/>
        </w:rPr>
        <w:t xml:space="preserve"> </w:t>
      </w:r>
      <w:r>
        <w:rPr>
          <w:rFonts w:ascii="Arial" w:cs="Arial" w:eastAsia="Arial" w:hAnsi="Arial"/>
          <w:sz w:val="18"/>
          <w:szCs w:val="18"/>
          <w:color w:val="1A1A1A"/>
        </w:rPr>
        <w:t>it</w:t>
      </w:r>
      <w:r>
        <w:rPr>
          <w:rFonts w:ascii="Arial" w:cs="Arial" w:eastAsia="Arial" w:hAnsi="Arial"/>
          <w:sz w:val="18"/>
          <w:szCs w:val="18"/>
          <w:color w:val="3B3B3B"/>
        </w:rPr>
        <w:t>s a</w:t>
      </w:r>
      <w:r>
        <w:rPr>
          <w:rFonts w:ascii="Arial" w:cs="Arial" w:eastAsia="Arial" w:hAnsi="Arial"/>
          <w:sz w:val="18"/>
          <w:szCs w:val="18"/>
          <w:color w:val="1A1A1A"/>
        </w:rPr>
        <w:t>ddr</w:t>
      </w:r>
      <w:r>
        <w:rPr>
          <w:rFonts w:ascii="Arial" w:cs="Arial" w:eastAsia="Arial" w:hAnsi="Arial"/>
          <w:sz w:val="18"/>
          <w:szCs w:val="18"/>
          <w:color w:val="3B3B3B"/>
        </w:rPr>
        <w:t>ess</w:t>
      </w:r>
      <w:r>
        <w:rPr>
          <w:rFonts w:ascii="Arial" w:cs="Arial" w:eastAsia="Arial" w:hAnsi="Arial"/>
          <w:sz w:val="18"/>
          <w:szCs w:val="18"/>
          <w:color w:val="2A2A2A"/>
        </w:rPr>
        <w:t xml:space="preserve"> </w:t>
      </w:r>
      <w:r>
        <w:rPr>
          <w:rFonts w:ascii="Arial" w:cs="Arial" w:eastAsia="Arial" w:hAnsi="Arial"/>
          <w:sz w:val="18"/>
          <w:szCs w:val="18"/>
          <w:color w:val="1A1A1A"/>
        </w:rPr>
        <w:t>for</w:t>
      </w:r>
      <w:r>
        <w:rPr>
          <w:rFonts w:ascii="Arial" w:cs="Arial" w:eastAsia="Arial" w:hAnsi="Arial"/>
          <w:sz w:val="18"/>
          <w:szCs w:val="18"/>
          <w:color w:val="2A2A2A"/>
        </w:rPr>
        <w:t xml:space="preserve"> purposes </w:t>
      </w:r>
      <w:r>
        <w:rPr>
          <w:rFonts w:ascii="Arial" w:cs="Arial" w:eastAsia="Arial" w:hAnsi="Arial"/>
          <w:sz w:val="18"/>
          <w:szCs w:val="18"/>
          <w:color w:val="3B3B3B"/>
        </w:rPr>
        <w:t>o</w:t>
      </w:r>
      <w:r>
        <w:rPr>
          <w:rFonts w:ascii="Arial" w:cs="Arial" w:eastAsia="Arial" w:hAnsi="Arial"/>
          <w:sz w:val="18"/>
          <w:szCs w:val="18"/>
          <w:color w:val="1A1A1A"/>
        </w:rPr>
        <w:t>f</w:t>
      </w:r>
      <w:r>
        <w:rPr>
          <w:rFonts w:ascii="Arial" w:cs="Arial" w:eastAsia="Arial" w:hAnsi="Arial"/>
          <w:sz w:val="18"/>
          <w:szCs w:val="18"/>
          <w:color w:val="2A2A2A"/>
        </w:rPr>
        <w:t xml:space="preserve"> </w:t>
      </w:r>
      <w:r>
        <w:rPr>
          <w:rFonts w:ascii="Arial" w:cs="Arial" w:eastAsia="Arial" w:hAnsi="Arial"/>
          <w:sz w:val="18"/>
          <w:szCs w:val="18"/>
          <w:color w:val="3B3B3B"/>
        </w:rPr>
        <w:t>th</w:t>
      </w:r>
      <w:r>
        <w:rPr>
          <w:rFonts w:ascii="Arial" w:cs="Arial" w:eastAsia="Arial" w:hAnsi="Arial"/>
          <w:sz w:val="18"/>
          <w:szCs w:val="18"/>
          <w:color w:val="1A1A1A"/>
        </w:rPr>
        <w:t>is</w:t>
      </w:r>
      <w:r>
        <w:rPr>
          <w:rFonts w:ascii="Arial" w:cs="Arial" w:eastAsia="Arial" w:hAnsi="Arial"/>
          <w:sz w:val="18"/>
          <w:szCs w:val="18"/>
          <w:color w:val="2A2A2A"/>
        </w:rPr>
        <w:t xml:space="preserve"> Section </w:t>
      </w:r>
      <w:r>
        <w:rPr>
          <w:rFonts w:ascii="Arial" w:cs="Arial" w:eastAsia="Arial" w:hAnsi="Arial"/>
          <w:sz w:val="18"/>
          <w:szCs w:val="18"/>
          <w:color w:val="1A1A1A"/>
        </w:rPr>
        <w:t>11.</w:t>
      </w:r>
      <w:r>
        <w:rPr>
          <w:rFonts w:ascii="Arial" w:cs="Arial" w:eastAsia="Arial" w:hAnsi="Arial"/>
          <w:sz w:val="18"/>
          <w:szCs w:val="18"/>
          <w:color w:val="3B3B3B"/>
        </w:rPr>
        <w:t>2</w:t>
      </w:r>
      <w:r>
        <w:rPr>
          <w:rFonts w:ascii="Arial" w:cs="Arial" w:eastAsia="Arial" w:hAnsi="Arial"/>
          <w:sz w:val="18"/>
          <w:szCs w:val="18"/>
          <w:color w:val="2A2A2A"/>
        </w:rPr>
        <w:t xml:space="preserve"> (“Notices”) upon delivery of </w:t>
      </w:r>
      <w:r>
        <w:rPr>
          <w:rFonts w:ascii="Arial" w:cs="Arial" w:eastAsia="Arial" w:hAnsi="Arial"/>
          <w:sz w:val="18"/>
          <w:szCs w:val="18"/>
          <w:color w:val="1A1A1A"/>
        </w:rPr>
        <w:t>notice of</w:t>
      </w:r>
      <w:r>
        <w:rPr>
          <w:rFonts w:ascii="Arial" w:cs="Arial" w:eastAsia="Arial" w:hAnsi="Arial"/>
          <w:sz w:val="18"/>
          <w:szCs w:val="18"/>
          <w:color w:val="2A2A2A"/>
        </w:rPr>
        <w:t xml:space="preserve"> </w:t>
      </w:r>
      <w:r>
        <w:rPr>
          <w:rFonts w:ascii="Arial" w:cs="Arial" w:eastAsia="Arial" w:hAnsi="Arial"/>
          <w:sz w:val="18"/>
          <w:szCs w:val="18"/>
          <w:color w:val="3B3B3B"/>
        </w:rPr>
        <w:t>s</w:t>
      </w:r>
      <w:r>
        <w:rPr>
          <w:rFonts w:ascii="Arial" w:cs="Arial" w:eastAsia="Arial" w:hAnsi="Arial"/>
          <w:sz w:val="18"/>
          <w:szCs w:val="18"/>
          <w:color w:val="1A1A1A"/>
        </w:rPr>
        <w:t>uch</w:t>
      </w:r>
      <w:r>
        <w:rPr>
          <w:rFonts w:ascii="Arial" w:cs="Arial" w:eastAsia="Arial" w:hAnsi="Arial"/>
          <w:sz w:val="18"/>
          <w:szCs w:val="18"/>
          <w:color w:val="2A2A2A"/>
        </w:rPr>
        <w:t xml:space="preserve"> change </w:t>
      </w:r>
      <w:r>
        <w:rPr>
          <w:rFonts w:ascii="Arial" w:cs="Arial" w:eastAsia="Arial" w:hAnsi="Arial"/>
          <w:sz w:val="18"/>
          <w:szCs w:val="18"/>
          <w:color w:val="1A1A1A"/>
        </w:rPr>
        <w:t>to the other</w:t>
      </w:r>
      <w:r>
        <w:rPr>
          <w:rFonts w:ascii="Arial" w:cs="Arial" w:eastAsia="Arial" w:hAnsi="Arial"/>
          <w:sz w:val="18"/>
          <w:szCs w:val="18"/>
          <w:color w:val="2A2A2A"/>
        </w:rPr>
        <w:t xml:space="preserve"> Party.</w:t>
      </w:r>
    </w:p>
    <w:p>
      <w:pPr>
        <w:spacing w:after="0" w:line="199" w:lineRule="exact"/>
        <w:rPr>
          <w:sz w:val="20"/>
          <w:szCs w:val="20"/>
          <w:color w:val="auto"/>
        </w:rPr>
      </w:pPr>
    </w:p>
    <w:p>
      <w:pPr>
        <w:ind w:left="320" w:right="240" w:hanging="323"/>
        <w:spacing w:after="0" w:line="229" w:lineRule="auto"/>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2A2A2A"/>
        </w:rPr>
        <w:t>Severability</w:t>
      </w:r>
      <w:r>
        <w:rPr>
          <w:rFonts w:ascii="Arial" w:cs="Arial" w:eastAsia="Arial" w:hAnsi="Arial"/>
          <w:sz w:val="18"/>
          <w:szCs w:val="18"/>
          <w:color w:val="auto"/>
        </w:rPr>
        <w:t xml:space="preserve"> </w:t>
      </w:r>
      <w:r>
        <w:rPr>
          <w:rFonts w:ascii="Arial" w:cs="Arial" w:eastAsia="Arial" w:hAnsi="Arial"/>
          <w:sz w:val="18"/>
          <w:szCs w:val="18"/>
          <w:b w:val="1"/>
          <w:bCs w:val="1"/>
          <w:color w:val="1A1A1A"/>
        </w:rPr>
        <w:t>and Headings.</w:t>
      </w:r>
      <w:r>
        <w:rPr>
          <w:rFonts w:ascii="Arial" w:cs="Arial" w:eastAsia="Arial" w:hAnsi="Arial"/>
          <w:sz w:val="18"/>
          <w:szCs w:val="18"/>
          <w:color w:val="auto"/>
        </w:rPr>
        <w:t xml:space="preserve"> </w:t>
      </w:r>
      <w:r>
        <w:rPr>
          <w:rFonts w:ascii="Arial" w:cs="Arial" w:eastAsia="Arial" w:hAnsi="Arial"/>
          <w:sz w:val="18"/>
          <w:szCs w:val="18"/>
          <w:color w:val="1A1A1A"/>
        </w:rPr>
        <w:t>If</w:t>
      </w:r>
      <w:r>
        <w:rPr>
          <w:rFonts w:ascii="Arial" w:cs="Arial" w:eastAsia="Arial" w:hAnsi="Arial"/>
          <w:sz w:val="18"/>
          <w:szCs w:val="18"/>
          <w:color w:val="auto"/>
        </w:rPr>
        <w:t xml:space="preserve"> </w:t>
      </w:r>
      <w:r>
        <w:rPr>
          <w:rFonts w:ascii="Arial" w:cs="Arial" w:eastAsia="Arial" w:hAnsi="Arial"/>
          <w:sz w:val="18"/>
          <w:szCs w:val="18"/>
          <w:color w:val="2A2A2A"/>
        </w:rPr>
        <w:t>any provision of this Agreement</w:t>
      </w:r>
      <w:r>
        <w:rPr>
          <w:rFonts w:ascii="Arial" w:cs="Arial" w:eastAsia="Arial" w:hAnsi="Arial"/>
          <w:sz w:val="18"/>
          <w:szCs w:val="18"/>
          <w:color w:val="auto"/>
        </w:rPr>
        <w:t xml:space="preserve"> </w:t>
      </w:r>
      <w:r>
        <w:rPr>
          <w:rFonts w:ascii="Arial" w:cs="Arial" w:eastAsia="Arial" w:hAnsi="Arial"/>
          <w:sz w:val="18"/>
          <w:szCs w:val="18"/>
          <w:color w:val="1A1A1A"/>
        </w:rPr>
        <w:t>i</w:t>
      </w:r>
      <w:r>
        <w:rPr>
          <w:rFonts w:ascii="Arial" w:cs="Arial" w:eastAsia="Arial" w:hAnsi="Arial"/>
          <w:sz w:val="18"/>
          <w:szCs w:val="18"/>
          <w:color w:val="3B3B3B"/>
        </w:rPr>
        <w:t>s</w:t>
      </w:r>
      <w:r>
        <w:rPr>
          <w:rFonts w:ascii="Arial" w:cs="Arial" w:eastAsia="Arial" w:hAnsi="Arial"/>
          <w:sz w:val="18"/>
          <w:szCs w:val="18"/>
          <w:color w:val="auto"/>
        </w:rPr>
        <w:t xml:space="preserve"> </w:t>
      </w:r>
      <w:r>
        <w:rPr>
          <w:rFonts w:ascii="Arial" w:cs="Arial" w:eastAsia="Arial" w:hAnsi="Arial"/>
          <w:sz w:val="18"/>
          <w:szCs w:val="18"/>
          <w:color w:val="2A2A2A"/>
        </w:rPr>
        <w:t>held by</w:t>
      </w:r>
      <w:r>
        <w:rPr>
          <w:rFonts w:ascii="Arial" w:cs="Arial" w:eastAsia="Arial" w:hAnsi="Arial"/>
          <w:sz w:val="18"/>
          <w:szCs w:val="18"/>
          <w:color w:val="auto"/>
        </w:rPr>
        <w:t xml:space="preserve"> </w:t>
      </w:r>
      <w:r>
        <w:rPr>
          <w:rFonts w:ascii="Arial" w:cs="Arial" w:eastAsia="Arial" w:hAnsi="Arial"/>
          <w:sz w:val="18"/>
          <w:szCs w:val="18"/>
          <w:color w:val="3B3B3B"/>
        </w:rPr>
        <w:t>a</w:t>
      </w:r>
      <w:r>
        <w:rPr>
          <w:rFonts w:ascii="Arial" w:cs="Arial" w:eastAsia="Arial" w:hAnsi="Arial"/>
          <w:sz w:val="18"/>
          <w:szCs w:val="18"/>
          <w:color w:val="auto"/>
        </w:rPr>
        <w:t xml:space="preserve"> </w:t>
      </w:r>
      <w:r>
        <w:rPr>
          <w:rFonts w:ascii="Arial" w:cs="Arial" w:eastAsia="Arial" w:hAnsi="Arial"/>
          <w:sz w:val="18"/>
          <w:szCs w:val="18"/>
          <w:color w:val="2A2A2A"/>
        </w:rPr>
        <w:t>court of competent jurisdiction</w:t>
      </w:r>
      <w:r>
        <w:rPr>
          <w:rFonts w:ascii="Arial" w:cs="Arial" w:eastAsia="Arial" w:hAnsi="Arial"/>
          <w:sz w:val="18"/>
          <w:szCs w:val="18"/>
          <w:color w:val="auto"/>
        </w:rPr>
        <w:t xml:space="preserve"> </w:t>
      </w:r>
      <w:r>
        <w:rPr>
          <w:rFonts w:ascii="Arial" w:cs="Arial" w:eastAsia="Arial" w:hAnsi="Arial"/>
          <w:sz w:val="18"/>
          <w:szCs w:val="18"/>
          <w:color w:val="3B3B3B"/>
        </w:rPr>
        <w:t>to</w:t>
      </w:r>
      <w:r>
        <w:rPr>
          <w:rFonts w:ascii="Arial" w:cs="Arial" w:eastAsia="Arial" w:hAnsi="Arial"/>
          <w:sz w:val="18"/>
          <w:szCs w:val="18"/>
          <w:color w:val="auto"/>
        </w:rPr>
        <w:t xml:space="preserve"> </w:t>
      </w:r>
      <w:r>
        <w:rPr>
          <w:rFonts w:ascii="Arial" w:cs="Arial" w:eastAsia="Arial" w:hAnsi="Arial"/>
          <w:sz w:val="18"/>
          <w:szCs w:val="18"/>
          <w:color w:val="2A2A2A"/>
        </w:rPr>
        <w:t>be</w:t>
      </w:r>
      <w:r>
        <w:rPr>
          <w:rFonts w:ascii="Arial" w:cs="Arial" w:eastAsia="Arial" w:hAnsi="Arial"/>
          <w:sz w:val="18"/>
          <w:szCs w:val="18"/>
          <w:color w:val="auto"/>
        </w:rPr>
        <w:t xml:space="preserve"> </w:t>
      </w:r>
      <w:r>
        <w:rPr>
          <w:rFonts w:ascii="Arial" w:cs="Arial" w:eastAsia="Arial" w:hAnsi="Arial"/>
          <w:sz w:val="18"/>
          <w:szCs w:val="18"/>
          <w:color w:val="1A1A1A"/>
        </w:rPr>
        <w:t>inv</w:t>
      </w:r>
      <w:r>
        <w:rPr>
          <w:rFonts w:ascii="Arial" w:cs="Arial" w:eastAsia="Arial" w:hAnsi="Arial"/>
          <w:sz w:val="18"/>
          <w:szCs w:val="18"/>
          <w:color w:val="3B3B3B"/>
        </w:rPr>
        <w:t>a</w:t>
      </w:r>
      <w:r>
        <w:rPr>
          <w:rFonts w:ascii="Arial" w:cs="Arial" w:eastAsia="Arial" w:hAnsi="Arial"/>
          <w:sz w:val="18"/>
          <w:szCs w:val="18"/>
          <w:color w:val="1A1A1A"/>
        </w:rPr>
        <w:t>lid under</w:t>
      </w:r>
      <w:r>
        <w:rPr>
          <w:rFonts w:ascii="Arial" w:cs="Arial" w:eastAsia="Arial" w:hAnsi="Arial"/>
          <w:sz w:val="18"/>
          <w:szCs w:val="18"/>
          <w:color w:val="auto"/>
        </w:rPr>
        <w:t xml:space="preserve"> </w:t>
      </w:r>
      <w:r>
        <w:rPr>
          <w:rFonts w:ascii="Arial" w:cs="Arial" w:eastAsia="Arial" w:hAnsi="Arial"/>
          <w:sz w:val="18"/>
          <w:szCs w:val="18"/>
          <w:color w:val="2A2A2A"/>
        </w:rPr>
        <w:t>any</w:t>
      </w:r>
      <w:r>
        <w:rPr>
          <w:rFonts w:ascii="Arial" w:cs="Arial" w:eastAsia="Arial" w:hAnsi="Arial"/>
          <w:sz w:val="18"/>
          <w:szCs w:val="18"/>
          <w:color w:val="auto"/>
        </w:rPr>
        <w:t xml:space="preserve"> </w:t>
      </w:r>
      <w:r>
        <w:rPr>
          <w:rFonts w:ascii="Arial" w:cs="Arial" w:eastAsia="Arial" w:hAnsi="Arial"/>
          <w:sz w:val="18"/>
          <w:szCs w:val="18"/>
          <w:color w:val="2A2A2A"/>
        </w:rPr>
        <w:t xml:space="preserve">applicable </w:t>
      </w:r>
      <w:r>
        <w:rPr>
          <w:rFonts w:ascii="Arial" w:cs="Arial" w:eastAsia="Arial" w:hAnsi="Arial"/>
          <w:sz w:val="18"/>
          <w:szCs w:val="18"/>
          <w:color w:val="3B3B3B"/>
        </w:rPr>
        <w:t>s</w:t>
      </w:r>
      <w:r>
        <w:rPr>
          <w:rFonts w:ascii="Arial" w:cs="Arial" w:eastAsia="Arial" w:hAnsi="Arial"/>
          <w:sz w:val="18"/>
          <w:szCs w:val="18"/>
          <w:color w:val="1A1A1A"/>
        </w:rPr>
        <w:t>tatute</w:t>
      </w:r>
      <w:r>
        <w:rPr>
          <w:rFonts w:ascii="Arial" w:cs="Arial" w:eastAsia="Arial" w:hAnsi="Arial"/>
          <w:sz w:val="18"/>
          <w:szCs w:val="18"/>
          <w:color w:val="505050"/>
        </w:rPr>
        <w:t>,</w:t>
      </w:r>
      <w:r>
        <w:rPr>
          <w:rFonts w:ascii="Arial" w:cs="Arial" w:eastAsia="Arial" w:hAnsi="Arial"/>
          <w:sz w:val="18"/>
          <w:szCs w:val="18"/>
          <w:color w:val="2A2A2A"/>
        </w:rPr>
        <w:t xml:space="preserve"> rule or law, </w:t>
      </w:r>
      <w:r>
        <w:rPr>
          <w:rFonts w:ascii="Arial" w:cs="Arial" w:eastAsia="Arial" w:hAnsi="Arial"/>
          <w:sz w:val="18"/>
          <w:szCs w:val="18"/>
          <w:color w:val="1A1A1A"/>
        </w:rPr>
        <w:t>the</w:t>
      </w:r>
      <w:r>
        <w:rPr>
          <w:rFonts w:ascii="Arial" w:cs="Arial" w:eastAsia="Arial" w:hAnsi="Arial"/>
          <w:sz w:val="18"/>
          <w:szCs w:val="18"/>
          <w:color w:val="2A2A2A"/>
        </w:rPr>
        <w:t xml:space="preserve"> Parties </w:t>
      </w:r>
      <w:r>
        <w:rPr>
          <w:rFonts w:ascii="Arial" w:cs="Arial" w:eastAsia="Arial" w:hAnsi="Arial"/>
          <w:sz w:val="18"/>
          <w:szCs w:val="18"/>
          <w:color w:val="3B3B3B"/>
        </w:rPr>
        <w:t>agree</w:t>
      </w:r>
      <w:r>
        <w:rPr>
          <w:rFonts w:ascii="Arial" w:cs="Arial" w:eastAsia="Arial" w:hAnsi="Arial"/>
          <w:sz w:val="18"/>
          <w:szCs w:val="18"/>
          <w:color w:val="2A2A2A"/>
        </w:rPr>
        <w:t xml:space="preserve"> that such </w:t>
      </w:r>
      <w:r>
        <w:rPr>
          <w:rFonts w:ascii="Arial" w:cs="Arial" w:eastAsia="Arial" w:hAnsi="Arial"/>
          <w:sz w:val="18"/>
          <w:szCs w:val="18"/>
          <w:color w:val="1A1A1A"/>
        </w:rPr>
        <w:t>inv</w:t>
      </w:r>
      <w:r>
        <w:rPr>
          <w:rFonts w:ascii="Arial" w:cs="Arial" w:eastAsia="Arial" w:hAnsi="Arial"/>
          <w:sz w:val="18"/>
          <w:szCs w:val="18"/>
          <w:color w:val="3B3B3B"/>
        </w:rPr>
        <w:t>a</w:t>
      </w:r>
      <w:r>
        <w:rPr>
          <w:rFonts w:ascii="Arial" w:cs="Arial" w:eastAsia="Arial" w:hAnsi="Arial"/>
          <w:sz w:val="18"/>
          <w:szCs w:val="18"/>
          <w:color w:val="1A1A1A"/>
        </w:rPr>
        <w:t>lidi</w:t>
      </w:r>
      <w:r>
        <w:rPr>
          <w:rFonts w:ascii="Arial" w:cs="Arial" w:eastAsia="Arial" w:hAnsi="Arial"/>
          <w:sz w:val="18"/>
          <w:szCs w:val="18"/>
          <w:color w:val="3B3B3B"/>
        </w:rPr>
        <w:t>ty s</w:t>
      </w:r>
      <w:r>
        <w:rPr>
          <w:rFonts w:ascii="Arial" w:cs="Arial" w:eastAsia="Arial" w:hAnsi="Arial"/>
          <w:sz w:val="18"/>
          <w:szCs w:val="18"/>
          <w:color w:val="1A1A1A"/>
        </w:rPr>
        <w:t>hall not</w:t>
      </w:r>
      <w:r>
        <w:rPr>
          <w:rFonts w:ascii="Arial" w:cs="Arial" w:eastAsia="Arial" w:hAnsi="Arial"/>
          <w:sz w:val="18"/>
          <w:szCs w:val="18"/>
          <w:color w:val="2A2A2A"/>
        </w:rPr>
        <w:t xml:space="preserve"> affect </w:t>
      </w:r>
      <w:r>
        <w:rPr>
          <w:rFonts w:ascii="Arial" w:cs="Arial" w:eastAsia="Arial" w:hAnsi="Arial"/>
          <w:sz w:val="18"/>
          <w:szCs w:val="18"/>
          <w:color w:val="1A1A1A"/>
        </w:rPr>
        <w:t>the</w:t>
      </w:r>
      <w:r>
        <w:rPr>
          <w:rFonts w:ascii="Arial" w:cs="Arial" w:eastAsia="Arial" w:hAnsi="Arial"/>
          <w:sz w:val="18"/>
          <w:szCs w:val="18"/>
          <w:color w:val="2A2A2A"/>
        </w:rPr>
        <w:t xml:space="preserve"> validity </w:t>
      </w:r>
      <w:r>
        <w:rPr>
          <w:rFonts w:ascii="Arial" w:cs="Arial" w:eastAsia="Arial" w:hAnsi="Arial"/>
          <w:sz w:val="18"/>
          <w:szCs w:val="18"/>
          <w:color w:val="1A1A1A"/>
        </w:rPr>
        <w:t>of the</w:t>
      </w:r>
      <w:r>
        <w:rPr>
          <w:rFonts w:ascii="Arial" w:cs="Arial" w:eastAsia="Arial" w:hAnsi="Arial"/>
          <w:sz w:val="18"/>
          <w:szCs w:val="18"/>
          <w:color w:val="2A2A2A"/>
        </w:rPr>
        <w:t xml:space="preserve"> </w:t>
      </w:r>
      <w:r>
        <w:rPr>
          <w:rFonts w:ascii="Arial" w:cs="Arial" w:eastAsia="Arial" w:hAnsi="Arial"/>
          <w:sz w:val="18"/>
          <w:szCs w:val="18"/>
          <w:color w:val="3B3B3B"/>
        </w:rPr>
        <w:t>rema</w:t>
      </w:r>
      <w:r>
        <w:rPr>
          <w:rFonts w:ascii="Arial" w:cs="Arial" w:eastAsia="Arial" w:hAnsi="Arial"/>
          <w:sz w:val="18"/>
          <w:szCs w:val="18"/>
          <w:color w:val="1A1A1A"/>
        </w:rPr>
        <w:t>inin</w:t>
      </w:r>
      <w:r>
        <w:rPr>
          <w:rFonts w:ascii="Arial" w:cs="Arial" w:eastAsia="Arial" w:hAnsi="Arial"/>
          <w:sz w:val="18"/>
          <w:szCs w:val="18"/>
          <w:color w:val="3B3B3B"/>
        </w:rPr>
        <w:t>g</w:t>
      </w:r>
      <w:r>
        <w:rPr>
          <w:rFonts w:ascii="Arial" w:cs="Arial" w:eastAsia="Arial" w:hAnsi="Arial"/>
          <w:sz w:val="18"/>
          <w:szCs w:val="18"/>
          <w:color w:val="2A2A2A"/>
        </w:rPr>
        <w:t xml:space="preserve"> </w:t>
      </w:r>
      <w:r>
        <w:rPr>
          <w:rFonts w:ascii="Arial" w:cs="Arial" w:eastAsia="Arial" w:hAnsi="Arial"/>
          <w:sz w:val="18"/>
          <w:szCs w:val="18"/>
          <w:color w:val="1A1A1A"/>
        </w:rPr>
        <w:t>provi</w:t>
      </w:r>
      <w:r>
        <w:rPr>
          <w:rFonts w:ascii="Arial" w:cs="Arial" w:eastAsia="Arial" w:hAnsi="Arial"/>
          <w:sz w:val="18"/>
          <w:szCs w:val="18"/>
          <w:color w:val="3B3B3B"/>
        </w:rPr>
        <w:t>sions</w:t>
      </w:r>
      <w:r>
        <w:rPr>
          <w:rFonts w:ascii="Arial" w:cs="Arial" w:eastAsia="Arial" w:hAnsi="Arial"/>
          <w:sz w:val="18"/>
          <w:szCs w:val="18"/>
          <w:color w:val="2A2A2A"/>
        </w:rPr>
        <w:t xml:space="preserve"> of </w:t>
      </w:r>
      <w:r>
        <w:rPr>
          <w:rFonts w:ascii="Arial" w:cs="Arial" w:eastAsia="Arial" w:hAnsi="Arial"/>
          <w:sz w:val="18"/>
          <w:szCs w:val="18"/>
          <w:color w:val="3B3B3B"/>
        </w:rPr>
        <w:t>this</w:t>
      </w:r>
      <w:r>
        <w:rPr>
          <w:rFonts w:ascii="Arial" w:cs="Arial" w:eastAsia="Arial" w:hAnsi="Arial"/>
          <w:sz w:val="18"/>
          <w:szCs w:val="18"/>
          <w:color w:val="2A2A2A"/>
        </w:rPr>
        <w:t xml:space="preserve"> Agreement</w:t>
      </w:r>
      <w:r>
        <w:rPr>
          <w:rFonts w:ascii="Arial" w:cs="Arial" w:eastAsia="Arial" w:hAnsi="Arial"/>
          <w:sz w:val="18"/>
          <w:szCs w:val="18"/>
          <w:color w:val="505050"/>
        </w:rPr>
        <w:t>,</w:t>
      </w:r>
      <w:r>
        <w:rPr>
          <w:rFonts w:ascii="Arial" w:cs="Arial" w:eastAsia="Arial" w:hAnsi="Arial"/>
          <w:sz w:val="18"/>
          <w:szCs w:val="18"/>
          <w:color w:val="2A2A2A"/>
        </w:rPr>
        <w:t xml:space="preserve"> and </w:t>
      </w:r>
      <w:r>
        <w:rPr>
          <w:rFonts w:ascii="Arial" w:cs="Arial" w:eastAsia="Arial" w:hAnsi="Arial"/>
          <w:sz w:val="18"/>
          <w:szCs w:val="18"/>
          <w:color w:val="1A1A1A"/>
        </w:rPr>
        <w:t>furth</w:t>
      </w:r>
      <w:r>
        <w:rPr>
          <w:rFonts w:ascii="Arial" w:cs="Arial" w:eastAsia="Arial" w:hAnsi="Arial"/>
          <w:sz w:val="18"/>
          <w:szCs w:val="18"/>
          <w:color w:val="3B3B3B"/>
        </w:rPr>
        <w:t>e</w:t>
      </w:r>
      <w:r>
        <w:rPr>
          <w:rFonts w:ascii="Arial" w:cs="Arial" w:eastAsia="Arial" w:hAnsi="Arial"/>
          <w:sz w:val="18"/>
          <w:szCs w:val="18"/>
          <w:color w:val="1A1A1A"/>
        </w:rPr>
        <w:t>r</w:t>
      </w:r>
      <w:r>
        <w:rPr>
          <w:rFonts w:ascii="Arial" w:cs="Arial" w:eastAsia="Arial" w:hAnsi="Arial"/>
          <w:sz w:val="18"/>
          <w:szCs w:val="18"/>
          <w:color w:val="2A2A2A"/>
        </w:rPr>
        <w:t xml:space="preserve"> agree to </w:t>
      </w:r>
      <w:r>
        <w:rPr>
          <w:rFonts w:ascii="Arial" w:cs="Arial" w:eastAsia="Arial" w:hAnsi="Arial"/>
          <w:sz w:val="18"/>
          <w:szCs w:val="18"/>
          <w:color w:val="3B3B3B"/>
        </w:rPr>
        <w:t>su</w:t>
      </w:r>
      <w:r>
        <w:rPr>
          <w:rFonts w:ascii="Arial" w:cs="Arial" w:eastAsia="Arial" w:hAnsi="Arial"/>
          <w:sz w:val="18"/>
          <w:szCs w:val="18"/>
          <w:color w:val="1A1A1A"/>
        </w:rPr>
        <w:t>b</w:t>
      </w:r>
      <w:r>
        <w:rPr>
          <w:rFonts w:ascii="Arial" w:cs="Arial" w:eastAsia="Arial" w:hAnsi="Arial"/>
          <w:sz w:val="18"/>
          <w:szCs w:val="18"/>
          <w:color w:val="3B3B3B"/>
        </w:rPr>
        <w:t>stit</w:t>
      </w:r>
      <w:r>
        <w:rPr>
          <w:rFonts w:ascii="Arial" w:cs="Arial" w:eastAsia="Arial" w:hAnsi="Arial"/>
          <w:sz w:val="18"/>
          <w:szCs w:val="18"/>
          <w:color w:val="1A1A1A"/>
        </w:rPr>
        <w:t>ut</w:t>
      </w:r>
      <w:r>
        <w:rPr>
          <w:rFonts w:ascii="Arial" w:cs="Arial" w:eastAsia="Arial" w:hAnsi="Arial"/>
          <w:sz w:val="18"/>
          <w:szCs w:val="18"/>
          <w:color w:val="3B3B3B"/>
        </w:rPr>
        <w:t>e</w:t>
      </w:r>
      <w:r>
        <w:rPr>
          <w:rFonts w:ascii="Arial" w:cs="Arial" w:eastAsia="Arial" w:hAnsi="Arial"/>
          <w:sz w:val="18"/>
          <w:szCs w:val="18"/>
          <w:color w:val="2A2A2A"/>
        </w:rPr>
        <w:t xml:space="preserve"> for the </w:t>
      </w:r>
      <w:r>
        <w:rPr>
          <w:rFonts w:ascii="Arial" w:cs="Arial" w:eastAsia="Arial" w:hAnsi="Arial"/>
          <w:sz w:val="18"/>
          <w:szCs w:val="18"/>
          <w:color w:val="1A1A1A"/>
        </w:rPr>
        <w:t>invalid</w:t>
      </w:r>
      <w:r>
        <w:rPr>
          <w:rFonts w:ascii="Arial" w:cs="Arial" w:eastAsia="Arial" w:hAnsi="Arial"/>
          <w:sz w:val="18"/>
          <w:szCs w:val="18"/>
          <w:color w:val="2A2A2A"/>
        </w:rPr>
        <w:t xml:space="preserve"> provision </w:t>
      </w:r>
      <w:r>
        <w:rPr>
          <w:rFonts w:ascii="Arial" w:cs="Arial" w:eastAsia="Arial" w:hAnsi="Arial"/>
          <w:sz w:val="18"/>
          <w:szCs w:val="18"/>
          <w:color w:val="3B3B3B"/>
        </w:rPr>
        <w:t>a</w:t>
      </w:r>
      <w:r>
        <w:rPr>
          <w:rFonts w:ascii="Arial" w:cs="Arial" w:eastAsia="Arial" w:hAnsi="Arial"/>
          <w:sz w:val="18"/>
          <w:szCs w:val="18"/>
          <w:color w:val="2A2A2A"/>
        </w:rPr>
        <w:t xml:space="preserve"> valid provision which most </w:t>
      </w:r>
      <w:r>
        <w:rPr>
          <w:rFonts w:ascii="Arial" w:cs="Arial" w:eastAsia="Arial" w:hAnsi="Arial"/>
          <w:sz w:val="18"/>
          <w:szCs w:val="18"/>
          <w:color w:val="1A1A1A"/>
        </w:rPr>
        <w:t>cl</w:t>
      </w:r>
      <w:r>
        <w:rPr>
          <w:rFonts w:ascii="Arial" w:cs="Arial" w:eastAsia="Arial" w:hAnsi="Arial"/>
          <w:sz w:val="18"/>
          <w:szCs w:val="18"/>
          <w:color w:val="3B3B3B"/>
        </w:rPr>
        <w:t>ose</w:t>
      </w:r>
      <w:r>
        <w:rPr>
          <w:rFonts w:ascii="Arial" w:cs="Arial" w:eastAsia="Arial" w:hAnsi="Arial"/>
          <w:sz w:val="18"/>
          <w:szCs w:val="18"/>
          <w:color w:val="1A1A1A"/>
        </w:rPr>
        <w:t>l</w:t>
      </w:r>
      <w:r>
        <w:rPr>
          <w:rFonts w:ascii="Arial" w:cs="Arial" w:eastAsia="Arial" w:hAnsi="Arial"/>
          <w:sz w:val="18"/>
          <w:szCs w:val="18"/>
          <w:color w:val="3B3B3B"/>
        </w:rPr>
        <w:t>y ap</w:t>
      </w:r>
      <w:r>
        <w:rPr>
          <w:rFonts w:ascii="Arial" w:cs="Arial" w:eastAsia="Arial" w:hAnsi="Arial"/>
          <w:sz w:val="18"/>
          <w:szCs w:val="18"/>
          <w:color w:val="1A1A1A"/>
        </w:rPr>
        <w:t>proximat</w:t>
      </w:r>
      <w:r>
        <w:rPr>
          <w:rFonts w:ascii="Arial" w:cs="Arial" w:eastAsia="Arial" w:hAnsi="Arial"/>
          <w:sz w:val="18"/>
          <w:szCs w:val="18"/>
          <w:color w:val="3B3B3B"/>
        </w:rPr>
        <w:t>es</w:t>
      </w:r>
      <w:r>
        <w:rPr>
          <w:rFonts w:ascii="Arial" w:cs="Arial" w:eastAsia="Arial" w:hAnsi="Arial"/>
          <w:sz w:val="18"/>
          <w:szCs w:val="18"/>
          <w:color w:val="2A2A2A"/>
        </w:rPr>
        <w:t xml:space="preserve"> the intent and economic </w:t>
      </w:r>
      <w:r>
        <w:rPr>
          <w:rFonts w:ascii="Arial" w:cs="Arial" w:eastAsia="Arial" w:hAnsi="Arial"/>
          <w:sz w:val="18"/>
          <w:szCs w:val="18"/>
          <w:color w:val="1A1A1A"/>
        </w:rPr>
        <w:t>eff</w:t>
      </w:r>
      <w:r>
        <w:rPr>
          <w:rFonts w:ascii="Arial" w:cs="Arial" w:eastAsia="Arial" w:hAnsi="Arial"/>
          <w:sz w:val="18"/>
          <w:szCs w:val="18"/>
          <w:color w:val="3B3B3B"/>
        </w:rPr>
        <w:t>ect</w:t>
      </w:r>
      <w:r>
        <w:rPr>
          <w:rFonts w:ascii="Arial" w:cs="Arial" w:eastAsia="Arial" w:hAnsi="Arial"/>
          <w:sz w:val="18"/>
          <w:szCs w:val="18"/>
          <w:color w:val="2A2A2A"/>
        </w:rPr>
        <w:t xml:space="preserve"> of </w:t>
      </w:r>
      <w:r>
        <w:rPr>
          <w:rFonts w:ascii="Arial" w:cs="Arial" w:eastAsia="Arial" w:hAnsi="Arial"/>
          <w:sz w:val="18"/>
          <w:szCs w:val="18"/>
          <w:color w:val="1A1A1A"/>
        </w:rPr>
        <w:t>the i</w:t>
      </w:r>
      <w:r>
        <w:rPr>
          <w:rFonts w:ascii="Arial" w:cs="Arial" w:eastAsia="Arial" w:hAnsi="Arial"/>
          <w:sz w:val="18"/>
          <w:szCs w:val="18"/>
          <w:color w:val="3B3B3B"/>
        </w:rPr>
        <w:t>nval</w:t>
      </w:r>
      <w:r>
        <w:rPr>
          <w:rFonts w:ascii="Arial" w:cs="Arial" w:eastAsia="Arial" w:hAnsi="Arial"/>
          <w:sz w:val="18"/>
          <w:szCs w:val="18"/>
          <w:color w:val="1A1A1A"/>
        </w:rPr>
        <w:t>id provi</w:t>
      </w:r>
      <w:r>
        <w:rPr>
          <w:rFonts w:ascii="Arial" w:cs="Arial" w:eastAsia="Arial" w:hAnsi="Arial"/>
          <w:sz w:val="18"/>
          <w:szCs w:val="18"/>
          <w:color w:val="3B3B3B"/>
        </w:rPr>
        <w:t>si</w:t>
      </w:r>
      <w:r>
        <w:rPr>
          <w:rFonts w:ascii="Arial" w:cs="Arial" w:eastAsia="Arial" w:hAnsi="Arial"/>
          <w:sz w:val="18"/>
          <w:szCs w:val="18"/>
          <w:color w:val="1A1A1A"/>
        </w:rPr>
        <w:t>on. Headin</w:t>
      </w:r>
      <w:r>
        <w:rPr>
          <w:rFonts w:ascii="Arial" w:cs="Arial" w:eastAsia="Arial" w:hAnsi="Arial"/>
          <w:sz w:val="18"/>
          <w:szCs w:val="18"/>
          <w:color w:val="3B3B3B"/>
        </w:rPr>
        <w:t>gs</w:t>
      </w:r>
      <w:r>
        <w:rPr>
          <w:rFonts w:ascii="Arial" w:cs="Arial" w:eastAsia="Arial" w:hAnsi="Arial"/>
          <w:sz w:val="18"/>
          <w:szCs w:val="18"/>
          <w:color w:val="2A2A2A"/>
        </w:rPr>
        <w:t xml:space="preserve"> </w:t>
      </w:r>
      <w:r>
        <w:rPr>
          <w:rFonts w:ascii="Arial" w:cs="Arial" w:eastAsia="Arial" w:hAnsi="Arial"/>
          <w:sz w:val="18"/>
          <w:szCs w:val="18"/>
          <w:color w:val="1A1A1A"/>
        </w:rPr>
        <w:t>u</w:t>
      </w:r>
      <w:r>
        <w:rPr>
          <w:rFonts w:ascii="Arial" w:cs="Arial" w:eastAsia="Arial" w:hAnsi="Arial"/>
          <w:sz w:val="18"/>
          <w:szCs w:val="18"/>
          <w:color w:val="3B3B3B"/>
        </w:rPr>
        <w:t>sed</w:t>
      </w:r>
      <w:r>
        <w:rPr>
          <w:rFonts w:ascii="Arial" w:cs="Arial" w:eastAsia="Arial" w:hAnsi="Arial"/>
          <w:sz w:val="18"/>
          <w:szCs w:val="18"/>
          <w:color w:val="2A2A2A"/>
        </w:rPr>
        <w:t xml:space="preserve"> in this Agreement are provided for </w:t>
      </w:r>
      <w:r>
        <w:rPr>
          <w:rFonts w:ascii="Arial" w:cs="Arial" w:eastAsia="Arial" w:hAnsi="Arial"/>
          <w:sz w:val="18"/>
          <w:szCs w:val="18"/>
          <w:color w:val="1A1A1A"/>
        </w:rPr>
        <w:t>c</w:t>
      </w:r>
      <w:r>
        <w:rPr>
          <w:rFonts w:ascii="Arial" w:cs="Arial" w:eastAsia="Arial" w:hAnsi="Arial"/>
          <w:sz w:val="18"/>
          <w:szCs w:val="18"/>
          <w:color w:val="3B3B3B"/>
        </w:rPr>
        <w:t>onve</w:t>
      </w:r>
      <w:r>
        <w:rPr>
          <w:rFonts w:ascii="Arial" w:cs="Arial" w:eastAsia="Arial" w:hAnsi="Arial"/>
          <w:sz w:val="18"/>
          <w:szCs w:val="18"/>
          <w:color w:val="1A1A1A"/>
        </w:rPr>
        <w:t>ni</w:t>
      </w:r>
      <w:r>
        <w:rPr>
          <w:rFonts w:ascii="Arial" w:cs="Arial" w:eastAsia="Arial" w:hAnsi="Arial"/>
          <w:sz w:val="18"/>
          <w:szCs w:val="18"/>
          <w:color w:val="3B3B3B"/>
        </w:rPr>
        <w:t>e</w:t>
      </w:r>
      <w:r>
        <w:rPr>
          <w:rFonts w:ascii="Arial" w:cs="Arial" w:eastAsia="Arial" w:hAnsi="Arial"/>
          <w:sz w:val="18"/>
          <w:szCs w:val="18"/>
          <w:color w:val="1A1A1A"/>
        </w:rPr>
        <w:t>nce</w:t>
      </w:r>
      <w:r>
        <w:rPr>
          <w:rFonts w:ascii="Arial" w:cs="Arial" w:eastAsia="Arial" w:hAnsi="Arial"/>
          <w:sz w:val="18"/>
          <w:szCs w:val="18"/>
          <w:color w:val="2A2A2A"/>
        </w:rPr>
        <w:t xml:space="preserve"> only, and </w:t>
      </w:r>
      <w:r>
        <w:rPr>
          <w:rFonts w:ascii="Arial" w:cs="Arial" w:eastAsia="Arial" w:hAnsi="Arial"/>
          <w:sz w:val="18"/>
          <w:szCs w:val="18"/>
          <w:color w:val="3B3B3B"/>
        </w:rPr>
        <w:t>sha</w:t>
      </w:r>
      <w:r>
        <w:rPr>
          <w:rFonts w:ascii="Arial" w:cs="Arial" w:eastAsia="Arial" w:hAnsi="Arial"/>
          <w:sz w:val="18"/>
          <w:szCs w:val="18"/>
          <w:color w:val="1A1A1A"/>
        </w:rPr>
        <w:t>ll</w:t>
      </w:r>
      <w:r>
        <w:rPr>
          <w:rFonts w:ascii="Arial" w:cs="Arial" w:eastAsia="Arial" w:hAnsi="Arial"/>
          <w:sz w:val="18"/>
          <w:szCs w:val="18"/>
          <w:color w:val="2A2A2A"/>
        </w:rPr>
        <w:t xml:space="preserve"> not in </w:t>
      </w:r>
      <w:r>
        <w:rPr>
          <w:rFonts w:ascii="Arial" w:cs="Arial" w:eastAsia="Arial" w:hAnsi="Arial"/>
          <w:sz w:val="18"/>
          <w:szCs w:val="18"/>
          <w:color w:val="1A1A1A"/>
        </w:rPr>
        <w:t>any</w:t>
      </w:r>
      <w:r>
        <w:rPr>
          <w:rFonts w:ascii="Arial" w:cs="Arial" w:eastAsia="Arial" w:hAnsi="Arial"/>
          <w:sz w:val="18"/>
          <w:szCs w:val="18"/>
          <w:color w:val="2A2A2A"/>
        </w:rPr>
        <w:t xml:space="preserve"> way affect the </w:t>
      </w:r>
      <w:r>
        <w:rPr>
          <w:rFonts w:ascii="Arial" w:cs="Arial" w:eastAsia="Arial" w:hAnsi="Arial"/>
          <w:sz w:val="18"/>
          <w:szCs w:val="18"/>
          <w:color w:val="1A1A1A"/>
        </w:rPr>
        <w:t>m</w:t>
      </w:r>
      <w:r>
        <w:rPr>
          <w:rFonts w:ascii="Arial" w:cs="Arial" w:eastAsia="Arial" w:hAnsi="Arial"/>
          <w:sz w:val="18"/>
          <w:szCs w:val="18"/>
          <w:color w:val="3B3B3B"/>
        </w:rPr>
        <w:t>ea</w:t>
      </w:r>
      <w:r>
        <w:rPr>
          <w:rFonts w:ascii="Arial" w:cs="Arial" w:eastAsia="Arial" w:hAnsi="Arial"/>
          <w:sz w:val="18"/>
          <w:szCs w:val="18"/>
          <w:color w:val="1A1A1A"/>
        </w:rPr>
        <w:t>ning</w:t>
      </w:r>
      <w:r>
        <w:rPr>
          <w:rFonts w:ascii="Arial" w:cs="Arial" w:eastAsia="Arial" w:hAnsi="Arial"/>
          <w:sz w:val="18"/>
          <w:szCs w:val="18"/>
          <w:color w:val="2A2A2A"/>
        </w:rPr>
        <w:t xml:space="preserve"> or </w:t>
      </w:r>
      <w:r>
        <w:rPr>
          <w:rFonts w:ascii="Arial" w:cs="Arial" w:eastAsia="Arial" w:hAnsi="Arial"/>
          <w:sz w:val="18"/>
          <w:szCs w:val="18"/>
          <w:color w:val="1A1A1A"/>
        </w:rPr>
        <w:t>interpretation h</w:t>
      </w:r>
      <w:r>
        <w:rPr>
          <w:rFonts w:ascii="Arial" w:cs="Arial" w:eastAsia="Arial" w:hAnsi="Arial"/>
          <w:sz w:val="18"/>
          <w:szCs w:val="18"/>
          <w:color w:val="3B3B3B"/>
        </w:rPr>
        <w:t>ereof.</w:t>
      </w:r>
    </w:p>
    <w:p>
      <w:pPr>
        <w:spacing w:after="0" w:line="201" w:lineRule="exact"/>
        <w:rPr>
          <w:sz w:val="20"/>
          <w:szCs w:val="20"/>
          <w:color w:val="auto"/>
        </w:rPr>
      </w:pPr>
    </w:p>
    <w:p>
      <w:pPr>
        <w:ind w:left="320" w:right="180" w:hanging="323"/>
        <w:spacing w:after="0" w:line="250" w:lineRule="auto"/>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1A1A1A"/>
        </w:rPr>
        <w:t>Waiver.</w:t>
      </w:r>
      <w:r>
        <w:rPr>
          <w:rFonts w:ascii="Arial" w:cs="Arial" w:eastAsia="Arial" w:hAnsi="Arial"/>
          <w:sz w:val="18"/>
          <w:szCs w:val="18"/>
          <w:color w:val="auto"/>
        </w:rPr>
        <w:t xml:space="preserve"> </w:t>
      </w:r>
      <w:r>
        <w:rPr>
          <w:rFonts w:ascii="Arial" w:cs="Arial" w:eastAsia="Arial" w:hAnsi="Arial"/>
          <w:sz w:val="18"/>
          <w:szCs w:val="18"/>
          <w:color w:val="2A2A2A"/>
        </w:rPr>
        <w:t>No waiver of any</w:t>
      </w:r>
      <w:r>
        <w:rPr>
          <w:rFonts w:ascii="Arial" w:cs="Arial" w:eastAsia="Arial" w:hAnsi="Arial"/>
          <w:sz w:val="18"/>
          <w:szCs w:val="18"/>
          <w:color w:val="auto"/>
        </w:rPr>
        <w:t xml:space="preserve"> </w:t>
      </w:r>
      <w:r>
        <w:rPr>
          <w:rFonts w:ascii="Arial" w:cs="Arial" w:eastAsia="Arial" w:hAnsi="Arial"/>
          <w:sz w:val="18"/>
          <w:szCs w:val="18"/>
          <w:color w:val="1A1A1A"/>
        </w:rPr>
        <w:t>ri</w:t>
      </w:r>
      <w:r>
        <w:rPr>
          <w:rFonts w:ascii="Arial" w:cs="Arial" w:eastAsia="Arial" w:hAnsi="Arial"/>
          <w:sz w:val="18"/>
          <w:szCs w:val="18"/>
          <w:color w:val="3B3B3B"/>
        </w:rPr>
        <w:t>g</w:t>
      </w:r>
      <w:r>
        <w:rPr>
          <w:rFonts w:ascii="Arial" w:cs="Arial" w:eastAsia="Arial" w:hAnsi="Arial"/>
          <w:sz w:val="18"/>
          <w:szCs w:val="18"/>
          <w:color w:val="1A1A1A"/>
        </w:rPr>
        <w:t>ht b</w:t>
      </w:r>
      <w:r>
        <w:rPr>
          <w:rFonts w:ascii="Arial" w:cs="Arial" w:eastAsia="Arial" w:hAnsi="Arial"/>
          <w:sz w:val="18"/>
          <w:szCs w:val="18"/>
          <w:color w:val="3B3B3B"/>
        </w:rPr>
        <w:t>y</w:t>
      </w:r>
      <w:r>
        <w:rPr>
          <w:rFonts w:ascii="Arial" w:cs="Arial" w:eastAsia="Arial" w:hAnsi="Arial"/>
          <w:sz w:val="18"/>
          <w:szCs w:val="18"/>
          <w:color w:val="auto"/>
        </w:rPr>
        <w:t xml:space="preserve"> </w:t>
      </w:r>
      <w:r>
        <w:rPr>
          <w:rFonts w:ascii="Arial" w:cs="Arial" w:eastAsia="Arial" w:hAnsi="Arial"/>
          <w:sz w:val="18"/>
          <w:szCs w:val="18"/>
          <w:color w:val="2A2A2A"/>
        </w:rPr>
        <w:t>either Party under</w:t>
      </w:r>
      <w:r>
        <w:rPr>
          <w:rFonts w:ascii="Arial" w:cs="Arial" w:eastAsia="Arial" w:hAnsi="Arial"/>
          <w:sz w:val="18"/>
          <w:szCs w:val="18"/>
          <w:color w:val="auto"/>
        </w:rPr>
        <w:t xml:space="preserve"> </w:t>
      </w:r>
      <w:r>
        <w:rPr>
          <w:rFonts w:ascii="Arial" w:cs="Arial" w:eastAsia="Arial" w:hAnsi="Arial"/>
          <w:sz w:val="18"/>
          <w:szCs w:val="18"/>
          <w:color w:val="1A1A1A"/>
        </w:rPr>
        <w:t>thi</w:t>
      </w:r>
      <w:r>
        <w:rPr>
          <w:rFonts w:ascii="Arial" w:cs="Arial" w:eastAsia="Arial" w:hAnsi="Arial"/>
          <w:sz w:val="18"/>
          <w:szCs w:val="18"/>
          <w:color w:val="3B3B3B"/>
        </w:rPr>
        <w:t>s</w:t>
      </w:r>
      <w:r>
        <w:rPr>
          <w:rFonts w:ascii="Arial" w:cs="Arial" w:eastAsia="Arial" w:hAnsi="Arial"/>
          <w:sz w:val="18"/>
          <w:szCs w:val="18"/>
          <w:color w:val="auto"/>
        </w:rPr>
        <w:t xml:space="preserve"> </w:t>
      </w:r>
      <w:r>
        <w:rPr>
          <w:rFonts w:ascii="Arial" w:cs="Arial" w:eastAsia="Arial" w:hAnsi="Arial"/>
          <w:sz w:val="18"/>
          <w:szCs w:val="18"/>
          <w:color w:val="2A2A2A"/>
        </w:rPr>
        <w:t>Agreement</w:t>
      </w:r>
      <w:r>
        <w:rPr>
          <w:rFonts w:ascii="Arial" w:cs="Arial" w:eastAsia="Arial" w:hAnsi="Arial"/>
          <w:sz w:val="18"/>
          <w:szCs w:val="18"/>
          <w:color w:val="auto"/>
        </w:rPr>
        <w:t xml:space="preserve"> </w:t>
      </w:r>
      <w:r>
        <w:rPr>
          <w:rFonts w:ascii="Arial" w:cs="Arial" w:eastAsia="Arial" w:hAnsi="Arial"/>
          <w:sz w:val="18"/>
          <w:szCs w:val="18"/>
          <w:color w:val="3B3B3B"/>
        </w:rPr>
        <w:t>sha</w:t>
      </w:r>
      <w:r>
        <w:rPr>
          <w:rFonts w:ascii="Arial" w:cs="Arial" w:eastAsia="Arial" w:hAnsi="Arial"/>
          <w:sz w:val="18"/>
          <w:szCs w:val="18"/>
          <w:color w:val="1A1A1A"/>
        </w:rPr>
        <w:t>ll</w:t>
      </w:r>
      <w:r>
        <w:rPr>
          <w:rFonts w:ascii="Arial" w:cs="Arial" w:eastAsia="Arial" w:hAnsi="Arial"/>
          <w:sz w:val="18"/>
          <w:szCs w:val="18"/>
          <w:color w:val="auto"/>
        </w:rPr>
        <w:t xml:space="preserve"> </w:t>
      </w:r>
      <w:r>
        <w:rPr>
          <w:rFonts w:ascii="Arial" w:cs="Arial" w:eastAsia="Arial" w:hAnsi="Arial"/>
          <w:sz w:val="18"/>
          <w:szCs w:val="18"/>
          <w:color w:val="3B3B3B"/>
        </w:rPr>
        <w:t>be</w:t>
      </w:r>
      <w:r>
        <w:rPr>
          <w:rFonts w:ascii="Arial" w:cs="Arial" w:eastAsia="Arial" w:hAnsi="Arial"/>
          <w:sz w:val="18"/>
          <w:szCs w:val="18"/>
          <w:color w:val="auto"/>
        </w:rPr>
        <w:t xml:space="preserve"> </w:t>
      </w:r>
      <w:r>
        <w:rPr>
          <w:rFonts w:ascii="Arial" w:cs="Arial" w:eastAsia="Arial" w:hAnsi="Arial"/>
          <w:sz w:val="18"/>
          <w:szCs w:val="18"/>
          <w:color w:val="2A2A2A"/>
        </w:rPr>
        <w:t>of any effect</w:t>
      </w:r>
      <w:r>
        <w:rPr>
          <w:rFonts w:ascii="Arial" w:cs="Arial" w:eastAsia="Arial" w:hAnsi="Arial"/>
          <w:sz w:val="18"/>
          <w:szCs w:val="18"/>
          <w:color w:val="auto"/>
        </w:rPr>
        <w:t xml:space="preserve"> </w:t>
      </w:r>
      <w:r>
        <w:rPr>
          <w:rFonts w:ascii="Arial" w:cs="Arial" w:eastAsia="Arial" w:hAnsi="Arial"/>
          <w:sz w:val="18"/>
          <w:szCs w:val="18"/>
          <w:color w:val="1A1A1A"/>
        </w:rPr>
        <w:t>unl</w:t>
      </w:r>
      <w:r>
        <w:rPr>
          <w:rFonts w:ascii="Arial" w:cs="Arial" w:eastAsia="Arial" w:hAnsi="Arial"/>
          <w:sz w:val="18"/>
          <w:szCs w:val="18"/>
          <w:color w:val="3B3B3B"/>
        </w:rPr>
        <w:t>ess s</w:t>
      </w:r>
      <w:r>
        <w:rPr>
          <w:rFonts w:ascii="Arial" w:cs="Arial" w:eastAsia="Arial" w:hAnsi="Arial"/>
          <w:sz w:val="18"/>
          <w:szCs w:val="18"/>
          <w:color w:val="1A1A1A"/>
        </w:rPr>
        <w:t>uch</w:t>
      </w:r>
      <w:r>
        <w:rPr>
          <w:rFonts w:ascii="Arial" w:cs="Arial" w:eastAsia="Arial" w:hAnsi="Arial"/>
          <w:sz w:val="18"/>
          <w:szCs w:val="18"/>
          <w:color w:val="auto"/>
        </w:rPr>
        <w:t xml:space="preserve"> </w:t>
      </w:r>
      <w:r>
        <w:rPr>
          <w:rFonts w:ascii="Arial" w:cs="Arial" w:eastAsia="Arial" w:hAnsi="Arial"/>
          <w:sz w:val="18"/>
          <w:szCs w:val="18"/>
          <w:color w:val="2A2A2A"/>
        </w:rPr>
        <w:t>waiver</w:t>
      </w:r>
      <w:r>
        <w:rPr>
          <w:rFonts w:ascii="Arial" w:cs="Arial" w:eastAsia="Arial" w:hAnsi="Arial"/>
          <w:sz w:val="18"/>
          <w:szCs w:val="18"/>
          <w:color w:val="auto"/>
        </w:rPr>
        <w:t xml:space="preserve"> </w:t>
      </w:r>
      <w:r>
        <w:rPr>
          <w:rFonts w:ascii="Arial" w:cs="Arial" w:eastAsia="Arial" w:hAnsi="Arial"/>
          <w:sz w:val="18"/>
          <w:szCs w:val="18"/>
          <w:color w:val="1A1A1A"/>
        </w:rPr>
        <w:t>i</w:t>
      </w:r>
      <w:r>
        <w:rPr>
          <w:rFonts w:ascii="Arial" w:cs="Arial" w:eastAsia="Arial" w:hAnsi="Arial"/>
          <w:sz w:val="18"/>
          <w:szCs w:val="18"/>
          <w:color w:val="3B3B3B"/>
        </w:rPr>
        <w:t>s exp</w:t>
      </w:r>
      <w:r>
        <w:rPr>
          <w:rFonts w:ascii="Arial" w:cs="Arial" w:eastAsia="Arial" w:hAnsi="Arial"/>
          <w:sz w:val="18"/>
          <w:szCs w:val="18"/>
          <w:color w:val="1A1A1A"/>
        </w:rPr>
        <w:t>r</w:t>
      </w:r>
      <w:r>
        <w:rPr>
          <w:rFonts w:ascii="Arial" w:cs="Arial" w:eastAsia="Arial" w:hAnsi="Arial"/>
          <w:sz w:val="18"/>
          <w:szCs w:val="18"/>
          <w:color w:val="3B3B3B"/>
        </w:rPr>
        <w:t>ess,</w:t>
      </w:r>
      <w:r>
        <w:rPr>
          <w:rFonts w:ascii="Arial" w:cs="Arial" w:eastAsia="Arial" w:hAnsi="Arial"/>
          <w:sz w:val="18"/>
          <w:szCs w:val="18"/>
          <w:color w:val="auto"/>
        </w:rPr>
        <w:t xml:space="preserve"> </w:t>
      </w:r>
      <w:r>
        <w:rPr>
          <w:rFonts w:ascii="Arial" w:cs="Arial" w:eastAsia="Arial" w:hAnsi="Arial"/>
          <w:sz w:val="18"/>
          <w:szCs w:val="18"/>
          <w:color w:val="1A1A1A"/>
        </w:rPr>
        <w:t>in</w:t>
      </w:r>
      <w:r>
        <w:rPr>
          <w:rFonts w:ascii="Arial" w:cs="Arial" w:eastAsia="Arial" w:hAnsi="Arial"/>
          <w:sz w:val="18"/>
          <w:szCs w:val="18"/>
          <w:color w:val="auto"/>
        </w:rPr>
        <w:t xml:space="preserve"> </w:t>
      </w:r>
      <w:r>
        <w:rPr>
          <w:rFonts w:ascii="Arial" w:cs="Arial" w:eastAsia="Arial" w:hAnsi="Arial"/>
          <w:sz w:val="18"/>
          <w:szCs w:val="18"/>
          <w:color w:val="2A2A2A"/>
        </w:rPr>
        <w:t>writing and</w:t>
      </w:r>
      <w:r>
        <w:rPr>
          <w:rFonts w:ascii="Arial" w:cs="Arial" w:eastAsia="Arial" w:hAnsi="Arial"/>
          <w:sz w:val="18"/>
          <w:szCs w:val="18"/>
          <w:color w:val="auto"/>
        </w:rPr>
        <w:t xml:space="preserve"> </w:t>
      </w:r>
      <w:r>
        <w:rPr>
          <w:rFonts w:ascii="Arial" w:cs="Arial" w:eastAsia="Arial" w:hAnsi="Arial"/>
          <w:sz w:val="18"/>
          <w:szCs w:val="18"/>
          <w:color w:val="3B3B3B"/>
        </w:rPr>
        <w:t>s</w:t>
      </w:r>
      <w:r>
        <w:rPr>
          <w:rFonts w:ascii="Arial" w:cs="Arial" w:eastAsia="Arial" w:hAnsi="Arial"/>
          <w:sz w:val="18"/>
          <w:szCs w:val="18"/>
          <w:color w:val="1A1A1A"/>
        </w:rPr>
        <w:t>i</w:t>
      </w:r>
      <w:r>
        <w:rPr>
          <w:rFonts w:ascii="Arial" w:cs="Arial" w:eastAsia="Arial" w:hAnsi="Arial"/>
          <w:sz w:val="18"/>
          <w:szCs w:val="18"/>
          <w:color w:val="3B3B3B"/>
        </w:rPr>
        <w:t>g</w:t>
      </w:r>
      <w:r>
        <w:rPr>
          <w:rFonts w:ascii="Arial" w:cs="Arial" w:eastAsia="Arial" w:hAnsi="Arial"/>
          <w:sz w:val="18"/>
          <w:szCs w:val="18"/>
          <w:color w:val="1A1A1A"/>
        </w:rPr>
        <w:t>n</w:t>
      </w:r>
      <w:r>
        <w:rPr>
          <w:rFonts w:ascii="Arial" w:cs="Arial" w:eastAsia="Arial" w:hAnsi="Arial"/>
          <w:sz w:val="18"/>
          <w:szCs w:val="18"/>
          <w:color w:val="3B3B3B"/>
        </w:rPr>
        <w:t xml:space="preserve">ed </w:t>
      </w:r>
      <w:r>
        <w:rPr>
          <w:rFonts w:ascii="Arial" w:cs="Arial" w:eastAsia="Arial" w:hAnsi="Arial"/>
          <w:sz w:val="18"/>
          <w:szCs w:val="18"/>
          <w:color w:val="2A2A2A"/>
        </w:rPr>
        <w:t>by</w:t>
      </w:r>
      <w:r>
        <w:rPr>
          <w:rFonts w:ascii="Arial" w:cs="Arial" w:eastAsia="Arial" w:hAnsi="Arial"/>
          <w:sz w:val="18"/>
          <w:szCs w:val="18"/>
          <w:color w:val="3B3B3B"/>
        </w:rPr>
        <w:t xml:space="preserve"> </w:t>
      </w:r>
      <w:r>
        <w:rPr>
          <w:rFonts w:ascii="Arial" w:cs="Arial" w:eastAsia="Arial" w:hAnsi="Arial"/>
          <w:sz w:val="18"/>
          <w:szCs w:val="18"/>
          <w:color w:val="1A1A1A"/>
        </w:rPr>
        <w:t>the</w:t>
      </w:r>
      <w:r>
        <w:rPr>
          <w:rFonts w:ascii="Arial" w:cs="Arial" w:eastAsia="Arial" w:hAnsi="Arial"/>
          <w:sz w:val="18"/>
          <w:szCs w:val="18"/>
          <w:color w:val="3B3B3B"/>
        </w:rPr>
        <w:t xml:space="preserve"> wa</w:t>
      </w:r>
      <w:r>
        <w:rPr>
          <w:rFonts w:ascii="Arial" w:cs="Arial" w:eastAsia="Arial" w:hAnsi="Arial"/>
          <w:sz w:val="18"/>
          <w:szCs w:val="18"/>
          <w:color w:val="1A1A1A"/>
        </w:rPr>
        <w:t>ivin</w:t>
      </w:r>
      <w:r>
        <w:rPr>
          <w:rFonts w:ascii="Arial" w:cs="Arial" w:eastAsia="Arial" w:hAnsi="Arial"/>
          <w:sz w:val="18"/>
          <w:szCs w:val="18"/>
          <w:color w:val="3B3B3B"/>
        </w:rPr>
        <w:t xml:space="preserve">g </w:t>
      </w:r>
      <w:r>
        <w:rPr>
          <w:rFonts w:ascii="Arial" w:cs="Arial" w:eastAsia="Arial" w:hAnsi="Arial"/>
          <w:sz w:val="18"/>
          <w:szCs w:val="18"/>
          <w:color w:val="2A2A2A"/>
        </w:rPr>
        <w:t>Party.</w:t>
      </w:r>
      <w:r>
        <w:rPr>
          <w:rFonts w:ascii="Arial" w:cs="Arial" w:eastAsia="Arial" w:hAnsi="Arial"/>
          <w:sz w:val="18"/>
          <w:szCs w:val="18"/>
          <w:color w:val="3B3B3B"/>
        </w:rPr>
        <w:t xml:space="preserve"> A</w:t>
      </w:r>
      <w:r>
        <w:rPr>
          <w:rFonts w:ascii="Arial" w:cs="Arial" w:eastAsia="Arial" w:hAnsi="Arial"/>
          <w:sz w:val="18"/>
          <w:szCs w:val="18"/>
          <w:color w:val="1A1A1A"/>
        </w:rPr>
        <w:t>n</w:t>
      </w:r>
      <w:r>
        <w:rPr>
          <w:rFonts w:ascii="Arial" w:cs="Arial" w:eastAsia="Arial" w:hAnsi="Arial"/>
          <w:sz w:val="18"/>
          <w:szCs w:val="18"/>
          <w:color w:val="3B3B3B"/>
        </w:rPr>
        <w:t>y p</w:t>
      </w:r>
      <w:r>
        <w:rPr>
          <w:rFonts w:ascii="Arial" w:cs="Arial" w:eastAsia="Arial" w:hAnsi="Arial"/>
          <w:sz w:val="18"/>
          <w:szCs w:val="18"/>
          <w:color w:val="1A1A1A"/>
        </w:rPr>
        <w:t>urported</w:t>
      </w:r>
      <w:r>
        <w:rPr>
          <w:rFonts w:ascii="Arial" w:cs="Arial" w:eastAsia="Arial" w:hAnsi="Arial"/>
          <w:sz w:val="18"/>
          <w:szCs w:val="18"/>
          <w:color w:val="3B3B3B"/>
        </w:rPr>
        <w:t xml:space="preserve"> </w:t>
      </w:r>
      <w:r>
        <w:rPr>
          <w:rFonts w:ascii="Arial" w:cs="Arial" w:eastAsia="Arial" w:hAnsi="Arial"/>
          <w:sz w:val="18"/>
          <w:szCs w:val="18"/>
          <w:color w:val="2A2A2A"/>
        </w:rPr>
        <w:t>waiver</w:t>
      </w:r>
      <w:r>
        <w:rPr>
          <w:rFonts w:ascii="Arial" w:cs="Arial" w:eastAsia="Arial" w:hAnsi="Arial"/>
          <w:sz w:val="18"/>
          <w:szCs w:val="18"/>
          <w:color w:val="3B3B3B"/>
        </w:rPr>
        <w:t xml:space="preserve"> not </w:t>
      </w:r>
      <w:r>
        <w:rPr>
          <w:rFonts w:ascii="Arial" w:cs="Arial" w:eastAsia="Arial" w:hAnsi="Arial"/>
          <w:sz w:val="18"/>
          <w:szCs w:val="18"/>
          <w:color w:val="2A2A2A"/>
        </w:rPr>
        <w:t>consistent with</w:t>
      </w:r>
      <w:r>
        <w:rPr>
          <w:rFonts w:ascii="Arial" w:cs="Arial" w:eastAsia="Arial" w:hAnsi="Arial"/>
          <w:sz w:val="18"/>
          <w:szCs w:val="18"/>
          <w:color w:val="3B3B3B"/>
        </w:rPr>
        <w:t xml:space="preserve"> </w:t>
      </w:r>
      <w:r>
        <w:rPr>
          <w:rFonts w:ascii="Arial" w:cs="Arial" w:eastAsia="Arial" w:hAnsi="Arial"/>
          <w:sz w:val="18"/>
          <w:szCs w:val="18"/>
          <w:color w:val="1A1A1A"/>
        </w:rPr>
        <w:t>th</w:t>
      </w:r>
      <w:r>
        <w:rPr>
          <w:rFonts w:ascii="Arial" w:cs="Arial" w:eastAsia="Arial" w:hAnsi="Arial"/>
          <w:sz w:val="18"/>
          <w:szCs w:val="18"/>
          <w:color w:val="3B3B3B"/>
        </w:rPr>
        <w:t xml:space="preserve">e </w:t>
      </w:r>
      <w:r>
        <w:rPr>
          <w:rFonts w:ascii="Arial" w:cs="Arial" w:eastAsia="Arial" w:hAnsi="Arial"/>
          <w:sz w:val="18"/>
          <w:szCs w:val="18"/>
          <w:color w:val="2A2A2A"/>
        </w:rPr>
        <w:t>foregoing shall</w:t>
      </w:r>
      <w:r>
        <w:rPr>
          <w:rFonts w:ascii="Arial" w:cs="Arial" w:eastAsia="Arial" w:hAnsi="Arial"/>
          <w:sz w:val="18"/>
          <w:szCs w:val="18"/>
          <w:color w:val="3B3B3B"/>
        </w:rPr>
        <w:t xml:space="preserve"> be </w:t>
      </w:r>
      <w:r>
        <w:rPr>
          <w:rFonts w:ascii="Arial" w:cs="Arial" w:eastAsia="Arial" w:hAnsi="Arial"/>
          <w:sz w:val="18"/>
          <w:szCs w:val="18"/>
          <w:color w:val="2A2A2A"/>
        </w:rPr>
        <w:t>void.</w:t>
      </w:r>
    </w:p>
    <w:p>
      <w:pPr>
        <w:spacing w:after="0" w:line="190" w:lineRule="exact"/>
        <w:rPr>
          <w:sz w:val="20"/>
          <w:szCs w:val="20"/>
          <w:color w:val="auto"/>
        </w:rPr>
      </w:pPr>
    </w:p>
    <w:p>
      <w:pPr>
        <w:ind w:left="320" w:right="20" w:hanging="323"/>
        <w:spacing w:after="0" w:line="243" w:lineRule="auto"/>
        <w:rPr>
          <w:sz w:val="20"/>
          <w:szCs w:val="20"/>
          <w:color w:val="auto"/>
        </w:rPr>
      </w:pPr>
      <w:r>
        <w:rPr>
          <w:rFonts w:ascii="Arial" w:cs="Arial" w:eastAsia="Arial" w:hAnsi="Arial"/>
          <w:sz w:val="17"/>
          <w:szCs w:val="17"/>
          <w:color w:val="auto"/>
        </w:rPr>
        <w:t>11.5</w:t>
      </w:r>
      <w:r>
        <w:rPr>
          <w:rFonts w:ascii="Arial" w:cs="Arial" w:eastAsia="Arial" w:hAnsi="Arial"/>
          <w:sz w:val="17"/>
          <w:szCs w:val="17"/>
          <w:b w:val="1"/>
          <w:bCs w:val="1"/>
          <w:color w:val="1A1A1A"/>
        </w:rPr>
        <w:t>Force Majeure.</w:t>
      </w:r>
      <w:r>
        <w:rPr>
          <w:rFonts w:ascii="Arial" w:cs="Arial" w:eastAsia="Arial" w:hAnsi="Arial"/>
          <w:sz w:val="17"/>
          <w:szCs w:val="17"/>
          <w:color w:val="auto"/>
        </w:rPr>
        <w:t xml:space="preserve"> </w:t>
      </w:r>
      <w:r>
        <w:rPr>
          <w:rFonts w:ascii="Arial" w:cs="Arial" w:eastAsia="Arial" w:hAnsi="Arial"/>
          <w:sz w:val="17"/>
          <w:szCs w:val="17"/>
          <w:color w:val="2A2A2A"/>
        </w:rPr>
        <w:t>Each</w:t>
      </w:r>
      <w:r>
        <w:rPr>
          <w:rFonts w:ascii="Arial" w:cs="Arial" w:eastAsia="Arial" w:hAnsi="Arial"/>
          <w:sz w:val="17"/>
          <w:szCs w:val="17"/>
          <w:color w:val="auto"/>
        </w:rPr>
        <w:t xml:space="preserve"> </w:t>
      </w:r>
      <w:r>
        <w:rPr>
          <w:rFonts w:ascii="Arial" w:cs="Arial" w:eastAsia="Arial" w:hAnsi="Arial"/>
          <w:sz w:val="17"/>
          <w:szCs w:val="17"/>
          <w:color w:val="1A1A1A"/>
        </w:rPr>
        <w:t>Party</w:t>
      </w:r>
      <w:r>
        <w:rPr>
          <w:rFonts w:ascii="Arial" w:cs="Arial" w:eastAsia="Arial" w:hAnsi="Arial"/>
          <w:sz w:val="17"/>
          <w:szCs w:val="17"/>
          <w:color w:val="3B3B3B"/>
        </w:rPr>
        <w:t>’s</w:t>
      </w:r>
      <w:r>
        <w:rPr>
          <w:rFonts w:ascii="Arial" w:cs="Arial" w:eastAsia="Arial" w:hAnsi="Arial"/>
          <w:sz w:val="17"/>
          <w:szCs w:val="17"/>
          <w:color w:val="auto"/>
        </w:rPr>
        <w:t xml:space="preserve"> </w:t>
      </w:r>
      <w:r>
        <w:rPr>
          <w:rFonts w:ascii="Arial" w:cs="Arial" w:eastAsia="Arial" w:hAnsi="Arial"/>
          <w:sz w:val="17"/>
          <w:szCs w:val="17"/>
          <w:color w:val="2A2A2A"/>
        </w:rPr>
        <w:t>failure</w:t>
      </w:r>
      <w:r>
        <w:rPr>
          <w:rFonts w:ascii="Arial" w:cs="Arial" w:eastAsia="Arial" w:hAnsi="Arial"/>
          <w:sz w:val="17"/>
          <w:szCs w:val="17"/>
          <w:color w:val="auto"/>
        </w:rPr>
        <w:t xml:space="preserve"> </w:t>
      </w:r>
      <w:r>
        <w:rPr>
          <w:rFonts w:ascii="Arial" w:cs="Arial" w:eastAsia="Arial" w:hAnsi="Arial"/>
          <w:sz w:val="17"/>
          <w:szCs w:val="17"/>
          <w:color w:val="3B3B3B"/>
        </w:rPr>
        <w:t>t</w:t>
      </w:r>
      <w:r>
        <w:rPr>
          <w:rFonts w:ascii="Arial" w:cs="Arial" w:eastAsia="Arial" w:hAnsi="Arial"/>
          <w:sz w:val="17"/>
          <w:szCs w:val="17"/>
          <w:color w:val="1A1A1A"/>
        </w:rPr>
        <w:t>o</w:t>
      </w:r>
      <w:r>
        <w:rPr>
          <w:rFonts w:ascii="Arial" w:cs="Arial" w:eastAsia="Arial" w:hAnsi="Arial"/>
          <w:sz w:val="17"/>
          <w:szCs w:val="17"/>
          <w:color w:val="auto"/>
        </w:rPr>
        <w:t xml:space="preserve"> </w:t>
      </w:r>
      <w:r>
        <w:rPr>
          <w:rFonts w:ascii="Arial" w:cs="Arial" w:eastAsia="Arial" w:hAnsi="Arial"/>
          <w:sz w:val="17"/>
          <w:szCs w:val="17"/>
          <w:color w:val="3B3B3B"/>
        </w:rPr>
        <w:t>pe</w:t>
      </w:r>
      <w:r>
        <w:rPr>
          <w:rFonts w:ascii="Arial" w:cs="Arial" w:eastAsia="Arial" w:hAnsi="Arial"/>
          <w:sz w:val="17"/>
          <w:szCs w:val="17"/>
          <w:color w:val="1A1A1A"/>
        </w:rPr>
        <w:t>rfo</w:t>
      </w:r>
      <w:r>
        <w:rPr>
          <w:rFonts w:ascii="Arial" w:cs="Arial" w:eastAsia="Arial" w:hAnsi="Arial"/>
          <w:sz w:val="17"/>
          <w:szCs w:val="17"/>
          <w:color w:val="3B3B3B"/>
        </w:rPr>
        <w:t>r</w:t>
      </w:r>
      <w:r>
        <w:rPr>
          <w:rFonts w:ascii="Arial" w:cs="Arial" w:eastAsia="Arial" w:hAnsi="Arial"/>
          <w:sz w:val="17"/>
          <w:szCs w:val="17"/>
          <w:color w:val="1A1A1A"/>
        </w:rPr>
        <w:t>m</w:t>
      </w:r>
      <w:r>
        <w:rPr>
          <w:rFonts w:ascii="Arial" w:cs="Arial" w:eastAsia="Arial" w:hAnsi="Arial"/>
          <w:sz w:val="17"/>
          <w:szCs w:val="17"/>
          <w:color w:val="auto"/>
        </w:rPr>
        <w:t xml:space="preserve"> </w:t>
      </w:r>
      <w:r>
        <w:rPr>
          <w:rFonts w:ascii="Arial" w:cs="Arial" w:eastAsia="Arial" w:hAnsi="Arial"/>
          <w:sz w:val="17"/>
          <w:szCs w:val="17"/>
          <w:color w:val="3B3B3B"/>
        </w:rPr>
        <w:t>i</w:t>
      </w:r>
      <w:r>
        <w:rPr>
          <w:rFonts w:ascii="Arial" w:cs="Arial" w:eastAsia="Arial" w:hAnsi="Arial"/>
          <w:sz w:val="17"/>
          <w:szCs w:val="17"/>
          <w:color w:val="1A1A1A"/>
        </w:rPr>
        <w:t>t</w:t>
      </w:r>
      <w:r>
        <w:rPr>
          <w:rFonts w:ascii="Arial" w:cs="Arial" w:eastAsia="Arial" w:hAnsi="Arial"/>
          <w:sz w:val="17"/>
          <w:szCs w:val="17"/>
          <w:color w:val="3B3B3B"/>
        </w:rPr>
        <w:t>s</w:t>
      </w:r>
      <w:r>
        <w:rPr>
          <w:rFonts w:ascii="Arial" w:cs="Arial" w:eastAsia="Arial" w:hAnsi="Arial"/>
          <w:sz w:val="17"/>
          <w:szCs w:val="17"/>
          <w:color w:val="auto"/>
        </w:rPr>
        <w:t xml:space="preserve"> </w:t>
      </w:r>
      <w:r>
        <w:rPr>
          <w:rFonts w:ascii="Arial" w:cs="Arial" w:eastAsia="Arial" w:hAnsi="Arial"/>
          <w:sz w:val="17"/>
          <w:szCs w:val="17"/>
          <w:color w:val="2A2A2A"/>
        </w:rPr>
        <w:t>obligations</w:t>
      </w:r>
      <w:r>
        <w:rPr>
          <w:rFonts w:ascii="Arial" w:cs="Arial" w:eastAsia="Arial" w:hAnsi="Arial"/>
          <w:sz w:val="17"/>
          <w:szCs w:val="17"/>
          <w:color w:val="auto"/>
        </w:rPr>
        <w:t xml:space="preserve"> </w:t>
      </w:r>
      <w:r>
        <w:rPr>
          <w:rFonts w:ascii="Arial" w:cs="Arial" w:eastAsia="Arial" w:hAnsi="Arial"/>
          <w:sz w:val="17"/>
          <w:szCs w:val="17"/>
          <w:color w:val="1A1A1A"/>
        </w:rPr>
        <w:t>he</w:t>
      </w:r>
      <w:r>
        <w:rPr>
          <w:rFonts w:ascii="Arial" w:cs="Arial" w:eastAsia="Arial" w:hAnsi="Arial"/>
          <w:sz w:val="17"/>
          <w:szCs w:val="17"/>
          <w:color w:val="3B3B3B"/>
        </w:rPr>
        <w:t>reunder,</w:t>
      </w:r>
      <w:r>
        <w:rPr>
          <w:rFonts w:ascii="Arial" w:cs="Arial" w:eastAsia="Arial" w:hAnsi="Arial"/>
          <w:sz w:val="17"/>
          <w:szCs w:val="17"/>
          <w:color w:val="auto"/>
        </w:rPr>
        <w:t xml:space="preserve"> </w:t>
      </w:r>
      <w:r>
        <w:rPr>
          <w:rFonts w:ascii="Arial" w:cs="Arial" w:eastAsia="Arial" w:hAnsi="Arial"/>
          <w:sz w:val="17"/>
          <w:szCs w:val="17"/>
          <w:color w:val="2A2A2A"/>
        </w:rPr>
        <w:t>except any obligation to</w:t>
      </w:r>
      <w:r>
        <w:rPr>
          <w:rFonts w:ascii="Arial" w:cs="Arial" w:eastAsia="Arial" w:hAnsi="Arial"/>
          <w:sz w:val="17"/>
          <w:szCs w:val="17"/>
          <w:color w:val="auto"/>
        </w:rPr>
        <w:t xml:space="preserve"> </w:t>
      </w:r>
      <w:r>
        <w:rPr>
          <w:rFonts w:ascii="Arial" w:cs="Arial" w:eastAsia="Arial" w:hAnsi="Arial"/>
          <w:sz w:val="17"/>
          <w:szCs w:val="17"/>
          <w:color w:val="1A1A1A"/>
        </w:rPr>
        <w:t>p</w:t>
      </w:r>
      <w:r>
        <w:rPr>
          <w:rFonts w:ascii="Arial" w:cs="Arial" w:eastAsia="Arial" w:hAnsi="Arial"/>
          <w:sz w:val="17"/>
          <w:szCs w:val="17"/>
          <w:color w:val="3B3B3B"/>
        </w:rPr>
        <w:t>ay</w:t>
      </w:r>
      <w:r>
        <w:rPr>
          <w:rFonts w:ascii="Arial" w:cs="Arial" w:eastAsia="Arial" w:hAnsi="Arial"/>
          <w:sz w:val="17"/>
          <w:szCs w:val="17"/>
          <w:color w:val="auto"/>
        </w:rPr>
        <w:t xml:space="preserve"> </w:t>
      </w:r>
      <w:r>
        <w:rPr>
          <w:rFonts w:ascii="Arial" w:cs="Arial" w:eastAsia="Arial" w:hAnsi="Arial"/>
          <w:sz w:val="17"/>
          <w:szCs w:val="17"/>
          <w:color w:val="2A2A2A"/>
        </w:rPr>
        <w:t>money</w:t>
      </w:r>
      <w:r>
        <w:rPr>
          <w:rFonts w:ascii="Arial" w:cs="Arial" w:eastAsia="Arial" w:hAnsi="Arial"/>
          <w:sz w:val="17"/>
          <w:szCs w:val="17"/>
          <w:color w:val="505050"/>
        </w:rPr>
        <w:t>,</w:t>
      </w:r>
      <w:r>
        <w:rPr>
          <w:rFonts w:ascii="Arial" w:cs="Arial" w:eastAsia="Arial" w:hAnsi="Arial"/>
          <w:sz w:val="17"/>
          <w:szCs w:val="17"/>
          <w:color w:val="auto"/>
        </w:rPr>
        <w:t xml:space="preserve"> </w:t>
      </w:r>
      <w:r>
        <w:rPr>
          <w:rFonts w:ascii="Arial" w:cs="Arial" w:eastAsia="Arial" w:hAnsi="Arial"/>
          <w:sz w:val="17"/>
          <w:szCs w:val="17"/>
          <w:color w:val="3B3B3B"/>
        </w:rPr>
        <w:t>s</w:t>
      </w:r>
      <w:r>
        <w:rPr>
          <w:rFonts w:ascii="Arial" w:cs="Arial" w:eastAsia="Arial" w:hAnsi="Arial"/>
          <w:sz w:val="17"/>
          <w:szCs w:val="17"/>
          <w:color w:val="1A1A1A"/>
        </w:rPr>
        <w:t>h</w:t>
      </w:r>
      <w:r>
        <w:rPr>
          <w:rFonts w:ascii="Arial" w:cs="Arial" w:eastAsia="Arial" w:hAnsi="Arial"/>
          <w:sz w:val="17"/>
          <w:szCs w:val="17"/>
          <w:color w:val="3B3B3B"/>
        </w:rPr>
        <w:t>a</w:t>
      </w:r>
      <w:r>
        <w:rPr>
          <w:rFonts w:ascii="Arial" w:cs="Arial" w:eastAsia="Arial" w:hAnsi="Arial"/>
          <w:sz w:val="17"/>
          <w:szCs w:val="17"/>
          <w:color w:val="1A1A1A"/>
        </w:rPr>
        <w:t>ll</w:t>
      </w:r>
      <w:r>
        <w:rPr>
          <w:rFonts w:ascii="Arial" w:cs="Arial" w:eastAsia="Arial" w:hAnsi="Arial"/>
          <w:sz w:val="17"/>
          <w:szCs w:val="17"/>
          <w:color w:val="auto"/>
        </w:rPr>
        <w:t xml:space="preserve"> </w:t>
      </w:r>
      <w:r>
        <w:rPr>
          <w:rFonts w:ascii="Arial" w:cs="Arial" w:eastAsia="Arial" w:hAnsi="Arial"/>
          <w:sz w:val="17"/>
          <w:szCs w:val="17"/>
          <w:color w:val="2A2A2A"/>
        </w:rPr>
        <w:t>be</w:t>
      </w:r>
      <w:r>
        <w:rPr>
          <w:rFonts w:ascii="Arial" w:cs="Arial" w:eastAsia="Arial" w:hAnsi="Arial"/>
          <w:sz w:val="17"/>
          <w:szCs w:val="17"/>
          <w:color w:val="auto"/>
        </w:rPr>
        <w:t xml:space="preserve"> </w:t>
      </w:r>
      <w:r>
        <w:rPr>
          <w:rFonts w:ascii="Arial" w:cs="Arial" w:eastAsia="Arial" w:hAnsi="Arial"/>
          <w:sz w:val="17"/>
          <w:szCs w:val="17"/>
          <w:color w:val="3B3B3B"/>
        </w:rPr>
        <w:t>exc</w:t>
      </w:r>
      <w:r>
        <w:rPr>
          <w:rFonts w:ascii="Arial" w:cs="Arial" w:eastAsia="Arial" w:hAnsi="Arial"/>
          <w:sz w:val="17"/>
          <w:szCs w:val="17"/>
          <w:color w:val="1A1A1A"/>
        </w:rPr>
        <w:t>u</w:t>
      </w:r>
      <w:r>
        <w:rPr>
          <w:rFonts w:ascii="Arial" w:cs="Arial" w:eastAsia="Arial" w:hAnsi="Arial"/>
          <w:sz w:val="17"/>
          <w:szCs w:val="17"/>
          <w:color w:val="3B3B3B"/>
        </w:rPr>
        <w:t>se</w:t>
      </w:r>
      <w:r>
        <w:rPr>
          <w:rFonts w:ascii="Arial" w:cs="Arial" w:eastAsia="Arial" w:hAnsi="Arial"/>
          <w:sz w:val="17"/>
          <w:szCs w:val="17"/>
          <w:color w:val="1A1A1A"/>
        </w:rPr>
        <w:t>d</w:t>
      </w:r>
      <w:r>
        <w:rPr>
          <w:rFonts w:ascii="Arial" w:cs="Arial" w:eastAsia="Arial" w:hAnsi="Arial"/>
          <w:sz w:val="17"/>
          <w:szCs w:val="17"/>
          <w:color w:val="auto"/>
        </w:rPr>
        <w:t xml:space="preserve"> </w:t>
      </w:r>
      <w:r>
        <w:rPr>
          <w:rFonts w:ascii="Arial" w:cs="Arial" w:eastAsia="Arial" w:hAnsi="Arial"/>
          <w:sz w:val="17"/>
          <w:szCs w:val="17"/>
          <w:color w:val="3B3B3B"/>
        </w:rPr>
        <w:t>to</w:t>
      </w:r>
      <w:r>
        <w:rPr>
          <w:rFonts w:ascii="Arial" w:cs="Arial" w:eastAsia="Arial" w:hAnsi="Arial"/>
          <w:sz w:val="17"/>
          <w:szCs w:val="17"/>
          <w:color w:val="auto"/>
        </w:rPr>
        <w:t xml:space="preserve"> </w:t>
      </w:r>
      <w:r>
        <w:rPr>
          <w:rFonts w:ascii="Arial" w:cs="Arial" w:eastAsia="Arial" w:hAnsi="Arial"/>
          <w:sz w:val="17"/>
          <w:szCs w:val="17"/>
          <w:color w:val="1A1A1A"/>
        </w:rPr>
        <w:t>th</w:t>
      </w:r>
      <w:r>
        <w:rPr>
          <w:rFonts w:ascii="Arial" w:cs="Arial" w:eastAsia="Arial" w:hAnsi="Arial"/>
          <w:sz w:val="17"/>
          <w:szCs w:val="17"/>
          <w:color w:val="3B3B3B"/>
        </w:rPr>
        <w:t>e</w:t>
      </w:r>
      <w:r>
        <w:rPr>
          <w:rFonts w:ascii="Arial" w:cs="Arial" w:eastAsia="Arial" w:hAnsi="Arial"/>
          <w:sz w:val="17"/>
          <w:szCs w:val="17"/>
          <w:color w:val="auto"/>
        </w:rPr>
        <w:t xml:space="preserve"> </w:t>
      </w:r>
      <w:r>
        <w:rPr>
          <w:rFonts w:ascii="Arial" w:cs="Arial" w:eastAsia="Arial" w:hAnsi="Arial"/>
          <w:sz w:val="17"/>
          <w:szCs w:val="17"/>
          <w:color w:val="3B3B3B"/>
        </w:rPr>
        <w:t>ex</w:t>
      </w:r>
      <w:r>
        <w:rPr>
          <w:rFonts w:ascii="Arial" w:cs="Arial" w:eastAsia="Arial" w:hAnsi="Arial"/>
          <w:sz w:val="17"/>
          <w:szCs w:val="17"/>
          <w:color w:val="1A1A1A"/>
        </w:rPr>
        <w:t>t</w:t>
      </w:r>
      <w:r>
        <w:rPr>
          <w:rFonts w:ascii="Arial" w:cs="Arial" w:eastAsia="Arial" w:hAnsi="Arial"/>
          <w:sz w:val="17"/>
          <w:szCs w:val="17"/>
          <w:color w:val="3B3B3B"/>
        </w:rPr>
        <w:t xml:space="preserve">ent and </w:t>
      </w:r>
      <w:r>
        <w:rPr>
          <w:rFonts w:ascii="Arial" w:cs="Arial" w:eastAsia="Arial" w:hAnsi="Arial"/>
          <w:sz w:val="17"/>
          <w:szCs w:val="17"/>
          <w:color w:val="2A2A2A"/>
        </w:rPr>
        <w:t>for the period</w:t>
      </w:r>
      <w:r>
        <w:rPr>
          <w:rFonts w:ascii="Arial" w:cs="Arial" w:eastAsia="Arial" w:hAnsi="Arial"/>
          <w:sz w:val="17"/>
          <w:szCs w:val="17"/>
          <w:color w:val="3B3B3B"/>
        </w:rPr>
        <w:t xml:space="preserve"> s</w:t>
      </w:r>
      <w:r>
        <w:rPr>
          <w:rFonts w:ascii="Arial" w:cs="Arial" w:eastAsia="Arial" w:hAnsi="Arial"/>
          <w:sz w:val="17"/>
          <w:szCs w:val="17"/>
          <w:color w:val="1A1A1A"/>
        </w:rPr>
        <w:t>uch p</w:t>
      </w:r>
      <w:r>
        <w:rPr>
          <w:rFonts w:ascii="Arial" w:cs="Arial" w:eastAsia="Arial" w:hAnsi="Arial"/>
          <w:sz w:val="17"/>
          <w:szCs w:val="17"/>
          <w:color w:val="3B3B3B"/>
        </w:rPr>
        <w:t>e</w:t>
      </w:r>
      <w:r>
        <w:rPr>
          <w:rFonts w:ascii="Arial" w:cs="Arial" w:eastAsia="Arial" w:hAnsi="Arial"/>
          <w:sz w:val="17"/>
          <w:szCs w:val="17"/>
          <w:color w:val="1A1A1A"/>
        </w:rPr>
        <w:t>r</w:t>
      </w:r>
      <w:r>
        <w:rPr>
          <w:rFonts w:ascii="Arial" w:cs="Arial" w:eastAsia="Arial" w:hAnsi="Arial"/>
          <w:sz w:val="17"/>
          <w:szCs w:val="17"/>
          <w:color w:val="3B3B3B"/>
        </w:rPr>
        <w:t>fo</w:t>
      </w:r>
      <w:r>
        <w:rPr>
          <w:rFonts w:ascii="Arial" w:cs="Arial" w:eastAsia="Arial" w:hAnsi="Arial"/>
          <w:sz w:val="17"/>
          <w:szCs w:val="17"/>
          <w:color w:val="1A1A1A"/>
        </w:rPr>
        <w:t>rm</w:t>
      </w:r>
      <w:r>
        <w:rPr>
          <w:rFonts w:ascii="Arial" w:cs="Arial" w:eastAsia="Arial" w:hAnsi="Arial"/>
          <w:sz w:val="17"/>
          <w:szCs w:val="17"/>
          <w:color w:val="3B3B3B"/>
        </w:rPr>
        <w:t xml:space="preserve">ance </w:t>
      </w:r>
      <w:r>
        <w:rPr>
          <w:rFonts w:ascii="Arial" w:cs="Arial" w:eastAsia="Arial" w:hAnsi="Arial"/>
          <w:sz w:val="17"/>
          <w:szCs w:val="17"/>
          <w:color w:val="1A1A1A"/>
        </w:rPr>
        <w:t>i</w:t>
      </w:r>
      <w:r>
        <w:rPr>
          <w:rFonts w:ascii="Arial" w:cs="Arial" w:eastAsia="Arial" w:hAnsi="Arial"/>
          <w:sz w:val="17"/>
          <w:szCs w:val="17"/>
          <w:color w:val="3B3B3B"/>
        </w:rPr>
        <w:t xml:space="preserve">s </w:t>
      </w:r>
      <w:r>
        <w:rPr>
          <w:rFonts w:ascii="Arial" w:cs="Arial" w:eastAsia="Arial" w:hAnsi="Arial"/>
          <w:sz w:val="17"/>
          <w:szCs w:val="17"/>
          <w:color w:val="2A2A2A"/>
        </w:rPr>
        <w:t>prevented</w:t>
      </w:r>
      <w:r>
        <w:rPr>
          <w:rFonts w:ascii="Arial" w:cs="Arial" w:eastAsia="Arial" w:hAnsi="Arial"/>
          <w:sz w:val="17"/>
          <w:szCs w:val="17"/>
          <w:color w:val="3B3B3B"/>
        </w:rPr>
        <w:t xml:space="preserve"> </w:t>
      </w:r>
      <w:r>
        <w:rPr>
          <w:rFonts w:ascii="Arial" w:cs="Arial" w:eastAsia="Arial" w:hAnsi="Arial"/>
          <w:sz w:val="17"/>
          <w:szCs w:val="17"/>
          <w:color w:val="1A1A1A"/>
        </w:rPr>
        <w:t>b</w:t>
      </w:r>
      <w:r>
        <w:rPr>
          <w:rFonts w:ascii="Arial" w:cs="Arial" w:eastAsia="Arial" w:hAnsi="Arial"/>
          <w:sz w:val="17"/>
          <w:szCs w:val="17"/>
          <w:color w:val="3B3B3B"/>
        </w:rPr>
        <w:t xml:space="preserve">y </w:t>
      </w:r>
      <w:r>
        <w:rPr>
          <w:rFonts w:ascii="Arial" w:cs="Arial" w:eastAsia="Arial" w:hAnsi="Arial"/>
          <w:sz w:val="17"/>
          <w:szCs w:val="17"/>
          <w:color w:val="2A2A2A"/>
        </w:rPr>
        <w:t>fire</w:t>
      </w:r>
      <w:r>
        <w:rPr>
          <w:rFonts w:ascii="Arial" w:cs="Arial" w:eastAsia="Arial" w:hAnsi="Arial"/>
          <w:sz w:val="17"/>
          <w:szCs w:val="17"/>
          <w:color w:val="505050"/>
        </w:rPr>
        <w:t>,</w:t>
      </w:r>
      <w:r>
        <w:rPr>
          <w:rFonts w:ascii="Arial" w:cs="Arial" w:eastAsia="Arial" w:hAnsi="Arial"/>
          <w:sz w:val="17"/>
          <w:szCs w:val="17"/>
          <w:color w:val="3B3B3B"/>
        </w:rPr>
        <w:t xml:space="preserve"> </w:t>
      </w:r>
      <w:r>
        <w:rPr>
          <w:rFonts w:ascii="Arial" w:cs="Arial" w:eastAsia="Arial" w:hAnsi="Arial"/>
          <w:sz w:val="17"/>
          <w:szCs w:val="17"/>
          <w:color w:val="1A1A1A"/>
        </w:rPr>
        <w:t>flood</w:t>
      </w:r>
      <w:r>
        <w:rPr>
          <w:rFonts w:ascii="Arial" w:cs="Arial" w:eastAsia="Arial" w:hAnsi="Arial"/>
          <w:sz w:val="17"/>
          <w:szCs w:val="17"/>
          <w:color w:val="3B3B3B"/>
        </w:rPr>
        <w:t>, ea</w:t>
      </w:r>
      <w:r>
        <w:rPr>
          <w:rFonts w:ascii="Arial" w:cs="Arial" w:eastAsia="Arial" w:hAnsi="Arial"/>
          <w:sz w:val="17"/>
          <w:szCs w:val="17"/>
          <w:color w:val="1A1A1A"/>
        </w:rPr>
        <w:t>rthquak</w:t>
      </w:r>
      <w:r>
        <w:rPr>
          <w:rFonts w:ascii="Arial" w:cs="Arial" w:eastAsia="Arial" w:hAnsi="Arial"/>
          <w:sz w:val="17"/>
          <w:szCs w:val="17"/>
          <w:color w:val="3B3B3B"/>
        </w:rPr>
        <w:t xml:space="preserve">e, </w:t>
      </w:r>
      <w:r>
        <w:rPr>
          <w:rFonts w:ascii="Arial" w:cs="Arial" w:eastAsia="Arial" w:hAnsi="Arial"/>
          <w:sz w:val="17"/>
          <w:szCs w:val="17"/>
          <w:color w:val="2A2A2A"/>
        </w:rPr>
        <w:t>acts</w:t>
      </w:r>
      <w:r>
        <w:rPr>
          <w:rFonts w:ascii="Arial" w:cs="Arial" w:eastAsia="Arial" w:hAnsi="Arial"/>
          <w:sz w:val="17"/>
          <w:szCs w:val="17"/>
          <w:color w:val="3B3B3B"/>
        </w:rPr>
        <w:t xml:space="preserve"> </w:t>
      </w:r>
      <w:r>
        <w:rPr>
          <w:rFonts w:ascii="Arial" w:cs="Arial" w:eastAsia="Arial" w:hAnsi="Arial"/>
          <w:sz w:val="17"/>
          <w:szCs w:val="17"/>
          <w:color w:val="1A1A1A"/>
        </w:rPr>
        <w:t>of</w:t>
      </w:r>
      <w:r>
        <w:rPr>
          <w:rFonts w:ascii="Arial" w:cs="Arial" w:eastAsia="Arial" w:hAnsi="Arial"/>
          <w:sz w:val="17"/>
          <w:szCs w:val="17"/>
          <w:color w:val="3B3B3B"/>
        </w:rPr>
        <w:t xml:space="preserve"> </w:t>
      </w:r>
      <w:r>
        <w:rPr>
          <w:rFonts w:ascii="Arial" w:cs="Arial" w:eastAsia="Arial" w:hAnsi="Arial"/>
          <w:sz w:val="17"/>
          <w:szCs w:val="17"/>
          <w:color w:val="2A2A2A"/>
        </w:rPr>
        <w:t>God, explosion,</w:t>
      </w:r>
      <w:r>
        <w:rPr>
          <w:rFonts w:ascii="Arial" w:cs="Arial" w:eastAsia="Arial" w:hAnsi="Arial"/>
          <w:sz w:val="17"/>
          <w:szCs w:val="17"/>
          <w:color w:val="3B3B3B"/>
        </w:rPr>
        <w:t xml:space="preserve"> cas</w:t>
      </w:r>
      <w:r>
        <w:rPr>
          <w:rFonts w:ascii="Arial" w:cs="Arial" w:eastAsia="Arial" w:hAnsi="Arial"/>
          <w:sz w:val="17"/>
          <w:szCs w:val="17"/>
          <w:color w:val="1A1A1A"/>
        </w:rPr>
        <w:t>u</w:t>
      </w:r>
      <w:r>
        <w:rPr>
          <w:rFonts w:ascii="Arial" w:cs="Arial" w:eastAsia="Arial" w:hAnsi="Arial"/>
          <w:sz w:val="17"/>
          <w:szCs w:val="17"/>
          <w:color w:val="3B3B3B"/>
        </w:rPr>
        <w:t>a</w:t>
      </w:r>
      <w:r>
        <w:rPr>
          <w:rFonts w:ascii="Arial" w:cs="Arial" w:eastAsia="Arial" w:hAnsi="Arial"/>
          <w:sz w:val="17"/>
          <w:szCs w:val="17"/>
          <w:color w:val="1A1A1A"/>
        </w:rPr>
        <w:t>lt</w:t>
      </w:r>
      <w:r>
        <w:rPr>
          <w:rFonts w:ascii="Arial" w:cs="Arial" w:eastAsia="Arial" w:hAnsi="Arial"/>
          <w:sz w:val="17"/>
          <w:szCs w:val="17"/>
          <w:color w:val="3B3B3B"/>
        </w:rPr>
        <w:t>y of war, labo</w:t>
      </w:r>
      <w:r>
        <w:rPr>
          <w:rFonts w:ascii="Arial" w:cs="Arial" w:eastAsia="Arial" w:hAnsi="Arial"/>
          <w:sz w:val="17"/>
          <w:szCs w:val="17"/>
          <w:color w:val="1A1A1A"/>
        </w:rPr>
        <w:t>r</w:t>
      </w:r>
      <w:r>
        <w:rPr>
          <w:rFonts w:ascii="Arial" w:cs="Arial" w:eastAsia="Arial" w:hAnsi="Arial"/>
          <w:sz w:val="17"/>
          <w:szCs w:val="17"/>
          <w:color w:val="3B3B3B"/>
        </w:rPr>
        <w:t xml:space="preserve"> d</w:t>
      </w:r>
      <w:r>
        <w:rPr>
          <w:rFonts w:ascii="Arial" w:cs="Arial" w:eastAsia="Arial" w:hAnsi="Arial"/>
          <w:sz w:val="17"/>
          <w:szCs w:val="17"/>
          <w:color w:val="1A1A1A"/>
        </w:rPr>
        <w:t>i</w:t>
      </w:r>
      <w:r>
        <w:rPr>
          <w:rFonts w:ascii="Arial" w:cs="Arial" w:eastAsia="Arial" w:hAnsi="Arial"/>
          <w:sz w:val="17"/>
          <w:szCs w:val="17"/>
          <w:color w:val="3B3B3B"/>
        </w:rPr>
        <w:t xml:space="preserve">spute, </w:t>
      </w:r>
      <w:r>
        <w:rPr>
          <w:rFonts w:ascii="Arial" w:cs="Arial" w:eastAsia="Arial" w:hAnsi="Arial"/>
          <w:sz w:val="17"/>
          <w:szCs w:val="17"/>
          <w:color w:val="2A2A2A"/>
        </w:rPr>
        <w:t xml:space="preserve">inability to </w:t>
      </w:r>
      <w:r>
        <w:rPr>
          <w:rFonts w:ascii="Arial" w:cs="Arial" w:eastAsia="Arial" w:hAnsi="Arial"/>
          <w:sz w:val="17"/>
          <w:szCs w:val="17"/>
          <w:color w:val="3B3B3B"/>
        </w:rPr>
        <w:t>o</w:t>
      </w:r>
      <w:r>
        <w:rPr>
          <w:rFonts w:ascii="Arial" w:cs="Arial" w:eastAsia="Arial" w:hAnsi="Arial"/>
          <w:sz w:val="17"/>
          <w:szCs w:val="17"/>
          <w:color w:val="1A1A1A"/>
        </w:rPr>
        <w:t>b</w:t>
      </w:r>
      <w:r>
        <w:rPr>
          <w:rFonts w:ascii="Arial" w:cs="Arial" w:eastAsia="Arial" w:hAnsi="Arial"/>
          <w:sz w:val="17"/>
          <w:szCs w:val="17"/>
          <w:color w:val="3B3B3B"/>
        </w:rPr>
        <w:t>tain de</w:t>
      </w:r>
      <w:r>
        <w:rPr>
          <w:rFonts w:ascii="Arial" w:cs="Arial" w:eastAsia="Arial" w:hAnsi="Arial"/>
          <w:sz w:val="17"/>
          <w:szCs w:val="17"/>
          <w:color w:val="1A1A1A"/>
        </w:rPr>
        <w:t>liv</w:t>
      </w:r>
      <w:r>
        <w:rPr>
          <w:rFonts w:ascii="Arial" w:cs="Arial" w:eastAsia="Arial" w:hAnsi="Arial"/>
          <w:sz w:val="17"/>
          <w:szCs w:val="17"/>
          <w:color w:val="3B3B3B"/>
        </w:rPr>
        <w:t>ery of</w:t>
      </w:r>
      <w:r>
        <w:rPr>
          <w:rFonts w:ascii="Arial" w:cs="Arial" w:eastAsia="Arial" w:hAnsi="Arial"/>
          <w:sz w:val="17"/>
          <w:szCs w:val="17"/>
          <w:color w:val="2A2A2A"/>
        </w:rPr>
        <w:t xml:space="preserve"> parts, failure of </w:t>
      </w:r>
      <w:r>
        <w:rPr>
          <w:rFonts w:ascii="Arial" w:cs="Arial" w:eastAsia="Arial" w:hAnsi="Arial"/>
          <w:sz w:val="17"/>
          <w:szCs w:val="17"/>
          <w:color w:val="3B3B3B"/>
        </w:rPr>
        <w:t>su</w:t>
      </w:r>
      <w:r>
        <w:rPr>
          <w:rFonts w:ascii="Arial" w:cs="Arial" w:eastAsia="Arial" w:hAnsi="Arial"/>
          <w:sz w:val="17"/>
          <w:szCs w:val="17"/>
          <w:color w:val="1A1A1A"/>
        </w:rPr>
        <w:t>ppli</w:t>
      </w:r>
      <w:r>
        <w:rPr>
          <w:rFonts w:ascii="Arial" w:cs="Arial" w:eastAsia="Arial" w:hAnsi="Arial"/>
          <w:sz w:val="17"/>
          <w:szCs w:val="17"/>
          <w:color w:val="3B3B3B"/>
        </w:rPr>
        <w:t>es</w:t>
      </w:r>
      <w:r>
        <w:rPr>
          <w:rFonts w:ascii="Arial" w:cs="Arial" w:eastAsia="Arial" w:hAnsi="Arial"/>
          <w:sz w:val="17"/>
          <w:szCs w:val="17"/>
          <w:color w:val="2A2A2A"/>
        </w:rPr>
        <w:t xml:space="preserve"> of </w:t>
      </w:r>
      <w:r>
        <w:rPr>
          <w:rFonts w:ascii="Arial" w:cs="Arial" w:eastAsia="Arial" w:hAnsi="Arial"/>
          <w:sz w:val="17"/>
          <w:szCs w:val="17"/>
          <w:color w:val="3B3B3B"/>
        </w:rPr>
        <w:t>electr</w:t>
      </w:r>
      <w:r>
        <w:rPr>
          <w:rFonts w:ascii="Arial" w:cs="Arial" w:eastAsia="Arial" w:hAnsi="Arial"/>
          <w:sz w:val="17"/>
          <w:szCs w:val="17"/>
          <w:color w:val="1A1A1A"/>
        </w:rPr>
        <w:t>i</w:t>
      </w:r>
      <w:r>
        <w:rPr>
          <w:rFonts w:ascii="Arial" w:cs="Arial" w:eastAsia="Arial" w:hAnsi="Arial"/>
          <w:sz w:val="17"/>
          <w:szCs w:val="17"/>
          <w:color w:val="3B3B3B"/>
        </w:rPr>
        <w:t>cal</w:t>
      </w:r>
      <w:r>
        <w:rPr>
          <w:rFonts w:ascii="Arial" w:cs="Arial" w:eastAsia="Arial" w:hAnsi="Arial"/>
          <w:sz w:val="17"/>
          <w:szCs w:val="17"/>
          <w:color w:val="2A2A2A"/>
        </w:rPr>
        <w:t xml:space="preserve"> </w:t>
      </w:r>
      <w:r>
        <w:rPr>
          <w:rFonts w:ascii="Arial" w:cs="Arial" w:eastAsia="Arial" w:hAnsi="Arial"/>
          <w:sz w:val="17"/>
          <w:szCs w:val="17"/>
          <w:color w:val="1A1A1A"/>
        </w:rPr>
        <w:t>po</w:t>
      </w:r>
      <w:r>
        <w:rPr>
          <w:rFonts w:ascii="Arial" w:cs="Arial" w:eastAsia="Arial" w:hAnsi="Arial"/>
          <w:sz w:val="17"/>
          <w:szCs w:val="17"/>
          <w:color w:val="3B3B3B"/>
        </w:rPr>
        <w:t>wer,</w:t>
      </w:r>
      <w:r>
        <w:rPr>
          <w:rFonts w:ascii="Arial" w:cs="Arial" w:eastAsia="Arial" w:hAnsi="Arial"/>
          <w:sz w:val="17"/>
          <w:szCs w:val="17"/>
          <w:color w:val="2A2A2A"/>
        </w:rPr>
        <w:t xml:space="preserve"> violence, </w:t>
      </w:r>
      <w:r>
        <w:rPr>
          <w:rFonts w:ascii="Arial" w:cs="Arial" w:eastAsia="Arial" w:hAnsi="Arial"/>
          <w:sz w:val="17"/>
          <w:szCs w:val="17"/>
          <w:color w:val="3B3B3B"/>
        </w:rPr>
        <w:t>a</w:t>
      </w:r>
      <w:r>
        <w:rPr>
          <w:rFonts w:ascii="Arial" w:cs="Arial" w:eastAsia="Arial" w:hAnsi="Arial"/>
          <w:sz w:val="17"/>
          <w:szCs w:val="17"/>
          <w:color w:val="1A1A1A"/>
        </w:rPr>
        <w:t>n</w:t>
      </w:r>
      <w:r>
        <w:rPr>
          <w:rFonts w:ascii="Arial" w:cs="Arial" w:eastAsia="Arial" w:hAnsi="Arial"/>
          <w:sz w:val="17"/>
          <w:szCs w:val="17"/>
          <w:color w:val="3B3B3B"/>
        </w:rPr>
        <w:t>y gove</w:t>
      </w:r>
      <w:r>
        <w:rPr>
          <w:rFonts w:ascii="Arial" w:cs="Arial" w:eastAsia="Arial" w:hAnsi="Arial"/>
          <w:sz w:val="17"/>
          <w:szCs w:val="17"/>
          <w:color w:val="1A1A1A"/>
        </w:rPr>
        <w:t>rnm</w:t>
      </w:r>
      <w:r>
        <w:rPr>
          <w:rFonts w:ascii="Arial" w:cs="Arial" w:eastAsia="Arial" w:hAnsi="Arial"/>
          <w:sz w:val="17"/>
          <w:szCs w:val="17"/>
          <w:color w:val="3B3B3B"/>
        </w:rPr>
        <w:t>enta</w:t>
      </w:r>
      <w:r>
        <w:rPr>
          <w:rFonts w:ascii="Arial" w:cs="Arial" w:eastAsia="Arial" w:hAnsi="Arial"/>
          <w:sz w:val="17"/>
          <w:szCs w:val="17"/>
          <w:color w:val="1A1A1A"/>
        </w:rPr>
        <w:t>l l</w:t>
      </w:r>
      <w:r>
        <w:rPr>
          <w:rFonts w:ascii="Arial" w:cs="Arial" w:eastAsia="Arial" w:hAnsi="Arial"/>
          <w:sz w:val="17"/>
          <w:szCs w:val="17"/>
          <w:color w:val="3B3B3B"/>
        </w:rPr>
        <w:t>aw, orde</w:t>
      </w:r>
      <w:r>
        <w:rPr>
          <w:rFonts w:ascii="Arial" w:cs="Arial" w:eastAsia="Arial" w:hAnsi="Arial"/>
          <w:sz w:val="17"/>
          <w:szCs w:val="17"/>
          <w:color w:val="1A1A1A"/>
        </w:rPr>
        <w:t>r</w:t>
      </w:r>
      <w:r>
        <w:rPr>
          <w:rFonts w:ascii="Arial" w:cs="Arial" w:eastAsia="Arial" w:hAnsi="Arial"/>
          <w:sz w:val="17"/>
          <w:szCs w:val="17"/>
          <w:color w:val="505050"/>
        </w:rPr>
        <w:t>,</w:t>
      </w:r>
      <w:r>
        <w:rPr>
          <w:rFonts w:ascii="Arial" w:cs="Arial" w:eastAsia="Arial" w:hAnsi="Arial"/>
          <w:sz w:val="17"/>
          <w:szCs w:val="17"/>
          <w:color w:val="2A2A2A"/>
        </w:rPr>
        <w:t xml:space="preserve"> </w:t>
      </w:r>
      <w:r>
        <w:rPr>
          <w:rFonts w:ascii="Arial" w:cs="Arial" w:eastAsia="Arial" w:hAnsi="Arial"/>
          <w:sz w:val="17"/>
          <w:szCs w:val="17"/>
          <w:color w:val="3B3B3B"/>
        </w:rPr>
        <w:t>regu</w:t>
      </w:r>
      <w:r>
        <w:rPr>
          <w:rFonts w:ascii="Arial" w:cs="Arial" w:eastAsia="Arial" w:hAnsi="Arial"/>
          <w:sz w:val="17"/>
          <w:szCs w:val="17"/>
          <w:color w:val="1A1A1A"/>
        </w:rPr>
        <w:t>la</w:t>
      </w:r>
      <w:r>
        <w:rPr>
          <w:rFonts w:ascii="Arial" w:cs="Arial" w:eastAsia="Arial" w:hAnsi="Arial"/>
          <w:sz w:val="17"/>
          <w:szCs w:val="17"/>
          <w:color w:val="3B3B3B"/>
        </w:rPr>
        <w:t>t</w:t>
      </w:r>
      <w:r>
        <w:rPr>
          <w:rFonts w:ascii="Arial" w:cs="Arial" w:eastAsia="Arial" w:hAnsi="Arial"/>
          <w:sz w:val="17"/>
          <w:szCs w:val="17"/>
          <w:color w:val="1A1A1A"/>
        </w:rPr>
        <w:t>i</w:t>
      </w:r>
      <w:r>
        <w:rPr>
          <w:rFonts w:ascii="Arial" w:cs="Arial" w:eastAsia="Arial" w:hAnsi="Arial"/>
          <w:sz w:val="17"/>
          <w:szCs w:val="17"/>
          <w:color w:val="3B3B3B"/>
        </w:rPr>
        <w:t>o</w:t>
      </w:r>
      <w:r>
        <w:rPr>
          <w:rFonts w:ascii="Arial" w:cs="Arial" w:eastAsia="Arial" w:hAnsi="Arial"/>
          <w:sz w:val="17"/>
          <w:szCs w:val="17"/>
          <w:color w:val="1A1A1A"/>
        </w:rPr>
        <w:t>n</w:t>
      </w:r>
      <w:r>
        <w:rPr>
          <w:rFonts w:ascii="Arial" w:cs="Arial" w:eastAsia="Arial" w:hAnsi="Arial"/>
          <w:sz w:val="17"/>
          <w:szCs w:val="17"/>
          <w:color w:val="2A2A2A"/>
        </w:rPr>
        <w:t xml:space="preserve"> or ordinance, or any </w:t>
      </w:r>
      <w:r>
        <w:rPr>
          <w:rFonts w:ascii="Arial" w:cs="Arial" w:eastAsia="Arial" w:hAnsi="Arial"/>
          <w:sz w:val="17"/>
          <w:szCs w:val="17"/>
          <w:color w:val="3B3B3B"/>
        </w:rPr>
        <w:t>other</w:t>
      </w:r>
      <w:r>
        <w:rPr>
          <w:rFonts w:ascii="Arial" w:cs="Arial" w:eastAsia="Arial" w:hAnsi="Arial"/>
          <w:sz w:val="17"/>
          <w:szCs w:val="17"/>
          <w:color w:val="2A2A2A"/>
        </w:rPr>
        <w:t xml:space="preserve"> act or </w:t>
      </w:r>
      <w:r>
        <w:rPr>
          <w:rFonts w:ascii="Arial" w:cs="Arial" w:eastAsia="Arial" w:hAnsi="Arial"/>
          <w:sz w:val="17"/>
          <w:szCs w:val="17"/>
          <w:color w:val="1A1A1A"/>
        </w:rPr>
        <w:t>conditi</w:t>
      </w:r>
      <w:r>
        <w:rPr>
          <w:rFonts w:ascii="Arial" w:cs="Arial" w:eastAsia="Arial" w:hAnsi="Arial"/>
          <w:sz w:val="17"/>
          <w:szCs w:val="17"/>
          <w:color w:val="3B3B3B"/>
        </w:rPr>
        <w:t>o</w:t>
      </w:r>
      <w:r>
        <w:rPr>
          <w:rFonts w:ascii="Arial" w:cs="Arial" w:eastAsia="Arial" w:hAnsi="Arial"/>
          <w:sz w:val="17"/>
          <w:szCs w:val="17"/>
          <w:color w:val="1A1A1A"/>
        </w:rPr>
        <w:t>n be</w:t>
      </w:r>
      <w:r>
        <w:rPr>
          <w:rFonts w:ascii="Arial" w:cs="Arial" w:eastAsia="Arial" w:hAnsi="Arial"/>
          <w:sz w:val="17"/>
          <w:szCs w:val="17"/>
          <w:color w:val="3B3B3B"/>
        </w:rPr>
        <w:t>yo</w:t>
      </w:r>
      <w:r>
        <w:rPr>
          <w:rFonts w:ascii="Arial" w:cs="Arial" w:eastAsia="Arial" w:hAnsi="Arial"/>
          <w:sz w:val="17"/>
          <w:szCs w:val="17"/>
          <w:color w:val="1A1A1A"/>
        </w:rPr>
        <w:t>nd</w:t>
      </w:r>
      <w:r>
        <w:rPr>
          <w:rFonts w:ascii="Arial" w:cs="Arial" w:eastAsia="Arial" w:hAnsi="Arial"/>
          <w:sz w:val="17"/>
          <w:szCs w:val="17"/>
          <w:color w:val="2A2A2A"/>
        </w:rPr>
        <w:t xml:space="preserve"> the </w:t>
      </w:r>
      <w:r>
        <w:rPr>
          <w:rFonts w:ascii="Arial" w:cs="Arial" w:eastAsia="Arial" w:hAnsi="Arial"/>
          <w:sz w:val="17"/>
          <w:szCs w:val="17"/>
          <w:color w:val="1A1A1A"/>
        </w:rPr>
        <w:t>r</w:t>
      </w:r>
      <w:r>
        <w:rPr>
          <w:rFonts w:ascii="Arial" w:cs="Arial" w:eastAsia="Arial" w:hAnsi="Arial"/>
          <w:sz w:val="17"/>
          <w:szCs w:val="17"/>
          <w:color w:val="3B3B3B"/>
        </w:rPr>
        <w:t>easo</w:t>
      </w:r>
      <w:r>
        <w:rPr>
          <w:rFonts w:ascii="Arial" w:cs="Arial" w:eastAsia="Arial" w:hAnsi="Arial"/>
          <w:sz w:val="17"/>
          <w:szCs w:val="17"/>
          <w:color w:val="1A1A1A"/>
        </w:rPr>
        <w:t>na</w:t>
      </w:r>
      <w:r>
        <w:rPr>
          <w:rFonts w:ascii="Arial" w:cs="Arial" w:eastAsia="Arial" w:hAnsi="Arial"/>
          <w:sz w:val="17"/>
          <w:szCs w:val="17"/>
          <w:color w:val="3B3B3B"/>
        </w:rPr>
        <w:t>ble co</w:t>
      </w:r>
      <w:r>
        <w:rPr>
          <w:rFonts w:ascii="Arial" w:cs="Arial" w:eastAsia="Arial" w:hAnsi="Arial"/>
          <w:sz w:val="17"/>
          <w:szCs w:val="17"/>
          <w:color w:val="1A1A1A"/>
        </w:rPr>
        <w:t>n</w:t>
      </w:r>
      <w:r>
        <w:rPr>
          <w:rFonts w:ascii="Arial" w:cs="Arial" w:eastAsia="Arial" w:hAnsi="Arial"/>
          <w:sz w:val="17"/>
          <w:szCs w:val="17"/>
          <w:color w:val="3B3B3B"/>
        </w:rPr>
        <w:t>tro</w:t>
      </w:r>
      <w:r>
        <w:rPr>
          <w:rFonts w:ascii="Arial" w:cs="Arial" w:eastAsia="Arial" w:hAnsi="Arial"/>
          <w:sz w:val="17"/>
          <w:szCs w:val="17"/>
          <w:color w:val="1A1A1A"/>
        </w:rPr>
        <w:t>l</w:t>
      </w:r>
      <w:r>
        <w:rPr>
          <w:rFonts w:ascii="Arial" w:cs="Arial" w:eastAsia="Arial" w:hAnsi="Arial"/>
          <w:sz w:val="17"/>
          <w:szCs w:val="17"/>
          <w:color w:val="2A2A2A"/>
        </w:rPr>
        <w:t xml:space="preserve"> of </w:t>
      </w:r>
      <w:r>
        <w:rPr>
          <w:rFonts w:ascii="Arial" w:cs="Arial" w:eastAsia="Arial" w:hAnsi="Arial"/>
          <w:sz w:val="17"/>
          <w:szCs w:val="17"/>
          <w:color w:val="3B3B3B"/>
        </w:rPr>
        <w:t>s</w:t>
      </w:r>
      <w:r>
        <w:rPr>
          <w:rFonts w:ascii="Arial" w:cs="Arial" w:eastAsia="Arial" w:hAnsi="Arial"/>
          <w:sz w:val="17"/>
          <w:szCs w:val="17"/>
          <w:color w:val="1A1A1A"/>
        </w:rPr>
        <w:t>uch</w:t>
      </w:r>
      <w:r>
        <w:rPr>
          <w:rFonts w:ascii="Arial" w:cs="Arial" w:eastAsia="Arial" w:hAnsi="Arial"/>
          <w:sz w:val="17"/>
          <w:szCs w:val="17"/>
          <w:color w:val="2A2A2A"/>
        </w:rPr>
        <w:t xml:space="preserve"> Party. </w:t>
      </w:r>
      <w:r>
        <w:rPr>
          <w:rFonts w:ascii="Arial" w:cs="Arial" w:eastAsia="Arial" w:hAnsi="Arial"/>
          <w:sz w:val="17"/>
          <w:szCs w:val="17"/>
          <w:color w:val="1A1A1A"/>
        </w:rPr>
        <w:t>In</w:t>
      </w:r>
      <w:r>
        <w:rPr>
          <w:rFonts w:ascii="Arial" w:cs="Arial" w:eastAsia="Arial" w:hAnsi="Arial"/>
          <w:sz w:val="17"/>
          <w:szCs w:val="17"/>
          <w:color w:val="2A2A2A"/>
        </w:rPr>
        <w:t xml:space="preserve"> </w:t>
      </w:r>
      <w:r>
        <w:rPr>
          <w:rFonts w:ascii="Arial" w:cs="Arial" w:eastAsia="Arial" w:hAnsi="Arial"/>
          <w:sz w:val="17"/>
          <w:szCs w:val="17"/>
          <w:color w:val="3B3B3B"/>
        </w:rPr>
        <w:t>suc</w:t>
      </w:r>
      <w:r>
        <w:rPr>
          <w:rFonts w:ascii="Arial" w:cs="Arial" w:eastAsia="Arial" w:hAnsi="Arial"/>
          <w:sz w:val="17"/>
          <w:szCs w:val="17"/>
          <w:color w:val="1A1A1A"/>
        </w:rPr>
        <w:t>h</w:t>
      </w:r>
      <w:r>
        <w:rPr>
          <w:rFonts w:ascii="Arial" w:cs="Arial" w:eastAsia="Arial" w:hAnsi="Arial"/>
          <w:sz w:val="17"/>
          <w:szCs w:val="17"/>
          <w:color w:val="2A2A2A"/>
        </w:rPr>
        <w:t xml:space="preserve"> </w:t>
      </w:r>
      <w:r>
        <w:rPr>
          <w:rFonts w:ascii="Arial" w:cs="Arial" w:eastAsia="Arial" w:hAnsi="Arial"/>
          <w:sz w:val="17"/>
          <w:szCs w:val="17"/>
          <w:color w:val="3B3B3B"/>
        </w:rPr>
        <w:t>case,</w:t>
      </w:r>
      <w:r>
        <w:rPr>
          <w:rFonts w:ascii="Arial" w:cs="Arial" w:eastAsia="Arial" w:hAnsi="Arial"/>
          <w:sz w:val="17"/>
          <w:szCs w:val="17"/>
          <w:color w:val="2A2A2A"/>
        </w:rPr>
        <w:t xml:space="preserve"> </w:t>
      </w:r>
      <w:r>
        <w:rPr>
          <w:rFonts w:ascii="Arial" w:cs="Arial" w:eastAsia="Arial" w:hAnsi="Arial"/>
          <w:sz w:val="17"/>
          <w:szCs w:val="17"/>
          <w:color w:val="1A1A1A"/>
        </w:rPr>
        <w:t>th</w:t>
      </w:r>
      <w:r>
        <w:rPr>
          <w:rFonts w:ascii="Arial" w:cs="Arial" w:eastAsia="Arial" w:hAnsi="Arial"/>
          <w:sz w:val="17"/>
          <w:szCs w:val="17"/>
          <w:color w:val="3B3B3B"/>
        </w:rPr>
        <w:t>e</w:t>
      </w:r>
      <w:r>
        <w:rPr>
          <w:rFonts w:ascii="Arial" w:cs="Arial" w:eastAsia="Arial" w:hAnsi="Arial"/>
          <w:sz w:val="17"/>
          <w:szCs w:val="17"/>
          <w:color w:val="2A2A2A"/>
        </w:rPr>
        <w:t xml:space="preserve"> Party </w:t>
      </w:r>
      <w:r>
        <w:rPr>
          <w:rFonts w:ascii="Arial" w:cs="Arial" w:eastAsia="Arial" w:hAnsi="Arial"/>
          <w:sz w:val="17"/>
          <w:szCs w:val="17"/>
          <w:color w:val="3B3B3B"/>
        </w:rPr>
        <w:t>so affected s</w:t>
      </w:r>
      <w:r>
        <w:rPr>
          <w:rFonts w:ascii="Arial" w:cs="Arial" w:eastAsia="Arial" w:hAnsi="Arial"/>
          <w:sz w:val="17"/>
          <w:szCs w:val="17"/>
          <w:color w:val="1A1A1A"/>
        </w:rPr>
        <w:t>hall</w:t>
      </w:r>
      <w:r>
        <w:rPr>
          <w:rFonts w:ascii="Arial" w:cs="Arial" w:eastAsia="Arial" w:hAnsi="Arial"/>
          <w:sz w:val="17"/>
          <w:szCs w:val="17"/>
          <w:color w:val="2A2A2A"/>
        </w:rPr>
        <w:t xml:space="preserve"> </w:t>
      </w:r>
      <w:r>
        <w:rPr>
          <w:rFonts w:ascii="Arial" w:cs="Arial" w:eastAsia="Arial" w:hAnsi="Arial"/>
          <w:sz w:val="17"/>
          <w:szCs w:val="17"/>
          <w:color w:val="3B3B3B"/>
        </w:rPr>
        <w:t>g</w:t>
      </w:r>
      <w:r>
        <w:rPr>
          <w:rFonts w:ascii="Arial" w:cs="Arial" w:eastAsia="Arial" w:hAnsi="Arial"/>
          <w:sz w:val="17"/>
          <w:szCs w:val="17"/>
          <w:color w:val="1A1A1A"/>
        </w:rPr>
        <w:t>i</w:t>
      </w:r>
      <w:r>
        <w:rPr>
          <w:rFonts w:ascii="Arial" w:cs="Arial" w:eastAsia="Arial" w:hAnsi="Arial"/>
          <w:sz w:val="17"/>
          <w:szCs w:val="17"/>
          <w:color w:val="3B3B3B"/>
        </w:rPr>
        <w:t>ve</w:t>
      </w:r>
      <w:r>
        <w:rPr>
          <w:rFonts w:ascii="Arial" w:cs="Arial" w:eastAsia="Arial" w:hAnsi="Arial"/>
          <w:sz w:val="17"/>
          <w:szCs w:val="17"/>
          <w:color w:val="2A2A2A"/>
        </w:rPr>
        <w:t xml:space="preserve"> </w:t>
      </w:r>
      <w:r>
        <w:rPr>
          <w:rFonts w:ascii="Arial" w:cs="Arial" w:eastAsia="Arial" w:hAnsi="Arial"/>
          <w:sz w:val="17"/>
          <w:szCs w:val="17"/>
          <w:color w:val="1A1A1A"/>
        </w:rPr>
        <w:t>promp</w:t>
      </w:r>
      <w:r>
        <w:rPr>
          <w:rFonts w:ascii="Arial" w:cs="Arial" w:eastAsia="Arial" w:hAnsi="Arial"/>
          <w:sz w:val="17"/>
          <w:szCs w:val="17"/>
          <w:color w:val="3B3B3B"/>
        </w:rPr>
        <w:t>t,</w:t>
      </w:r>
      <w:r>
        <w:rPr>
          <w:rFonts w:ascii="Arial" w:cs="Arial" w:eastAsia="Arial" w:hAnsi="Arial"/>
          <w:sz w:val="17"/>
          <w:szCs w:val="17"/>
          <w:color w:val="2A2A2A"/>
        </w:rPr>
        <w:t xml:space="preserve"> written </w:t>
      </w:r>
      <w:r>
        <w:rPr>
          <w:rFonts w:ascii="Arial" w:cs="Arial" w:eastAsia="Arial" w:hAnsi="Arial"/>
          <w:sz w:val="17"/>
          <w:szCs w:val="17"/>
          <w:color w:val="1A1A1A"/>
        </w:rPr>
        <w:t>no</w:t>
      </w:r>
      <w:r>
        <w:rPr>
          <w:rFonts w:ascii="Arial" w:cs="Arial" w:eastAsia="Arial" w:hAnsi="Arial"/>
          <w:sz w:val="17"/>
          <w:szCs w:val="17"/>
          <w:color w:val="3B3B3B"/>
        </w:rPr>
        <w:t>t</w:t>
      </w:r>
      <w:r>
        <w:rPr>
          <w:rFonts w:ascii="Arial" w:cs="Arial" w:eastAsia="Arial" w:hAnsi="Arial"/>
          <w:sz w:val="17"/>
          <w:szCs w:val="17"/>
          <w:color w:val="1A1A1A"/>
        </w:rPr>
        <w:t>i</w:t>
      </w:r>
      <w:r>
        <w:rPr>
          <w:rFonts w:ascii="Arial" w:cs="Arial" w:eastAsia="Arial" w:hAnsi="Arial"/>
          <w:sz w:val="17"/>
          <w:szCs w:val="17"/>
          <w:color w:val="3B3B3B"/>
        </w:rPr>
        <w:t>ce</w:t>
      </w:r>
      <w:r>
        <w:rPr>
          <w:rFonts w:ascii="Arial" w:cs="Arial" w:eastAsia="Arial" w:hAnsi="Arial"/>
          <w:sz w:val="17"/>
          <w:szCs w:val="17"/>
          <w:color w:val="2A2A2A"/>
        </w:rPr>
        <w:t xml:space="preserve"> to </w:t>
      </w:r>
      <w:r>
        <w:rPr>
          <w:rFonts w:ascii="Arial" w:cs="Arial" w:eastAsia="Arial" w:hAnsi="Arial"/>
          <w:sz w:val="17"/>
          <w:szCs w:val="17"/>
          <w:color w:val="505050"/>
        </w:rPr>
        <w:t>t</w:t>
      </w:r>
      <w:r>
        <w:rPr>
          <w:rFonts w:ascii="Arial" w:cs="Arial" w:eastAsia="Arial" w:hAnsi="Arial"/>
          <w:sz w:val="17"/>
          <w:szCs w:val="17"/>
          <w:color w:val="1A1A1A"/>
        </w:rPr>
        <w:t>h</w:t>
      </w:r>
      <w:r>
        <w:rPr>
          <w:rFonts w:ascii="Arial" w:cs="Arial" w:eastAsia="Arial" w:hAnsi="Arial"/>
          <w:sz w:val="17"/>
          <w:szCs w:val="17"/>
          <w:color w:val="3B3B3B"/>
        </w:rPr>
        <w:t>e</w:t>
      </w:r>
      <w:r>
        <w:rPr>
          <w:rFonts w:ascii="Arial" w:cs="Arial" w:eastAsia="Arial" w:hAnsi="Arial"/>
          <w:sz w:val="17"/>
          <w:szCs w:val="17"/>
          <w:color w:val="2A2A2A"/>
        </w:rPr>
        <w:t xml:space="preserve"> other </w:t>
      </w:r>
      <w:r>
        <w:rPr>
          <w:rFonts w:ascii="Arial" w:cs="Arial" w:eastAsia="Arial" w:hAnsi="Arial"/>
          <w:sz w:val="17"/>
          <w:szCs w:val="17"/>
          <w:color w:val="1A1A1A"/>
        </w:rPr>
        <w:t>P</w:t>
      </w:r>
      <w:r>
        <w:rPr>
          <w:rFonts w:ascii="Arial" w:cs="Arial" w:eastAsia="Arial" w:hAnsi="Arial"/>
          <w:sz w:val="17"/>
          <w:szCs w:val="17"/>
          <w:color w:val="3B3B3B"/>
        </w:rPr>
        <w:t>arty, and sha</w:t>
      </w:r>
      <w:r>
        <w:rPr>
          <w:rFonts w:ascii="Arial" w:cs="Arial" w:eastAsia="Arial" w:hAnsi="Arial"/>
          <w:sz w:val="17"/>
          <w:szCs w:val="17"/>
          <w:color w:val="1A1A1A"/>
        </w:rPr>
        <w:t>ll</w:t>
      </w:r>
      <w:r>
        <w:rPr>
          <w:rFonts w:ascii="Arial" w:cs="Arial" w:eastAsia="Arial" w:hAnsi="Arial"/>
          <w:sz w:val="17"/>
          <w:szCs w:val="17"/>
          <w:color w:val="2A2A2A"/>
        </w:rPr>
        <w:t xml:space="preserve"> resume </w:t>
      </w:r>
      <w:r>
        <w:rPr>
          <w:rFonts w:ascii="Arial" w:cs="Arial" w:eastAsia="Arial" w:hAnsi="Arial"/>
          <w:sz w:val="17"/>
          <w:szCs w:val="17"/>
          <w:color w:val="1A1A1A"/>
        </w:rPr>
        <w:t>p</w:t>
      </w:r>
      <w:r>
        <w:rPr>
          <w:rFonts w:ascii="Arial" w:cs="Arial" w:eastAsia="Arial" w:hAnsi="Arial"/>
          <w:sz w:val="17"/>
          <w:szCs w:val="17"/>
          <w:color w:val="505050"/>
        </w:rPr>
        <w:t>e</w:t>
      </w:r>
      <w:r>
        <w:rPr>
          <w:rFonts w:ascii="Arial" w:cs="Arial" w:eastAsia="Arial" w:hAnsi="Arial"/>
          <w:sz w:val="17"/>
          <w:szCs w:val="17"/>
          <w:color w:val="1A1A1A"/>
        </w:rPr>
        <w:t>r</w:t>
      </w:r>
      <w:r>
        <w:rPr>
          <w:rFonts w:ascii="Arial" w:cs="Arial" w:eastAsia="Arial" w:hAnsi="Arial"/>
          <w:sz w:val="17"/>
          <w:szCs w:val="17"/>
          <w:color w:val="3B3B3B"/>
        </w:rPr>
        <w:t>formance</w:t>
      </w:r>
      <w:r>
        <w:rPr>
          <w:rFonts w:ascii="Arial" w:cs="Arial" w:eastAsia="Arial" w:hAnsi="Arial"/>
          <w:sz w:val="17"/>
          <w:szCs w:val="17"/>
          <w:color w:val="2A2A2A"/>
        </w:rPr>
        <w:t xml:space="preserve"> promptly once </w:t>
      </w:r>
      <w:r>
        <w:rPr>
          <w:rFonts w:ascii="Arial" w:cs="Arial" w:eastAsia="Arial" w:hAnsi="Arial"/>
          <w:sz w:val="17"/>
          <w:szCs w:val="17"/>
          <w:color w:val="1A1A1A"/>
        </w:rPr>
        <w:t>the</w:t>
      </w:r>
      <w:r>
        <w:rPr>
          <w:rFonts w:ascii="Arial" w:cs="Arial" w:eastAsia="Arial" w:hAnsi="Arial"/>
          <w:sz w:val="17"/>
          <w:szCs w:val="17"/>
          <w:color w:val="2A2A2A"/>
        </w:rPr>
        <w:t xml:space="preserve"> foregoing condition </w:t>
      </w:r>
      <w:r>
        <w:rPr>
          <w:rFonts w:ascii="Arial" w:cs="Arial" w:eastAsia="Arial" w:hAnsi="Arial"/>
          <w:sz w:val="17"/>
          <w:szCs w:val="17"/>
          <w:color w:val="1A1A1A"/>
        </w:rPr>
        <w:t>h</w:t>
      </w:r>
      <w:r>
        <w:rPr>
          <w:rFonts w:ascii="Arial" w:cs="Arial" w:eastAsia="Arial" w:hAnsi="Arial"/>
          <w:sz w:val="17"/>
          <w:szCs w:val="17"/>
          <w:color w:val="3B3B3B"/>
        </w:rPr>
        <w:t>as aba</w:t>
      </w:r>
      <w:r>
        <w:rPr>
          <w:rFonts w:ascii="Arial" w:cs="Arial" w:eastAsia="Arial" w:hAnsi="Arial"/>
          <w:sz w:val="17"/>
          <w:szCs w:val="17"/>
          <w:color w:val="1A1A1A"/>
        </w:rPr>
        <w:t>t</w:t>
      </w:r>
      <w:r>
        <w:rPr>
          <w:rFonts w:ascii="Arial" w:cs="Arial" w:eastAsia="Arial" w:hAnsi="Arial"/>
          <w:sz w:val="17"/>
          <w:szCs w:val="17"/>
          <w:color w:val="3B3B3B"/>
        </w:rPr>
        <w:t>ed.</w:t>
      </w:r>
    </w:p>
    <w:p>
      <w:pPr>
        <w:spacing w:after="0" w:line="198" w:lineRule="exact"/>
        <w:rPr>
          <w:sz w:val="20"/>
          <w:szCs w:val="20"/>
          <w:color w:val="auto"/>
        </w:rPr>
      </w:pPr>
    </w:p>
    <w:p>
      <w:pPr>
        <w:jc w:val="both"/>
        <w:ind w:left="320" w:right="200" w:hanging="323"/>
        <w:spacing w:after="0" w:line="236" w:lineRule="auto"/>
        <w:rPr>
          <w:sz w:val="20"/>
          <w:szCs w:val="20"/>
          <w:color w:val="auto"/>
        </w:rPr>
      </w:pPr>
      <w:r>
        <w:rPr>
          <w:rFonts w:ascii="Arial" w:cs="Arial" w:eastAsia="Arial" w:hAnsi="Arial"/>
          <w:sz w:val="18"/>
          <w:szCs w:val="18"/>
          <w:color w:val="auto"/>
        </w:rPr>
        <w:t>11.6</w:t>
      </w:r>
      <w:r>
        <w:rPr>
          <w:rFonts w:ascii="Arial" w:cs="Arial" w:eastAsia="Arial" w:hAnsi="Arial"/>
          <w:sz w:val="18"/>
          <w:szCs w:val="18"/>
          <w:b w:val="1"/>
          <w:bCs w:val="1"/>
          <w:color w:val="1A1A1A"/>
        </w:rPr>
        <w:t>Rel</w:t>
      </w:r>
      <w:r>
        <w:rPr>
          <w:rFonts w:ascii="Arial" w:cs="Arial" w:eastAsia="Arial" w:hAnsi="Arial"/>
          <w:sz w:val="18"/>
          <w:szCs w:val="18"/>
          <w:b w:val="1"/>
          <w:bCs w:val="1"/>
          <w:color w:val="3B3B3B"/>
        </w:rPr>
        <w:t>a</w:t>
      </w:r>
      <w:r>
        <w:rPr>
          <w:rFonts w:ascii="Arial" w:cs="Arial" w:eastAsia="Arial" w:hAnsi="Arial"/>
          <w:sz w:val="18"/>
          <w:szCs w:val="18"/>
          <w:b w:val="1"/>
          <w:bCs w:val="1"/>
          <w:color w:val="1A1A1A"/>
        </w:rPr>
        <w:t>tionship of the Parties</w:t>
      </w:r>
      <w:r>
        <w:rPr>
          <w:rFonts w:ascii="Arial" w:cs="Arial" w:eastAsia="Arial" w:hAnsi="Arial"/>
          <w:sz w:val="18"/>
          <w:szCs w:val="18"/>
          <w:b w:val="1"/>
          <w:bCs w:val="1"/>
          <w:color w:val="3B3B3B"/>
        </w:rPr>
        <w:t>.</w:t>
      </w:r>
      <w:r>
        <w:rPr>
          <w:rFonts w:ascii="Arial" w:cs="Arial" w:eastAsia="Arial" w:hAnsi="Arial"/>
          <w:sz w:val="18"/>
          <w:szCs w:val="18"/>
          <w:color w:val="auto"/>
        </w:rPr>
        <w:t xml:space="preserve"> </w:t>
      </w:r>
      <w:r>
        <w:rPr>
          <w:rFonts w:ascii="Arial" w:cs="Arial" w:eastAsia="Arial" w:hAnsi="Arial"/>
          <w:sz w:val="18"/>
          <w:szCs w:val="18"/>
          <w:color w:val="3B3B3B"/>
        </w:rPr>
        <w:t>T</w:t>
      </w:r>
      <w:r>
        <w:rPr>
          <w:rFonts w:ascii="Arial" w:cs="Arial" w:eastAsia="Arial" w:hAnsi="Arial"/>
          <w:sz w:val="18"/>
          <w:szCs w:val="18"/>
          <w:color w:val="1A1A1A"/>
        </w:rPr>
        <w:t>h</w:t>
      </w:r>
      <w:r>
        <w:rPr>
          <w:rFonts w:ascii="Arial" w:cs="Arial" w:eastAsia="Arial" w:hAnsi="Arial"/>
          <w:sz w:val="18"/>
          <w:szCs w:val="18"/>
          <w:color w:val="3B3B3B"/>
        </w:rPr>
        <w:t>e</w:t>
      </w:r>
      <w:r>
        <w:rPr>
          <w:rFonts w:ascii="Arial" w:cs="Arial" w:eastAsia="Arial" w:hAnsi="Arial"/>
          <w:sz w:val="18"/>
          <w:szCs w:val="18"/>
          <w:color w:val="auto"/>
        </w:rPr>
        <w:t xml:space="preserve"> </w:t>
      </w:r>
      <w:r>
        <w:rPr>
          <w:rFonts w:ascii="Arial" w:cs="Arial" w:eastAsia="Arial" w:hAnsi="Arial"/>
          <w:sz w:val="18"/>
          <w:szCs w:val="18"/>
          <w:color w:val="2A2A2A"/>
        </w:rPr>
        <w:t>Par</w:t>
      </w:r>
      <w:r>
        <w:rPr>
          <w:rFonts w:ascii="Arial" w:cs="Arial" w:eastAsia="Arial" w:hAnsi="Arial"/>
          <w:sz w:val="18"/>
          <w:szCs w:val="18"/>
          <w:color w:val="505050"/>
        </w:rPr>
        <w:t>t</w:t>
      </w:r>
      <w:r>
        <w:rPr>
          <w:rFonts w:ascii="Arial" w:cs="Arial" w:eastAsia="Arial" w:hAnsi="Arial"/>
          <w:sz w:val="18"/>
          <w:szCs w:val="18"/>
          <w:color w:val="1A1A1A"/>
        </w:rPr>
        <w:t>i</w:t>
      </w:r>
      <w:r>
        <w:rPr>
          <w:rFonts w:ascii="Arial" w:cs="Arial" w:eastAsia="Arial" w:hAnsi="Arial"/>
          <w:sz w:val="18"/>
          <w:szCs w:val="18"/>
          <w:color w:val="3B3B3B"/>
        </w:rPr>
        <w:t>es</w:t>
      </w:r>
      <w:r>
        <w:rPr>
          <w:rFonts w:ascii="Arial" w:cs="Arial" w:eastAsia="Arial" w:hAnsi="Arial"/>
          <w:sz w:val="18"/>
          <w:szCs w:val="18"/>
          <w:color w:val="auto"/>
        </w:rPr>
        <w:t xml:space="preserve"> </w:t>
      </w:r>
      <w:r>
        <w:rPr>
          <w:rFonts w:ascii="Arial" w:cs="Arial" w:eastAsia="Arial" w:hAnsi="Arial"/>
          <w:sz w:val="18"/>
          <w:szCs w:val="18"/>
          <w:color w:val="2A2A2A"/>
        </w:rPr>
        <w:t>understand</w:t>
      </w:r>
      <w:r>
        <w:rPr>
          <w:rFonts w:ascii="Arial" w:cs="Arial" w:eastAsia="Arial" w:hAnsi="Arial"/>
          <w:sz w:val="18"/>
          <w:szCs w:val="18"/>
          <w:color w:val="auto"/>
        </w:rPr>
        <w:t xml:space="preserve"> </w:t>
      </w:r>
      <w:r>
        <w:rPr>
          <w:rFonts w:ascii="Arial" w:cs="Arial" w:eastAsia="Arial" w:hAnsi="Arial"/>
          <w:sz w:val="18"/>
          <w:szCs w:val="18"/>
          <w:color w:val="3B3B3B"/>
        </w:rPr>
        <w:t>a</w:t>
      </w:r>
      <w:r>
        <w:rPr>
          <w:rFonts w:ascii="Arial" w:cs="Arial" w:eastAsia="Arial" w:hAnsi="Arial"/>
          <w:sz w:val="18"/>
          <w:szCs w:val="18"/>
          <w:color w:val="1A1A1A"/>
        </w:rPr>
        <w:t>nd</w:t>
      </w:r>
      <w:r>
        <w:rPr>
          <w:rFonts w:ascii="Arial" w:cs="Arial" w:eastAsia="Arial" w:hAnsi="Arial"/>
          <w:sz w:val="18"/>
          <w:szCs w:val="18"/>
          <w:color w:val="auto"/>
        </w:rPr>
        <w:t xml:space="preserve"> </w:t>
      </w:r>
      <w:r>
        <w:rPr>
          <w:rFonts w:ascii="Arial" w:cs="Arial" w:eastAsia="Arial" w:hAnsi="Arial"/>
          <w:sz w:val="18"/>
          <w:szCs w:val="18"/>
          <w:color w:val="3B3B3B"/>
        </w:rPr>
        <w:t>ag</w:t>
      </w:r>
      <w:r>
        <w:rPr>
          <w:rFonts w:ascii="Arial" w:cs="Arial" w:eastAsia="Arial" w:hAnsi="Arial"/>
          <w:sz w:val="18"/>
          <w:szCs w:val="18"/>
          <w:color w:val="1A1A1A"/>
        </w:rPr>
        <w:t>r</w:t>
      </w:r>
      <w:r>
        <w:rPr>
          <w:rFonts w:ascii="Arial" w:cs="Arial" w:eastAsia="Arial" w:hAnsi="Arial"/>
          <w:sz w:val="18"/>
          <w:szCs w:val="18"/>
          <w:color w:val="3B3B3B"/>
        </w:rPr>
        <w:t>ee</w:t>
      </w:r>
      <w:r>
        <w:rPr>
          <w:rFonts w:ascii="Arial" w:cs="Arial" w:eastAsia="Arial" w:hAnsi="Arial"/>
          <w:sz w:val="18"/>
          <w:szCs w:val="18"/>
          <w:color w:val="auto"/>
        </w:rPr>
        <w:t xml:space="preserve"> </w:t>
      </w:r>
      <w:r>
        <w:rPr>
          <w:rFonts w:ascii="Arial" w:cs="Arial" w:eastAsia="Arial" w:hAnsi="Arial"/>
          <w:sz w:val="18"/>
          <w:szCs w:val="18"/>
          <w:color w:val="2A2A2A"/>
        </w:rPr>
        <w:t>that</w:t>
      </w:r>
      <w:r>
        <w:rPr>
          <w:rFonts w:ascii="Arial" w:cs="Arial" w:eastAsia="Arial" w:hAnsi="Arial"/>
          <w:sz w:val="18"/>
          <w:szCs w:val="18"/>
          <w:color w:val="auto"/>
        </w:rPr>
        <w:t xml:space="preserve"> </w:t>
      </w:r>
      <w:r>
        <w:rPr>
          <w:rFonts w:ascii="Arial" w:cs="Arial" w:eastAsia="Arial" w:hAnsi="Arial"/>
          <w:sz w:val="18"/>
          <w:szCs w:val="18"/>
          <w:color w:val="3B3B3B"/>
        </w:rPr>
        <w:t>t</w:t>
      </w:r>
      <w:r>
        <w:rPr>
          <w:rFonts w:ascii="Arial" w:cs="Arial" w:eastAsia="Arial" w:hAnsi="Arial"/>
          <w:sz w:val="18"/>
          <w:szCs w:val="18"/>
          <w:color w:val="1A1A1A"/>
        </w:rPr>
        <w:t>h</w:t>
      </w:r>
      <w:r>
        <w:rPr>
          <w:rFonts w:ascii="Arial" w:cs="Arial" w:eastAsia="Arial" w:hAnsi="Arial"/>
          <w:sz w:val="18"/>
          <w:szCs w:val="18"/>
          <w:color w:val="505050"/>
        </w:rPr>
        <w:t>e</w:t>
      </w:r>
      <w:r>
        <w:rPr>
          <w:rFonts w:ascii="Arial" w:cs="Arial" w:eastAsia="Arial" w:hAnsi="Arial"/>
          <w:sz w:val="18"/>
          <w:szCs w:val="18"/>
          <w:color w:val="2A2A2A"/>
        </w:rPr>
        <w:t>ir relationship</w:t>
      </w:r>
      <w:r>
        <w:rPr>
          <w:rFonts w:ascii="Arial" w:cs="Arial" w:eastAsia="Arial" w:hAnsi="Arial"/>
          <w:sz w:val="18"/>
          <w:szCs w:val="18"/>
          <w:color w:val="auto"/>
        </w:rPr>
        <w:t xml:space="preserve"> </w:t>
      </w:r>
      <w:r>
        <w:rPr>
          <w:rFonts w:ascii="Arial" w:cs="Arial" w:eastAsia="Arial" w:hAnsi="Arial"/>
          <w:sz w:val="18"/>
          <w:szCs w:val="18"/>
          <w:color w:val="1A1A1A"/>
        </w:rPr>
        <w:t>hereunder is on</w:t>
      </w:r>
      <w:r>
        <w:rPr>
          <w:rFonts w:ascii="Arial" w:cs="Arial" w:eastAsia="Arial" w:hAnsi="Arial"/>
          <w:sz w:val="18"/>
          <w:szCs w:val="18"/>
          <w:color w:val="3B3B3B"/>
        </w:rPr>
        <w:t>e</w:t>
      </w:r>
      <w:r>
        <w:rPr>
          <w:rFonts w:ascii="Arial" w:cs="Arial" w:eastAsia="Arial" w:hAnsi="Arial"/>
          <w:sz w:val="18"/>
          <w:szCs w:val="18"/>
          <w:color w:val="auto"/>
        </w:rPr>
        <w:t xml:space="preserve"> </w:t>
      </w:r>
      <w:r>
        <w:rPr>
          <w:rFonts w:ascii="Arial" w:cs="Arial" w:eastAsia="Arial" w:hAnsi="Arial"/>
          <w:sz w:val="18"/>
          <w:szCs w:val="18"/>
          <w:color w:val="2A2A2A"/>
        </w:rPr>
        <w:t>of</w:t>
      </w:r>
      <w:r>
        <w:rPr>
          <w:rFonts w:ascii="Arial" w:cs="Arial" w:eastAsia="Arial" w:hAnsi="Arial"/>
          <w:sz w:val="18"/>
          <w:szCs w:val="18"/>
          <w:color w:val="auto"/>
        </w:rPr>
        <w:t xml:space="preserve"> </w:t>
      </w:r>
      <w:r>
        <w:rPr>
          <w:rFonts w:ascii="Arial" w:cs="Arial" w:eastAsia="Arial" w:hAnsi="Arial"/>
          <w:sz w:val="18"/>
          <w:szCs w:val="18"/>
          <w:color w:val="1A1A1A"/>
        </w:rPr>
        <w:t>contract</w:t>
      </w:r>
      <w:r>
        <w:rPr>
          <w:rFonts w:ascii="Arial" w:cs="Arial" w:eastAsia="Arial" w:hAnsi="Arial"/>
          <w:sz w:val="18"/>
          <w:szCs w:val="18"/>
          <w:color w:val="3B3B3B"/>
        </w:rPr>
        <w:t>,</w:t>
      </w:r>
      <w:r>
        <w:rPr>
          <w:rFonts w:ascii="Arial" w:cs="Arial" w:eastAsia="Arial" w:hAnsi="Arial"/>
          <w:sz w:val="18"/>
          <w:szCs w:val="18"/>
          <w:color w:val="auto"/>
        </w:rPr>
        <w:t xml:space="preserve"> </w:t>
      </w:r>
      <w:r>
        <w:rPr>
          <w:rFonts w:ascii="Arial" w:cs="Arial" w:eastAsia="Arial" w:hAnsi="Arial"/>
          <w:sz w:val="18"/>
          <w:szCs w:val="18"/>
          <w:color w:val="2A2A2A"/>
        </w:rPr>
        <w:t>and</w:t>
      </w:r>
      <w:r>
        <w:rPr>
          <w:rFonts w:ascii="Arial" w:cs="Arial" w:eastAsia="Arial" w:hAnsi="Arial"/>
          <w:sz w:val="18"/>
          <w:szCs w:val="18"/>
          <w:color w:val="auto"/>
        </w:rPr>
        <w:t xml:space="preserve"> </w:t>
      </w:r>
      <w:r>
        <w:rPr>
          <w:rFonts w:ascii="Arial" w:cs="Arial" w:eastAsia="Arial" w:hAnsi="Arial"/>
          <w:sz w:val="18"/>
          <w:szCs w:val="18"/>
          <w:color w:val="1A1A1A"/>
        </w:rPr>
        <w:t>that th</w:t>
      </w:r>
      <w:r>
        <w:rPr>
          <w:rFonts w:ascii="Arial" w:cs="Arial" w:eastAsia="Arial" w:hAnsi="Arial"/>
          <w:sz w:val="18"/>
          <w:szCs w:val="18"/>
          <w:color w:val="3B3B3B"/>
        </w:rPr>
        <w:t>ey are</w:t>
      </w:r>
      <w:r>
        <w:rPr>
          <w:rFonts w:ascii="Arial" w:cs="Arial" w:eastAsia="Arial" w:hAnsi="Arial"/>
          <w:sz w:val="18"/>
          <w:szCs w:val="18"/>
          <w:color w:val="auto"/>
        </w:rPr>
        <w:t xml:space="preserve"> </w:t>
      </w:r>
      <w:r>
        <w:rPr>
          <w:rFonts w:ascii="Arial" w:cs="Arial" w:eastAsia="Arial" w:hAnsi="Arial"/>
          <w:sz w:val="18"/>
          <w:szCs w:val="18"/>
          <w:color w:val="1A1A1A"/>
        </w:rPr>
        <w:t>not</w:t>
      </w:r>
      <w:r>
        <w:rPr>
          <w:rFonts w:ascii="Arial" w:cs="Arial" w:eastAsia="Arial" w:hAnsi="Arial"/>
          <w:sz w:val="18"/>
          <w:szCs w:val="18"/>
          <w:color w:val="auto"/>
        </w:rPr>
        <w:t xml:space="preserve"> </w:t>
      </w:r>
      <w:r>
        <w:rPr>
          <w:rFonts w:ascii="Arial" w:cs="Arial" w:eastAsia="Arial" w:hAnsi="Arial"/>
          <w:sz w:val="18"/>
          <w:szCs w:val="18"/>
          <w:color w:val="3B3B3B"/>
        </w:rPr>
        <w:t>a</w:t>
      </w:r>
      <w:r>
        <w:rPr>
          <w:rFonts w:ascii="Arial" w:cs="Arial" w:eastAsia="Arial" w:hAnsi="Arial"/>
          <w:sz w:val="18"/>
          <w:szCs w:val="18"/>
          <w:color w:val="1A1A1A"/>
        </w:rPr>
        <w:t>nd</w:t>
      </w:r>
      <w:r>
        <w:rPr>
          <w:rFonts w:ascii="Arial" w:cs="Arial" w:eastAsia="Arial" w:hAnsi="Arial"/>
          <w:sz w:val="18"/>
          <w:szCs w:val="18"/>
          <w:color w:val="3B3B3B"/>
        </w:rPr>
        <w:t xml:space="preserve"> </w:t>
      </w:r>
      <w:r>
        <w:rPr>
          <w:rFonts w:ascii="Arial" w:cs="Arial" w:eastAsia="Arial" w:hAnsi="Arial"/>
          <w:sz w:val="18"/>
          <w:szCs w:val="18"/>
          <w:color w:val="2A2A2A"/>
        </w:rPr>
        <w:t>shall not</w:t>
      </w:r>
      <w:r>
        <w:rPr>
          <w:rFonts w:ascii="Arial" w:cs="Arial" w:eastAsia="Arial" w:hAnsi="Arial"/>
          <w:sz w:val="18"/>
          <w:szCs w:val="18"/>
          <w:color w:val="3B3B3B"/>
        </w:rPr>
        <w:t xml:space="preserve"> be </w:t>
      </w:r>
      <w:r>
        <w:rPr>
          <w:rFonts w:ascii="Arial" w:cs="Arial" w:eastAsia="Arial" w:hAnsi="Arial"/>
          <w:sz w:val="18"/>
          <w:szCs w:val="18"/>
          <w:color w:val="2A2A2A"/>
        </w:rPr>
        <w:t>construed</w:t>
      </w:r>
      <w:r>
        <w:rPr>
          <w:rFonts w:ascii="Arial" w:cs="Arial" w:eastAsia="Arial" w:hAnsi="Arial"/>
          <w:sz w:val="18"/>
          <w:szCs w:val="18"/>
          <w:color w:val="3B3B3B"/>
        </w:rPr>
        <w:t xml:space="preserve"> as </w:t>
      </w:r>
      <w:r>
        <w:rPr>
          <w:rFonts w:ascii="Arial" w:cs="Arial" w:eastAsia="Arial" w:hAnsi="Arial"/>
          <w:sz w:val="18"/>
          <w:szCs w:val="18"/>
          <w:color w:val="2A2A2A"/>
        </w:rPr>
        <w:t>partners</w:t>
      </w:r>
      <w:r>
        <w:rPr>
          <w:rFonts w:ascii="Arial" w:cs="Arial" w:eastAsia="Arial" w:hAnsi="Arial"/>
          <w:sz w:val="18"/>
          <w:szCs w:val="18"/>
          <w:color w:val="505050"/>
        </w:rPr>
        <w:t>,</w:t>
      </w:r>
      <w:r>
        <w:rPr>
          <w:rFonts w:ascii="Arial" w:cs="Arial" w:eastAsia="Arial" w:hAnsi="Arial"/>
          <w:sz w:val="18"/>
          <w:szCs w:val="18"/>
          <w:color w:val="3B3B3B"/>
        </w:rPr>
        <w:t xml:space="preserve"> </w:t>
      </w:r>
      <w:r>
        <w:rPr>
          <w:rFonts w:ascii="Arial" w:cs="Arial" w:eastAsia="Arial" w:hAnsi="Arial"/>
          <w:sz w:val="18"/>
          <w:szCs w:val="18"/>
          <w:color w:val="1A1A1A"/>
        </w:rPr>
        <w:t>j</w:t>
      </w:r>
      <w:r>
        <w:rPr>
          <w:rFonts w:ascii="Arial" w:cs="Arial" w:eastAsia="Arial" w:hAnsi="Arial"/>
          <w:sz w:val="18"/>
          <w:szCs w:val="18"/>
          <w:color w:val="3B3B3B"/>
        </w:rPr>
        <w:t>o</w:t>
      </w:r>
      <w:r>
        <w:rPr>
          <w:rFonts w:ascii="Arial" w:cs="Arial" w:eastAsia="Arial" w:hAnsi="Arial"/>
          <w:sz w:val="18"/>
          <w:szCs w:val="18"/>
          <w:color w:val="1A1A1A"/>
        </w:rPr>
        <w:t>int</w:t>
      </w:r>
      <w:r>
        <w:rPr>
          <w:rFonts w:ascii="Arial" w:cs="Arial" w:eastAsia="Arial" w:hAnsi="Arial"/>
          <w:sz w:val="18"/>
          <w:szCs w:val="18"/>
          <w:color w:val="3B3B3B"/>
        </w:rPr>
        <w:t xml:space="preserve"> </w:t>
      </w:r>
      <w:r>
        <w:rPr>
          <w:rFonts w:ascii="Arial" w:cs="Arial" w:eastAsia="Arial" w:hAnsi="Arial"/>
          <w:sz w:val="18"/>
          <w:szCs w:val="18"/>
          <w:color w:val="2A2A2A"/>
        </w:rPr>
        <w:t>ventures,</w:t>
      </w:r>
      <w:r>
        <w:rPr>
          <w:rFonts w:ascii="Arial" w:cs="Arial" w:eastAsia="Arial" w:hAnsi="Arial"/>
          <w:sz w:val="18"/>
          <w:szCs w:val="18"/>
          <w:color w:val="3B3B3B"/>
        </w:rPr>
        <w:t xml:space="preserve"> or agent a</w:t>
      </w:r>
      <w:r>
        <w:rPr>
          <w:rFonts w:ascii="Arial" w:cs="Arial" w:eastAsia="Arial" w:hAnsi="Arial"/>
          <w:sz w:val="18"/>
          <w:szCs w:val="18"/>
          <w:color w:val="1A1A1A"/>
        </w:rPr>
        <w:t>nd prin</w:t>
      </w:r>
      <w:r>
        <w:rPr>
          <w:rFonts w:ascii="Arial" w:cs="Arial" w:eastAsia="Arial" w:hAnsi="Arial"/>
          <w:sz w:val="18"/>
          <w:szCs w:val="18"/>
          <w:color w:val="3B3B3B"/>
        </w:rPr>
        <w:t xml:space="preserve">cipal. </w:t>
      </w:r>
      <w:r>
        <w:rPr>
          <w:rFonts w:ascii="Arial" w:cs="Arial" w:eastAsia="Arial" w:hAnsi="Arial"/>
          <w:sz w:val="18"/>
          <w:szCs w:val="18"/>
          <w:color w:val="1A1A1A"/>
        </w:rPr>
        <w:t>In no</w:t>
      </w:r>
      <w:r>
        <w:rPr>
          <w:rFonts w:ascii="Arial" w:cs="Arial" w:eastAsia="Arial" w:hAnsi="Arial"/>
          <w:sz w:val="18"/>
          <w:szCs w:val="18"/>
          <w:color w:val="3B3B3B"/>
        </w:rPr>
        <w:t xml:space="preserve"> even</w:t>
      </w:r>
      <w:r>
        <w:rPr>
          <w:rFonts w:ascii="Arial" w:cs="Arial" w:eastAsia="Arial" w:hAnsi="Arial"/>
          <w:sz w:val="18"/>
          <w:szCs w:val="18"/>
          <w:color w:val="1A1A1A"/>
        </w:rPr>
        <w:t>t</w:t>
      </w:r>
      <w:r>
        <w:rPr>
          <w:rFonts w:ascii="Arial" w:cs="Arial" w:eastAsia="Arial" w:hAnsi="Arial"/>
          <w:sz w:val="18"/>
          <w:szCs w:val="18"/>
          <w:color w:val="3B3B3B"/>
        </w:rPr>
        <w:t xml:space="preserve"> sha</w:t>
      </w:r>
      <w:r>
        <w:rPr>
          <w:rFonts w:ascii="Arial" w:cs="Arial" w:eastAsia="Arial" w:hAnsi="Arial"/>
          <w:sz w:val="18"/>
          <w:szCs w:val="18"/>
          <w:color w:val="1A1A1A"/>
        </w:rPr>
        <w:t>ll</w:t>
      </w:r>
      <w:r>
        <w:rPr>
          <w:rFonts w:ascii="Arial" w:cs="Arial" w:eastAsia="Arial" w:hAnsi="Arial"/>
          <w:sz w:val="18"/>
          <w:szCs w:val="18"/>
          <w:color w:val="3B3B3B"/>
        </w:rPr>
        <w:t xml:space="preserve"> e</w:t>
      </w:r>
      <w:r>
        <w:rPr>
          <w:rFonts w:ascii="Arial" w:cs="Arial" w:eastAsia="Arial" w:hAnsi="Arial"/>
          <w:sz w:val="18"/>
          <w:szCs w:val="18"/>
          <w:color w:val="1A1A1A"/>
        </w:rPr>
        <w:t>ith</w:t>
      </w:r>
      <w:r>
        <w:rPr>
          <w:rFonts w:ascii="Arial" w:cs="Arial" w:eastAsia="Arial" w:hAnsi="Arial"/>
          <w:sz w:val="18"/>
          <w:szCs w:val="18"/>
          <w:color w:val="3B3B3B"/>
        </w:rPr>
        <w:t xml:space="preserve">er Party </w:t>
      </w:r>
      <w:r>
        <w:rPr>
          <w:rFonts w:ascii="Arial" w:cs="Arial" w:eastAsia="Arial" w:hAnsi="Arial"/>
          <w:sz w:val="18"/>
          <w:szCs w:val="18"/>
          <w:color w:val="2A2A2A"/>
        </w:rPr>
        <w:t>be</w:t>
      </w:r>
      <w:r>
        <w:rPr>
          <w:rFonts w:ascii="Arial" w:cs="Arial" w:eastAsia="Arial" w:hAnsi="Arial"/>
          <w:sz w:val="18"/>
          <w:szCs w:val="18"/>
          <w:color w:val="3B3B3B"/>
        </w:rPr>
        <w:t xml:space="preserve"> autho</w:t>
      </w:r>
      <w:r>
        <w:rPr>
          <w:rFonts w:ascii="Arial" w:cs="Arial" w:eastAsia="Arial" w:hAnsi="Arial"/>
          <w:sz w:val="18"/>
          <w:szCs w:val="18"/>
          <w:color w:val="1A1A1A"/>
        </w:rPr>
        <w:t>r</w:t>
      </w:r>
      <w:r>
        <w:rPr>
          <w:rFonts w:ascii="Arial" w:cs="Arial" w:eastAsia="Arial" w:hAnsi="Arial"/>
          <w:sz w:val="18"/>
          <w:szCs w:val="18"/>
          <w:color w:val="3B3B3B"/>
        </w:rPr>
        <w:t xml:space="preserve">ized </w:t>
      </w:r>
      <w:r>
        <w:rPr>
          <w:rFonts w:ascii="Arial" w:cs="Arial" w:eastAsia="Arial" w:hAnsi="Arial"/>
          <w:sz w:val="18"/>
          <w:szCs w:val="18"/>
          <w:color w:val="2A2A2A"/>
        </w:rPr>
        <w:t>to act</w:t>
      </w:r>
      <w:r>
        <w:rPr>
          <w:rFonts w:ascii="Arial" w:cs="Arial" w:eastAsia="Arial" w:hAnsi="Arial"/>
          <w:sz w:val="18"/>
          <w:szCs w:val="18"/>
          <w:color w:val="3B3B3B"/>
        </w:rPr>
        <w:t xml:space="preserve"> for o</w:t>
      </w:r>
      <w:r>
        <w:rPr>
          <w:rFonts w:ascii="Arial" w:cs="Arial" w:eastAsia="Arial" w:hAnsi="Arial"/>
          <w:sz w:val="18"/>
          <w:szCs w:val="18"/>
          <w:color w:val="1A1A1A"/>
        </w:rPr>
        <w:t>r</w:t>
      </w:r>
      <w:r>
        <w:rPr>
          <w:rFonts w:ascii="Arial" w:cs="Arial" w:eastAsia="Arial" w:hAnsi="Arial"/>
          <w:sz w:val="18"/>
          <w:szCs w:val="18"/>
          <w:color w:val="3B3B3B"/>
        </w:rPr>
        <w:t xml:space="preserve"> on be</w:t>
      </w:r>
      <w:r>
        <w:rPr>
          <w:rFonts w:ascii="Arial" w:cs="Arial" w:eastAsia="Arial" w:hAnsi="Arial"/>
          <w:sz w:val="18"/>
          <w:szCs w:val="18"/>
          <w:color w:val="1A1A1A"/>
        </w:rPr>
        <w:t>ha</w:t>
      </w:r>
      <w:r>
        <w:rPr>
          <w:rFonts w:ascii="Arial" w:cs="Arial" w:eastAsia="Arial" w:hAnsi="Arial"/>
          <w:sz w:val="18"/>
          <w:szCs w:val="18"/>
          <w:color w:val="3B3B3B"/>
        </w:rPr>
        <w:t>l</w:t>
      </w:r>
      <w:r>
        <w:rPr>
          <w:rFonts w:ascii="Arial" w:cs="Arial" w:eastAsia="Arial" w:hAnsi="Arial"/>
          <w:sz w:val="18"/>
          <w:szCs w:val="18"/>
          <w:color w:val="1A1A1A"/>
        </w:rPr>
        <w:t>f</w:t>
      </w:r>
      <w:r>
        <w:rPr>
          <w:rFonts w:ascii="Arial" w:cs="Arial" w:eastAsia="Arial" w:hAnsi="Arial"/>
          <w:sz w:val="18"/>
          <w:szCs w:val="18"/>
          <w:color w:val="3B3B3B"/>
        </w:rPr>
        <w:t xml:space="preserve"> of </w:t>
      </w:r>
      <w:r>
        <w:rPr>
          <w:rFonts w:ascii="Arial" w:cs="Arial" w:eastAsia="Arial" w:hAnsi="Arial"/>
          <w:sz w:val="18"/>
          <w:szCs w:val="18"/>
          <w:color w:val="2A2A2A"/>
        </w:rPr>
        <w:t>th</w:t>
      </w:r>
      <w:r>
        <w:rPr>
          <w:rFonts w:ascii="Arial" w:cs="Arial" w:eastAsia="Arial" w:hAnsi="Arial"/>
          <w:sz w:val="18"/>
          <w:szCs w:val="18"/>
          <w:color w:val="505050"/>
        </w:rPr>
        <w:t>e</w:t>
      </w:r>
      <w:r>
        <w:rPr>
          <w:rFonts w:ascii="Arial" w:cs="Arial" w:eastAsia="Arial" w:hAnsi="Arial"/>
          <w:sz w:val="18"/>
          <w:szCs w:val="18"/>
          <w:color w:val="3B3B3B"/>
        </w:rPr>
        <w:t xml:space="preserve"> ot</w:t>
      </w:r>
      <w:r>
        <w:rPr>
          <w:rFonts w:ascii="Arial" w:cs="Arial" w:eastAsia="Arial" w:hAnsi="Arial"/>
          <w:sz w:val="18"/>
          <w:szCs w:val="18"/>
          <w:color w:val="1A1A1A"/>
        </w:rPr>
        <w:t>h</w:t>
      </w:r>
      <w:r>
        <w:rPr>
          <w:rFonts w:ascii="Arial" w:cs="Arial" w:eastAsia="Arial" w:hAnsi="Arial"/>
          <w:sz w:val="18"/>
          <w:szCs w:val="18"/>
          <w:color w:val="3B3B3B"/>
        </w:rPr>
        <w:t xml:space="preserve">er </w:t>
      </w:r>
      <w:r>
        <w:rPr>
          <w:rFonts w:ascii="Arial" w:cs="Arial" w:eastAsia="Arial" w:hAnsi="Arial"/>
          <w:sz w:val="18"/>
          <w:szCs w:val="18"/>
          <w:color w:val="2A2A2A"/>
        </w:rPr>
        <w:t>Party.</w:t>
      </w:r>
    </w:p>
    <w:p>
      <w:pPr>
        <w:spacing w:after="0" w:line="199" w:lineRule="exact"/>
        <w:rPr>
          <w:sz w:val="20"/>
          <w:szCs w:val="20"/>
          <w:color w:val="auto"/>
        </w:rPr>
      </w:pPr>
    </w:p>
    <w:p>
      <w:pPr>
        <w:ind w:left="320" w:right="100" w:hanging="323"/>
        <w:spacing w:after="0" w:line="232" w:lineRule="auto"/>
        <w:rPr>
          <w:sz w:val="20"/>
          <w:szCs w:val="20"/>
          <w:color w:val="auto"/>
        </w:rPr>
      </w:pPr>
      <w:r>
        <w:rPr>
          <w:rFonts w:ascii="Arial" w:cs="Arial" w:eastAsia="Arial" w:hAnsi="Arial"/>
          <w:sz w:val="18"/>
          <w:szCs w:val="18"/>
          <w:color w:val="auto"/>
        </w:rPr>
        <w:t>11.7</w:t>
      </w:r>
      <w:r>
        <w:rPr>
          <w:rFonts w:ascii="Arial" w:cs="Arial" w:eastAsia="Arial" w:hAnsi="Arial"/>
          <w:sz w:val="18"/>
          <w:szCs w:val="18"/>
          <w:b w:val="1"/>
          <w:bCs w:val="1"/>
          <w:color w:val="3B3B3B"/>
        </w:rPr>
        <w:t>C</w:t>
      </w:r>
      <w:r>
        <w:rPr>
          <w:rFonts w:ascii="Arial" w:cs="Arial" w:eastAsia="Arial" w:hAnsi="Arial"/>
          <w:sz w:val="18"/>
          <w:szCs w:val="18"/>
          <w:b w:val="1"/>
          <w:bCs w:val="1"/>
          <w:color w:val="1A1A1A"/>
        </w:rPr>
        <w:t>hoice</w:t>
      </w:r>
      <w:r>
        <w:rPr>
          <w:rFonts w:ascii="Arial" w:cs="Arial" w:eastAsia="Arial" w:hAnsi="Arial"/>
          <w:sz w:val="18"/>
          <w:szCs w:val="18"/>
          <w:color w:val="auto"/>
        </w:rPr>
        <w:t xml:space="preserve"> </w:t>
      </w:r>
      <w:r>
        <w:rPr>
          <w:rFonts w:ascii="Arial" w:cs="Arial" w:eastAsia="Arial" w:hAnsi="Arial"/>
          <w:sz w:val="18"/>
          <w:szCs w:val="18"/>
          <w:b w:val="1"/>
          <w:bCs w:val="1"/>
          <w:color w:val="2A2A2A"/>
        </w:rPr>
        <w:t>of Law</w:t>
      </w:r>
      <w:r>
        <w:rPr>
          <w:rFonts w:ascii="Arial" w:cs="Arial" w:eastAsia="Arial" w:hAnsi="Arial"/>
          <w:sz w:val="18"/>
          <w:szCs w:val="18"/>
          <w:color w:val="auto"/>
        </w:rPr>
        <w:t xml:space="preserve"> </w:t>
      </w:r>
      <w:r>
        <w:rPr>
          <w:rFonts w:ascii="Arial" w:cs="Arial" w:eastAsia="Arial" w:hAnsi="Arial"/>
          <w:sz w:val="18"/>
          <w:szCs w:val="18"/>
          <w:b w:val="1"/>
          <w:bCs w:val="1"/>
          <w:color w:val="1A1A1A"/>
        </w:rPr>
        <w:t>and Arbitration</w:t>
      </w:r>
      <w:r>
        <w:rPr>
          <w:rFonts w:ascii="Arial" w:cs="Arial" w:eastAsia="Arial" w:hAnsi="Arial"/>
          <w:sz w:val="18"/>
          <w:szCs w:val="18"/>
          <w:b w:val="1"/>
          <w:bCs w:val="1"/>
          <w:color w:val="3B3B3B"/>
        </w:rPr>
        <w:t>.</w:t>
      </w:r>
      <w:r>
        <w:rPr>
          <w:rFonts w:ascii="Arial" w:cs="Arial" w:eastAsia="Arial" w:hAnsi="Arial"/>
          <w:sz w:val="18"/>
          <w:szCs w:val="18"/>
          <w:color w:val="auto"/>
        </w:rPr>
        <w:t xml:space="preserve"> </w:t>
      </w:r>
      <w:r>
        <w:rPr>
          <w:rFonts w:ascii="Arial" w:cs="Arial" w:eastAsia="Arial" w:hAnsi="Arial"/>
          <w:sz w:val="18"/>
          <w:szCs w:val="18"/>
          <w:color w:val="2A2A2A"/>
        </w:rPr>
        <w:t>Any</w:t>
      </w:r>
      <w:r>
        <w:rPr>
          <w:rFonts w:ascii="Arial" w:cs="Arial" w:eastAsia="Arial" w:hAnsi="Arial"/>
          <w:sz w:val="18"/>
          <w:szCs w:val="18"/>
          <w:color w:val="auto"/>
        </w:rPr>
        <w:t xml:space="preserve"> </w:t>
      </w:r>
      <w:r>
        <w:rPr>
          <w:rFonts w:ascii="Arial" w:cs="Arial" w:eastAsia="Arial" w:hAnsi="Arial"/>
          <w:sz w:val="18"/>
          <w:szCs w:val="18"/>
          <w:color w:val="3B3B3B"/>
        </w:rPr>
        <w:t>d</w:t>
      </w:r>
      <w:r>
        <w:rPr>
          <w:rFonts w:ascii="Arial" w:cs="Arial" w:eastAsia="Arial" w:hAnsi="Arial"/>
          <w:sz w:val="18"/>
          <w:szCs w:val="18"/>
          <w:color w:val="1A1A1A"/>
        </w:rPr>
        <w:t>i</w:t>
      </w:r>
      <w:r>
        <w:rPr>
          <w:rFonts w:ascii="Arial" w:cs="Arial" w:eastAsia="Arial" w:hAnsi="Arial"/>
          <w:sz w:val="18"/>
          <w:szCs w:val="18"/>
          <w:color w:val="3B3B3B"/>
        </w:rPr>
        <w:t>s</w:t>
      </w:r>
      <w:r>
        <w:rPr>
          <w:rFonts w:ascii="Arial" w:cs="Arial" w:eastAsia="Arial" w:hAnsi="Arial"/>
          <w:sz w:val="18"/>
          <w:szCs w:val="18"/>
          <w:color w:val="1A1A1A"/>
        </w:rPr>
        <w:t>put</w:t>
      </w:r>
      <w:r>
        <w:rPr>
          <w:rFonts w:ascii="Arial" w:cs="Arial" w:eastAsia="Arial" w:hAnsi="Arial"/>
          <w:sz w:val="18"/>
          <w:szCs w:val="18"/>
          <w:color w:val="3B3B3B"/>
        </w:rPr>
        <w:t>e a</w:t>
      </w:r>
      <w:r>
        <w:rPr>
          <w:rFonts w:ascii="Arial" w:cs="Arial" w:eastAsia="Arial" w:hAnsi="Arial"/>
          <w:sz w:val="18"/>
          <w:szCs w:val="18"/>
          <w:color w:val="1A1A1A"/>
        </w:rPr>
        <w:t>risin</w:t>
      </w:r>
      <w:r>
        <w:rPr>
          <w:rFonts w:ascii="Arial" w:cs="Arial" w:eastAsia="Arial" w:hAnsi="Arial"/>
          <w:sz w:val="18"/>
          <w:szCs w:val="18"/>
          <w:color w:val="3B3B3B"/>
        </w:rPr>
        <w:t>g</w:t>
      </w:r>
      <w:r>
        <w:rPr>
          <w:rFonts w:ascii="Arial" w:cs="Arial" w:eastAsia="Arial" w:hAnsi="Arial"/>
          <w:sz w:val="18"/>
          <w:szCs w:val="18"/>
          <w:color w:val="auto"/>
        </w:rPr>
        <w:t xml:space="preserve"> </w:t>
      </w:r>
      <w:r>
        <w:rPr>
          <w:rFonts w:ascii="Arial" w:cs="Arial" w:eastAsia="Arial" w:hAnsi="Arial"/>
          <w:sz w:val="18"/>
          <w:szCs w:val="18"/>
          <w:color w:val="1A1A1A"/>
        </w:rPr>
        <w:t>un</w:t>
      </w:r>
      <w:r>
        <w:rPr>
          <w:rFonts w:ascii="Arial" w:cs="Arial" w:eastAsia="Arial" w:hAnsi="Arial"/>
          <w:sz w:val="18"/>
          <w:szCs w:val="18"/>
          <w:color w:val="3B3B3B"/>
        </w:rPr>
        <w:t>de</w:t>
      </w:r>
      <w:r>
        <w:rPr>
          <w:rFonts w:ascii="Arial" w:cs="Arial" w:eastAsia="Arial" w:hAnsi="Arial"/>
          <w:sz w:val="18"/>
          <w:szCs w:val="18"/>
          <w:color w:val="1A1A1A"/>
        </w:rPr>
        <w:t>r</w:t>
      </w:r>
      <w:r>
        <w:rPr>
          <w:rFonts w:ascii="Arial" w:cs="Arial" w:eastAsia="Arial" w:hAnsi="Arial"/>
          <w:sz w:val="18"/>
          <w:szCs w:val="18"/>
          <w:color w:val="auto"/>
        </w:rPr>
        <w:t xml:space="preserve"> </w:t>
      </w:r>
      <w:r>
        <w:rPr>
          <w:rFonts w:ascii="Arial" w:cs="Arial" w:eastAsia="Arial" w:hAnsi="Arial"/>
          <w:sz w:val="18"/>
          <w:szCs w:val="18"/>
          <w:color w:val="3B3B3B"/>
        </w:rPr>
        <w:t>t</w:t>
      </w:r>
      <w:r>
        <w:rPr>
          <w:rFonts w:ascii="Arial" w:cs="Arial" w:eastAsia="Arial" w:hAnsi="Arial"/>
          <w:sz w:val="18"/>
          <w:szCs w:val="18"/>
          <w:color w:val="1A1A1A"/>
        </w:rPr>
        <w:t>hi</w:t>
      </w:r>
      <w:r>
        <w:rPr>
          <w:rFonts w:ascii="Arial" w:cs="Arial" w:eastAsia="Arial" w:hAnsi="Arial"/>
          <w:sz w:val="18"/>
          <w:szCs w:val="18"/>
          <w:color w:val="3B3B3B"/>
        </w:rPr>
        <w:t>s</w:t>
      </w:r>
      <w:r>
        <w:rPr>
          <w:rFonts w:ascii="Arial" w:cs="Arial" w:eastAsia="Arial" w:hAnsi="Arial"/>
          <w:sz w:val="18"/>
          <w:szCs w:val="18"/>
          <w:color w:val="auto"/>
        </w:rPr>
        <w:t xml:space="preserve"> </w:t>
      </w:r>
      <w:r>
        <w:rPr>
          <w:rFonts w:ascii="Arial" w:cs="Arial" w:eastAsia="Arial" w:hAnsi="Arial"/>
          <w:sz w:val="18"/>
          <w:szCs w:val="18"/>
          <w:color w:val="2A2A2A"/>
        </w:rPr>
        <w:t>Agreement</w:t>
      </w:r>
      <w:r>
        <w:rPr>
          <w:rFonts w:ascii="Arial" w:cs="Arial" w:eastAsia="Arial" w:hAnsi="Arial"/>
          <w:sz w:val="18"/>
          <w:szCs w:val="18"/>
          <w:color w:val="auto"/>
        </w:rPr>
        <w:t xml:space="preserve"> </w:t>
      </w:r>
      <w:r>
        <w:rPr>
          <w:rFonts w:ascii="Arial" w:cs="Arial" w:eastAsia="Arial" w:hAnsi="Arial"/>
          <w:sz w:val="18"/>
          <w:szCs w:val="18"/>
          <w:color w:val="3B3B3B"/>
        </w:rPr>
        <w:t>sha</w:t>
      </w:r>
      <w:r>
        <w:rPr>
          <w:rFonts w:ascii="Arial" w:cs="Arial" w:eastAsia="Arial" w:hAnsi="Arial"/>
          <w:sz w:val="18"/>
          <w:szCs w:val="18"/>
          <w:color w:val="1A1A1A"/>
        </w:rPr>
        <w:t>ll</w:t>
      </w:r>
      <w:r>
        <w:rPr>
          <w:rFonts w:ascii="Arial" w:cs="Arial" w:eastAsia="Arial" w:hAnsi="Arial"/>
          <w:sz w:val="18"/>
          <w:szCs w:val="18"/>
          <w:color w:val="auto"/>
        </w:rPr>
        <w:t xml:space="preserve"> </w:t>
      </w:r>
      <w:r>
        <w:rPr>
          <w:rFonts w:ascii="Arial" w:cs="Arial" w:eastAsia="Arial" w:hAnsi="Arial"/>
          <w:sz w:val="18"/>
          <w:szCs w:val="18"/>
          <w:color w:val="2A2A2A"/>
        </w:rPr>
        <w:t>be</w:t>
      </w:r>
      <w:r>
        <w:rPr>
          <w:rFonts w:ascii="Arial" w:cs="Arial" w:eastAsia="Arial" w:hAnsi="Arial"/>
          <w:sz w:val="18"/>
          <w:szCs w:val="18"/>
          <w:color w:val="auto"/>
        </w:rPr>
        <w:t xml:space="preserve"> </w:t>
      </w:r>
      <w:r>
        <w:rPr>
          <w:rFonts w:ascii="Arial" w:cs="Arial" w:eastAsia="Arial" w:hAnsi="Arial"/>
          <w:sz w:val="18"/>
          <w:szCs w:val="18"/>
          <w:color w:val="3B3B3B"/>
        </w:rPr>
        <w:t>subject</w:t>
      </w:r>
      <w:r>
        <w:rPr>
          <w:rFonts w:ascii="Arial" w:cs="Arial" w:eastAsia="Arial" w:hAnsi="Arial"/>
          <w:sz w:val="18"/>
          <w:szCs w:val="18"/>
          <w:color w:val="auto"/>
        </w:rPr>
        <w:t xml:space="preserve"> </w:t>
      </w:r>
      <w:r>
        <w:rPr>
          <w:rFonts w:ascii="Arial" w:cs="Arial" w:eastAsia="Arial" w:hAnsi="Arial"/>
          <w:sz w:val="18"/>
          <w:szCs w:val="18"/>
          <w:color w:val="1A1A1A"/>
        </w:rPr>
        <w:t>t</w:t>
      </w:r>
      <w:r>
        <w:rPr>
          <w:rFonts w:ascii="Arial" w:cs="Arial" w:eastAsia="Arial" w:hAnsi="Arial"/>
          <w:sz w:val="18"/>
          <w:szCs w:val="18"/>
          <w:color w:val="3B3B3B"/>
        </w:rPr>
        <w:t>o</w:t>
      </w:r>
      <w:r>
        <w:rPr>
          <w:rFonts w:ascii="Arial" w:cs="Arial" w:eastAsia="Arial" w:hAnsi="Arial"/>
          <w:sz w:val="18"/>
          <w:szCs w:val="18"/>
          <w:color w:val="auto"/>
        </w:rPr>
        <w:t xml:space="preserve"> </w:t>
      </w:r>
      <w:r>
        <w:rPr>
          <w:rFonts w:ascii="Arial" w:cs="Arial" w:eastAsia="Arial" w:hAnsi="Arial"/>
          <w:sz w:val="18"/>
          <w:szCs w:val="18"/>
          <w:color w:val="1A1A1A"/>
        </w:rPr>
        <w:t>th</w:t>
      </w:r>
      <w:r>
        <w:rPr>
          <w:rFonts w:ascii="Arial" w:cs="Arial" w:eastAsia="Arial" w:hAnsi="Arial"/>
          <w:sz w:val="18"/>
          <w:szCs w:val="18"/>
          <w:color w:val="3B3B3B"/>
        </w:rPr>
        <w:t>e</w:t>
      </w:r>
      <w:r>
        <w:rPr>
          <w:rFonts w:ascii="Arial" w:cs="Arial" w:eastAsia="Arial" w:hAnsi="Arial"/>
          <w:sz w:val="18"/>
          <w:szCs w:val="18"/>
          <w:color w:val="auto"/>
        </w:rPr>
        <w:t xml:space="preserve"> </w:t>
      </w:r>
      <w:r>
        <w:rPr>
          <w:rFonts w:ascii="Arial" w:cs="Arial" w:eastAsia="Arial" w:hAnsi="Arial"/>
          <w:sz w:val="18"/>
          <w:szCs w:val="18"/>
          <w:color w:val="1A1A1A"/>
        </w:rPr>
        <w:t>l</w:t>
      </w:r>
      <w:r>
        <w:rPr>
          <w:rFonts w:ascii="Arial" w:cs="Arial" w:eastAsia="Arial" w:hAnsi="Arial"/>
          <w:sz w:val="18"/>
          <w:szCs w:val="18"/>
          <w:color w:val="3B3B3B"/>
        </w:rPr>
        <w:t>aws</w:t>
      </w:r>
      <w:r>
        <w:rPr>
          <w:rFonts w:ascii="Arial" w:cs="Arial" w:eastAsia="Arial" w:hAnsi="Arial"/>
          <w:sz w:val="18"/>
          <w:szCs w:val="18"/>
          <w:color w:val="auto"/>
        </w:rPr>
        <w:t xml:space="preserve"> </w:t>
      </w:r>
      <w:r>
        <w:rPr>
          <w:rFonts w:ascii="Arial" w:cs="Arial" w:eastAsia="Arial" w:hAnsi="Arial"/>
          <w:sz w:val="18"/>
          <w:szCs w:val="18"/>
          <w:color w:val="2A2A2A"/>
        </w:rPr>
        <w:t>[***]</w:t>
      </w:r>
      <w:r>
        <w:rPr>
          <w:rFonts w:ascii="Arial" w:cs="Arial" w:eastAsia="Arial" w:hAnsi="Arial"/>
          <w:sz w:val="18"/>
          <w:szCs w:val="18"/>
          <w:color w:val="3B3B3B"/>
        </w:rPr>
        <w:t>.</w:t>
      </w:r>
      <w:r>
        <w:rPr>
          <w:rFonts w:ascii="Arial" w:cs="Arial" w:eastAsia="Arial" w:hAnsi="Arial"/>
          <w:sz w:val="18"/>
          <w:szCs w:val="18"/>
          <w:color w:val="auto"/>
        </w:rPr>
        <w:t xml:space="preserve"> </w:t>
      </w:r>
      <w:r>
        <w:rPr>
          <w:rFonts w:ascii="Arial" w:cs="Arial" w:eastAsia="Arial" w:hAnsi="Arial"/>
          <w:sz w:val="18"/>
          <w:szCs w:val="18"/>
          <w:color w:val="2A2A2A"/>
        </w:rPr>
        <w:t>Any dispute</w:t>
      </w:r>
      <w:r>
        <w:rPr>
          <w:rFonts w:ascii="Arial" w:cs="Arial" w:eastAsia="Arial" w:hAnsi="Arial"/>
          <w:sz w:val="18"/>
          <w:szCs w:val="18"/>
          <w:color w:val="auto"/>
        </w:rPr>
        <w:t xml:space="preserve"> </w:t>
      </w:r>
      <w:r>
        <w:rPr>
          <w:rFonts w:ascii="Arial" w:cs="Arial" w:eastAsia="Arial" w:hAnsi="Arial"/>
          <w:sz w:val="18"/>
          <w:szCs w:val="18"/>
          <w:color w:val="3B3B3B"/>
        </w:rPr>
        <w:t>ar</w:t>
      </w:r>
      <w:r>
        <w:rPr>
          <w:rFonts w:ascii="Arial" w:cs="Arial" w:eastAsia="Arial" w:hAnsi="Arial"/>
          <w:sz w:val="18"/>
          <w:szCs w:val="18"/>
          <w:color w:val="1A1A1A"/>
        </w:rPr>
        <w:t>i</w:t>
      </w:r>
      <w:r>
        <w:rPr>
          <w:rFonts w:ascii="Arial" w:cs="Arial" w:eastAsia="Arial" w:hAnsi="Arial"/>
          <w:sz w:val="18"/>
          <w:szCs w:val="18"/>
          <w:color w:val="3B3B3B"/>
        </w:rPr>
        <w:t>si</w:t>
      </w:r>
      <w:r>
        <w:rPr>
          <w:rFonts w:ascii="Arial" w:cs="Arial" w:eastAsia="Arial" w:hAnsi="Arial"/>
          <w:sz w:val="18"/>
          <w:szCs w:val="18"/>
          <w:color w:val="1A1A1A"/>
        </w:rPr>
        <w:t>ng</w:t>
      </w:r>
      <w:r>
        <w:rPr>
          <w:rFonts w:ascii="Arial" w:cs="Arial" w:eastAsia="Arial" w:hAnsi="Arial"/>
          <w:sz w:val="18"/>
          <w:szCs w:val="18"/>
          <w:color w:val="auto"/>
        </w:rPr>
        <w:t xml:space="preserve"> </w:t>
      </w:r>
      <w:r>
        <w:rPr>
          <w:rFonts w:ascii="Arial" w:cs="Arial" w:eastAsia="Arial" w:hAnsi="Arial"/>
          <w:sz w:val="18"/>
          <w:szCs w:val="18"/>
          <w:color w:val="3B3B3B"/>
        </w:rPr>
        <w:t>o</w:t>
      </w:r>
      <w:r>
        <w:rPr>
          <w:rFonts w:ascii="Arial" w:cs="Arial" w:eastAsia="Arial" w:hAnsi="Arial"/>
          <w:sz w:val="18"/>
          <w:szCs w:val="18"/>
          <w:color w:val="1A1A1A"/>
        </w:rPr>
        <w:t>u</w:t>
      </w:r>
      <w:r>
        <w:rPr>
          <w:rFonts w:ascii="Arial" w:cs="Arial" w:eastAsia="Arial" w:hAnsi="Arial"/>
          <w:sz w:val="18"/>
          <w:szCs w:val="18"/>
          <w:color w:val="3B3B3B"/>
        </w:rPr>
        <w:t>t of</w:t>
      </w:r>
      <w:r>
        <w:rPr>
          <w:rFonts w:ascii="Arial" w:cs="Arial" w:eastAsia="Arial" w:hAnsi="Arial"/>
          <w:sz w:val="18"/>
          <w:szCs w:val="18"/>
          <w:color w:val="auto"/>
        </w:rPr>
        <w:t xml:space="preserve"> </w:t>
      </w:r>
      <w:r>
        <w:rPr>
          <w:rFonts w:ascii="Arial" w:cs="Arial" w:eastAsia="Arial" w:hAnsi="Arial"/>
          <w:sz w:val="18"/>
          <w:szCs w:val="18"/>
          <w:color w:val="3B3B3B"/>
        </w:rPr>
        <w:t>or in con</w:t>
      </w:r>
      <w:r>
        <w:rPr>
          <w:rFonts w:ascii="Arial" w:cs="Arial" w:eastAsia="Arial" w:hAnsi="Arial"/>
          <w:sz w:val="18"/>
          <w:szCs w:val="18"/>
          <w:color w:val="1A1A1A"/>
        </w:rPr>
        <w:t>ne</w:t>
      </w:r>
      <w:r>
        <w:rPr>
          <w:rFonts w:ascii="Arial" w:cs="Arial" w:eastAsia="Arial" w:hAnsi="Arial"/>
          <w:sz w:val="18"/>
          <w:szCs w:val="18"/>
          <w:color w:val="3B3B3B"/>
        </w:rPr>
        <w:t xml:space="preserve">ction </w:t>
      </w:r>
      <w:r>
        <w:rPr>
          <w:rFonts w:ascii="Arial" w:cs="Arial" w:eastAsia="Arial" w:hAnsi="Arial"/>
          <w:sz w:val="18"/>
          <w:szCs w:val="18"/>
          <w:color w:val="2A2A2A"/>
        </w:rPr>
        <w:t>with this Agreement</w:t>
      </w:r>
      <w:r>
        <w:rPr>
          <w:rFonts w:ascii="Arial" w:cs="Arial" w:eastAsia="Arial" w:hAnsi="Arial"/>
          <w:sz w:val="18"/>
          <w:szCs w:val="18"/>
          <w:color w:val="6E6E6E"/>
        </w:rPr>
        <w:t>,</w:t>
      </w:r>
      <w:r>
        <w:rPr>
          <w:rFonts w:ascii="Arial" w:cs="Arial" w:eastAsia="Arial" w:hAnsi="Arial"/>
          <w:sz w:val="18"/>
          <w:szCs w:val="18"/>
          <w:color w:val="3B3B3B"/>
        </w:rPr>
        <w:t xml:space="preserve"> </w:t>
      </w:r>
      <w:r>
        <w:rPr>
          <w:rFonts w:ascii="Arial" w:cs="Arial" w:eastAsia="Arial" w:hAnsi="Arial"/>
          <w:sz w:val="18"/>
          <w:szCs w:val="18"/>
          <w:color w:val="1A1A1A"/>
        </w:rPr>
        <w:t>in</w:t>
      </w:r>
      <w:r>
        <w:rPr>
          <w:rFonts w:ascii="Arial" w:cs="Arial" w:eastAsia="Arial" w:hAnsi="Arial"/>
          <w:sz w:val="18"/>
          <w:szCs w:val="18"/>
          <w:color w:val="3B3B3B"/>
        </w:rPr>
        <w:t>c</w:t>
      </w:r>
      <w:r>
        <w:rPr>
          <w:rFonts w:ascii="Arial" w:cs="Arial" w:eastAsia="Arial" w:hAnsi="Arial"/>
          <w:sz w:val="18"/>
          <w:szCs w:val="18"/>
          <w:color w:val="1A1A1A"/>
        </w:rPr>
        <w:t>ludin</w:t>
      </w:r>
      <w:r>
        <w:rPr>
          <w:rFonts w:ascii="Arial" w:cs="Arial" w:eastAsia="Arial" w:hAnsi="Arial"/>
          <w:sz w:val="18"/>
          <w:szCs w:val="18"/>
          <w:color w:val="3B3B3B"/>
        </w:rPr>
        <w:t xml:space="preserve">g any </w:t>
      </w:r>
      <w:r>
        <w:rPr>
          <w:rFonts w:ascii="Arial" w:cs="Arial" w:eastAsia="Arial" w:hAnsi="Arial"/>
          <w:sz w:val="18"/>
          <w:szCs w:val="18"/>
          <w:color w:val="2A2A2A"/>
        </w:rPr>
        <w:t>di</w:t>
      </w:r>
      <w:r>
        <w:rPr>
          <w:rFonts w:ascii="Arial" w:cs="Arial" w:eastAsia="Arial" w:hAnsi="Arial"/>
          <w:sz w:val="18"/>
          <w:szCs w:val="18"/>
          <w:color w:val="505050"/>
        </w:rPr>
        <w:t>sp</w:t>
      </w:r>
      <w:r>
        <w:rPr>
          <w:rFonts w:ascii="Arial" w:cs="Arial" w:eastAsia="Arial" w:hAnsi="Arial"/>
          <w:sz w:val="18"/>
          <w:szCs w:val="18"/>
          <w:color w:val="1A1A1A"/>
        </w:rPr>
        <w:t>ut</w:t>
      </w:r>
      <w:r>
        <w:rPr>
          <w:rFonts w:ascii="Arial" w:cs="Arial" w:eastAsia="Arial" w:hAnsi="Arial"/>
          <w:sz w:val="18"/>
          <w:szCs w:val="18"/>
          <w:color w:val="3B3B3B"/>
        </w:rPr>
        <w:t xml:space="preserve">es regarding </w:t>
      </w:r>
      <w:r>
        <w:rPr>
          <w:rFonts w:ascii="Arial" w:cs="Arial" w:eastAsia="Arial" w:hAnsi="Arial"/>
          <w:sz w:val="18"/>
          <w:szCs w:val="18"/>
          <w:color w:val="1A1A1A"/>
        </w:rPr>
        <w:t>th</w:t>
      </w:r>
      <w:r>
        <w:rPr>
          <w:rFonts w:ascii="Arial" w:cs="Arial" w:eastAsia="Arial" w:hAnsi="Arial"/>
          <w:sz w:val="18"/>
          <w:szCs w:val="18"/>
          <w:color w:val="3B3B3B"/>
        </w:rPr>
        <w:t>e ex</w:t>
      </w:r>
      <w:r>
        <w:rPr>
          <w:rFonts w:ascii="Arial" w:cs="Arial" w:eastAsia="Arial" w:hAnsi="Arial"/>
          <w:sz w:val="18"/>
          <w:szCs w:val="18"/>
          <w:color w:val="1A1A1A"/>
        </w:rPr>
        <w:t>i</w:t>
      </w:r>
      <w:r>
        <w:rPr>
          <w:rFonts w:ascii="Arial" w:cs="Arial" w:eastAsia="Arial" w:hAnsi="Arial"/>
          <w:sz w:val="18"/>
          <w:szCs w:val="18"/>
          <w:color w:val="3B3B3B"/>
        </w:rPr>
        <w:t>ste</w:t>
      </w:r>
      <w:r>
        <w:rPr>
          <w:rFonts w:ascii="Arial" w:cs="Arial" w:eastAsia="Arial" w:hAnsi="Arial"/>
          <w:sz w:val="18"/>
          <w:szCs w:val="18"/>
          <w:color w:val="1A1A1A"/>
        </w:rPr>
        <w:t>nc</w:t>
      </w:r>
      <w:r>
        <w:rPr>
          <w:rFonts w:ascii="Arial" w:cs="Arial" w:eastAsia="Arial" w:hAnsi="Arial"/>
          <w:sz w:val="18"/>
          <w:szCs w:val="18"/>
          <w:color w:val="505050"/>
        </w:rPr>
        <w:t>e</w:t>
      </w:r>
      <w:r>
        <w:rPr>
          <w:rFonts w:ascii="Arial" w:cs="Arial" w:eastAsia="Arial" w:hAnsi="Arial"/>
          <w:sz w:val="18"/>
          <w:szCs w:val="18"/>
          <w:color w:val="2A2A2A"/>
        </w:rPr>
        <w:t>,</w:t>
      </w:r>
      <w:r>
        <w:rPr>
          <w:rFonts w:ascii="Arial" w:cs="Arial" w:eastAsia="Arial" w:hAnsi="Arial"/>
          <w:sz w:val="18"/>
          <w:szCs w:val="18"/>
          <w:color w:val="3B3B3B"/>
        </w:rPr>
        <w:t xml:space="preserve"> validity or </w:t>
      </w:r>
      <w:r>
        <w:rPr>
          <w:rFonts w:ascii="Arial" w:cs="Arial" w:eastAsia="Arial" w:hAnsi="Arial"/>
          <w:sz w:val="18"/>
          <w:szCs w:val="18"/>
          <w:color w:val="2A2A2A"/>
        </w:rPr>
        <w:t>termination</w:t>
      </w:r>
      <w:r>
        <w:rPr>
          <w:rFonts w:ascii="Arial" w:cs="Arial" w:eastAsia="Arial" w:hAnsi="Arial"/>
          <w:sz w:val="18"/>
          <w:szCs w:val="18"/>
          <w:color w:val="3B3B3B"/>
        </w:rPr>
        <w:t xml:space="preserve"> thereof, </w:t>
      </w:r>
      <w:r>
        <w:rPr>
          <w:rFonts w:ascii="Arial" w:cs="Arial" w:eastAsia="Arial" w:hAnsi="Arial"/>
          <w:sz w:val="18"/>
          <w:szCs w:val="18"/>
          <w:color w:val="505050"/>
        </w:rPr>
        <w:t>s</w:t>
      </w:r>
      <w:r>
        <w:rPr>
          <w:rFonts w:ascii="Arial" w:cs="Arial" w:eastAsia="Arial" w:hAnsi="Arial"/>
          <w:sz w:val="18"/>
          <w:szCs w:val="18"/>
          <w:color w:val="2A2A2A"/>
        </w:rPr>
        <w:t>hall be</w:t>
      </w:r>
      <w:r>
        <w:rPr>
          <w:rFonts w:ascii="Arial" w:cs="Arial" w:eastAsia="Arial" w:hAnsi="Arial"/>
          <w:sz w:val="18"/>
          <w:szCs w:val="18"/>
          <w:color w:val="3B3B3B"/>
        </w:rPr>
        <w:t xml:space="preserve"> </w:t>
      </w:r>
      <w:r>
        <w:rPr>
          <w:rFonts w:ascii="Arial" w:cs="Arial" w:eastAsia="Arial" w:hAnsi="Arial"/>
          <w:sz w:val="18"/>
          <w:szCs w:val="18"/>
          <w:color w:val="505050"/>
        </w:rPr>
        <w:t>s</w:t>
      </w:r>
      <w:r>
        <w:rPr>
          <w:rFonts w:ascii="Arial" w:cs="Arial" w:eastAsia="Arial" w:hAnsi="Arial"/>
          <w:sz w:val="18"/>
          <w:szCs w:val="18"/>
          <w:color w:val="2A2A2A"/>
        </w:rPr>
        <w:t>ettled by</w:t>
      </w:r>
      <w:r>
        <w:rPr>
          <w:rFonts w:ascii="Arial" w:cs="Arial" w:eastAsia="Arial" w:hAnsi="Arial"/>
          <w:sz w:val="18"/>
          <w:szCs w:val="18"/>
          <w:color w:val="3B3B3B"/>
        </w:rPr>
        <w:t xml:space="preserve"> arb</w:t>
      </w:r>
      <w:r>
        <w:rPr>
          <w:rFonts w:ascii="Arial" w:cs="Arial" w:eastAsia="Arial" w:hAnsi="Arial"/>
          <w:sz w:val="18"/>
          <w:szCs w:val="18"/>
          <w:color w:val="1A1A1A"/>
        </w:rPr>
        <w:t>it</w:t>
      </w:r>
      <w:r>
        <w:rPr>
          <w:rFonts w:ascii="Arial" w:cs="Arial" w:eastAsia="Arial" w:hAnsi="Arial"/>
          <w:sz w:val="18"/>
          <w:szCs w:val="18"/>
          <w:color w:val="3B3B3B"/>
        </w:rPr>
        <w:t>ratio</w:t>
      </w:r>
      <w:r>
        <w:rPr>
          <w:rFonts w:ascii="Arial" w:cs="Arial" w:eastAsia="Arial" w:hAnsi="Arial"/>
          <w:sz w:val="18"/>
          <w:szCs w:val="18"/>
          <w:color w:val="1A1A1A"/>
        </w:rPr>
        <w:t>n</w:t>
      </w:r>
      <w:r>
        <w:rPr>
          <w:rFonts w:ascii="Arial" w:cs="Arial" w:eastAsia="Arial" w:hAnsi="Arial"/>
          <w:sz w:val="18"/>
          <w:szCs w:val="18"/>
          <w:color w:val="3B3B3B"/>
        </w:rPr>
        <w:t xml:space="preserve"> arranged </w:t>
      </w:r>
      <w:r>
        <w:rPr>
          <w:rFonts w:ascii="Arial" w:cs="Arial" w:eastAsia="Arial" w:hAnsi="Arial"/>
          <w:sz w:val="18"/>
          <w:szCs w:val="18"/>
          <w:color w:val="2A2A2A"/>
        </w:rPr>
        <w:t>by</w:t>
      </w:r>
      <w:r>
        <w:rPr>
          <w:rFonts w:ascii="Arial" w:cs="Arial" w:eastAsia="Arial" w:hAnsi="Arial"/>
          <w:sz w:val="18"/>
          <w:szCs w:val="18"/>
          <w:color w:val="3B3B3B"/>
        </w:rPr>
        <w:t xml:space="preserve"> [***] </w:t>
      </w:r>
      <w:r>
        <w:rPr>
          <w:rFonts w:ascii="Arial" w:cs="Arial" w:eastAsia="Arial" w:hAnsi="Arial"/>
          <w:sz w:val="18"/>
          <w:szCs w:val="18"/>
          <w:color w:val="1A1A1A"/>
        </w:rPr>
        <w:t>in</w:t>
      </w:r>
      <w:r>
        <w:rPr>
          <w:rFonts w:ascii="Arial" w:cs="Arial" w:eastAsia="Arial" w:hAnsi="Arial"/>
          <w:sz w:val="18"/>
          <w:szCs w:val="18"/>
          <w:color w:val="3B3B3B"/>
        </w:rPr>
        <w:t xml:space="preserve"> acco</w:t>
      </w:r>
      <w:r>
        <w:rPr>
          <w:rFonts w:ascii="Arial" w:cs="Arial" w:eastAsia="Arial" w:hAnsi="Arial"/>
          <w:sz w:val="18"/>
          <w:szCs w:val="18"/>
          <w:color w:val="1A1A1A"/>
        </w:rPr>
        <w:t>rd</w:t>
      </w:r>
      <w:r>
        <w:rPr>
          <w:rFonts w:ascii="Arial" w:cs="Arial" w:eastAsia="Arial" w:hAnsi="Arial"/>
          <w:sz w:val="18"/>
          <w:szCs w:val="18"/>
          <w:color w:val="3B3B3B"/>
        </w:rPr>
        <w:t>a</w:t>
      </w:r>
      <w:r>
        <w:rPr>
          <w:rFonts w:ascii="Arial" w:cs="Arial" w:eastAsia="Arial" w:hAnsi="Arial"/>
          <w:sz w:val="18"/>
          <w:szCs w:val="18"/>
          <w:color w:val="1A1A1A"/>
        </w:rPr>
        <w:t>nc</w:t>
      </w:r>
      <w:r>
        <w:rPr>
          <w:rFonts w:ascii="Arial" w:cs="Arial" w:eastAsia="Arial" w:hAnsi="Arial"/>
          <w:sz w:val="18"/>
          <w:szCs w:val="18"/>
          <w:color w:val="3B3B3B"/>
        </w:rPr>
        <w:t xml:space="preserve">e with </w:t>
      </w:r>
      <w:r>
        <w:rPr>
          <w:rFonts w:ascii="Arial" w:cs="Arial" w:eastAsia="Arial" w:hAnsi="Arial"/>
          <w:sz w:val="18"/>
          <w:szCs w:val="18"/>
          <w:color w:val="1A1A1A"/>
        </w:rPr>
        <w:t>th</w:t>
      </w:r>
      <w:r>
        <w:rPr>
          <w:rFonts w:ascii="Arial" w:cs="Arial" w:eastAsia="Arial" w:hAnsi="Arial"/>
          <w:sz w:val="18"/>
          <w:szCs w:val="18"/>
          <w:color w:val="3B3B3B"/>
        </w:rPr>
        <w:t xml:space="preserve">e </w:t>
      </w:r>
      <w:r>
        <w:rPr>
          <w:rFonts w:ascii="Arial" w:cs="Arial" w:eastAsia="Arial" w:hAnsi="Arial"/>
          <w:sz w:val="18"/>
          <w:szCs w:val="18"/>
          <w:color w:val="1A1A1A"/>
        </w:rPr>
        <w:t>rul</w:t>
      </w:r>
      <w:r>
        <w:rPr>
          <w:rFonts w:ascii="Arial" w:cs="Arial" w:eastAsia="Arial" w:hAnsi="Arial"/>
          <w:sz w:val="18"/>
          <w:szCs w:val="18"/>
          <w:color w:val="505050"/>
        </w:rPr>
        <w:t>es</w:t>
      </w:r>
      <w:r>
        <w:rPr>
          <w:rFonts w:ascii="Arial" w:cs="Arial" w:eastAsia="Arial" w:hAnsi="Arial"/>
          <w:sz w:val="18"/>
          <w:szCs w:val="18"/>
          <w:color w:val="3B3B3B"/>
        </w:rPr>
        <w:t xml:space="preserve"> of arb</w:t>
      </w:r>
      <w:r>
        <w:rPr>
          <w:rFonts w:ascii="Arial" w:cs="Arial" w:eastAsia="Arial" w:hAnsi="Arial"/>
          <w:sz w:val="18"/>
          <w:szCs w:val="18"/>
          <w:color w:val="1A1A1A"/>
        </w:rPr>
        <w:t>it</w:t>
      </w:r>
      <w:r>
        <w:rPr>
          <w:rFonts w:ascii="Arial" w:cs="Arial" w:eastAsia="Arial" w:hAnsi="Arial"/>
          <w:sz w:val="18"/>
          <w:szCs w:val="18"/>
          <w:color w:val="3B3B3B"/>
        </w:rPr>
        <w:t>ratio</w:t>
      </w:r>
      <w:r>
        <w:rPr>
          <w:rFonts w:ascii="Arial" w:cs="Arial" w:eastAsia="Arial" w:hAnsi="Arial"/>
          <w:sz w:val="18"/>
          <w:szCs w:val="18"/>
          <w:color w:val="1A1A1A"/>
        </w:rPr>
        <w:t>n</w:t>
      </w:r>
      <w:r>
        <w:rPr>
          <w:rFonts w:ascii="Arial" w:cs="Arial" w:eastAsia="Arial" w:hAnsi="Arial"/>
          <w:sz w:val="18"/>
          <w:szCs w:val="18"/>
          <w:color w:val="3B3B3B"/>
        </w:rPr>
        <w:t xml:space="preserve"> </w:t>
      </w:r>
      <w:r>
        <w:rPr>
          <w:rFonts w:ascii="Arial" w:cs="Arial" w:eastAsia="Arial" w:hAnsi="Arial"/>
          <w:sz w:val="18"/>
          <w:szCs w:val="18"/>
          <w:color w:val="2A2A2A"/>
        </w:rPr>
        <w:t>procedure adopted by [***]</w:t>
      </w:r>
      <w:r>
        <w:rPr>
          <w:rFonts w:ascii="Arial" w:cs="Arial" w:eastAsia="Arial" w:hAnsi="Arial"/>
          <w:sz w:val="18"/>
          <w:szCs w:val="18"/>
          <w:color w:val="3B3B3B"/>
        </w:rPr>
        <w:t xml:space="preserve"> an</w:t>
      </w:r>
      <w:r>
        <w:rPr>
          <w:rFonts w:ascii="Arial" w:cs="Arial" w:eastAsia="Arial" w:hAnsi="Arial"/>
          <w:sz w:val="18"/>
          <w:szCs w:val="18"/>
          <w:color w:val="1A1A1A"/>
        </w:rPr>
        <w:t>d in</w:t>
      </w:r>
      <w:r>
        <w:rPr>
          <w:rFonts w:ascii="Arial" w:cs="Arial" w:eastAsia="Arial" w:hAnsi="Arial"/>
          <w:sz w:val="18"/>
          <w:szCs w:val="18"/>
          <w:color w:val="3B3B3B"/>
        </w:rPr>
        <w:t xml:space="preserve"> </w:t>
      </w:r>
      <w:r>
        <w:rPr>
          <w:rFonts w:ascii="Arial" w:cs="Arial" w:eastAsia="Arial" w:hAnsi="Arial"/>
          <w:sz w:val="18"/>
          <w:szCs w:val="18"/>
          <w:color w:val="2A2A2A"/>
        </w:rPr>
        <w:t>force</w:t>
      </w:r>
      <w:r>
        <w:rPr>
          <w:rFonts w:ascii="Arial" w:cs="Arial" w:eastAsia="Arial" w:hAnsi="Arial"/>
          <w:sz w:val="18"/>
          <w:szCs w:val="18"/>
          <w:color w:val="3B3B3B"/>
        </w:rPr>
        <w:t xml:space="preserve"> at </w:t>
      </w:r>
      <w:r>
        <w:rPr>
          <w:rFonts w:ascii="Arial" w:cs="Arial" w:eastAsia="Arial" w:hAnsi="Arial"/>
          <w:sz w:val="18"/>
          <w:szCs w:val="18"/>
          <w:color w:val="2A2A2A"/>
        </w:rPr>
        <w:t>the</w:t>
      </w:r>
      <w:r>
        <w:rPr>
          <w:rFonts w:ascii="Arial" w:cs="Arial" w:eastAsia="Arial" w:hAnsi="Arial"/>
          <w:sz w:val="18"/>
          <w:szCs w:val="18"/>
          <w:color w:val="3B3B3B"/>
        </w:rPr>
        <w:t xml:space="preserve"> </w:t>
      </w:r>
      <w:r>
        <w:rPr>
          <w:rFonts w:ascii="Arial" w:cs="Arial" w:eastAsia="Arial" w:hAnsi="Arial"/>
          <w:sz w:val="18"/>
          <w:szCs w:val="18"/>
          <w:color w:val="1A1A1A"/>
        </w:rPr>
        <w:t>ti</w:t>
      </w:r>
      <w:r>
        <w:rPr>
          <w:rFonts w:ascii="Arial" w:cs="Arial" w:eastAsia="Arial" w:hAnsi="Arial"/>
          <w:sz w:val="18"/>
          <w:szCs w:val="18"/>
          <w:color w:val="3B3B3B"/>
        </w:rPr>
        <w:t xml:space="preserve">me </w:t>
      </w:r>
      <w:r>
        <w:rPr>
          <w:rFonts w:ascii="Arial" w:cs="Arial" w:eastAsia="Arial" w:hAnsi="Arial"/>
          <w:sz w:val="18"/>
          <w:szCs w:val="18"/>
          <w:color w:val="2A2A2A"/>
        </w:rPr>
        <w:t>when</w:t>
      </w:r>
      <w:r>
        <w:rPr>
          <w:rFonts w:ascii="Arial" w:cs="Arial" w:eastAsia="Arial" w:hAnsi="Arial"/>
          <w:sz w:val="18"/>
          <w:szCs w:val="18"/>
          <w:color w:val="3B3B3B"/>
        </w:rPr>
        <w:t xml:space="preserve"> such proceedi</w:t>
      </w:r>
      <w:r>
        <w:rPr>
          <w:rFonts w:ascii="Arial" w:cs="Arial" w:eastAsia="Arial" w:hAnsi="Arial"/>
          <w:sz w:val="18"/>
          <w:szCs w:val="18"/>
          <w:color w:val="1A1A1A"/>
        </w:rPr>
        <w:t>n</w:t>
      </w:r>
      <w:r>
        <w:rPr>
          <w:rFonts w:ascii="Arial" w:cs="Arial" w:eastAsia="Arial" w:hAnsi="Arial"/>
          <w:sz w:val="18"/>
          <w:szCs w:val="18"/>
          <w:color w:val="505050"/>
        </w:rPr>
        <w:t>gs</w:t>
      </w:r>
      <w:r>
        <w:rPr>
          <w:rFonts w:ascii="Arial" w:cs="Arial" w:eastAsia="Arial" w:hAnsi="Arial"/>
          <w:sz w:val="18"/>
          <w:szCs w:val="18"/>
          <w:color w:val="3B3B3B"/>
        </w:rPr>
        <w:t xml:space="preserve"> are </w:t>
      </w:r>
      <w:r>
        <w:rPr>
          <w:rFonts w:ascii="Arial" w:cs="Arial" w:eastAsia="Arial" w:hAnsi="Arial"/>
          <w:sz w:val="18"/>
          <w:szCs w:val="18"/>
          <w:color w:val="2A2A2A"/>
        </w:rPr>
        <w:t>commenced.</w:t>
      </w:r>
    </w:p>
    <w:p>
      <w:pPr>
        <w:spacing w:after="0" w:line="199" w:lineRule="exact"/>
        <w:rPr>
          <w:sz w:val="20"/>
          <w:szCs w:val="20"/>
          <w:color w:val="auto"/>
        </w:rPr>
      </w:pPr>
    </w:p>
    <w:p>
      <w:pPr>
        <w:ind w:left="320" w:right="160" w:hanging="323"/>
        <w:spacing w:after="0" w:line="250" w:lineRule="auto"/>
        <w:rPr>
          <w:sz w:val="20"/>
          <w:szCs w:val="20"/>
          <w:color w:val="auto"/>
        </w:rPr>
      </w:pPr>
      <w:r>
        <w:rPr>
          <w:rFonts w:ascii="Arial" w:cs="Arial" w:eastAsia="Arial" w:hAnsi="Arial"/>
          <w:sz w:val="18"/>
          <w:szCs w:val="18"/>
          <w:color w:val="auto"/>
        </w:rPr>
        <w:t>11.8</w:t>
      </w:r>
      <w:r>
        <w:rPr>
          <w:rFonts w:ascii="Arial" w:cs="Arial" w:eastAsia="Arial" w:hAnsi="Arial"/>
          <w:sz w:val="18"/>
          <w:szCs w:val="18"/>
          <w:b w:val="1"/>
          <w:bCs w:val="1"/>
          <w:color w:val="1A1A1A"/>
        </w:rPr>
        <w:t>Amendment</w:t>
      </w:r>
      <w:r>
        <w:rPr>
          <w:rFonts w:ascii="Arial" w:cs="Arial" w:eastAsia="Arial" w:hAnsi="Arial"/>
          <w:sz w:val="18"/>
          <w:szCs w:val="18"/>
          <w:b w:val="1"/>
          <w:bCs w:val="1"/>
          <w:color w:val="3B3B3B"/>
        </w:rPr>
        <w:t>.</w:t>
      </w:r>
      <w:r>
        <w:rPr>
          <w:rFonts w:ascii="Arial" w:cs="Arial" w:eastAsia="Arial" w:hAnsi="Arial"/>
          <w:sz w:val="18"/>
          <w:szCs w:val="18"/>
          <w:color w:val="auto"/>
        </w:rPr>
        <w:t xml:space="preserve"> </w:t>
      </w:r>
      <w:r>
        <w:rPr>
          <w:rFonts w:ascii="Arial" w:cs="Arial" w:eastAsia="Arial" w:hAnsi="Arial"/>
          <w:sz w:val="18"/>
          <w:szCs w:val="18"/>
          <w:color w:val="3B3B3B"/>
        </w:rPr>
        <w:t>T</w:t>
      </w:r>
      <w:r>
        <w:rPr>
          <w:rFonts w:ascii="Arial" w:cs="Arial" w:eastAsia="Arial" w:hAnsi="Arial"/>
          <w:sz w:val="18"/>
          <w:szCs w:val="18"/>
          <w:color w:val="1A1A1A"/>
        </w:rPr>
        <w:t>hi</w:t>
      </w:r>
      <w:r>
        <w:rPr>
          <w:rFonts w:ascii="Arial" w:cs="Arial" w:eastAsia="Arial" w:hAnsi="Arial"/>
          <w:sz w:val="18"/>
          <w:szCs w:val="18"/>
          <w:color w:val="505050"/>
        </w:rPr>
        <w:t>s</w:t>
      </w:r>
      <w:r>
        <w:rPr>
          <w:rFonts w:ascii="Arial" w:cs="Arial" w:eastAsia="Arial" w:hAnsi="Arial"/>
          <w:sz w:val="18"/>
          <w:szCs w:val="18"/>
          <w:color w:val="auto"/>
        </w:rPr>
        <w:t xml:space="preserve"> </w:t>
      </w:r>
      <w:r>
        <w:rPr>
          <w:rFonts w:ascii="Arial" w:cs="Arial" w:eastAsia="Arial" w:hAnsi="Arial"/>
          <w:sz w:val="18"/>
          <w:szCs w:val="18"/>
          <w:color w:val="2A2A2A"/>
        </w:rPr>
        <w:t>Agreement may be am</w:t>
      </w:r>
      <w:r>
        <w:rPr>
          <w:rFonts w:ascii="Arial" w:cs="Arial" w:eastAsia="Arial" w:hAnsi="Arial"/>
          <w:sz w:val="18"/>
          <w:szCs w:val="18"/>
          <w:color w:val="505050"/>
        </w:rPr>
        <w:t>e</w:t>
      </w:r>
      <w:r>
        <w:rPr>
          <w:rFonts w:ascii="Arial" w:cs="Arial" w:eastAsia="Arial" w:hAnsi="Arial"/>
          <w:sz w:val="18"/>
          <w:szCs w:val="18"/>
          <w:color w:val="2A2A2A"/>
        </w:rPr>
        <w:t>nded</w:t>
      </w:r>
      <w:r>
        <w:rPr>
          <w:rFonts w:ascii="Arial" w:cs="Arial" w:eastAsia="Arial" w:hAnsi="Arial"/>
          <w:sz w:val="18"/>
          <w:szCs w:val="18"/>
          <w:color w:val="auto"/>
        </w:rPr>
        <w:t xml:space="preserve"> </w:t>
      </w:r>
      <w:r>
        <w:rPr>
          <w:rFonts w:ascii="Arial" w:cs="Arial" w:eastAsia="Arial" w:hAnsi="Arial"/>
          <w:sz w:val="18"/>
          <w:szCs w:val="18"/>
          <w:color w:val="3B3B3B"/>
        </w:rPr>
        <w:t>o</w:t>
      </w:r>
      <w:r>
        <w:rPr>
          <w:rFonts w:ascii="Arial" w:cs="Arial" w:eastAsia="Arial" w:hAnsi="Arial"/>
          <w:sz w:val="18"/>
          <w:szCs w:val="18"/>
          <w:color w:val="1A1A1A"/>
        </w:rPr>
        <w:t>n</w:t>
      </w:r>
      <w:r>
        <w:rPr>
          <w:rFonts w:ascii="Arial" w:cs="Arial" w:eastAsia="Arial" w:hAnsi="Arial"/>
          <w:sz w:val="18"/>
          <w:szCs w:val="18"/>
          <w:color w:val="3B3B3B"/>
        </w:rPr>
        <w:t>ly</w:t>
      </w:r>
      <w:r>
        <w:rPr>
          <w:rFonts w:ascii="Arial" w:cs="Arial" w:eastAsia="Arial" w:hAnsi="Arial"/>
          <w:sz w:val="18"/>
          <w:szCs w:val="18"/>
          <w:color w:val="auto"/>
        </w:rPr>
        <w:t xml:space="preserve"> </w:t>
      </w:r>
      <w:r>
        <w:rPr>
          <w:rFonts w:ascii="Arial" w:cs="Arial" w:eastAsia="Arial" w:hAnsi="Arial"/>
          <w:sz w:val="18"/>
          <w:szCs w:val="18"/>
          <w:color w:val="2A2A2A"/>
        </w:rPr>
        <w:t>in writing,</w:t>
      </w:r>
      <w:r>
        <w:rPr>
          <w:rFonts w:ascii="Arial" w:cs="Arial" w:eastAsia="Arial" w:hAnsi="Arial"/>
          <w:sz w:val="18"/>
          <w:szCs w:val="18"/>
          <w:color w:val="auto"/>
        </w:rPr>
        <w:t xml:space="preserve"> </w:t>
      </w:r>
      <w:r>
        <w:rPr>
          <w:rFonts w:ascii="Arial" w:cs="Arial" w:eastAsia="Arial" w:hAnsi="Arial"/>
          <w:sz w:val="18"/>
          <w:szCs w:val="18"/>
          <w:color w:val="3B3B3B"/>
        </w:rPr>
        <w:t>s</w:t>
      </w:r>
      <w:r>
        <w:rPr>
          <w:rFonts w:ascii="Arial" w:cs="Arial" w:eastAsia="Arial" w:hAnsi="Arial"/>
          <w:sz w:val="18"/>
          <w:szCs w:val="18"/>
          <w:color w:val="1A1A1A"/>
        </w:rPr>
        <w:t>i</w:t>
      </w:r>
      <w:r>
        <w:rPr>
          <w:rFonts w:ascii="Arial" w:cs="Arial" w:eastAsia="Arial" w:hAnsi="Arial"/>
          <w:sz w:val="18"/>
          <w:szCs w:val="18"/>
          <w:color w:val="505050"/>
        </w:rPr>
        <w:t>g</w:t>
      </w:r>
      <w:r>
        <w:rPr>
          <w:rFonts w:ascii="Arial" w:cs="Arial" w:eastAsia="Arial" w:hAnsi="Arial"/>
          <w:sz w:val="18"/>
          <w:szCs w:val="18"/>
          <w:color w:val="1A1A1A"/>
        </w:rPr>
        <w:t>n</w:t>
      </w:r>
      <w:r>
        <w:rPr>
          <w:rFonts w:ascii="Arial" w:cs="Arial" w:eastAsia="Arial" w:hAnsi="Arial"/>
          <w:sz w:val="18"/>
          <w:szCs w:val="18"/>
          <w:color w:val="3B3B3B"/>
        </w:rPr>
        <w:t>ed</w:t>
      </w:r>
      <w:r>
        <w:rPr>
          <w:rFonts w:ascii="Arial" w:cs="Arial" w:eastAsia="Arial" w:hAnsi="Arial"/>
          <w:sz w:val="18"/>
          <w:szCs w:val="18"/>
          <w:color w:val="auto"/>
        </w:rPr>
        <w:t xml:space="preserve"> </w:t>
      </w:r>
      <w:r>
        <w:rPr>
          <w:rFonts w:ascii="Arial" w:cs="Arial" w:eastAsia="Arial" w:hAnsi="Arial"/>
          <w:sz w:val="18"/>
          <w:szCs w:val="18"/>
          <w:color w:val="2A2A2A"/>
        </w:rPr>
        <w:t>by both</w:t>
      </w:r>
      <w:r>
        <w:rPr>
          <w:rFonts w:ascii="Arial" w:cs="Arial" w:eastAsia="Arial" w:hAnsi="Arial"/>
          <w:sz w:val="18"/>
          <w:szCs w:val="18"/>
          <w:color w:val="auto"/>
        </w:rPr>
        <w:t xml:space="preserve"> </w:t>
      </w:r>
      <w:r>
        <w:rPr>
          <w:rFonts w:ascii="Arial" w:cs="Arial" w:eastAsia="Arial" w:hAnsi="Arial"/>
          <w:sz w:val="18"/>
          <w:szCs w:val="18"/>
          <w:color w:val="3B3B3B"/>
        </w:rPr>
        <w:t>Pa</w:t>
      </w:r>
      <w:r>
        <w:rPr>
          <w:rFonts w:ascii="Arial" w:cs="Arial" w:eastAsia="Arial" w:hAnsi="Arial"/>
          <w:sz w:val="18"/>
          <w:szCs w:val="18"/>
          <w:color w:val="1A1A1A"/>
        </w:rPr>
        <w:t>rti</w:t>
      </w:r>
      <w:r>
        <w:rPr>
          <w:rFonts w:ascii="Arial" w:cs="Arial" w:eastAsia="Arial" w:hAnsi="Arial"/>
          <w:sz w:val="18"/>
          <w:szCs w:val="18"/>
          <w:color w:val="3B3B3B"/>
        </w:rPr>
        <w:t>es.</w:t>
      </w:r>
      <w:r>
        <w:rPr>
          <w:rFonts w:ascii="Arial" w:cs="Arial" w:eastAsia="Arial" w:hAnsi="Arial"/>
          <w:sz w:val="18"/>
          <w:szCs w:val="18"/>
          <w:color w:val="auto"/>
        </w:rPr>
        <w:t xml:space="preserve"> </w:t>
      </w:r>
      <w:r>
        <w:rPr>
          <w:rFonts w:ascii="Arial" w:cs="Arial" w:eastAsia="Arial" w:hAnsi="Arial"/>
          <w:sz w:val="18"/>
          <w:szCs w:val="18"/>
          <w:color w:val="2A2A2A"/>
        </w:rPr>
        <w:t>Any</w:t>
      </w:r>
      <w:r>
        <w:rPr>
          <w:rFonts w:ascii="Arial" w:cs="Arial" w:eastAsia="Arial" w:hAnsi="Arial"/>
          <w:sz w:val="18"/>
          <w:szCs w:val="18"/>
          <w:color w:val="auto"/>
        </w:rPr>
        <w:t xml:space="preserve"> </w:t>
      </w:r>
      <w:r>
        <w:rPr>
          <w:rFonts w:ascii="Arial" w:cs="Arial" w:eastAsia="Arial" w:hAnsi="Arial"/>
          <w:sz w:val="18"/>
          <w:szCs w:val="18"/>
          <w:color w:val="3B3B3B"/>
        </w:rPr>
        <w:t>pur</w:t>
      </w:r>
      <w:r>
        <w:rPr>
          <w:rFonts w:ascii="Arial" w:cs="Arial" w:eastAsia="Arial" w:hAnsi="Arial"/>
          <w:sz w:val="18"/>
          <w:szCs w:val="18"/>
          <w:color w:val="1A1A1A"/>
        </w:rPr>
        <w:t>ported</w:t>
      </w:r>
      <w:r>
        <w:rPr>
          <w:rFonts w:ascii="Arial" w:cs="Arial" w:eastAsia="Arial" w:hAnsi="Arial"/>
          <w:sz w:val="18"/>
          <w:szCs w:val="18"/>
          <w:color w:val="auto"/>
        </w:rPr>
        <w:t xml:space="preserve"> </w:t>
      </w:r>
      <w:r>
        <w:rPr>
          <w:rFonts w:ascii="Arial" w:cs="Arial" w:eastAsia="Arial" w:hAnsi="Arial"/>
          <w:sz w:val="18"/>
          <w:szCs w:val="18"/>
          <w:color w:val="2A2A2A"/>
        </w:rPr>
        <w:t>oral</w:t>
      </w:r>
      <w:r>
        <w:rPr>
          <w:rFonts w:ascii="Arial" w:cs="Arial" w:eastAsia="Arial" w:hAnsi="Arial"/>
          <w:sz w:val="18"/>
          <w:szCs w:val="18"/>
          <w:color w:val="auto"/>
        </w:rPr>
        <w:t xml:space="preserve"> </w:t>
      </w:r>
      <w:r>
        <w:rPr>
          <w:rFonts w:ascii="Arial" w:cs="Arial" w:eastAsia="Arial" w:hAnsi="Arial"/>
          <w:sz w:val="18"/>
          <w:szCs w:val="18"/>
          <w:color w:val="1A1A1A"/>
        </w:rPr>
        <w:t>modification</w:t>
      </w:r>
      <w:r>
        <w:rPr>
          <w:rFonts w:ascii="Arial" w:cs="Arial" w:eastAsia="Arial" w:hAnsi="Arial"/>
          <w:sz w:val="18"/>
          <w:szCs w:val="18"/>
          <w:color w:val="auto"/>
        </w:rPr>
        <w:t xml:space="preserve"> </w:t>
      </w:r>
      <w:r>
        <w:rPr>
          <w:rFonts w:ascii="Arial" w:cs="Arial" w:eastAsia="Arial" w:hAnsi="Arial"/>
          <w:sz w:val="18"/>
          <w:szCs w:val="18"/>
          <w:color w:val="2A2A2A"/>
        </w:rPr>
        <w:t>hereof</w:t>
      </w:r>
      <w:r>
        <w:rPr>
          <w:rFonts w:ascii="Arial" w:cs="Arial" w:eastAsia="Arial" w:hAnsi="Arial"/>
          <w:sz w:val="18"/>
          <w:szCs w:val="18"/>
          <w:color w:val="auto"/>
        </w:rPr>
        <w:t xml:space="preserve"> </w:t>
      </w:r>
      <w:r>
        <w:rPr>
          <w:rFonts w:ascii="Arial" w:cs="Arial" w:eastAsia="Arial" w:hAnsi="Arial"/>
          <w:sz w:val="18"/>
          <w:szCs w:val="18"/>
          <w:color w:val="3B3B3B"/>
        </w:rPr>
        <w:t>sha</w:t>
      </w:r>
      <w:r>
        <w:rPr>
          <w:rFonts w:ascii="Arial" w:cs="Arial" w:eastAsia="Arial" w:hAnsi="Arial"/>
          <w:sz w:val="18"/>
          <w:szCs w:val="18"/>
          <w:color w:val="1A1A1A"/>
        </w:rPr>
        <w:t>ll</w:t>
      </w:r>
      <w:r>
        <w:rPr>
          <w:rFonts w:ascii="Arial" w:cs="Arial" w:eastAsia="Arial" w:hAnsi="Arial"/>
          <w:sz w:val="18"/>
          <w:szCs w:val="18"/>
          <w:color w:val="auto"/>
        </w:rPr>
        <w:t xml:space="preserve"> </w:t>
      </w:r>
      <w:r>
        <w:rPr>
          <w:rFonts w:ascii="Arial" w:cs="Arial" w:eastAsia="Arial" w:hAnsi="Arial"/>
          <w:sz w:val="18"/>
          <w:szCs w:val="18"/>
          <w:color w:val="2A2A2A"/>
        </w:rPr>
        <w:t>be</w:t>
      </w:r>
      <w:r>
        <w:rPr>
          <w:rFonts w:ascii="Arial" w:cs="Arial" w:eastAsia="Arial" w:hAnsi="Arial"/>
          <w:sz w:val="18"/>
          <w:szCs w:val="18"/>
          <w:color w:val="auto"/>
        </w:rPr>
        <w:t xml:space="preserve"> </w:t>
      </w:r>
      <w:r>
        <w:rPr>
          <w:rFonts w:ascii="Arial" w:cs="Arial" w:eastAsia="Arial" w:hAnsi="Arial"/>
          <w:sz w:val="18"/>
          <w:szCs w:val="18"/>
          <w:color w:val="3B3B3B"/>
        </w:rPr>
        <w:t>vo</w:t>
      </w:r>
      <w:r>
        <w:rPr>
          <w:rFonts w:ascii="Arial" w:cs="Arial" w:eastAsia="Arial" w:hAnsi="Arial"/>
          <w:sz w:val="18"/>
          <w:szCs w:val="18"/>
          <w:color w:val="1A1A1A"/>
        </w:rPr>
        <w:t>id.</w:t>
      </w:r>
    </w:p>
    <w:p>
      <w:pPr>
        <w:spacing w:after="0" w:line="190" w:lineRule="exact"/>
        <w:rPr>
          <w:sz w:val="20"/>
          <w:szCs w:val="20"/>
          <w:color w:val="auto"/>
        </w:rPr>
      </w:pPr>
    </w:p>
    <w:p>
      <w:pPr>
        <w:ind w:left="320" w:right="80" w:hanging="323"/>
        <w:spacing w:after="0" w:line="250" w:lineRule="auto"/>
        <w:rPr>
          <w:sz w:val="20"/>
          <w:szCs w:val="20"/>
          <w:color w:val="auto"/>
        </w:rPr>
      </w:pPr>
      <w:r>
        <w:rPr>
          <w:rFonts w:ascii="Arial" w:cs="Arial" w:eastAsia="Arial" w:hAnsi="Arial"/>
          <w:sz w:val="18"/>
          <w:szCs w:val="18"/>
          <w:color w:val="auto"/>
        </w:rPr>
        <w:t>11.9</w:t>
      </w:r>
      <w:r>
        <w:rPr>
          <w:rFonts w:ascii="Arial" w:cs="Arial" w:eastAsia="Arial" w:hAnsi="Arial"/>
          <w:sz w:val="18"/>
          <w:szCs w:val="18"/>
          <w:b w:val="1"/>
          <w:bCs w:val="1"/>
          <w:color w:val="3B3B3B"/>
        </w:rPr>
        <w:t>Co</w:t>
      </w:r>
      <w:r>
        <w:rPr>
          <w:rFonts w:ascii="Arial" w:cs="Arial" w:eastAsia="Arial" w:hAnsi="Arial"/>
          <w:sz w:val="18"/>
          <w:szCs w:val="18"/>
          <w:b w:val="1"/>
          <w:bCs w:val="1"/>
          <w:color w:val="1A1A1A"/>
        </w:rPr>
        <w:t>mpliance With Laws</w:t>
      </w:r>
      <w:r>
        <w:rPr>
          <w:rFonts w:ascii="Arial" w:cs="Arial" w:eastAsia="Arial" w:hAnsi="Arial"/>
          <w:sz w:val="18"/>
          <w:szCs w:val="18"/>
          <w:b w:val="1"/>
          <w:bCs w:val="1"/>
          <w:color w:val="3B3B3B"/>
        </w:rPr>
        <w:t>.</w:t>
      </w:r>
      <w:r>
        <w:rPr>
          <w:rFonts w:ascii="Arial" w:cs="Arial" w:eastAsia="Arial" w:hAnsi="Arial"/>
          <w:sz w:val="18"/>
          <w:szCs w:val="18"/>
          <w:color w:val="auto"/>
        </w:rPr>
        <w:t xml:space="preserve"> </w:t>
      </w:r>
      <w:r>
        <w:rPr>
          <w:rFonts w:ascii="Arial" w:cs="Arial" w:eastAsia="Arial" w:hAnsi="Arial"/>
          <w:sz w:val="18"/>
          <w:szCs w:val="18"/>
          <w:color w:val="2A2A2A"/>
        </w:rPr>
        <w:t>At it</w:t>
      </w:r>
      <w:r>
        <w:rPr>
          <w:rFonts w:ascii="Arial" w:cs="Arial" w:eastAsia="Arial" w:hAnsi="Arial"/>
          <w:sz w:val="18"/>
          <w:szCs w:val="18"/>
          <w:color w:val="505050"/>
        </w:rPr>
        <w:t>s</w:t>
      </w:r>
      <w:r>
        <w:rPr>
          <w:rFonts w:ascii="Arial" w:cs="Arial" w:eastAsia="Arial" w:hAnsi="Arial"/>
          <w:sz w:val="18"/>
          <w:szCs w:val="18"/>
          <w:color w:val="auto"/>
        </w:rPr>
        <w:t xml:space="preserve"> </w:t>
      </w:r>
      <w:r>
        <w:rPr>
          <w:rFonts w:ascii="Arial" w:cs="Arial" w:eastAsia="Arial" w:hAnsi="Arial"/>
          <w:sz w:val="18"/>
          <w:szCs w:val="18"/>
          <w:color w:val="3B3B3B"/>
        </w:rPr>
        <w:t>own</w:t>
      </w:r>
      <w:r>
        <w:rPr>
          <w:rFonts w:ascii="Arial" w:cs="Arial" w:eastAsia="Arial" w:hAnsi="Arial"/>
          <w:sz w:val="18"/>
          <w:szCs w:val="18"/>
          <w:color w:val="auto"/>
        </w:rPr>
        <w:t xml:space="preserve"> </w:t>
      </w:r>
      <w:r>
        <w:rPr>
          <w:rFonts w:ascii="Arial" w:cs="Arial" w:eastAsia="Arial" w:hAnsi="Arial"/>
          <w:sz w:val="18"/>
          <w:szCs w:val="18"/>
          <w:color w:val="505050"/>
        </w:rPr>
        <w:t>expe</w:t>
      </w:r>
      <w:r>
        <w:rPr>
          <w:rFonts w:ascii="Arial" w:cs="Arial" w:eastAsia="Arial" w:hAnsi="Arial"/>
          <w:sz w:val="18"/>
          <w:szCs w:val="18"/>
          <w:color w:val="2A2A2A"/>
        </w:rPr>
        <w:t>n</w:t>
      </w:r>
      <w:r>
        <w:rPr>
          <w:rFonts w:ascii="Arial" w:cs="Arial" w:eastAsia="Arial" w:hAnsi="Arial"/>
          <w:sz w:val="18"/>
          <w:szCs w:val="18"/>
          <w:color w:val="505050"/>
        </w:rPr>
        <w:t>se,</w:t>
      </w:r>
      <w:r>
        <w:rPr>
          <w:rFonts w:ascii="Arial" w:cs="Arial" w:eastAsia="Arial" w:hAnsi="Arial"/>
          <w:sz w:val="18"/>
          <w:szCs w:val="18"/>
          <w:color w:val="auto"/>
        </w:rPr>
        <w:t xml:space="preserve"> </w:t>
      </w:r>
      <w:r>
        <w:rPr>
          <w:rFonts w:ascii="Arial" w:cs="Arial" w:eastAsia="Arial" w:hAnsi="Arial"/>
          <w:sz w:val="18"/>
          <w:szCs w:val="18"/>
          <w:color w:val="2A2A2A"/>
        </w:rPr>
        <w:t>Di</w:t>
      </w:r>
      <w:r>
        <w:rPr>
          <w:rFonts w:ascii="Arial" w:cs="Arial" w:eastAsia="Arial" w:hAnsi="Arial"/>
          <w:sz w:val="18"/>
          <w:szCs w:val="18"/>
          <w:color w:val="505050"/>
        </w:rPr>
        <w:t>str</w:t>
      </w:r>
      <w:r>
        <w:rPr>
          <w:rFonts w:ascii="Arial" w:cs="Arial" w:eastAsia="Arial" w:hAnsi="Arial"/>
          <w:sz w:val="18"/>
          <w:szCs w:val="18"/>
          <w:color w:val="1A1A1A"/>
        </w:rPr>
        <w:t>i</w:t>
      </w:r>
      <w:r>
        <w:rPr>
          <w:rFonts w:ascii="Arial" w:cs="Arial" w:eastAsia="Arial" w:hAnsi="Arial"/>
          <w:sz w:val="18"/>
          <w:szCs w:val="18"/>
          <w:color w:val="3B3B3B"/>
        </w:rPr>
        <w:t>butor</w:t>
      </w:r>
      <w:r>
        <w:rPr>
          <w:rFonts w:ascii="Arial" w:cs="Arial" w:eastAsia="Arial" w:hAnsi="Arial"/>
          <w:sz w:val="18"/>
          <w:szCs w:val="18"/>
          <w:color w:val="auto"/>
        </w:rPr>
        <w:t xml:space="preserve"> </w:t>
      </w:r>
      <w:r>
        <w:rPr>
          <w:rFonts w:ascii="Arial" w:cs="Arial" w:eastAsia="Arial" w:hAnsi="Arial"/>
          <w:sz w:val="18"/>
          <w:szCs w:val="18"/>
          <w:color w:val="505050"/>
        </w:rPr>
        <w:t>s</w:t>
      </w:r>
      <w:r>
        <w:rPr>
          <w:rFonts w:ascii="Arial" w:cs="Arial" w:eastAsia="Arial" w:hAnsi="Arial"/>
          <w:sz w:val="18"/>
          <w:szCs w:val="18"/>
          <w:color w:val="1A1A1A"/>
        </w:rPr>
        <w:t>h</w:t>
      </w:r>
      <w:r>
        <w:rPr>
          <w:rFonts w:ascii="Arial" w:cs="Arial" w:eastAsia="Arial" w:hAnsi="Arial"/>
          <w:sz w:val="18"/>
          <w:szCs w:val="18"/>
          <w:color w:val="3B3B3B"/>
        </w:rPr>
        <w:t>a</w:t>
      </w:r>
      <w:r>
        <w:rPr>
          <w:rFonts w:ascii="Arial" w:cs="Arial" w:eastAsia="Arial" w:hAnsi="Arial"/>
          <w:sz w:val="18"/>
          <w:szCs w:val="18"/>
          <w:color w:val="1A1A1A"/>
        </w:rPr>
        <w:t>ll</w:t>
      </w:r>
      <w:r>
        <w:rPr>
          <w:rFonts w:ascii="Arial" w:cs="Arial" w:eastAsia="Arial" w:hAnsi="Arial"/>
          <w:sz w:val="18"/>
          <w:szCs w:val="18"/>
          <w:color w:val="auto"/>
        </w:rPr>
        <w:t xml:space="preserve"> </w:t>
      </w:r>
      <w:r>
        <w:rPr>
          <w:rFonts w:ascii="Arial" w:cs="Arial" w:eastAsia="Arial" w:hAnsi="Arial"/>
          <w:sz w:val="18"/>
          <w:szCs w:val="18"/>
          <w:color w:val="2A2A2A"/>
        </w:rPr>
        <w:t>comply</w:t>
      </w:r>
      <w:r>
        <w:rPr>
          <w:rFonts w:ascii="Arial" w:cs="Arial" w:eastAsia="Arial" w:hAnsi="Arial"/>
          <w:sz w:val="18"/>
          <w:szCs w:val="18"/>
          <w:color w:val="auto"/>
        </w:rPr>
        <w:t xml:space="preserve"> </w:t>
      </w:r>
      <w:r>
        <w:rPr>
          <w:rFonts w:ascii="Arial" w:cs="Arial" w:eastAsia="Arial" w:hAnsi="Arial"/>
          <w:sz w:val="18"/>
          <w:szCs w:val="18"/>
          <w:color w:val="3B3B3B"/>
        </w:rPr>
        <w:t>w</w:t>
      </w:r>
      <w:r>
        <w:rPr>
          <w:rFonts w:ascii="Arial" w:cs="Arial" w:eastAsia="Arial" w:hAnsi="Arial"/>
          <w:sz w:val="18"/>
          <w:szCs w:val="18"/>
          <w:color w:val="1A1A1A"/>
        </w:rPr>
        <w:t>ith</w:t>
      </w:r>
      <w:r>
        <w:rPr>
          <w:rFonts w:ascii="Arial" w:cs="Arial" w:eastAsia="Arial" w:hAnsi="Arial"/>
          <w:sz w:val="18"/>
          <w:szCs w:val="18"/>
          <w:color w:val="auto"/>
        </w:rPr>
        <w:t xml:space="preserve"> </w:t>
      </w:r>
      <w:r>
        <w:rPr>
          <w:rFonts w:ascii="Arial" w:cs="Arial" w:eastAsia="Arial" w:hAnsi="Arial"/>
          <w:sz w:val="18"/>
          <w:szCs w:val="18"/>
          <w:color w:val="3B3B3B"/>
        </w:rPr>
        <w:t>a</w:t>
      </w:r>
      <w:r>
        <w:rPr>
          <w:rFonts w:ascii="Arial" w:cs="Arial" w:eastAsia="Arial" w:hAnsi="Arial"/>
          <w:sz w:val="18"/>
          <w:szCs w:val="18"/>
          <w:color w:val="1A1A1A"/>
        </w:rPr>
        <w:t>ll</w:t>
      </w:r>
      <w:r>
        <w:rPr>
          <w:rFonts w:ascii="Arial" w:cs="Arial" w:eastAsia="Arial" w:hAnsi="Arial"/>
          <w:sz w:val="18"/>
          <w:szCs w:val="18"/>
          <w:color w:val="auto"/>
        </w:rPr>
        <w:t xml:space="preserve"> </w:t>
      </w:r>
      <w:r>
        <w:rPr>
          <w:rFonts w:ascii="Arial" w:cs="Arial" w:eastAsia="Arial" w:hAnsi="Arial"/>
          <w:sz w:val="18"/>
          <w:szCs w:val="18"/>
          <w:color w:val="3B3B3B"/>
        </w:rPr>
        <w:t>appl</w:t>
      </w:r>
      <w:r>
        <w:rPr>
          <w:rFonts w:ascii="Arial" w:cs="Arial" w:eastAsia="Arial" w:hAnsi="Arial"/>
          <w:sz w:val="18"/>
          <w:szCs w:val="18"/>
          <w:color w:val="1A1A1A"/>
        </w:rPr>
        <w:t>ic</w:t>
      </w:r>
      <w:r>
        <w:rPr>
          <w:rFonts w:ascii="Arial" w:cs="Arial" w:eastAsia="Arial" w:hAnsi="Arial"/>
          <w:sz w:val="18"/>
          <w:szCs w:val="18"/>
          <w:color w:val="3B3B3B"/>
        </w:rPr>
        <w:t>ab</w:t>
      </w:r>
      <w:r>
        <w:rPr>
          <w:rFonts w:ascii="Arial" w:cs="Arial" w:eastAsia="Arial" w:hAnsi="Arial"/>
          <w:sz w:val="18"/>
          <w:szCs w:val="18"/>
          <w:color w:val="1A1A1A"/>
        </w:rPr>
        <w:t>l</w:t>
      </w:r>
      <w:r>
        <w:rPr>
          <w:rFonts w:ascii="Arial" w:cs="Arial" w:eastAsia="Arial" w:hAnsi="Arial"/>
          <w:sz w:val="18"/>
          <w:szCs w:val="18"/>
          <w:color w:val="3B3B3B"/>
        </w:rPr>
        <w:t>e</w:t>
      </w:r>
      <w:r>
        <w:rPr>
          <w:rFonts w:ascii="Arial" w:cs="Arial" w:eastAsia="Arial" w:hAnsi="Arial"/>
          <w:sz w:val="18"/>
          <w:szCs w:val="18"/>
          <w:color w:val="auto"/>
        </w:rPr>
        <w:t xml:space="preserve"> </w:t>
      </w:r>
      <w:r>
        <w:rPr>
          <w:rFonts w:ascii="Arial" w:cs="Arial" w:eastAsia="Arial" w:hAnsi="Arial"/>
          <w:sz w:val="18"/>
          <w:szCs w:val="18"/>
          <w:color w:val="1A1A1A"/>
        </w:rPr>
        <w:t>l</w:t>
      </w:r>
      <w:r>
        <w:rPr>
          <w:rFonts w:ascii="Arial" w:cs="Arial" w:eastAsia="Arial" w:hAnsi="Arial"/>
          <w:sz w:val="18"/>
          <w:szCs w:val="18"/>
          <w:color w:val="3B3B3B"/>
        </w:rPr>
        <w:t>aws,</w:t>
      </w:r>
      <w:r>
        <w:rPr>
          <w:rFonts w:ascii="Arial" w:cs="Arial" w:eastAsia="Arial" w:hAnsi="Arial"/>
          <w:sz w:val="18"/>
          <w:szCs w:val="18"/>
          <w:color w:val="auto"/>
        </w:rPr>
        <w:t xml:space="preserve"> </w:t>
      </w:r>
      <w:r>
        <w:rPr>
          <w:rFonts w:ascii="Arial" w:cs="Arial" w:eastAsia="Arial" w:hAnsi="Arial"/>
          <w:sz w:val="18"/>
          <w:szCs w:val="18"/>
          <w:color w:val="1A1A1A"/>
        </w:rPr>
        <w:t>r</w:t>
      </w:r>
      <w:r>
        <w:rPr>
          <w:rFonts w:ascii="Arial" w:cs="Arial" w:eastAsia="Arial" w:hAnsi="Arial"/>
          <w:sz w:val="18"/>
          <w:szCs w:val="18"/>
          <w:color w:val="505050"/>
        </w:rPr>
        <w:t>eg</w:t>
      </w:r>
      <w:r>
        <w:rPr>
          <w:rFonts w:ascii="Arial" w:cs="Arial" w:eastAsia="Arial" w:hAnsi="Arial"/>
          <w:sz w:val="18"/>
          <w:szCs w:val="18"/>
          <w:color w:val="2A2A2A"/>
        </w:rPr>
        <w:t>ul</w:t>
      </w:r>
      <w:r>
        <w:rPr>
          <w:rFonts w:ascii="Arial" w:cs="Arial" w:eastAsia="Arial" w:hAnsi="Arial"/>
          <w:sz w:val="18"/>
          <w:szCs w:val="18"/>
          <w:color w:val="505050"/>
        </w:rPr>
        <w:t>at</w:t>
      </w:r>
      <w:r>
        <w:rPr>
          <w:rFonts w:ascii="Arial" w:cs="Arial" w:eastAsia="Arial" w:hAnsi="Arial"/>
          <w:sz w:val="18"/>
          <w:szCs w:val="18"/>
          <w:color w:val="1A1A1A"/>
        </w:rPr>
        <w:t>i</w:t>
      </w:r>
      <w:r>
        <w:rPr>
          <w:rFonts w:ascii="Arial" w:cs="Arial" w:eastAsia="Arial" w:hAnsi="Arial"/>
          <w:sz w:val="18"/>
          <w:szCs w:val="18"/>
          <w:color w:val="3B3B3B"/>
        </w:rPr>
        <w:t>ons,</w:t>
      </w:r>
      <w:r>
        <w:rPr>
          <w:rFonts w:ascii="Arial" w:cs="Arial" w:eastAsia="Arial" w:hAnsi="Arial"/>
          <w:sz w:val="18"/>
          <w:szCs w:val="18"/>
          <w:color w:val="auto"/>
        </w:rPr>
        <w:t xml:space="preserve"> </w:t>
      </w:r>
      <w:r>
        <w:rPr>
          <w:rFonts w:ascii="Arial" w:cs="Arial" w:eastAsia="Arial" w:hAnsi="Arial"/>
          <w:sz w:val="18"/>
          <w:szCs w:val="18"/>
          <w:color w:val="2A2A2A"/>
        </w:rPr>
        <w:t>rul</w:t>
      </w:r>
      <w:r>
        <w:rPr>
          <w:rFonts w:ascii="Arial" w:cs="Arial" w:eastAsia="Arial" w:hAnsi="Arial"/>
          <w:sz w:val="18"/>
          <w:szCs w:val="18"/>
          <w:color w:val="505050"/>
        </w:rPr>
        <w:t>es,</w:t>
      </w:r>
      <w:r>
        <w:rPr>
          <w:rFonts w:ascii="Arial" w:cs="Arial" w:eastAsia="Arial" w:hAnsi="Arial"/>
          <w:sz w:val="18"/>
          <w:szCs w:val="18"/>
          <w:color w:val="auto"/>
        </w:rPr>
        <w:t xml:space="preserve"> </w:t>
      </w:r>
      <w:r>
        <w:rPr>
          <w:rFonts w:ascii="Arial" w:cs="Arial" w:eastAsia="Arial" w:hAnsi="Arial"/>
          <w:sz w:val="18"/>
          <w:szCs w:val="18"/>
          <w:color w:val="3B3B3B"/>
        </w:rPr>
        <w:t>ord</w:t>
      </w:r>
      <w:r>
        <w:rPr>
          <w:rFonts w:ascii="Arial" w:cs="Arial" w:eastAsia="Arial" w:hAnsi="Arial"/>
          <w:sz w:val="18"/>
          <w:szCs w:val="18"/>
          <w:color w:val="1A1A1A"/>
        </w:rPr>
        <w:t>in</w:t>
      </w:r>
      <w:r>
        <w:rPr>
          <w:rFonts w:ascii="Arial" w:cs="Arial" w:eastAsia="Arial" w:hAnsi="Arial"/>
          <w:sz w:val="18"/>
          <w:szCs w:val="18"/>
          <w:color w:val="505050"/>
        </w:rPr>
        <w:t>a</w:t>
      </w:r>
      <w:r>
        <w:rPr>
          <w:rFonts w:ascii="Arial" w:cs="Arial" w:eastAsia="Arial" w:hAnsi="Arial"/>
          <w:sz w:val="18"/>
          <w:szCs w:val="18"/>
          <w:color w:val="1A1A1A"/>
        </w:rPr>
        <w:t>n</w:t>
      </w:r>
      <w:r>
        <w:rPr>
          <w:rFonts w:ascii="Arial" w:cs="Arial" w:eastAsia="Arial" w:hAnsi="Arial"/>
          <w:sz w:val="18"/>
          <w:szCs w:val="18"/>
          <w:color w:val="3B3B3B"/>
        </w:rPr>
        <w:t>ces and o</w:t>
      </w:r>
      <w:r>
        <w:rPr>
          <w:rFonts w:ascii="Arial" w:cs="Arial" w:eastAsia="Arial" w:hAnsi="Arial"/>
          <w:sz w:val="18"/>
          <w:szCs w:val="18"/>
          <w:color w:val="1A1A1A"/>
        </w:rPr>
        <w:t>rd</w:t>
      </w:r>
      <w:r>
        <w:rPr>
          <w:rFonts w:ascii="Arial" w:cs="Arial" w:eastAsia="Arial" w:hAnsi="Arial"/>
          <w:sz w:val="18"/>
          <w:szCs w:val="18"/>
          <w:color w:val="505050"/>
        </w:rPr>
        <w:t>e</w:t>
      </w:r>
      <w:r>
        <w:rPr>
          <w:rFonts w:ascii="Arial" w:cs="Arial" w:eastAsia="Arial" w:hAnsi="Arial"/>
          <w:sz w:val="18"/>
          <w:szCs w:val="18"/>
          <w:color w:val="2A2A2A"/>
        </w:rPr>
        <w:t>r</w:t>
      </w:r>
      <w:r>
        <w:rPr>
          <w:rFonts w:ascii="Arial" w:cs="Arial" w:eastAsia="Arial" w:hAnsi="Arial"/>
          <w:sz w:val="18"/>
          <w:szCs w:val="18"/>
          <w:color w:val="505050"/>
        </w:rPr>
        <w:t>s</w:t>
      </w:r>
      <w:r>
        <w:rPr>
          <w:rFonts w:ascii="Arial" w:cs="Arial" w:eastAsia="Arial" w:hAnsi="Arial"/>
          <w:sz w:val="18"/>
          <w:szCs w:val="18"/>
          <w:color w:val="auto"/>
        </w:rPr>
        <w:t xml:space="preserve"> </w:t>
      </w:r>
      <w:r>
        <w:rPr>
          <w:rFonts w:ascii="Arial" w:cs="Arial" w:eastAsia="Arial" w:hAnsi="Arial"/>
          <w:sz w:val="18"/>
          <w:szCs w:val="18"/>
          <w:color w:val="2A2A2A"/>
        </w:rPr>
        <w:t>re</w:t>
      </w:r>
      <w:r>
        <w:rPr>
          <w:rFonts w:ascii="Arial" w:cs="Arial" w:eastAsia="Arial" w:hAnsi="Arial"/>
          <w:sz w:val="18"/>
          <w:szCs w:val="18"/>
          <w:color w:val="505050"/>
        </w:rPr>
        <w:t>ga</w:t>
      </w:r>
      <w:r>
        <w:rPr>
          <w:rFonts w:ascii="Arial" w:cs="Arial" w:eastAsia="Arial" w:hAnsi="Arial"/>
          <w:sz w:val="18"/>
          <w:szCs w:val="18"/>
          <w:color w:val="1A1A1A"/>
        </w:rPr>
        <w:t>rd</w:t>
      </w:r>
      <w:r>
        <w:rPr>
          <w:rFonts w:ascii="Arial" w:cs="Arial" w:eastAsia="Arial" w:hAnsi="Arial"/>
          <w:sz w:val="18"/>
          <w:szCs w:val="18"/>
          <w:color w:val="3B3B3B"/>
        </w:rPr>
        <w:t>i</w:t>
      </w:r>
      <w:r>
        <w:rPr>
          <w:rFonts w:ascii="Arial" w:cs="Arial" w:eastAsia="Arial" w:hAnsi="Arial"/>
          <w:sz w:val="18"/>
          <w:szCs w:val="18"/>
          <w:color w:val="1A1A1A"/>
        </w:rPr>
        <w:t>n</w:t>
      </w:r>
      <w:r>
        <w:rPr>
          <w:rFonts w:ascii="Arial" w:cs="Arial" w:eastAsia="Arial" w:hAnsi="Arial"/>
          <w:sz w:val="18"/>
          <w:szCs w:val="18"/>
          <w:color w:val="505050"/>
        </w:rPr>
        <w:t>g</w:t>
      </w:r>
      <w:r>
        <w:rPr>
          <w:rFonts w:ascii="Arial" w:cs="Arial" w:eastAsia="Arial" w:hAnsi="Arial"/>
          <w:sz w:val="18"/>
          <w:szCs w:val="18"/>
          <w:color w:val="2A2A2A"/>
        </w:rPr>
        <w:t xml:space="preserve"> </w:t>
      </w:r>
      <w:r>
        <w:rPr>
          <w:rFonts w:ascii="Arial" w:cs="Arial" w:eastAsia="Arial" w:hAnsi="Arial"/>
          <w:sz w:val="18"/>
          <w:szCs w:val="18"/>
          <w:color w:val="1A1A1A"/>
        </w:rPr>
        <w:t>it</w:t>
      </w:r>
      <w:r>
        <w:rPr>
          <w:rFonts w:ascii="Arial" w:cs="Arial" w:eastAsia="Arial" w:hAnsi="Arial"/>
          <w:sz w:val="18"/>
          <w:szCs w:val="18"/>
          <w:color w:val="505050"/>
        </w:rPr>
        <w:t>s</w:t>
      </w:r>
      <w:r>
        <w:rPr>
          <w:rFonts w:ascii="Arial" w:cs="Arial" w:eastAsia="Arial" w:hAnsi="Arial"/>
          <w:sz w:val="18"/>
          <w:szCs w:val="18"/>
          <w:color w:val="2A2A2A"/>
        </w:rPr>
        <w:t xml:space="preserve"> </w:t>
      </w:r>
      <w:r>
        <w:rPr>
          <w:rFonts w:ascii="Arial" w:cs="Arial" w:eastAsia="Arial" w:hAnsi="Arial"/>
          <w:sz w:val="18"/>
          <w:szCs w:val="18"/>
          <w:color w:val="3B3B3B"/>
        </w:rPr>
        <w:t>act</w:t>
      </w:r>
      <w:r>
        <w:rPr>
          <w:rFonts w:ascii="Arial" w:cs="Arial" w:eastAsia="Arial" w:hAnsi="Arial"/>
          <w:sz w:val="18"/>
          <w:szCs w:val="18"/>
          <w:color w:val="1A1A1A"/>
        </w:rPr>
        <w:t>i</w:t>
      </w:r>
      <w:r>
        <w:rPr>
          <w:rFonts w:ascii="Arial" w:cs="Arial" w:eastAsia="Arial" w:hAnsi="Arial"/>
          <w:sz w:val="18"/>
          <w:szCs w:val="18"/>
          <w:color w:val="3B3B3B"/>
        </w:rPr>
        <w:t>v</w:t>
      </w:r>
      <w:r>
        <w:rPr>
          <w:rFonts w:ascii="Arial" w:cs="Arial" w:eastAsia="Arial" w:hAnsi="Arial"/>
          <w:sz w:val="18"/>
          <w:szCs w:val="18"/>
          <w:color w:val="1A1A1A"/>
        </w:rPr>
        <w:t>i</w:t>
      </w:r>
      <w:r>
        <w:rPr>
          <w:rFonts w:ascii="Arial" w:cs="Arial" w:eastAsia="Arial" w:hAnsi="Arial"/>
          <w:sz w:val="18"/>
          <w:szCs w:val="18"/>
          <w:color w:val="3B3B3B"/>
        </w:rPr>
        <w:t>t</w:t>
      </w:r>
      <w:r>
        <w:rPr>
          <w:rFonts w:ascii="Arial" w:cs="Arial" w:eastAsia="Arial" w:hAnsi="Arial"/>
          <w:sz w:val="18"/>
          <w:szCs w:val="18"/>
          <w:color w:val="1A1A1A"/>
        </w:rPr>
        <w:t>i</w:t>
      </w:r>
      <w:r>
        <w:rPr>
          <w:rFonts w:ascii="Arial" w:cs="Arial" w:eastAsia="Arial" w:hAnsi="Arial"/>
          <w:sz w:val="18"/>
          <w:szCs w:val="18"/>
          <w:color w:val="3B3B3B"/>
        </w:rPr>
        <w:t>es</w:t>
      </w:r>
      <w:r>
        <w:rPr>
          <w:rFonts w:ascii="Arial" w:cs="Arial" w:eastAsia="Arial" w:hAnsi="Arial"/>
          <w:sz w:val="18"/>
          <w:szCs w:val="18"/>
          <w:color w:val="2A2A2A"/>
        </w:rPr>
        <w:t xml:space="preserve"> related </w:t>
      </w:r>
      <w:r>
        <w:rPr>
          <w:rFonts w:ascii="Arial" w:cs="Arial" w:eastAsia="Arial" w:hAnsi="Arial"/>
          <w:sz w:val="18"/>
          <w:szCs w:val="18"/>
          <w:color w:val="3B3B3B"/>
        </w:rPr>
        <w:t>to</w:t>
      </w:r>
      <w:r>
        <w:rPr>
          <w:rFonts w:ascii="Arial" w:cs="Arial" w:eastAsia="Arial" w:hAnsi="Arial"/>
          <w:sz w:val="18"/>
          <w:szCs w:val="18"/>
          <w:color w:val="2A2A2A"/>
        </w:rPr>
        <w:t xml:space="preserve"> </w:t>
      </w:r>
      <w:r>
        <w:rPr>
          <w:rFonts w:ascii="Arial" w:cs="Arial" w:eastAsia="Arial" w:hAnsi="Arial"/>
          <w:sz w:val="18"/>
          <w:szCs w:val="18"/>
          <w:color w:val="1A1A1A"/>
        </w:rPr>
        <w:t>th</w:t>
      </w:r>
      <w:r>
        <w:rPr>
          <w:rFonts w:ascii="Arial" w:cs="Arial" w:eastAsia="Arial" w:hAnsi="Arial"/>
          <w:sz w:val="18"/>
          <w:szCs w:val="18"/>
          <w:color w:val="3B3B3B"/>
        </w:rPr>
        <w:t>is Agreemen</w:t>
      </w:r>
      <w:r>
        <w:rPr>
          <w:rFonts w:ascii="Arial" w:cs="Arial" w:eastAsia="Arial" w:hAnsi="Arial"/>
          <w:sz w:val="18"/>
          <w:szCs w:val="18"/>
          <w:color w:val="1A1A1A"/>
        </w:rPr>
        <w:t>t.</w:t>
      </w:r>
      <w:r>
        <w:rPr>
          <w:rFonts w:ascii="Arial" w:cs="Arial" w:eastAsia="Arial" w:hAnsi="Arial"/>
          <w:sz w:val="18"/>
          <w:szCs w:val="18"/>
          <w:color w:val="2A2A2A"/>
        </w:rPr>
        <w:t xml:space="preserve"> Without </w:t>
      </w:r>
      <w:r>
        <w:rPr>
          <w:rFonts w:ascii="Arial" w:cs="Arial" w:eastAsia="Arial" w:hAnsi="Arial"/>
          <w:sz w:val="18"/>
          <w:szCs w:val="18"/>
          <w:color w:val="1A1A1A"/>
        </w:rPr>
        <w:t>limi</w:t>
      </w:r>
      <w:r>
        <w:rPr>
          <w:rFonts w:ascii="Arial" w:cs="Arial" w:eastAsia="Arial" w:hAnsi="Arial"/>
          <w:sz w:val="18"/>
          <w:szCs w:val="18"/>
          <w:color w:val="3B3B3B"/>
        </w:rPr>
        <w:t>t</w:t>
      </w:r>
      <w:r>
        <w:rPr>
          <w:rFonts w:ascii="Arial" w:cs="Arial" w:eastAsia="Arial" w:hAnsi="Arial"/>
          <w:sz w:val="18"/>
          <w:szCs w:val="18"/>
          <w:color w:val="1A1A1A"/>
        </w:rPr>
        <w:t>in</w:t>
      </w:r>
      <w:r>
        <w:rPr>
          <w:rFonts w:ascii="Arial" w:cs="Arial" w:eastAsia="Arial" w:hAnsi="Arial"/>
          <w:sz w:val="18"/>
          <w:szCs w:val="18"/>
          <w:color w:val="3B3B3B"/>
        </w:rPr>
        <w:t>g</w:t>
      </w:r>
      <w:r>
        <w:rPr>
          <w:rFonts w:ascii="Arial" w:cs="Arial" w:eastAsia="Arial" w:hAnsi="Arial"/>
          <w:sz w:val="18"/>
          <w:szCs w:val="18"/>
          <w:color w:val="2A2A2A"/>
        </w:rPr>
        <w:t xml:space="preserve"> the </w:t>
      </w:r>
      <w:r>
        <w:rPr>
          <w:rFonts w:ascii="Arial" w:cs="Arial" w:eastAsia="Arial" w:hAnsi="Arial"/>
          <w:sz w:val="18"/>
          <w:szCs w:val="18"/>
          <w:color w:val="3B3B3B"/>
        </w:rPr>
        <w:t>fo</w:t>
      </w:r>
      <w:r>
        <w:rPr>
          <w:rFonts w:ascii="Arial" w:cs="Arial" w:eastAsia="Arial" w:hAnsi="Arial"/>
          <w:sz w:val="18"/>
          <w:szCs w:val="18"/>
          <w:color w:val="1A1A1A"/>
        </w:rPr>
        <w:t>r</w:t>
      </w:r>
      <w:r>
        <w:rPr>
          <w:rFonts w:ascii="Arial" w:cs="Arial" w:eastAsia="Arial" w:hAnsi="Arial"/>
          <w:sz w:val="18"/>
          <w:szCs w:val="18"/>
          <w:color w:val="3B3B3B"/>
        </w:rPr>
        <w:t>ego</w:t>
      </w:r>
      <w:r>
        <w:rPr>
          <w:rFonts w:ascii="Arial" w:cs="Arial" w:eastAsia="Arial" w:hAnsi="Arial"/>
          <w:sz w:val="18"/>
          <w:szCs w:val="18"/>
          <w:color w:val="1A1A1A"/>
        </w:rPr>
        <w:t>in</w:t>
      </w:r>
      <w:r>
        <w:rPr>
          <w:rFonts w:ascii="Arial" w:cs="Arial" w:eastAsia="Arial" w:hAnsi="Arial"/>
          <w:sz w:val="18"/>
          <w:szCs w:val="18"/>
          <w:color w:val="3B3B3B"/>
        </w:rPr>
        <w:t>g:</w:t>
      </w:r>
    </w:p>
    <w:p>
      <w:pPr>
        <w:spacing w:after="0" w:line="207" w:lineRule="exact"/>
        <w:rPr>
          <w:sz w:val="20"/>
          <w:szCs w:val="20"/>
          <w:color w:val="auto"/>
        </w:rPr>
      </w:pPr>
    </w:p>
    <w:p>
      <w:pPr>
        <w:ind w:left="960" w:hanging="31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2A2A2A"/>
        </w:rPr>
        <w:t>Di</w:t>
      </w:r>
      <w:r>
        <w:rPr>
          <w:rFonts w:ascii="Arial" w:cs="Arial" w:eastAsia="Arial" w:hAnsi="Arial"/>
          <w:sz w:val="18"/>
          <w:szCs w:val="18"/>
          <w:color w:val="505050"/>
        </w:rPr>
        <w:t>s</w:t>
      </w:r>
      <w:r>
        <w:rPr>
          <w:rFonts w:ascii="Arial" w:cs="Arial" w:eastAsia="Arial" w:hAnsi="Arial"/>
          <w:sz w:val="18"/>
          <w:szCs w:val="18"/>
          <w:color w:val="2A2A2A"/>
        </w:rPr>
        <w:t xml:space="preserve">tributor </w:t>
      </w:r>
      <w:r>
        <w:rPr>
          <w:rFonts w:ascii="Arial" w:cs="Arial" w:eastAsia="Arial" w:hAnsi="Arial"/>
          <w:sz w:val="18"/>
          <w:szCs w:val="18"/>
          <w:color w:val="3B3B3B"/>
        </w:rPr>
        <w:t>s</w:t>
      </w:r>
      <w:r>
        <w:rPr>
          <w:rFonts w:ascii="Arial" w:cs="Arial" w:eastAsia="Arial" w:hAnsi="Arial"/>
          <w:sz w:val="18"/>
          <w:szCs w:val="18"/>
          <w:color w:val="1A1A1A"/>
        </w:rPr>
        <w:t>h</w:t>
      </w:r>
      <w:r>
        <w:rPr>
          <w:rFonts w:ascii="Arial" w:cs="Arial" w:eastAsia="Arial" w:hAnsi="Arial"/>
          <w:sz w:val="18"/>
          <w:szCs w:val="18"/>
          <w:color w:val="3B3B3B"/>
        </w:rPr>
        <w:t>a</w:t>
      </w:r>
      <w:r>
        <w:rPr>
          <w:rFonts w:ascii="Arial" w:cs="Arial" w:eastAsia="Arial" w:hAnsi="Arial"/>
          <w:sz w:val="18"/>
          <w:szCs w:val="18"/>
          <w:color w:val="1A1A1A"/>
        </w:rPr>
        <w:t>ll</w:t>
      </w:r>
      <w:r>
        <w:rPr>
          <w:rFonts w:ascii="Arial" w:cs="Arial" w:eastAsia="Arial" w:hAnsi="Arial"/>
          <w:sz w:val="18"/>
          <w:szCs w:val="18"/>
          <w:color w:val="2A2A2A"/>
        </w:rPr>
        <w:t xml:space="preserve"> fully </w:t>
      </w:r>
      <w:r>
        <w:rPr>
          <w:rFonts w:ascii="Arial" w:cs="Arial" w:eastAsia="Arial" w:hAnsi="Arial"/>
          <w:sz w:val="18"/>
          <w:szCs w:val="18"/>
          <w:color w:val="3B3B3B"/>
        </w:rPr>
        <w:t>co</w:t>
      </w:r>
      <w:r>
        <w:rPr>
          <w:rFonts w:ascii="Arial" w:cs="Arial" w:eastAsia="Arial" w:hAnsi="Arial"/>
          <w:sz w:val="18"/>
          <w:szCs w:val="18"/>
          <w:color w:val="1A1A1A"/>
        </w:rPr>
        <w:t>mpl</w:t>
      </w:r>
      <w:r>
        <w:rPr>
          <w:rFonts w:ascii="Arial" w:cs="Arial" w:eastAsia="Arial" w:hAnsi="Arial"/>
          <w:sz w:val="18"/>
          <w:szCs w:val="18"/>
          <w:color w:val="505050"/>
        </w:rPr>
        <w:t>y</w:t>
      </w:r>
      <w:r>
        <w:rPr>
          <w:rFonts w:ascii="Arial" w:cs="Arial" w:eastAsia="Arial" w:hAnsi="Arial"/>
          <w:sz w:val="18"/>
          <w:szCs w:val="18"/>
          <w:color w:val="2A2A2A"/>
        </w:rPr>
        <w:t xml:space="preserve"> </w:t>
      </w:r>
      <w:r>
        <w:rPr>
          <w:rFonts w:ascii="Arial" w:cs="Arial" w:eastAsia="Arial" w:hAnsi="Arial"/>
          <w:sz w:val="18"/>
          <w:szCs w:val="18"/>
          <w:color w:val="3B3B3B"/>
        </w:rPr>
        <w:t>w</w:t>
      </w:r>
      <w:r>
        <w:rPr>
          <w:rFonts w:ascii="Arial" w:cs="Arial" w:eastAsia="Arial" w:hAnsi="Arial"/>
          <w:sz w:val="18"/>
          <w:szCs w:val="18"/>
          <w:color w:val="1A1A1A"/>
        </w:rPr>
        <w:t>i</w:t>
      </w:r>
      <w:r>
        <w:rPr>
          <w:rFonts w:ascii="Arial" w:cs="Arial" w:eastAsia="Arial" w:hAnsi="Arial"/>
          <w:sz w:val="18"/>
          <w:szCs w:val="18"/>
          <w:color w:val="3B3B3B"/>
        </w:rPr>
        <w:t>th</w:t>
      </w:r>
      <w:r>
        <w:rPr>
          <w:rFonts w:ascii="Arial" w:cs="Arial" w:eastAsia="Arial" w:hAnsi="Arial"/>
          <w:sz w:val="18"/>
          <w:szCs w:val="18"/>
          <w:color w:val="2A2A2A"/>
        </w:rPr>
        <w:t xml:space="preserve"> the </w:t>
      </w:r>
      <w:r>
        <w:rPr>
          <w:rFonts w:ascii="Arial" w:cs="Arial" w:eastAsia="Arial" w:hAnsi="Arial"/>
          <w:sz w:val="18"/>
          <w:szCs w:val="18"/>
          <w:color w:val="1A1A1A"/>
        </w:rPr>
        <w:t>r</w:t>
      </w:r>
      <w:r>
        <w:rPr>
          <w:rFonts w:ascii="Arial" w:cs="Arial" w:eastAsia="Arial" w:hAnsi="Arial"/>
          <w:sz w:val="18"/>
          <w:szCs w:val="18"/>
          <w:color w:val="505050"/>
        </w:rPr>
        <w:t>e</w:t>
      </w:r>
      <w:r>
        <w:rPr>
          <w:rFonts w:ascii="Arial" w:cs="Arial" w:eastAsia="Arial" w:hAnsi="Arial"/>
          <w:sz w:val="18"/>
          <w:szCs w:val="18"/>
          <w:color w:val="1A1A1A"/>
        </w:rPr>
        <w:t>l</w:t>
      </w:r>
      <w:r>
        <w:rPr>
          <w:rFonts w:ascii="Arial" w:cs="Arial" w:eastAsia="Arial" w:hAnsi="Arial"/>
          <w:sz w:val="18"/>
          <w:szCs w:val="18"/>
          <w:color w:val="3B3B3B"/>
        </w:rPr>
        <w:t>eva</w:t>
      </w:r>
      <w:r>
        <w:rPr>
          <w:rFonts w:ascii="Arial" w:cs="Arial" w:eastAsia="Arial" w:hAnsi="Arial"/>
          <w:sz w:val="18"/>
          <w:szCs w:val="18"/>
          <w:color w:val="1A1A1A"/>
        </w:rPr>
        <w:t>nt</w:t>
      </w:r>
      <w:r>
        <w:rPr>
          <w:rFonts w:ascii="Arial" w:cs="Arial" w:eastAsia="Arial" w:hAnsi="Arial"/>
          <w:sz w:val="18"/>
          <w:szCs w:val="18"/>
          <w:color w:val="2A2A2A"/>
        </w:rPr>
        <w:t xml:space="preserve"> </w:t>
      </w:r>
      <w:r>
        <w:rPr>
          <w:rFonts w:ascii="Arial" w:cs="Arial" w:eastAsia="Arial" w:hAnsi="Arial"/>
          <w:sz w:val="18"/>
          <w:szCs w:val="18"/>
          <w:color w:val="505050"/>
        </w:rPr>
        <w:t>export</w:t>
      </w:r>
      <w:r>
        <w:rPr>
          <w:rFonts w:ascii="Arial" w:cs="Arial" w:eastAsia="Arial" w:hAnsi="Arial"/>
          <w:sz w:val="18"/>
          <w:szCs w:val="18"/>
          <w:color w:val="2A2A2A"/>
        </w:rPr>
        <w:t xml:space="preserve"> </w:t>
      </w:r>
      <w:r>
        <w:rPr>
          <w:rFonts w:ascii="Arial" w:cs="Arial" w:eastAsia="Arial" w:hAnsi="Arial"/>
          <w:sz w:val="18"/>
          <w:szCs w:val="18"/>
          <w:color w:val="3B3B3B"/>
        </w:rPr>
        <w:t>adm</w:t>
      </w:r>
      <w:r>
        <w:rPr>
          <w:rFonts w:ascii="Arial" w:cs="Arial" w:eastAsia="Arial" w:hAnsi="Arial"/>
          <w:sz w:val="18"/>
          <w:szCs w:val="18"/>
          <w:color w:val="1A1A1A"/>
        </w:rPr>
        <w:t>ini</w:t>
      </w:r>
      <w:r>
        <w:rPr>
          <w:rFonts w:ascii="Arial" w:cs="Arial" w:eastAsia="Arial" w:hAnsi="Arial"/>
          <w:sz w:val="18"/>
          <w:szCs w:val="18"/>
          <w:color w:val="505050"/>
        </w:rPr>
        <w:t>strat</w:t>
      </w:r>
      <w:r>
        <w:rPr>
          <w:rFonts w:ascii="Arial" w:cs="Arial" w:eastAsia="Arial" w:hAnsi="Arial"/>
          <w:sz w:val="18"/>
          <w:szCs w:val="18"/>
          <w:color w:val="2A2A2A"/>
        </w:rPr>
        <w:t xml:space="preserve">ion </w:t>
      </w:r>
      <w:r>
        <w:rPr>
          <w:rFonts w:ascii="Arial" w:cs="Arial" w:eastAsia="Arial" w:hAnsi="Arial"/>
          <w:sz w:val="18"/>
          <w:szCs w:val="18"/>
          <w:color w:val="505050"/>
        </w:rPr>
        <w:t>a</w:t>
      </w:r>
      <w:r>
        <w:rPr>
          <w:rFonts w:ascii="Arial" w:cs="Arial" w:eastAsia="Arial" w:hAnsi="Arial"/>
          <w:sz w:val="18"/>
          <w:szCs w:val="18"/>
          <w:color w:val="2A2A2A"/>
        </w:rPr>
        <w:t xml:space="preserve">nd </w:t>
      </w:r>
      <w:r>
        <w:rPr>
          <w:rFonts w:ascii="Arial" w:cs="Arial" w:eastAsia="Arial" w:hAnsi="Arial"/>
          <w:sz w:val="18"/>
          <w:szCs w:val="18"/>
          <w:color w:val="505050"/>
        </w:rPr>
        <w:t>control laws</w:t>
      </w:r>
      <w:r>
        <w:rPr>
          <w:rFonts w:ascii="Arial" w:cs="Arial" w:eastAsia="Arial" w:hAnsi="Arial"/>
          <w:sz w:val="18"/>
          <w:szCs w:val="18"/>
          <w:color w:val="2A2A2A"/>
        </w:rPr>
        <w:t xml:space="preserve"> </w:t>
      </w:r>
      <w:r>
        <w:rPr>
          <w:rFonts w:ascii="Arial" w:cs="Arial" w:eastAsia="Arial" w:hAnsi="Arial"/>
          <w:sz w:val="18"/>
          <w:szCs w:val="18"/>
          <w:color w:val="3B3B3B"/>
        </w:rPr>
        <w:t>and</w:t>
      </w:r>
      <w:r>
        <w:rPr>
          <w:rFonts w:ascii="Arial" w:cs="Arial" w:eastAsia="Arial" w:hAnsi="Arial"/>
          <w:sz w:val="18"/>
          <w:szCs w:val="18"/>
          <w:color w:val="2A2A2A"/>
        </w:rPr>
        <w:t xml:space="preserve"> </w:t>
      </w:r>
      <w:r>
        <w:rPr>
          <w:rFonts w:ascii="Arial" w:cs="Arial" w:eastAsia="Arial" w:hAnsi="Arial"/>
          <w:sz w:val="18"/>
          <w:szCs w:val="18"/>
          <w:color w:val="1A1A1A"/>
        </w:rPr>
        <w:t>r</w:t>
      </w:r>
      <w:r>
        <w:rPr>
          <w:rFonts w:ascii="Arial" w:cs="Arial" w:eastAsia="Arial" w:hAnsi="Arial"/>
          <w:sz w:val="18"/>
          <w:szCs w:val="18"/>
          <w:color w:val="3B3B3B"/>
        </w:rPr>
        <w:t>eg</w:t>
      </w:r>
      <w:r>
        <w:rPr>
          <w:rFonts w:ascii="Arial" w:cs="Arial" w:eastAsia="Arial" w:hAnsi="Arial"/>
          <w:sz w:val="18"/>
          <w:szCs w:val="18"/>
          <w:color w:val="1A1A1A"/>
        </w:rPr>
        <w:t>ul</w:t>
      </w:r>
      <w:r>
        <w:rPr>
          <w:rFonts w:ascii="Arial" w:cs="Arial" w:eastAsia="Arial" w:hAnsi="Arial"/>
          <w:sz w:val="18"/>
          <w:szCs w:val="18"/>
          <w:color w:val="3B3B3B"/>
        </w:rPr>
        <w:t>ations</w:t>
      </w:r>
      <w:r>
        <w:rPr>
          <w:rFonts w:ascii="Arial" w:cs="Arial" w:eastAsia="Arial" w:hAnsi="Arial"/>
          <w:sz w:val="18"/>
          <w:szCs w:val="18"/>
          <w:color w:val="1A1A1A"/>
        </w:rPr>
        <w:t>.</w:t>
      </w:r>
    </w:p>
    <w:p>
      <w:pPr>
        <w:spacing w:after="0" w:line="63" w:lineRule="exact"/>
        <w:rPr>
          <w:rFonts w:ascii="Arial" w:cs="Arial" w:eastAsia="Arial" w:hAnsi="Arial"/>
          <w:sz w:val="18"/>
          <w:szCs w:val="18"/>
          <w:color w:val="auto"/>
        </w:rPr>
      </w:pPr>
    </w:p>
    <w:p>
      <w:pPr>
        <w:ind w:left="980" w:right="300" w:hanging="332"/>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1C1C1C"/>
        </w:rPr>
        <w:t xml:space="preserve">Distributor </w:t>
      </w:r>
      <w:r>
        <w:rPr>
          <w:rFonts w:ascii="Arial" w:cs="Arial" w:eastAsia="Arial" w:hAnsi="Arial"/>
          <w:sz w:val="18"/>
          <w:szCs w:val="18"/>
          <w:color w:val="464646"/>
        </w:rPr>
        <w:t>s</w:t>
      </w:r>
      <w:r>
        <w:rPr>
          <w:rFonts w:ascii="Arial" w:cs="Arial" w:eastAsia="Arial" w:hAnsi="Arial"/>
          <w:sz w:val="18"/>
          <w:szCs w:val="18"/>
          <w:color w:val="1C1C1C"/>
        </w:rPr>
        <w:t xml:space="preserve">hall </w:t>
      </w:r>
      <w:r>
        <w:rPr>
          <w:rFonts w:ascii="Arial" w:cs="Arial" w:eastAsia="Arial" w:hAnsi="Arial"/>
          <w:sz w:val="18"/>
          <w:szCs w:val="18"/>
          <w:color w:val="313131"/>
        </w:rPr>
        <w:t>comply</w:t>
      </w:r>
      <w:r>
        <w:rPr>
          <w:rFonts w:ascii="Arial" w:cs="Arial" w:eastAsia="Arial" w:hAnsi="Arial"/>
          <w:sz w:val="18"/>
          <w:szCs w:val="18"/>
          <w:color w:val="1C1C1C"/>
        </w:rPr>
        <w:t xml:space="preserve"> </w:t>
      </w:r>
      <w:r>
        <w:rPr>
          <w:rFonts w:ascii="Arial" w:cs="Arial" w:eastAsia="Arial" w:hAnsi="Arial"/>
          <w:sz w:val="18"/>
          <w:szCs w:val="18"/>
          <w:color w:val="464646"/>
        </w:rPr>
        <w:t>w</w:t>
      </w:r>
      <w:r>
        <w:rPr>
          <w:rFonts w:ascii="Arial" w:cs="Arial" w:eastAsia="Arial" w:hAnsi="Arial"/>
          <w:sz w:val="18"/>
          <w:szCs w:val="18"/>
          <w:color w:val="1C1C1C"/>
        </w:rPr>
        <w:t xml:space="preserve">ith the </w:t>
      </w:r>
      <w:r>
        <w:rPr>
          <w:rFonts w:ascii="Arial" w:cs="Arial" w:eastAsia="Arial" w:hAnsi="Arial"/>
          <w:sz w:val="18"/>
          <w:szCs w:val="18"/>
          <w:color w:val="313131"/>
        </w:rPr>
        <w:t>U.S. Foreign Corrupt Practices Act and</w:t>
      </w:r>
      <w:r>
        <w:rPr>
          <w:rFonts w:ascii="Arial" w:cs="Arial" w:eastAsia="Arial" w:hAnsi="Arial"/>
          <w:sz w:val="18"/>
          <w:szCs w:val="18"/>
          <w:color w:val="1C1C1C"/>
        </w:rPr>
        <w:t xml:space="preserve"> </w:t>
      </w:r>
      <w:r>
        <w:rPr>
          <w:rFonts w:ascii="Arial" w:cs="Arial" w:eastAsia="Arial" w:hAnsi="Arial"/>
          <w:sz w:val="18"/>
          <w:szCs w:val="18"/>
          <w:color w:val="464646"/>
        </w:rPr>
        <w:t>s</w:t>
      </w:r>
      <w:r>
        <w:rPr>
          <w:rFonts w:ascii="Arial" w:cs="Arial" w:eastAsia="Arial" w:hAnsi="Arial"/>
          <w:sz w:val="18"/>
          <w:szCs w:val="18"/>
          <w:color w:val="1C1C1C"/>
        </w:rPr>
        <w:t xml:space="preserve">hall </w:t>
      </w:r>
      <w:r>
        <w:rPr>
          <w:rFonts w:ascii="Arial" w:cs="Arial" w:eastAsia="Arial" w:hAnsi="Arial"/>
          <w:sz w:val="18"/>
          <w:szCs w:val="18"/>
          <w:color w:val="313131"/>
        </w:rPr>
        <w:t>not make any</w:t>
      </w:r>
      <w:r>
        <w:rPr>
          <w:rFonts w:ascii="Arial" w:cs="Arial" w:eastAsia="Arial" w:hAnsi="Arial"/>
          <w:sz w:val="18"/>
          <w:szCs w:val="18"/>
          <w:color w:val="1C1C1C"/>
        </w:rPr>
        <w:t xml:space="preserve"> pa</w:t>
      </w:r>
      <w:r>
        <w:rPr>
          <w:rFonts w:ascii="Arial" w:cs="Arial" w:eastAsia="Arial" w:hAnsi="Arial"/>
          <w:sz w:val="18"/>
          <w:szCs w:val="18"/>
          <w:color w:val="464646"/>
        </w:rPr>
        <w:t>ym</w:t>
      </w:r>
      <w:r>
        <w:rPr>
          <w:rFonts w:ascii="Arial" w:cs="Arial" w:eastAsia="Arial" w:hAnsi="Arial"/>
          <w:sz w:val="18"/>
          <w:szCs w:val="18"/>
          <w:color w:val="1C1C1C"/>
        </w:rPr>
        <w:t xml:space="preserve">ents </w:t>
      </w:r>
      <w:r>
        <w:rPr>
          <w:rFonts w:ascii="Arial" w:cs="Arial" w:eastAsia="Arial" w:hAnsi="Arial"/>
          <w:sz w:val="18"/>
          <w:szCs w:val="18"/>
          <w:color w:val="313131"/>
        </w:rPr>
        <w:t>to</w:t>
      </w:r>
      <w:r>
        <w:rPr>
          <w:rFonts w:ascii="Arial" w:cs="Arial" w:eastAsia="Arial" w:hAnsi="Arial"/>
          <w:sz w:val="18"/>
          <w:szCs w:val="18"/>
          <w:color w:val="1C1C1C"/>
        </w:rPr>
        <w:t xml:space="preserve"> third partie</w:t>
      </w:r>
      <w:r>
        <w:rPr>
          <w:rFonts w:ascii="Arial" w:cs="Arial" w:eastAsia="Arial" w:hAnsi="Arial"/>
          <w:sz w:val="18"/>
          <w:szCs w:val="18"/>
          <w:color w:val="464646"/>
        </w:rPr>
        <w:t>s</w:t>
      </w:r>
      <w:r>
        <w:rPr>
          <w:rFonts w:ascii="Arial" w:cs="Arial" w:eastAsia="Arial" w:hAnsi="Arial"/>
          <w:sz w:val="18"/>
          <w:szCs w:val="18"/>
          <w:color w:val="1C1C1C"/>
        </w:rPr>
        <w:t xml:space="preserve"> </w:t>
      </w:r>
      <w:r>
        <w:rPr>
          <w:rFonts w:ascii="Arial" w:cs="Arial" w:eastAsia="Arial" w:hAnsi="Arial"/>
          <w:sz w:val="18"/>
          <w:szCs w:val="18"/>
          <w:color w:val="313131"/>
        </w:rPr>
        <w:t>which</w:t>
      </w:r>
      <w:r>
        <w:rPr>
          <w:rFonts w:ascii="Arial" w:cs="Arial" w:eastAsia="Arial" w:hAnsi="Arial"/>
          <w:sz w:val="18"/>
          <w:szCs w:val="18"/>
          <w:color w:val="1C1C1C"/>
        </w:rPr>
        <w:t xml:space="preserve"> </w:t>
      </w:r>
      <w:r>
        <w:rPr>
          <w:rFonts w:ascii="Arial" w:cs="Arial" w:eastAsia="Arial" w:hAnsi="Arial"/>
          <w:sz w:val="18"/>
          <w:szCs w:val="18"/>
          <w:color w:val="313131"/>
        </w:rPr>
        <w:t>would cause Company or Distributor to violate such law.</w:t>
      </w:r>
    </w:p>
    <w:p>
      <w:pPr>
        <w:spacing w:after="0" w:line="8" w:lineRule="exact"/>
        <w:rPr>
          <w:rFonts w:ascii="Arial" w:cs="Arial" w:eastAsia="Arial" w:hAnsi="Arial"/>
          <w:sz w:val="18"/>
          <w:szCs w:val="18"/>
          <w:color w:val="auto"/>
        </w:rPr>
      </w:pPr>
    </w:p>
    <w:p>
      <w:pPr>
        <w:ind w:left="960" w:hanging="31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1C1C1C"/>
        </w:rPr>
        <w:t>Di</w:t>
      </w:r>
      <w:r>
        <w:rPr>
          <w:rFonts w:ascii="Arial" w:cs="Arial" w:eastAsia="Arial" w:hAnsi="Arial"/>
          <w:sz w:val="18"/>
          <w:szCs w:val="18"/>
          <w:color w:val="464646"/>
        </w:rPr>
        <w:t>str</w:t>
      </w:r>
      <w:r>
        <w:rPr>
          <w:rFonts w:ascii="Arial" w:cs="Arial" w:eastAsia="Arial" w:hAnsi="Arial"/>
          <w:sz w:val="18"/>
          <w:szCs w:val="18"/>
          <w:color w:val="1C1C1C"/>
        </w:rPr>
        <w:t xml:space="preserve">ibutor </w:t>
      </w:r>
      <w:r>
        <w:rPr>
          <w:rFonts w:ascii="Arial" w:cs="Arial" w:eastAsia="Arial" w:hAnsi="Arial"/>
          <w:sz w:val="18"/>
          <w:szCs w:val="18"/>
          <w:color w:val="313131"/>
        </w:rPr>
        <w:t>shall comply with U.S. Food and</w:t>
      </w:r>
      <w:r>
        <w:rPr>
          <w:rFonts w:ascii="Arial" w:cs="Arial" w:eastAsia="Arial" w:hAnsi="Arial"/>
          <w:sz w:val="18"/>
          <w:szCs w:val="18"/>
          <w:color w:val="1C1C1C"/>
        </w:rPr>
        <w:t xml:space="preserve"> Drug </w:t>
      </w:r>
      <w:r>
        <w:rPr>
          <w:rFonts w:ascii="Arial" w:cs="Arial" w:eastAsia="Arial" w:hAnsi="Arial"/>
          <w:sz w:val="18"/>
          <w:szCs w:val="18"/>
          <w:color w:val="313131"/>
        </w:rPr>
        <w: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60"/>
          </w:cols>
          <w:pgMar w:left="130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80" w:right="40" w:hanging="323"/>
        <w:spacing w:after="0" w:line="279" w:lineRule="auto"/>
        <w:rPr>
          <w:sz w:val="20"/>
          <w:szCs w:val="20"/>
          <w:color w:val="auto"/>
        </w:rPr>
      </w:pPr>
      <w:r>
        <w:rPr>
          <w:rFonts w:ascii="Arial" w:cs="Arial" w:eastAsia="Arial" w:hAnsi="Arial"/>
          <w:sz w:val="18"/>
          <w:szCs w:val="18"/>
          <w:color w:val="auto"/>
        </w:rPr>
        <w:t>11.10</w:t>
      </w:r>
      <w:r>
        <w:rPr>
          <w:sz w:val="20"/>
          <w:szCs w:val="20"/>
          <w:color w:val="auto"/>
        </w:rPr>
        <w:t xml:space="preserve"> </w:t>
      </w:r>
      <w:r>
        <w:rPr>
          <w:rFonts w:ascii="Arial" w:cs="Arial" w:eastAsia="Arial" w:hAnsi="Arial"/>
          <w:sz w:val="16"/>
          <w:szCs w:val="16"/>
          <w:b w:val="1"/>
          <w:bCs w:val="1"/>
          <w:color w:val="1C1C1C"/>
        </w:rPr>
        <w:t xml:space="preserve">Licenses and Permits. </w:t>
      </w:r>
      <w:r>
        <w:rPr>
          <w:rFonts w:ascii="Arial" w:cs="Arial" w:eastAsia="Arial" w:hAnsi="Arial"/>
          <w:sz w:val="16"/>
          <w:szCs w:val="16"/>
          <w:color w:val="1C1C1C"/>
        </w:rPr>
        <w:t>Distributor</w:t>
      </w:r>
      <w:r>
        <w:rPr>
          <w:rFonts w:ascii="Arial" w:cs="Arial" w:eastAsia="Arial" w:hAnsi="Arial"/>
          <w:sz w:val="16"/>
          <w:szCs w:val="16"/>
          <w:b w:val="1"/>
          <w:bCs w:val="1"/>
          <w:color w:val="1C1C1C"/>
        </w:rPr>
        <w:t xml:space="preserve"> </w:t>
      </w:r>
      <w:r>
        <w:rPr>
          <w:rFonts w:ascii="Arial" w:cs="Arial" w:eastAsia="Arial" w:hAnsi="Arial"/>
          <w:sz w:val="16"/>
          <w:szCs w:val="16"/>
          <w:color w:val="464646"/>
        </w:rPr>
        <w:t>s</w:t>
      </w:r>
      <w:r>
        <w:rPr>
          <w:rFonts w:ascii="Arial" w:cs="Arial" w:eastAsia="Arial" w:hAnsi="Arial"/>
          <w:sz w:val="16"/>
          <w:szCs w:val="16"/>
          <w:color w:val="1C1C1C"/>
        </w:rPr>
        <w:t>hall</w:t>
      </w:r>
      <w:r>
        <w:rPr>
          <w:rFonts w:ascii="Arial" w:cs="Arial" w:eastAsia="Arial" w:hAnsi="Arial"/>
          <w:sz w:val="16"/>
          <w:szCs w:val="16"/>
          <w:b w:val="1"/>
          <w:bCs w:val="1"/>
          <w:color w:val="1C1C1C"/>
        </w:rPr>
        <w:t xml:space="preserve"> </w:t>
      </w:r>
      <w:r>
        <w:rPr>
          <w:rFonts w:ascii="Arial" w:cs="Arial" w:eastAsia="Arial" w:hAnsi="Arial"/>
          <w:sz w:val="16"/>
          <w:szCs w:val="16"/>
          <w:color w:val="313131"/>
        </w:rPr>
        <w:t>obtain any</w:t>
      </w:r>
      <w:r>
        <w:rPr>
          <w:rFonts w:ascii="Arial" w:cs="Arial" w:eastAsia="Arial" w:hAnsi="Arial"/>
          <w:sz w:val="16"/>
          <w:szCs w:val="16"/>
          <w:b w:val="1"/>
          <w:bCs w:val="1"/>
          <w:color w:val="1C1C1C"/>
        </w:rPr>
        <w:t xml:space="preserve"> </w:t>
      </w:r>
      <w:r>
        <w:rPr>
          <w:rFonts w:ascii="Arial" w:cs="Arial" w:eastAsia="Arial" w:hAnsi="Arial"/>
          <w:sz w:val="16"/>
          <w:szCs w:val="16"/>
          <w:color w:val="1C1C1C"/>
        </w:rPr>
        <w:t>required</w:t>
      </w:r>
      <w:r>
        <w:rPr>
          <w:rFonts w:ascii="Arial" w:cs="Arial" w:eastAsia="Arial" w:hAnsi="Arial"/>
          <w:sz w:val="16"/>
          <w:szCs w:val="16"/>
          <w:b w:val="1"/>
          <w:bCs w:val="1"/>
          <w:color w:val="1C1C1C"/>
        </w:rPr>
        <w:t xml:space="preserve"> </w:t>
      </w:r>
      <w:r>
        <w:rPr>
          <w:rFonts w:ascii="Arial" w:cs="Arial" w:eastAsia="Arial" w:hAnsi="Arial"/>
          <w:sz w:val="16"/>
          <w:szCs w:val="16"/>
          <w:color w:val="313131"/>
        </w:rPr>
        <w:t>non-U.S. governmental authorizations</w:t>
      </w:r>
      <w:r>
        <w:rPr>
          <w:rFonts w:ascii="Arial" w:cs="Arial" w:eastAsia="Arial" w:hAnsi="Arial"/>
          <w:sz w:val="16"/>
          <w:szCs w:val="16"/>
          <w:color w:val="5D5E60"/>
        </w:rPr>
        <w:t>,</w:t>
      </w:r>
      <w:r>
        <w:rPr>
          <w:rFonts w:ascii="Arial" w:cs="Arial" w:eastAsia="Arial" w:hAnsi="Arial"/>
          <w:sz w:val="16"/>
          <w:szCs w:val="16"/>
          <w:b w:val="1"/>
          <w:bCs w:val="1"/>
          <w:color w:val="1C1C1C"/>
        </w:rPr>
        <w:t xml:space="preserve"> </w:t>
      </w:r>
      <w:r>
        <w:rPr>
          <w:rFonts w:ascii="Arial" w:cs="Arial" w:eastAsia="Arial" w:hAnsi="Arial"/>
          <w:sz w:val="16"/>
          <w:szCs w:val="16"/>
          <w:color w:val="1C1C1C"/>
        </w:rPr>
        <w:t>including</w:t>
      </w:r>
      <w:r>
        <w:rPr>
          <w:rFonts w:ascii="Arial" w:cs="Arial" w:eastAsia="Arial" w:hAnsi="Arial"/>
          <w:sz w:val="16"/>
          <w:szCs w:val="16"/>
          <w:b w:val="1"/>
          <w:bCs w:val="1"/>
          <w:color w:val="1C1C1C"/>
        </w:rPr>
        <w:t xml:space="preserve"> </w:t>
      </w:r>
      <w:r>
        <w:rPr>
          <w:rFonts w:ascii="Arial" w:cs="Arial" w:eastAsia="Arial" w:hAnsi="Arial"/>
          <w:sz w:val="16"/>
          <w:szCs w:val="16"/>
          <w:color w:val="313131"/>
        </w:rPr>
        <w:t>without limitation</w:t>
      </w:r>
      <w:r>
        <w:rPr>
          <w:rFonts w:ascii="Arial" w:cs="Arial" w:eastAsia="Arial" w:hAnsi="Arial"/>
          <w:sz w:val="16"/>
          <w:szCs w:val="16"/>
          <w:b w:val="1"/>
          <w:bCs w:val="1"/>
          <w:color w:val="1C1C1C"/>
        </w:rPr>
        <w:t xml:space="preserve"> </w:t>
      </w:r>
      <w:r>
        <w:rPr>
          <w:rFonts w:ascii="Arial" w:cs="Arial" w:eastAsia="Arial" w:hAnsi="Arial"/>
          <w:sz w:val="16"/>
          <w:szCs w:val="16"/>
          <w:color w:val="313131"/>
        </w:rPr>
        <w:t xml:space="preserve">any import </w:t>
      </w:r>
      <w:r>
        <w:rPr>
          <w:rFonts w:ascii="Arial" w:cs="Arial" w:eastAsia="Arial" w:hAnsi="Arial"/>
          <w:sz w:val="16"/>
          <w:szCs w:val="16"/>
          <w:color w:val="1C1C1C"/>
        </w:rPr>
        <w:t>licenses</w:t>
      </w:r>
      <w:r>
        <w:rPr>
          <w:rFonts w:ascii="Arial" w:cs="Arial" w:eastAsia="Arial" w:hAnsi="Arial"/>
          <w:sz w:val="16"/>
          <w:szCs w:val="16"/>
          <w:color w:val="313131"/>
        </w:rPr>
        <w:t xml:space="preserve"> and foreign </w:t>
      </w:r>
      <w:r>
        <w:rPr>
          <w:rFonts w:ascii="Arial" w:cs="Arial" w:eastAsia="Arial" w:hAnsi="Arial"/>
          <w:sz w:val="16"/>
          <w:szCs w:val="16"/>
          <w:color w:val="464646"/>
        </w:rPr>
        <w:t>exc</w:t>
      </w:r>
      <w:r>
        <w:rPr>
          <w:rFonts w:ascii="Arial" w:cs="Arial" w:eastAsia="Arial" w:hAnsi="Arial"/>
          <w:sz w:val="16"/>
          <w:szCs w:val="16"/>
          <w:color w:val="1C1C1C"/>
        </w:rPr>
        <w:t>hang</w:t>
      </w:r>
      <w:r>
        <w:rPr>
          <w:rFonts w:ascii="Arial" w:cs="Arial" w:eastAsia="Arial" w:hAnsi="Arial"/>
          <w:sz w:val="16"/>
          <w:szCs w:val="16"/>
          <w:color w:val="464646"/>
        </w:rPr>
        <w:t>e</w:t>
      </w:r>
      <w:r>
        <w:rPr>
          <w:rFonts w:ascii="Arial" w:cs="Arial" w:eastAsia="Arial" w:hAnsi="Arial"/>
          <w:sz w:val="16"/>
          <w:szCs w:val="16"/>
          <w:color w:val="313131"/>
        </w:rPr>
        <w:t xml:space="preserve"> permits</w:t>
      </w:r>
      <w:r>
        <w:rPr>
          <w:rFonts w:ascii="Arial" w:cs="Arial" w:eastAsia="Arial" w:hAnsi="Arial"/>
          <w:sz w:val="16"/>
          <w:szCs w:val="16"/>
          <w:color w:val="5D5E60"/>
        </w:rPr>
        <w:t>,</w:t>
      </w:r>
      <w:r>
        <w:rPr>
          <w:rFonts w:ascii="Arial" w:cs="Arial" w:eastAsia="Arial" w:hAnsi="Arial"/>
          <w:sz w:val="16"/>
          <w:szCs w:val="16"/>
          <w:color w:val="313131"/>
        </w:rPr>
        <w:t xml:space="preserve"> and</w:t>
      </w:r>
      <w:r>
        <w:rPr>
          <w:rFonts w:ascii="Arial" w:cs="Arial" w:eastAsia="Arial" w:hAnsi="Arial"/>
          <w:sz w:val="16"/>
          <w:szCs w:val="16"/>
          <w:color w:val="5D5E60"/>
        </w:rPr>
        <w:t>,</w:t>
      </w:r>
      <w:r>
        <w:rPr>
          <w:rFonts w:ascii="Arial" w:cs="Arial" w:eastAsia="Arial" w:hAnsi="Arial"/>
          <w:sz w:val="16"/>
          <w:szCs w:val="16"/>
          <w:color w:val="313131"/>
        </w:rPr>
        <w:t xml:space="preserve"> </w:t>
      </w:r>
      <w:r>
        <w:rPr>
          <w:rFonts w:ascii="Arial" w:cs="Arial" w:eastAsia="Arial" w:hAnsi="Arial"/>
          <w:sz w:val="16"/>
          <w:szCs w:val="16"/>
          <w:color w:val="1C1C1C"/>
        </w:rPr>
        <w:t>if</w:t>
      </w:r>
      <w:r>
        <w:rPr>
          <w:rFonts w:ascii="Arial" w:cs="Arial" w:eastAsia="Arial" w:hAnsi="Arial"/>
          <w:sz w:val="16"/>
          <w:szCs w:val="16"/>
          <w:color w:val="313131"/>
        </w:rPr>
        <w:t xml:space="preserve"> applicable, shall file or </w:t>
      </w:r>
      <w:r>
        <w:rPr>
          <w:rFonts w:ascii="Arial" w:cs="Arial" w:eastAsia="Arial" w:hAnsi="Arial"/>
          <w:sz w:val="16"/>
          <w:szCs w:val="16"/>
          <w:color w:val="1C1C1C"/>
        </w:rPr>
        <w:t>register this Agreement</w:t>
      </w:r>
      <w:r>
        <w:rPr>
          <w:rFonts w:ascii="Arial" w:cs="Arial" w:eastAsia="Arial" w:hAnsi="Arial"/>
          <w:sz w:val="16"/>
          <w:szCs w:val="16"/>
          <w:color w:val="313131"/>
        </w:rPr>
        <w:t xml:space="preserve"> with the appropriate authorities. </w:t>
      </w:r>
      <w:r>
        <w:rPr>
          <w:rFonts w:ascii="Arial" w:cs="Arial" w:eastAsia="Arial" w:hAnsi="Arial"/>
          <w:sz w:val="16"/>
          <w:szCs w:val="16"/>
          <w:color w:val="1C1C1C"/>
        </w:rPr>
        <w:t>Di</w:t>
      </w:r>
      <w:r>
        <w:rPr>
          <w:rFonts w:ascii="Arial" w:cs="Arial" w:eastAsia="Arial" w:hAnsi="Arial"/>
          <w:sz w:val="16"/>
          <w:szCs w:val="16"/>
          <w:color w:val="464646"/>
        </w:rPr>
        <w:t>st</w:t>
      </w:r>
      <w:r>
        <w:rPr>
          <w:rFonts w:ascii="Arial" w:cs="Arial" w:eastAsia="Arial" w:hAnsi="Arial"/>
          <w:sz w:val="16"/>
          <w:szCs w:val="16"/>
          <w:color w:val="1C1C1C"/>
        </w:rPr>
        <w:t xml:space="preserve">ributor </w:t>
      </w:r>
      <w:r>
        <w:rPr>
          <w:rFonts w:ascii="Arial" w:cs="Arial" w:eastAsia="Arial" w:hAnsi="Arial"/>
          <w:sz w:val="16"/>
          <w:szCs w:val="16"/>
          <w:color w:val="313131"/>
        </w:rPr>
        <w:t>shall provide proof of compliance with required non-U.S. governmental authorization</w:t>
      </w:r>
      <w:r>
        <w:rPr>
          <w:rFonts w:ascii="Arial" w:cs="Arial" w:eastAsia="Arial" w:hAnsi="Arial"/>
          <w:sz w:val="16"/>
          <w:szCs w:val="16"/>
          <w:color w:val="1C1C1C"/>
        </w:rPr>
        <w:t xml:space="preserve"> to </w:t>
      </w:r>
      <w:r>
        <w:rPr>
          <w:rFonts w:ascii="Arial" w:cs="Arial" w:eastAsia="Arial" w:hAnsi="Arial"/>
          <w:sz w:val="16"/>
          <w:szCs w:val="16"/>
          <w:color w:val="313131"/>
        </w:rPr>
        <w:t>Company upon request.</w:t>
      </w:r>
    </w:p>
    <w:p>
      <w:pPr>
        <w:spacing w:after="0" w:line="168" w:lineRule="exact"/>
        <w:rPr>
          <w:sz w:val="20"/>
          <w:szCs w:val="20"/>
          <w:color w:val="auto"/>
        </w:rPr>
      </w:pPr>
    </w:p>
    <w:p>
      <w:pPr>
        <w:ind w:left="1280" w:right="60" w:hanging="323"/>
        <w:spacing w:after="0" w:line="236" w:lineRule="auto"/>
        <w:rPr>
          <w:sz w:val="20"/>
          <w:szCs w:val="20"/>
          <w:color w:val="auto"/>
        </w:rPr>
      </w:pPr>
      <w:r>
        <w:rPr>
          <w:rFonts w:ascii="Arial" w:cs="Arial" w:eastAsia="Arial" w:hAnsi="Arial"/>
          <w:sz w:val="18"/>
          <w:szCs w:val="18"/>
          <w:color w:val="auto"/>
        </w:rPr>
        <w:t>11.11</w:t>
      </w:r>
      <w:r>
        <w:rPr>
          <w:sz w:val="20"/>
          <w:szCs w:val="20"/>
          <w:color w:val="auto"/>
        </w:rPr>
        <w:t xml:space="preserve"> </w:t>
      </w:r>
      <w:r>
        <w:rPr>
          <w:rFonts w:ascii="Arial" w:cs="Arial" w:eastAsia="Arial" w:hAnsi="Arial"/>
          <w:sz w:val="18"/>
          <w:szCs w:val="18"/>
          <w:b w:val="1"/>
          <w:bCs w:val="1"/>
          <w:color w:val="1C1C1C"/>
        </w:rPr>
        <w:t xml:space="preserve">Language. </w:t>
      </w:r>
      <w:r>
        <w:rPr>
          <w:rFonts w:ascii="Arial" w:cs="Arial" w:eastAsia="Arial" w:hAnsi="Arial"/>
          <w:sz w:val="18"/>
          <w:szCs w:val="18"/>
          <w:color w:val="313131"/>
        </w:rPr>
        <w:t>The official</w:t>
      </w:r>
      <w:r>
        <w:rPr>
          <w:rFonts w:ascii="Arial" w:cs="Arial" w:eastAsia="Arial" w:hAnsi="Arial"/>
          <w:sz w:val="18"/>
          <w:szCs w:val="18"/>
          <w:b w:val="1"/>
          <w:bCs w:val="1"/>
          <w:color w:val="1C1C1C"/>
        </w:rPr>
        <w:t xml:space="preserve"> </w:t>
      </w:r>
      <w:r>
        <w:rPr>
          <w:rFonts w:ascii="Arial" w:cs="Arial" w:eastAsia="Arial" w:hAnsi="Arial"/>
          <w:sz w:val="18"/>
          <w:szCs w:val="18"/>
          <w:color w:val="464646"/>
        </w:rPr>
        <w:t>text</w:t>
      </w:r>
      <w:r>
        <w:rPr>
          <w:rFonts w:ascii="Arial" w:cs="Arial" w:eastAsia="Arial" w:hAnsi="Arial"/>
          <w:sz w:val="18"/>
          <w:szCs w:val="18"/>
          <w:b w:val="1"/>
          <w:bCs w:val="1"/>
          <w:color w:val="1C1C1C"/>
        </w:rPr>
        <w:t xml:space="preserve"> </w:t>
      </w:r>
      <w:r>
        <w:rPr>
          <w:rFonts w:ascii="Arial" w:cs="Arial" w:eastAsia="Arial" w:hAnsi="Arial"/>
          <w:sz w:val="18"/>
          <w:szCs w:val="18"/>
          <w:color w:val="313131"/>
        </w:rPr>
        <w:t>of this Agreement (and any Exhibit hereof</w:t>
      </w:r>
      <w:r>
        <w:rPr>
          <w:rFonts w:ascii="Arial" w:cs="Arial" w:eastAsia="Arial" w:hAnsi="Arial"/>
          <w:sz w:val="18"/>
          <w:szCs w:val="18"/>
          <w:b w:val="1"/>
          <w:bCs w:val="1"/>
          <w:color w:val="1C1C1C"/>
        </w:rPr>
        <w:t xml:space="preserve"> </w:t>
      </w:r>
      <w:r>
        <w:rPr>
          <w:rFonts w:ascii="Arial" w:cs="Arial" w:eastAsia="Arial" w:hAnsi="Arial"/>
          <w:sz w:val="18"/>
          <w:szCs w:val="18"/>
          <w:color w:val="1C1C1C"/>
        </w:rPr>
        <w:t>or no</w:t>
      </w:r>
      <w:r>
        <w:rPr>
          <w:rFonts w:ascii="Arial" w:cs="Arial" w:eastAsia="Arial" w:hAnsi="Arial"/>
          <w:sz w:val="18"/>
          <w:szCs w:val="18"/>
          <w:color w:val="464646"/>
        </w:rPr>
        <w:t>t</w:t>
      </w:r>
      <w:r>
        <w:rPr>
          <w:rFonts w:ascii="Arial" w:cs="Arial" w:eastAsia="Arial" w:hAnsi="Arial"/>
          <w:sz w:val="18"/>
          <w:szCs w:val="18"/>
          <w:color w:val="1C1C1C"/>
        </w:rPr>
        <w:t>ice</w:t>
      </w:r>
      <w:r>
        <w:rPr>
          <w:rFonts w:ascii="Arial" w:cs="Arial" w:eastAsia="Arial" w:hAnsi="Arial"/>
          <w:sz w:val="18"/>
          <w:szCs w:val="18"/>
          <w:b w:val="1"/>
          <w:bCs w:val="1"/>
          <w:color w:val="1C1C1C"/>
        </w:rPr>
        <w:t xml:space="preserve"> </w:t>
      </w:r>
      <w:r>
        <w:rPr>
          <w:rFonts w:ascii="Arial" w:cs="Arial" w:eastAsia="Arial" w:hAnsi="Arial"/>
          <w:sz w:val="18"/>
          <w:szCs w:val="18"/>
          <w:color w:val="313131"/>
        </w:rPr>
        <w:t>submitted</w:t>
      </w:r>
      <w:r>
        <w:rPr>
          <w:rFonts w:ascii="Arial" w:cs="Arial" w:eastAsia="Arial" w:hAnsi="Arial"/>
          <w:sz w:val="18"/>
          <w:szCs w:val="18"/>
          <w:b w:val="1"/>
          <w:bCs w:val="1"/>
          <w:color w:val="1C1C1C"/>
        </w:rPr>
        <w:t xml:space="preserve"> </w:t>
      </w:r>
      <w:r>
        <w:rPr>
          <w:rFonts w:ascii="Arial" w:cs="Arial" w:eastAsia="Arial" w:hAnsi="Arial"/>
          <w:sz w:val="18"/>
          <w:szCs w:val="18"/>
          <w:color w:val="1C1C1C"/>
        </w:rPr>
        <w:t>hereunder)</w:t>
      </w:r>
      <w:r>
        <w:rPr>
          <w:rFonts w:ascii="Arial" w:cs="Arial" w:eastAsia="Arial" w:hAnsi="Arial"/>
          <w:sz w:val="18"/>
          <w:szCs w:val="18"/>
          <w:b w:val="1"/>
          <w:bCs w:val="1"/>
          <w:color w:val="1C1C1C"/>
        </w:rPr>
        <w:t xml:space="preserve"> </w:t>
      </w:r>
      <w:r>
        <w:rPr>
          <w:rFonts w:ascii="Arial" w:cs="Arial" w:eastAsia="Arial" w:hAnsi="Arial"/>
          <w:sz w:val="18"/>
          <w:szCs w:val="18"/>
          <w:color w:val="313131"/>
        </w:rPr>
        <w:t>sha</w:t>
      </w:r>
      <w:r>
        <w:rPr>
          <w:rFonts w:ascii="Arial" w:cs="Arial" w:eastAsia="Arial" w:hAnsi="Arial"/>
          <w:sz w:val="18"/>
          <w:szCs w:val="18"/>
          <w:color w:val="030303"/>
        </w:rPr>
        <w:t>ll</w:t>
      </w:r>
      <w:r>
        <w:rPr>
          <w:rFonts w:ascii="Arial" w:cs="Arial" w:eastAsia="Arial" w:hAnsi="Arial"/>
          <w:sz w:val="18"/>
          <w:szCs w:val="18"/>
          <w:b w:val="1"/>
          <w:bCs w:val="1"/>
          <w:color w:val="1C1C1C"/>
        </w:rPr>
        <w:t xml:space="preserve"> </w:t>
      </w:r>
      <w:r>
        <w:rPr>
          <w:rFonts w:ascii="Arial" w:cs="Arial" w:eastAsia="Arial" w:hAnsi="Arial"/>
          <w:sz w:val="18"/>
          <w:szCs w:val="18"/>
          <w:color w:val="313131"/>
        </w:rPr>
        <w:t>be in English.</w:t>
      </w:r>
      <w:r>
        <w:rPr>
          <w:rFonts w:ascii="Arial" w:cs="Arial" w:eastAsia="Arial" w:hAnsi="Arial"/>
          <w:sz w:val="18"/>
          <w:szCs w:val="18"/>
          <w:b w:val="1"/>
          <w:bCs w:val="1"/>
          <w:color w:val="1C1C1C"/>
        </w:rPr>
        <w:t xml:space="preserve"> </w:t>
      </w:r>
      <w:r>
        <w:rPr>
          <w:rFonts w:ascii="Arial" w:cs="Arial" w:eastAsia="Arial" w:hAnsi="Arial"/>
          <w:sz w:val="18"/>
          <w:szCs w:val="18"/>
          <w:color w:val="1C1C1C"/>
        </w:rPr>
        <w:t>In th</w:t>
      </w:r>
      <w:r>
        <w:rPr>
          <w:rFonts w:ascii="Arial" w:cs="Arial" w:eastAsia="Arial" w:hAnsi="Arial"/>
          <w:sz w:val="18"/>
          <w:szCs w:val="18"/>
          <w:color w:val="464646"/>
        </w:rPr>
        <w:t>e</w:t>
      </w:r>
      <w:r>
        <w:rPr>
          <w:rFonts w:ascii="Arial" w:cs="Arial" w:eastAsia="Arial" w:hAnsi="Arial"/>
          <w:sz w:val="18"/>
          <w:szCs w:val="18"/>
          <w:b w:val="1"/>
          <w:bCs w:val="1"/>
          <w:color w:val="1C1C1C"/>
        </w:rPr>
        <w:t xml:space="preserve"> </w:t>
      </w:r>
      <w:r>
        <w:rPr>
          <w:rFonts w:ascii="Arial" w:cs="Arial" w:eastAsia="Arial" w:hAnsi="Arial"/>
          <w:sz w:val="18"/>
          <w:szCs w:val="18"/>
          <w:color w:val="313131"/>
        </w:rPr>
        <w:t xml:space="preserve">event of any dispute concerning the construction or </w:t>
      </w:r>
      <w:r>
        <w:rPr>
          <w:rFonts w:ascii="Arial" w:cs="Arial" w:eastAsia="Arial" w:hAnsi="Arial"/>
          <w:sz w:val="18"/>
          <w:szCs w:val="18"/>
          <w:color w:val="1C1C1C"/>
        </w:rPr>
        <w:t>meaning</w:t>
      </w:r>
      <w:r>
        <w:rPr>
          <w:rFonts w:ascii="Arial" w:cs="Arial" w:eastAsia="Arial" w:hAnsi="Arial"/>
          <w:sz w:val="18"/>
          <w:szCs w:val="18"/>
          <w:color w:val="313131"/>
        </w:rPr>
        <w:t xml:space="preserve"> of this Agreement, </w:t>
      </w:r>
      <w:r>
        <w:rPr>
          <w:rFonts w:ascii="Arial" w:cs="Arial" w:eastAsia="Arial" w:hAnsi="Arial"/>
          <w:sz w:val="18"/>
          <w:szCs w:val="18"/>
          <w:color w:val="1C1C1C"/>
        </w:rPr>
        <w:t>reference</w:t>
      </w:r>
      <w:r>
        <w:rPr>
          <w:rFonts w:ascii="Arial" w:cs="Arial" w:eastAsia="Arial" w:hAnsi="Arial"/>
          <w:sz w:val="18"/>
          <w:szCs w:val="18"/>
          <w:color w:val="313131"/>
        </w:rPr>
        <w:t xml:space="preserve"> </w:t>
      </w:r>
      <w:r>
        <w:rPr>
          <w:rFonts w:ascii="Arial" w:cs="Arial" w:eastAsia="Arial" w:hAnsi="Arial"/>
          <w:sz w:val="18"/>
          <w:szCs w:val="18"/>
          <w:color w:val="464646"/>
        </w:rPr>
        <w:t>s</w:t>
      </w:r>
      <w:r>
        <w:rPr>
          <w:rFonts w:ascii="Arial" w:cs="Arial" w:eastAsia="Arial" w:hAnsi="Arial"/>
          <w:sz w:val="18"/>
          <w:szCs w:val="18"/>
          <w:color w:val="1C1C1C"/>
        </w:rPr>
        <w:t>hall be</w:t>
      </w:r>
      <w:r>
        <w:rPr>
          <w:rFonts w:ascii="Arial" w:cs="Arial" w:eastAsia="Arial" w:hAnsi="Arial"/>
          <w:sz w:val="18"/>
          <w:szCs w:val="18"/>
          <w:color w:val="313131"/>
        </w:rPr>
        <w:t xml:space="preserve"> made only to th</w:t>
      </w:r>
      <w:r>
        <w:rPr>
          <w:rFonts w:ascii="Arial" w:cs="Arial" w:eastAsia="Arial" w:hAnsi="Arial"/>
          <w:sz w:val="18"/>
          <w:szCs w:val="18"/>
          <w:color w:val="030303"/>
        </w:rPr>
        <w:t>i</w:t>
      </w:r>
      <w:r>
        <w:rPr>
          <w:rFonts w:ascii="Arial" w:cs="Arial" w:eastAsia="Arial" w:hAnsi="Arial"/>
          <w:sz w:val="18"/>
          <w:szCs w:val="18"/>
          <w:color w:val="313131"/>
        </w:rPr>
        <w:t xml:space="preserve">s </w:t>
      </w:r>
      <w:r>
        <w:rPr>
          <w:rFonts w:ascii="Arial" w:cs="Arial" w:eastAsia="Arial" w:hAnsi="Arial"/>
          <w:sz w:val="18"/>
          <w:szCs w:val="18"/>
          <w:color w:val="1C1C1C"/>
        </w:rPr>
        <w:t>Agreement</w:t>
      </w:r>
      <w:r>
        <w:rPr>
          <w:rFonts w:ascii="Arial" w:cs="Arial" w:eastAsia="Arial" w:hAnsi="Arial"/>
          <w:sz w:val="18"/>
          <w:szCs w:val="18"/>
          <w:color w:val="313131"/>
        </w:rPr>
        <w:t xml:space="preserve"> as written </w:t>
      </w:r>
      <w:r>
        <w:rPr>
          <w:rFonts w:ascii="Arial" w:cs="Arial" w:eastAsia="Arial" w:hAnsi="Arial"/>
          <w:sz w:val="18"/>
          <w:szCs w:val="18"/>
          <w:color w:val="1C1C1C"/>
        </w:rPr>
        <w:t>in</w:t>
      </w:r>
      <w:r>
        <w:rPr>
          <w:rFonts w:ascii="Arial" w:cs="Arial" w:eastAsia="Arial" w:hAnsi="Arial"/>
          <w:sz w:val="18"/>
          <w:szCs w:val="18"/>
          <w:color w:val="313131"/>
        </w:rPr>
        <w:t xml:space="preserve"> English and </w:t>
      </w:r>
      <w:r>
        <w:rPr>
          <w:rFonts w:ascii="Arial" w:cs="Arial" w:eastAsia="Arial" w:hAnsi="Arial"/>
          <w:sz w:val="18"/>
          <w:szCs w:val="18"/>
          <w:color w:val="1C1C1C"/>
        </w:rPr>
        <w:t>not to</w:t>
      </w:r>
      <w:r>
        <w:rPr>
          <w:rFonts w:ascii="Arial" w:cs="Arial" w:eastAsia="Arial" w:hAnsi="Arial"/>
          <w:sz w:val="18"/>
          <w:szCs w:val="18"/>
          <w:color w:val="313131"/>
        </w:rPr>
        <w:t xml:space="preserve"> any translation </w:t>
      </w:r>
      <w:r>
        <w:rPr>
          <w:rFonts w:ascii="Arial" w:cs="Arial" w:eastAsia="Arial" w:hAnsi="Arial"/>
          <w:sz w:val="18"/>
          <w:szCs w:val="18"/>
          <w:color w:val="1C1C1C"/>
        </w:rPr>
        <w:t>into</w:t>
      </w:r>
      <w:r>
        <w:rPr>
          <w:rFonts w:ascii="Arial" w:cs="Arial" w:eastAsia="Arial" w:hAnsi="Arial"/>
          <w:sz w:val="18"/>
          <w:szCs w:val="18"/>
          <w:color w:val="313131"/>
        </w:rPr>
        <w:t xml:space="preserve"> another </w:t>
      </w:r>
      <w:r>
        <w:rPr>
          <w:rFonts w:ascii="Arial" w:cs="Arial" w:eastAsia="Arial" w:hAnsi="Arial"/>
          <w:sz w:val="18"/>
          <w:szCs w:val="18"/>
          <w:color w:val="030303"/>
        </w:rPr>
        <w:t>l</w:t>
      </w:r>
      <w:r>
        <w:rPr>
          <w:rFonts w:ascii="Arial" w:cs="Arial" w:eastAsia="Arial" w:hAnsi="Arial"/>
          <w:sz w:val="18"/>
          <w:szCs w:val="18"/>
          <w:color w:val="313131"/>
        </w:rPr>
        <w:t>anguage.</w:t>
      </w:r>
    </w:p>
    <w:p>
      <w:pPr>
        <w:spacing w:after="0" w:line="199" w:lineRule="exact"/>
        <w:rPr>
          <w:sz w:val="20"/>
          <w:szCs w:val="20"/>
          <w:color w:val="auto"/>
        </w:rPr>
      </w:pPr>
    </w:p>
    <w:p>
      <w:pPr>
        <w:ind w:left="1280" w:right="100" w:hanging="323"/>
        <w:spacing w:after="0" w:line="236" w:lineRule="auto"/>
        <w:rPr>
          <w:sz w:val="20"/>
          <w:szCs w:val="20"/>
          <w:color w:val="auto"/>
        </w:rPr>
      </w:pPr>
      <w:r>
        <w:rPr>
          <w:rFonts w:ascii="Arial" w:cs="Arial" w:eastAsia="Arial" w:hAnsi="Arial"/>
          <w:sz w:val="18"/>
          <w:szCs w:val="18"/>
          <w:color w:val="auto"/>
        </w:rPr>
        <w:t>11.12</w:t>
      </w:r>
      <w:r>
        <w:rPr>
          <w:sz w:val="20"/>
          <w:szCs w:val="20"/>
          <w:color w:val="auto"/>
        </w:rPr>
        <w:t xml:space="preserve"> </w:t>
      </w:r>
      <w:r>
        <w:rPr>
          <w:rFonts w:ascii="Arial" w:cs="Arial" w:eastAsia="Arial" w:hAnsi="Arial"/>
          <w:sz w:val="18"/>
          <w:szCs w:val="18"/>
          <w:b w:val="1"/>
          <w:bCs w:val="1"/>
          <w:color w:val="313131"/>
        </w:rPr>
        <w:t xml:space="preserve">Entire Agreement. </w:t>
      </w:r>
      <w:r>
        <w:rPr>
          <w:rFonts w:ascii="Arial" w:cs="Arial" w:eastAsia="Arial" w:hAnsi="Arial"/>
          <w:sz w:val="18"/>
          <w:szCs w:val="18"/>
          <w:color w:val="313131"/>
        </w:rPr>
        <w:t>This Agreement</w:t>
      </w:r>
      <w:r>
        <w:rPr>
          <w:rFonts w:ascii="Arial" w:cs="Arial" w:eastAsia="Arial" w:hAnsi="Arial"/>
          <w:sz w:val="18"/>
          <w:szCs w:val="18"/>
          <w:b w:val="1"/>
          <w:bCs w:val="1"/>
          <w:color w:val="313131"/>
        </w:rPr>
        <w:t xml:space="preserve"> </w:t>
      </w:r>
      <w:r>
        <w:rPr>
          <w:rFonts w:ascii="Arial" w:cs="Arial" w:eastAsia="Arial" w:hAnsi="Arial"/>
          <w:sz w:val="18"/>
          <w:szCs w:val="18"/>
          <w:color w:val="1C1C1C"/>
        </w:rPr>
        <w:t>is</w:t>
      </w:r>
      <w:r>
        <w:rPr>
          <w:rFonts w:ascii="Arial" w:cs="Arial" w:eastAsia="Arial" w:hAnsi="Arial"/>
          <w:sz w:val="18"/>
          <w:szCs w:val="18"/>
          <w:b w:val="1"/>
          <w:bCs w:val="1"/>
          <w:color w:val="313131"/>
        </w:rPr>
        <w:t xml:space="preserve"> </w:t>
      </w:r>
      <w:r>
        <w:rPr>
          <w:rFonts w:ascii="Arial" w:cs="Arial" w:eastAsia="Arial" w:hAnsi="Arial"/>
          <w:sz w:val="18"/>
          <w:szCs w:val="18"/>
          <w:color w:val="313131"/>
        </w:rPr>
        <w:t>the entire agreement between the</w:t>
      </w:r>
      <w:r>
        <w:rPr>
          <w:rFonts w:ascii="Arial" w:cs="Arial" w:eastAsia="Arial" w:hAnsi="Arial"/>
          <w:sz w:val="18"/>
          <w:szCs w:val="18"/>
          <w:b w:val="1"/>
          <w:bCs w:val="1"/>
          <w:color w:val="313131"/>
        </w:rPr>
        <w:t xml:space="preserve"> </w:t>
      </w:r>
      <w:r>
        <w:rPr>
          <w:rFonts w:ascii="Arial" w:cs="Arial" w:eastAsia="Arial" w:hAnsi="Arial"/>
          <w:sz w:val="18"/>
          <w:szCs w:val="18"/>
          <w:color w:val="1C1C1C"/>
        </w:rPr>
        <w:t>Parties</w:t>
      </w:r>
      <w:r>
        <w:rPr>
          <w:rFonts w:ascii="Arial" w:cs="Arial" w:eastAsia="Arial" w:hAnsi="Arial"/>
          <w:sz w:val="18"/>
          <w:szCs w:val="18"/>
          <w:b w:val="1"/>
          <w:bCs w:val="1"/>
          <w:color w:val="313131"/>
        </w:rPr>
        <w:t xml:space="preserve"> </w:t>
      </w:r>
      <w:r>
        <w:rPr>
          <w:rFonts w:ascii="Arial" w:cs="Arial" w:eastAsia="Arial" w:hAnsi="Arial"/>
          <w:sz w:val="18"/>
          <w:szCs w:val="18"/>
          <w:color w:val="313131"/>
        </w:rPr>
        <w:t>with respect to</w:t>
      </w:r>
      <w:r>
        <w:rPr>
          <w:rFonts w:ascii="Arial" w:cs="Arial" w:eastAsia="Arial" w:hAnsi="Arial"/>
          <w:sz w:val="18"/>
          <w:szCs w:val="18"/>
          <w:b w:val="1"/>
          <w:bCs w:val="1"/>
          <w:color w:val="313131"/>
        </w:rPr>
        <w:t xml:space="preserve"> </w:t>
      </w:r>
      <w:r>
        <w:rPr>
          <w:rFonts w:ascii="Arial" w:cs="Arial" w:eastAsia="Arial" w:hAnsi="Arial"/>
          <w:sz w:val="18"/>
          <w:szCs w:val="18"/>
          <w:color w:val="1C1C1C"/>
        </w:rPr>
        <w:t>this</w:t>
      </w:r>
      <w:r>
        <w:rPr>
          <w:rFonts w:ascii="Arial" w:cs="Arial" w:eastAsia="Arial" w:hAnsi="Arial"/>
          <w:sz w:val="18"/>
          <w:szCs w:val="18"/>
          <w:b w:val="1"/>
          <w:bCs w:val="1"/>
          <w:color w:val="313131"/>
        </w:rPr>
        <w:t xml:space="preserve"> </w:t>
      </w:r>
      <w:r>
        <w:rPr>
          <w:rFonts w:ascii="Arial" w:cs="Arial" w:eastAsia="Arial" w:hAnsi="Arial"/>
          <w:sz w:val="18"/>
          <w:szCs w:val="18"/>
          <w:color w:val="313131"/>
        </w:rPr>
        <w:t>subject</w:t>
      </w:r>
      <w:r>
        <w:rPr>
          <w:rFonts w:ascii="Arial" w:cs="Arial" w:eastAsia="Arial" w:hAnsi="Arial"/>
          <w:sz w:val="18"/>
          <w:szCs w:val="18"/>
          <w:b w:val="1"/>
          <w:bCs w:val="1"/>
          <w:color w:val="313131"/>
        </w:rPr>
        <w:t xml:space="preserve"> </w:t>
      </w:r>
      <w:r>
        <w:rPr>
          <w:rFonts w:ascii="Arial" w:cs="Arial" w:eastAsia="Arial" w:hAnsi="Arial"/>
          <w:sz w:val="18"/>
          <w:szCs w:val="18"/>
          <w:color w:val="1C1C1C"/>
        </w:rPr>
        <w:t>matter</w:t>
      </w:r>
      <w:r>
        <w:rPr>
          <w:rFonts w:ascii="Arial" w:cs="Arial" w:eastAsia="Arial" w:hAnsi="Arial"/>
          <w:sz w:val="18"/>
          <w:szCs w:val="18"/>
          <w:color w:val="5D5E60"/>
        </w:rPr>
        <w:t>,</w:t>
      </w:r>
      <w:r>
        <w:rPr>
          <w:rFonts w:ascii="Arial" w:cs="Arial" w:eastAsia="Arial" w:hAnsi="Arial"/>
          <w:sz w:val="18"/>
          <w:szCs w:val="18"/>
          <w:b w:val="1"/>
          <w:bCs w:val="1"/>
          <w:color w:val="313131"/>
        </w:rPr>
        <w:t xml:space="preserve"> </w:t>
      </w:r>
      <w:r>
        <w:rPr>
          <w:rFonts w:ascii="Arial" w:cs="Arial" w:eastAsia="Arial" w:hAnsi="Arial"/>
          <w:sz w:val="18"/>
          <w:szCs w:val="18"/>
          <w:color w:val="313131"/>
        </w:rPr>
        <w:t>and</w:t>
      </w:r>
      <w:r>
        <w:rPr>
          <w:rFonts w:ascii="Arial" w:cs="Arial" w:eastAsia="Arial" w:hAnsi="Arial"/>
          <w:sz w:val="18"/>
          <w:szCs w:val="18"/>
          <w:b w:val="1"/>
          <w:bCs w:val="1"/>
          <w:color w:val="313131"/>
        </w:rPr>
        <w:t xml:space="preserve"> </w:t>
      </w:r>
      <w:r>
        <w:rPr>
          <w:rFonts w:ascii="Arial" w:cs="Arial" w:eastAsia="Arial" w:hAnsi="Arial"/>
          <w:sz w:val="18"/>
          <w:szCs w:val="18"/>
          <w:color w:val="313131"/>
        </w:rPr>
        <w:t xml:space="preserve">supersedes all prior and contemporaneous discussions, communications and agreements with </w:t>
      </w:r>
      <w:r>
        <w:rPr>
          <w:rFonts w:ascii="Arial" w:cs="Arial" w:eastAsia="Arial" w:hAnsi="Arial"/>
          <w:sz w:val="18"/>
          <w:szCs w:val="18"/>
          <w:color w:val="1C1C1C"/>
        </w:rPr>
        <w:t>r</w:t>
      </w:r>
      <w:r>
        <w:rPr>
          <w:rFonts w:ascii="Arial" w:cs="Arial" w:eastAsia="Arial" w:hAnsi="Arial"/>
          <w:sz w:val="18"/>
          <w:szCs w:val="18"/>
          <w:color w:val="464646"/>
        </w:rPr>
        <w:t>es</w:t>
      </w:r>
      <w:r>
        <w:rPr>
          <w:rFonts w:ascii="Arial" w:cs="Arial" w:eastAsia="Arial" w:hAnsi="Arial"/>
          <w:sz w:val="18"/>
          <w:szCs w:val="18"/>
          <w:color w:val="1C1C1C"/>
        </w:rPr>
        <w:t>p</w:t>
      </w:r>
      <w:r>
        <w:rPr>
          <w:rFonts w:ascii="Arial" w:cs="Arial" w:eastAsia="Arial" w:hAnsi="Arial"/>
          <w:sz w:val="18"/>
          <w:szCs w:val="18"/>
          <w:color w:val="464646"/>
        </w:rPr>
        <w:t>ect</w:t>
      </w:r>
      <w:r>
        <w:rPr>
          <w:rFonts w:ascii="Arial" w:cs="Arial" w:eastAsia="Arial" w:hAnsi="Arial"/>
          <w:sz w:val="18"/>
          <w:szCs w:val="18"/>
          <w:color w:val="313131"/>
        </w:rPr>
        <w:t xml:space="preserve"> </w:t>
      </w:r>
      <w:r>
        <w:rPr>
          <w:rFonts w:ascii="Arial" w:cs="Arial" w:eastAsia="Arial" w:hAnsi="Arial"/>
          <w:sz w:val="18"/>
          <w:szCs w:val="18"/>
          <w:color w:val="1C1C1C"/>
        </w:rPr>
        <w:t>th</w:t>
      </w:r>
      <w:r>
        <w:rPr>
          <w:rFonts w:ascii="Arial" w:cs="Arial" w:eastAsia="Arial" w:hAnsi="Arial"/>
          <w:sz w:val="18"/>
          <w:szCs w:val="18"/>
          <w:color w:val="464646"/>
        </w:rPr>
        <w:t>e</w:t>
      </w:r>
      <w:r>
        <w:rPr>
          <w:rFonts w:ascii="Arial" w:cs="Arial" w:eastAsia="Arial" w:hAnsi="Arial"/>
          <w:sz w:val="18"/>
          <w:szCs w:val="18"/>
          <w:color w:val="1C1C1C"/>
        </w:rPr>
        <w:t>reto. In</w:t>
      </w:r>
      <w:r>
        <w:rPr>
          <w:rFonts w:ascii="Arial" w:cs="Arial" w:eastAsia="Arial" w:hAnsi="Arial"/>
          <w:sz w:val="18"/>
          <w:szCs w:val="18"/>
          <w:color w:val="313131"/>
        </w:rPr>
        <w:t xml:space="preserve"> the event of any conflict between </w:t>
      </w:r>
      <w:r>
        <w:rPr>
          <w:rFonts w:ascii="Arial" w:cs="Arial" w:eastAsia="Arial" w:hAnsi="Arial"/>
          <w:sz w:val="18"/>
          <w:szCs w:val="18"/>
          <w:color w:val="1C1C1C"/>
        </w:rPr>
        <w:t>the terms</w:t>
      </w:r>
      <w:r>
        <w:rPr>
          <w:rFonts w:ascii="Arial" w:cs="Arial" w:eastAsia="Arial" w:hAnsi="Arial"/>
          <w:sz w:val="18"/>
          <w:szCs w:val="18"/>
          <w:color w:val="313131"/>
        </w:rPr>
        <w:t xml:space="preserve"> of </w:t>
      </w:r>
      <w:r>
        <w:rPr>
          <w:rFonts w:ascii="Arial" w:cs="Arial" w:eastAsia="Arial" w:hAnsi="Arial"/>
          <w:sz w:val="18"/>
          <w:szCs w:val="18"/>
          <w:color w:val="1C1C1C"/>
        </w:rPr>
        <w:t>thi</w:t>
      </w:r>
      <w:r>
        <w:rPr>
          <w:rFonts w:ascii="Arial" w:cs="Arial" w:eastAsia="Arial" w:hAnsi="Arial"/>
          <w:sz w:val="18"/>
          <w:szCs w:val="18"/>
          <w:color w:val="464646"/>
        </w:rPr>
        <w:t>s</w:t>
      </w:r>
      <w:r>
        <w:rPr>
          <w:rFonts w:ascii="Arial" w:cs="Arial" w:eastAsia="Arial" w:hAnsi="Arial"/>
          <w:sz w:val="18"/>
          <w:szCs w:val="18"/>
          <w:color w:val="313131"/>
        </w:rPr>
        <w:t xml:space="preserve"> Agreement and </w:t>
      </w:r>
      <w:r>
        <w:rPr>
          <w:rFonts w:ascii="Arial" w:cs="Arial" w:eastAsia="Arial" w:hAnsi="Arial"/>
          <w:sz w:val="18"/>
          <w:szCs w:val="18"/>
          <w:color w:val="1C1C1C"/>
        </w:rPr>
        <w:t>the terms</w:t>
      </w:r>
      <w:r>
        <w:rPr>
          <w:rFonts w:ascii="Arial" w:cs="Arial" w:eastAsia="Arial" w:hAnsi="Arial"/>
          <w:sz w:val="18"/>
          <w:szCs w:val="18"/>
          <w:color w:val="313131"/>
        </w:rPr>
        <w:t xml:space="preserve"> of any Exhibit, the </w:t>
      </w:r>
      <w:r>
        <w:rPr>
          <w:rFonts w:ascii="Arial" w:cs="Arial" w:eastAsia="Arial" w:hAnsi="Arial"/>
          <w:sz w:val="18"/>
          <w:szCs w:val="18"/>
          <w:color w:val="1C1C1C"/>
        </w:rPr>
        <w:t>terms</w:t>
      </w:r>
      <w:r>
        <w:rPr>
          <w:rFonts w:ascii="Arial" w:cs="Arial" w:eastAsia="Arial" w:hAnsi="Arial"/>
          <w:sz w:val="18"/>
          <w:szCs w:val="18"/>
          <w:color w:val="313131"/>
        </w:rPr>
        <w:t xml:space="preserve"> of such Exhibit shall control.</w:t>
      </w:r>
    </w:p>
    <w:p>
      <w:pPr>
        <w:spacing w:after="0" w:line="199" w:lineRule="exact"/>
        <w:rPr>
          <w:sz w:val="20"/>
          <w:szCs w:val="20"/>
          <w:color w:val="auto"/>
        </w:rPr>
      </w:pPr>
    </w:p>
    <w:p>
      <w:pPr>
        <w:ind w:left="960"/>
        <w:spacing w:after="0"/>
        <w:tabs>
          <w:tab w:leader="none" w:pos="19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b w:val="1"/>
          <w:bCs w:val="1"/>
          <w:color w:val="auto"/>
        </w:rPr>
        <w:t>List of Exhibits:</w:t>
      </w:r>
    </w:p>
    <w:p>
      <w:pPr>
        <w:spacing w:after="0" w:line="227" w:lineRule="exact"/>
        <w:rPr>
          <w:sz w:val="20"/>
          <w:szCs w:val="20"/>
          <w:color w:val="auto"/>
        </w:rPr>
      </w:pPr>
    </w:p>
    <w:p>
      <w:pPr>
        <w:ind w:left="620" w:hanging="308"/>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Products and Trademark Labeling</w:t>
      </w:r>
    </w:p>
    <w:p>
      <w:pPr>
        <w:ind w:left="640" w:hanging="328"/>
        <w:spacing w:after="0" w:line="219"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Exhibit B-1</w:t>
      </w:r>
      <w:r>
        <w:rPr>
          <w:rFonts w:ascii="Arial" w:cs="Arial" w:eastAsia="Arial" w:hAnsi="Arial"/>
          <w:sz w:val="18"/>
          <w:szCs w:val="18"/>
          <w:color w:val="auto"/>
        </w:rPr>
        <w:t>: Specifications – Infusions sets</w:t>
      </w:r>
    </w:p>
    <w:p>
      <w:pPr>
        <w:ind w:left="620" w:hanging="308"/>
        <w:spacing w:after="0" w:line="219" w:lineRule="auto"/>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Exhibit B-2</w:t>
      </w:r>
      <w:r>
        <w:rPr>
          <w:rFonts w:ascii="Arial" w:cs="Arial" w:eastAsia="Arial" w:hAnsi="Arial"/>
          <w:sz w:val="18"/>
          <w:szCs w:val="18"/>
          <w:color w:val="auto"/>
        </w:rPr>
        <w:t>: Specifications – Custom Luer</w:t>
      </w:r>
    </w:p>
    <w:p>
      <w:pPr>
        <w:ind w:left="640" w:hanging="328"/>
        <w:spacing w:after="0" w:line="219"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Pricing and minimum volumes</w:t>
      </w:r>
    </w:p>
    <w:p>
      <w:pPr>
        <w:ind w:left="620" w:hanging="308"/>
        <w:spacing w:after="0" w:line="219" w:lineRule="auto"/>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Shelf life/Warranty periods</w:t>
      </w:r>
    </w:p>
    <w:p>
      <w:pPr>
        <w:ind w:left="640" w:hanging="328"/>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Quality Agreement [***] between Tandem Diabetes Care, Inc. and Unomedical A/S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Tandem Diabetes Care, Inc.</w:t>
            </w:r>
          </w:p>
        </w:tc>
        <w:tc>
          <w:tcPr>
            <w:tcW w:w="3340" w:type="dxa"/>
            <w:vAlign w:val="bottom"/>
            <w:gridSpan w:val="4"/>
          </w:tcPr>
          <w:p>
            <w:pPr>
              <w:ind w:left="1620"/>
              <w:spacing w:after="0"/>
              <w:rPr>
                <w:sz w:val="20"/>
                <w:szCs w:val="20"/>
                <w:color w:val="auto"/>
              </w:rPr>
            </w:pPr>
            <w:r>
              <w:rPr>
                <w:rFonts w:ascii="Arial" w:cs="Arial" w:eastAsia="Arial" w:hAnsi="Arial"/>
                <w:sz w:val="18"/>
                <w:szCs w:val="18"/>
                <w:b w:val="1"/>
                <w:bCs w:val="1"/>
                <w:color w:val="auto"/>
              </w:rPr>
              <w:t>Unomedical A/S</w:t>
            </w:r>
          </w:p>
        </w:tc>
      </w:tr>
      <w:tr>
        <w:trPr>
          <w:trHeight w:val="445"/>
        </w:trPr>
        <w:tc>
          <w:tcPr>
            <w:tcW w:w="3780" w:type="dxa"/>
            <w:vAlign w:val="bottom"/>
            <w:gridSpan w:val="3"/>
          </w:tcPr>
          <w:p>
            <w:pPr>
              <w:spacing w:after="0"/>
              <w:rPr>
                <w:sz w:val="20"/>
                <w:szCs w:val="20"/>
                <w:color w:val="auto"/>
              </w:rPr>
            </w:pPr>
            <w:r>
              <w:rPr>
                <w:rFonts w:ascii="Arial" w:cs="Arial" w:eastAsia="Arial" w:hAnsi="Arial"/>
                <w:sz w:val="18"/>
                <w:szCs w:val="18"/>
                <w:color w:val="auto"/>
              </w:rPr>
              <w:t>By:</w:t>
            </w:r>
          </w:p>
        </w:tc>
        <w:tc>
          <w:tcPr>
            <w:tcW w:w="3340" w:type="dxa"/>
            <w:vAlign w:val="bottom"/>
            <w:gridSpan w:val="4"/>
          </w:tcPr>
          <w:p>
            <w:pPr>
              <w:ind w:left="1620"/>
              <w:spacing w:after="0"/>
              <w:rPr>
                <w:sz w:val="20"/>
                <w:szCs w:val="20"/>
                <w:color w:val="auto"/>
              </w:rPr>
            </w:pPr>
            <w:r>
              <w:rPr>
                <w:rFonts w:ascii="Arial" w:cs="Arial" w:eastAsia="Arial" w:hAnsi="Arial"/>
                <w:sz w:val="18"/>
                <w:szCs w:val="18"/>
                <w:color w:val="auto"/>
              </w:rPr>
              <w:t>By:</w:t>
            </w:r>
          </w:p>
        </w:tc>
      </w:tr>
      <w:tr>
        <w:trPr>
          <w:trHeight w:val="190"/>
        </w:trPr>
        <w:tc>
          <w:tcPr>
            <w:tcW w:w="420" w:type="dxa"/>
            <w:vAlign w:val="bottom"/>
          </w:tcPr>
          <w:p>
            <w:pPr>
              <w:spacing w:after="0"/>
              <w:rPr>
                <w:sz w:val="16"/>
                <w:szCs w:val="16"/>
                <w:color w:val="auto"/>
              </w:rPr>
            </w:pPr>
          </w:p>
        </w:tc>
        <w:tc>
          <w:tcPr>
            <w:tcW w:w="3360" w:type="dxa"/>
            <w:vAlign w:val="bottom"/>
            <w:gridSpan w:val="2"/>
          </w:tcPr>
          <w:p>
            <w:pPr>
              <w:spacing w:after="0" w:line="190" w:lineRule="exact"/>
              <w:rPr>
                <w:sz w:val="20"/>
                <w:szCs w:val="20"/>
                <w:color w:val="auto"/>
              </w:rPr>
            </w:pPr>
            <w:r>
              <w:rPr>
                <w:rFonts w:ascii="Arial" w:cs="Arial" w:eastAsia="Arial" w:hAnsi="Arial"/>
                <w:sz w:val="18"/>
                <w:szCs w:val="18"/>
                <w:color w:val="auto"/>
              </w:rPr>
              <w:t>/s/ Jim Leal</w:t>
            </w:r>
          </w:p>
        </w:tc>
        <w:tc>
          <w:tcPr>
            <w:tcW w:w="2040" w:type="dxa"/>
            <w:vAlign w:val="bottom"/>
          </w:tcPr>
          <w:p>
            <w:pPr>
              <w:spacing w:after="0"/>
              <w:rPr>
                <w:sz w:val="16"/>
                <w:szCs w:val="16"/>
                <w:color w:val="auto"/>
              </w:rPr>
            </w:pPr>
          </w:p>
        </w:tc>
        <w:tc>
          <w:tcPr>
            <w:tcW w:w="1300" w:type="dxa"/>
            <w:vAlign w:val="bottom"/>
            <w:gridSpan w:val="3"/>
          </w:tcPr>
          <w:p>
            <w:pPr>
              <w:spacing w:after="0" w:line="190" w:lineRule="exact"/>
              <w:rPr>
                <w:sz w:val="20"/>
                <w:szCs w:val="20"/>
                <w:color w:val="auto"/>
              </w:rPr>
            </w:pPr>
            <w:r>
              <w:rPr>
                <w:rFonts w:ascii="Arial" w:cs="Arial" w:eastAsia="Arial" w:hAnsi="Arial"/>
                <w:sz w:val="18"/>
                <w:szCs w:val="18"/>
                <w:color w:val="auto"/>
                <w:w w:val="91"/>
              </w:rPr>
              <w:t>/s/ John Lindskog</w:t>
            </w:r>
          </w:p>
        </w:tc>
      </w:tr>
      <w:tr>
        <w:trPr>
          <w:trHeight w:val="169"/>
        </w:trPr>
        <w:tc>
          <w:tcPr>
            <w:tcW w:w="4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Jim Leal</w:t>
            </w: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John Lindskog</w:t>
            </w:r>
          </w:p>
        </w:tc>
        <w:tc>
          <w:tcPr>
            <w:tcW w:w="20" w:type="dxa"/>
            <w:vAlign w:val="bottom"/>
          </w:tcPr>
          <w:p>
            <w:pPr>
              <w:spacing w:after="0"/>
              <w:rPr>
                <w:sz w:val="14"/>
                <w:szCs w:val="14"/>
                <w:color w:val="auto"/>
              </w:rPr>
            </w:pPr>
          </w:p>
        </w:tc>
      </w:tr>
      <w:tr>
        <w:trPr>
          <w:trHeight w:val="210"/>
        </w:trPr>
        <w:tc>
          <w:tcPr>
            <w:tcW w:w="4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Sr. VP, Operations</w:t>
            </w:r>
          </w:p>
        </w:tc>
        <w:tc>
          <w:tcPr>
            <w:tcW w:w="20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4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12121"/>
        </w:rPr>
        <w:t>EXHIBIT A</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12121"/>
        </w:rPr>
        <w:t>PRODUCTS AND TRADEMARK LABELING</w:t>
      </w:r>
    </w:p>
    <w:p>
      <w:pPr>
        <w:spacing w:after="0" w:line="2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20"/>
          </w:cols>
          <w:pgMar w:left="144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232323"/>
        </w:rPr>
        <w:t>EXHIBIT B-1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232323"/>
        </w:rPr>
        <w:t>***</w:t>
      </w:r>
    </w:p>
    <w:p>
      <w:pPr>
        <w:sectPr>
          <w:pgSz w:w="11900" w:h="16838" w:orient="portrait"/>
          <w:cols w:equalWidth="0" w:num="1">
            <w:col w:w="10120"/>
          </w:cols>
          <w:pgMar w:left="1440" w:top="121" w:right="339" w:bottom="2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120"/>
          </w:cols>
          <w:pgMar w:left="1440" w:top="121" w:right="339" w:bottom="293"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EXHIBIT B-2</w:t>
      </w:r>
    </w:p>
    <w:p>
      <w:pPr>
        <w:spacing w:after="0" w:line="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20"/>
          </w:cols>
          <w:pgMar w:left="144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181818"/>
        </w:rPr>
        <w:t>EXHIBIT C</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18181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A2A2A"/>
        </w:rPr>
        <w:t>EXHIBIT D</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A2A2A"/>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120"/>
          </w:cols>
          <w:pgMar w:left="144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12121"/>
        </w:rPr>
        <w:t>EXHIBIT E</w:t>
      </w:r>
    </w:p>
    <w:p>
      <w:pPr>
        <w:jc w:val="center"/>
        <w:ind w:right="-99"/>
        <w:spacing w:after="0" w:line="221" w:lineRule="auto"/>
        <w:rPr>
          <w:sz w:val="20"/>
          <w:szCs w:val="20"/>
          <w:color w:val="auto"/>
        </w:rPr>
      </w:pPr>
      <w:r>
        <w:rPr>
          <w:rFonts w:ascii="Arial" w:cs="Arial" w:eastAsia="Arial" w:hAnsi="Arial"/>
          <w:sz w:val="18"/>
          <w:szCs w:val="18"/>
          <w:b w:val="1"/>
          <w:bCs w:val="1"/>
          <w:color w:val="212121"/>
        </w:rPr>
        <w:t>QUALITY AGREEMENT</w:t>
      </w:r>
    </w:p>
    <w:p>
      <w:pPr>
        <w:jc w:val="center"/>
        <w:ind w:right="-99"/>
        <w:spacing w:after="0"/>
        <w:rPr>
          <w:sz w:val="20"/>
          <w:szCs w:val="20"/>
          <w:color w:val="auto"/>
        </w:rPr>
      </w:pPr>
      <w:r>
        <w:rPr>
          <w:rFonts w:ascii="Arial" w:cs="Arial" w:eastAsia="Arial" w:hAnsi="Arial"/>
          <w:sz w:val="18"/>
          <w:szCs w:val="18"/>
          <w:b w:val="1"/>
          <w:bCs w:val="1"/>
          <w:color w:val="21212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20"/>
          </w:cols>
          <w:pgMar w:left="144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25"/>
          <w:szCs w:val="25"/>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80"/>
        <w:spacing w:after="0"/>
        <w:rPr>
          <w:sz w:val="20"/>
          <w:szCs w:val="20"/>
          <w:color w:val="auto"/>
        </w:rPr>
      </w:pPr>
      <w:r>
        <w:rPr>
          <w:rFonts w:ascii="Arial" w:cs="Arial" w:eastAsia="Arial" w:hAnsi="Arial"/>
          <w:sz w:val="25"/>
          <w:szCs w:val="25"/>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ONE DEL MAR LLC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TANDEM DIABETES CARE, INC.</w:t>
      </w:r>
    </w:p>
    <w:p>
      <w:pPr>
        <w:sectPr>
          <w:pgSz w:w="11900" w:h="16838" w:orient="portrait"/>
          <w:cols w:equalWidth="0" w:num="1">
            <w:col w:w="10120"/>
          </w:cols>
          <w:pgMar w:left="1440" w:top="146" w:right="339" w:bottom="1440" w:gutter="0" w:footer="0" w:header="0"/>
        </w:sectPr>
      </w:pPr>
    </w:p>
    <w:bookmarkStart w:id="149" w:name="page150"/>
    <w:bookmarkEnd w:id="149"/>
    <w:p>
      <w:pPr>
        <w:jc w:val="right"/>
        <w:ind w:right="20"/>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LEASE</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THIS LEASE is made as of May 10, 2021, by and between </w:t>
      </w:r>
      <w:r>
        <w:rPr>
          <w:rFonts w:ascii="Arial" w:cs="Arial" w:eastAsia="Arial" w:hAnsi="Arial"/>
          <w:sz w:val="18"/>
          <w:szCs w:val="18"/>
          <w:b w:val="1"/>
          <w:bCs w:val="1"/>
          <w:color w:val="auto"/>
        </w:rPr>
        <w:t>ONE DEL MAR LLC</w:t>
      </w:r>
      <w:r>
        <w:rPr>
          <w:rFonts w:ascii="Arial" w:cs="Arial" w:eastAsia="Arial" w:hAnsi="Arial"/>
          <w:sz w:val="18"/>
          <w:szCs w:val="18"/>
          <w:color w:val="auto"/>
        </w:rPr>
        <w:t>, a Delaware limited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liability company, hereafter called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TANDEM DIABETES CARE, INC.</w:t>
      </w:r>
      <w:r>
        <w:rPr>
          <w:rFonts w:ascii="Arial" w:cs="Arial" w:eastAsia="Arial" w:hAnsi="Arial"/>
          <w:sz w:val="18"/>
          <w:szCs w:val="18"/>
          <w:color w:val="auto"/>
        </w:rPr>
        <w:t>, a Delaware corporation, hereafter called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0" w:lineRule="exact"/>
        <w:rPr>
          <w:sz w:val="20"/>
          <w:szCs w:val="20"/>
          <w:color w:val="auto"/>
        </w:rPr>
      </w:pPr>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1. BASIC LEASE PROVISIONS</w:t>
      </w:r>
    </w:p>
    <w:p>
      <w:pPr>
        <w:spacing w:after="0" w:line="200" w:lineRule="exact"/>
        <w:rPr>
          <w:sz w:val="20"/>
          <w:szCs w:val="20"/>
          <w:color w:val="auto"/>
        </w:rPr>
      </w:pPr>
    </w:p>
    <w:p>
      <w:pPr>
        <w:spacing w:after="0" w:line="268" w:lineRule="exact"/>
        <w:rPr>
          <w:sz w:val="20"/>
          <w:szCs w:val="20"/>
          <w:color w:val="auto"/>
        </w:rPr>
      </w:pPr>
    </w:p>
    <w:p>
      <w:pPr>
        <w:ind w:right="20" w:firstLine="479"/>
        <w:spacing w:after="0" w:line="237" w:lineRule="auto"/>
        <w:rPr>
          <w:sz w:val="20"/>
          <w:szCs w:val="20"/>
          <w:color w:val="auto"/>
        </w:rPr>
      </w:pPr>
      <w:r>
        <w:rPr>
          <w:rFonts w:ascii="Arial" w:cs="Arial" w:eastAsia="Arial" w:hAnsi="Arial"/>
          <w:sz w:val="18"/>
          <w:szCs w:val="18"/>
          <w:color w:val="auto"/>
        </w:rPr>
        <w:t>Each reference in this Lease to the “</w:t>
      </w:r>
      <w:r>
        <w:rPr>
          <w:rFonts w:ascii="Arial" w:cs="Arial" w:eastAsia="Arial" w:hAnsi="Arial"/>
          <w:sz w:val="18"/>
          <w:szCs w:val="18"/>
          <w:b w:val="1"/>
          <w:bCs w:val="1"/>
          <w:color w:val="auto"/>
        </w:rPr>
        <w:t>Basic Lease Provisions</w:t>
      </w:r>
      <w:r>
        <w:rPr>
          <w:rFonts w:ascii="Arial" w:cs="Arial" w:eastAsia="Arial" w:hAnsi="Arial"/>
          <w:sz w:val="18"/>
          <w:szCs w:val="18"/>
          <w:color w:val="auto"/>
        </w:rPr>
        <w:t>” shall mean and refer to the following collective terms, the application of which shall be governed by the provisions in the remaining Articles of this Lease.</w:t>
      </w:r>
    </w:p>
    <w:p>
      <w:pPr>
        <w:spacing w:after="0" w:line="185"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Tenant’s Trade Name</w:t>
      </w:r>
      <w:r>
        <w:rPr>
          <w:rFonts w:ascii="Arial" w:cs="Arial" w:eastAsia="Arial" w:hAnsi="Arial"/>
          <w:sz w:val="18"/>
          <w:szCs w:val="18"/>
          <w:color w:val="auto"/>
        </w:rPr>
        <w:t>: 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Premises</w:t>
      </w:r>
      <w:r>
        <w:rPr>
          <w:rFonts w:ascii="Arial" w:cs="Arial" w:eastAsia="Arial" w:hAnsi="Arial"/>
          <w:sz w:val="18"/>
          <w:szCs w:val="18"/>
          <w:color w:val="auto"/>
        </w:rPr>
        <w:t>: Suite No. 200</w:t>
      </w:r>
    </w:p>
    <w:p>
      <w:pPr>
        <w:spacing w:after="0" w:line="2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Building</w:t>
      </w:r>
      <w:r>
        <w:rPr>
          <w:rFonts w:ascii="Arial" w:cs="Arial" w:eastAsia="Arial" w:hAnsi="Arial"/>
          <w:sz w:val="18"/>
          <w:szCs w:val="18"/>
          <w:color w:val="auto"/>
        </w:rPr>
        <w:t>: 12544 High Bluff Drive, San Diego, CA 92130</w:t>
      </w:r>
    </w:p>
    <w:p>
      <w:pPr>
        <w:spacing w:after="0" w:line="2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 One Del Mar</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Premises are more particularly described in Section 2.1.)</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Permitted Use</w:t>
      </w:r>
      <w:r>
        <w:rPr>
          <w:rFonts w:ascii="Arial" w:cs="Arial" w:eastAsia="Arial" w:hAnsi="Arial"/>
          <w:sz w:val="18"/>
          <w:szCs w:val="18"/>
          <w:color w:val="auto"/>
        </w:rPr>
        <w:t>: General office and for no other 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Commencement Date</w:t>
      </w:r>
      <w:r>
        <w:rPr>
          <w:rFonts w:ascii="Arial" w:cs="Arial" w:eastAsia="Arial" w:hAnsi="Arial"/>
          <w:sz w:val="18"/>
          <w:szCs w:val="18"/>
          <w:color w:val="auto"/>
        </w:rPr>
        <w:t>: April 1,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Lease Term</w:t>
      </w:r>
      <w:r>
        <w:rPr>
          <w:rFonts w:ascii="Arial" w:cs="Arial" w:eastAsia="Arial" w:hAnsi="Arial"/>
          <w:sz w:val="18"/>
          <w:szCs w:val="18"/>
          <w:color w:val="auto"/>
        </w:rPr>
        <w:t>: 24 months. The Term of this Lease shall expire at midnight on March 31, 2024.</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Basic Rent:</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76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Months of Term or Period</w:t>
            </w:r>
          </w:p>
        </w:tc>
        <w:tc>
          <w:tcPr>
            <w:tcW w:w="37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Monthly Rate Per Rentable Square Foot</w:t>
            </w:r>
          </w:p>
        </w:tc>
        <w:tc>
          <w:tcPr>
            <w:tcW w:w="3760" w:type="dxa"/>
            <w:vAlign w:val="bottom"/>
            <w:tcBorders>
              <w:top w:val="single" w:sz="8" w:color="auto"/>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Monthly Basic Rent</w:t>
            </w:r>
          </w:p>
        </w:tc>
      </w:tr>
      <w:tr>
        <w:trPr>
          <w:trHeight w:val="214"/>
        </w:trPr>
        <w:tc>
          <w:tcPr>
            <w:tcW w:w="3760" w:type="dxa"/>
            <w:vAlign w:val="bottom"/>
            <w:tcBorders>
              <w:left w:val="single" w:sz="8" w:color="auto"/>
              <w:bottom w:val="single" w:sz="8" w:color="auto"/>
              <w:right w:val="single" w:sz="8" w:color="auto"/>
            </w:tcBorders>
          </w:tcPr>
          <w:p>
            <w:pPr>
              <w:jc w:val="center"/>
              <w:ind w:left="930"/>
              <w:spacing w:after="0"/>
              <w:rPr>
                <w:sz w:val="20"/>
                <w:szCs w:val="20"/>
                <w:color w:val="auto"/>
              </w:rPr>
            </w:pPr>
            <w:r>
              <w:rPr>
                <w:rFonts w:ascii="Arial" w:cs="Arial" w:eastAsia="Arial" w:hAnsi="Arial"/>
                <w:sz w:val="18"/>
                <w:szCs w:val="18"/>
                <w:color w:val="auto"/>
                <w:w w:val="90"/>
              </w:rPr>
              <w:t>1 to 12</w:t>
            </w:r>
          </w:p>
        </w:tc>
        <w:tc>
          <w:tcPr>
            <w:tcW w:w="3740" w:type="dxa"/>
            <w:vAlign w:val="bottom"/>
            <w:tcBorders>
              <w:bottom w:val="single" w:sz="8" w:color="auto"/>
              <w:right w:val="single" w:sz="8" w:color="auto"/>
            </w:tcBorders>
          </w:tcPr>
          <w:p>
            <w:pPr>
              <w:jc w:val="right"/>
              <w:ind w:right="1930"/>
              <w:spacing w:after="0"/>
              <w:rPr>
                <w:sz w:val="20"/>
                <w:szCs w:val="20"/>
                <w:color w:val="auto"/>
              </w:rPr>
            </w:pPr>
            <w:r>
              <w:rPr>
                <w:rFonts w:ascii="Arial" w:cs="Arial" w:eastAsia="Arial" w:hAnsi="Arial"/>
                <w:sz w:val="18"/>
                <w:szCs w:val="18"/>
                <w:color w:val="auto"/>
              </w:rPr>
              <w:t>$4.10</w:t>
            </w:r>
          </w:p>
        </w:tc>
        <w:tc>
          <w:tcPr>
            <w:tcW w:w="376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$128,625.20</w:t>
            </w:r>
          </w:p>
        </w:tc>
      </w:tr>
      <w:tr>
        <w:trPr>
          <w:trHeight w:val="210"/>
        </w:trPr>
        <w:tc>
          <w:tcPr>
            <w:tcW w:w="3760" w:type="dxa"/>
            <w:vAlign w:val="bottom"/>
            <w:tcBorders>
              <w:left w:val="single" w:sz="8" w:color="auto"/>
              <w:bottom w:val="single" w:sz="8" w:color="auto"/>
              <w:right w:val="single" w:sz="8" w:color="auto"/>
            </w:tcBorders>
          </w:tcPr>
          <w:p>
            <w:pPr>
              <w:jc w:val="center"/>
              <w:ind w:left="930"/>
              <w:spacing w:after="0"/>
              <w:rPr>
                <w:sz w:val="20"/>
                <w:szCs w:val="20"/>
                <w:color w:val="auto"/>
              </w:rPr>
            </w:pPr>
            <w:r>
              <w:rPr>
                <w:rFonts w:ascii="Arial" w:cs="Arial" w:eastAsia="Arial" w:hAnsi="Arial"/>
                <w:sz w:val="18"/>
                <w:szCs w:val="18"/>
                <w:color w:val="auto"/>
                <w:w w:val="89"/>
              </w:rPr>
              <w:t>13 to 24</w:t>
            </w:r>
          </w:p>
        </w:tc>
        <w:tc>
          <w:tcPr>
            <w:tcW w:w="3740" w:type="dxa"/>
            <w:vAlign w:val="bottom"/>
            <w:tcBorders>
              <w:bottom w:val="single" w:sz="8" w:color="auto"/>
              <w:right w:val="single" w:sz="8" w:color="auto"/>
            </w:tcBorders>
          </w:tcPr>
          <w:p>
            <w:pPr>
              <w:jc w:val="right"/>
              <w:ind w:right="1930"/>
              <w:spacing w:after="0"/>
              <w:rPr>
                <w:sz w:val="20"/>
                <w:szCs w:val="20"/>
                <w:color w:val="auto"/>
              </w:rPr>
            </w:pPr>
            <w:r>
              <w:rPr>
                <w:rFonts w:ascii="Arial" w:cs="Arial" w:eastAsia="Arial" w:hAnsi="Arial"/>
                <w:sz w:val="18"/>
                <w:szCs w:val="18"/>
                <w:color w:val="auto"/>
              </w:rPr>
              <w:t>$4.28</w:t>
            </w:r>
          </w:p>
        </w:tc>
        <w:tc>
          <w:tcPr>
            <w:tcW w:w="376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$134,272.16</w:t>
            </w:r>
          </w:p>
        </w:tc>
      </w:tr>
    </w:tbl>
    <w:p>
      <w:pPr>
        <w:spacing w:after="0" w:line="200" w:lineRule="exact"/>
        <w:rPr>
          <w:sz w:val="20"/>
          <w:szCs w:val="20"/>
          <w:color w:val="auto"/>
        </w:rPr>
      </w:pPr>
    </w:p>
    <w:p>
      <w:pPr>
        <w:spacing w:after="0" w:line="349" w:lineRule="exact"/>
        <w:rPr>
          <w:sz w:val="20"/>
          <w:szCs w:val="20"/>
          <w:color w:val="auto"/>
        </w:rPr>
      </w:pPr>
    </w:p>
    <w:p>
      <w:pPr>
        <w:ind w:left="660" w:right="260" w:hanging="328"/>
        <w:spacing w:after="0" w:line="250"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Property Tax Base </w:t>
      </w:r>
      <w:r>
        <w:rPr>
          <w:rFonts w:ascii="Arial" w:cs="Arial" w:eastAsia="Arial" w:hAnsi="Arial"/>
          <w:sz w:val="18"/>
          <w:szCs w:val="18"/>
          <w:color w:val="auto"/>
        </w:rPr>
        <w:t>: The Property Taxes per rentable square foot incurred by Landlord and attributable to the twelve month period ending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2022 (the "</w:t>
      </w:r>
      <w:r>
        <w:rPr>
          <w:rFonts w:ascii="Arial" w:cs="Arial" w:eastAsia="Arial" w:hAnsi="Arial"/>
          <w:sz w:val="18"/>
          <w:szCs w:val="18"/>
          <w:b w:val="1"/>
          <w:bCs w:val="1"/>
          <w:color w:val="auto"/>
        </w:rPr>
        <w:t>Base Year</w:t>
      </w:r>
      <w:r>
        <w:rPr>
          <w:rFonts w:ascii="Arial" w:cs="Arial" w:eastAsia="Arial" w:hAnsi="Arial"/>
          <w:sz w:val="18"/>
          <w:szCs w:val="18"/>
          <w:color w:val="auto"/>
        </w:rPr>
        <w:t>").</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Project Cost Base</w:t>
      </w:r>
      <w:r>
        <w:rPr>
          <w:rFonts w:ascii="Arial" w:cs="Arial" w:eastAsia="Arial" w:hAnsi="Arial"/>
          <w:sz w:val="18"/>
          <w:szCs w:val="18"/>
          <w:color w:val="auto"/>
        </w:rPr>
        <w:t>: The Project Costs per rentable square foot incurred by Landlord and attributable to the Base Year.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Expense Recovery Period</w:t>
      </w:r>
      <w:r>
        <w:rPr>
          <w:rFonts w:ascii="Arial" w:cs="Arial" w:eastAsia="Arial" w:hAnsi="Arial"/>
          <w:sz w:val="17"/>
          <w:szCs w:val="17"/>
          <w:color w:val="auto"/>
        </w:rPr>
        <w:t>: Every twelve month period during the Term (or portion thereof during the first and last Lease years) ending June 30.</w:t>
      </w:r>
    </w:p>
    <w:p>
      <w:pPr>
        <w:spacing w:after="0" w:line="223"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Floor Area of Premises</w:t>
      </w:r>
      <w:r>
        <w:rPr>
          <w:rFonts w:ascii="Arial" w:cs="Arial" w:eastAsia="Arial" w:hAnsi="Arial"/>
          <w:sz w:val="18"/>
          <w:szCs w:val="18"/>
          <w:color w:val="auto"/>
        </w:rPr>
        <w:t>: approximately 31,372 rentable square feet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Floor Area of Building</w:t>
      </w:r>
      <w:r>
        <w:rPr>
          <w:rFonts w:ascii="Arial" w:cs="Arial" w:eastAsia="Arial" w:hAnsi="Arial"/>
          <w:sz w:val="18"/>
          <w:szCs w:val="18"/>
          <w:color w:val="auto"/>
        </w:rPr>
        <w:t>: approximately 115,198 rentable square feet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$147,699.38</w:t>
      </w:r>
    </w:p>
    <w:p>
      <w:pPr>
        <w:sectPr>
          <w:pgSz w:w="11900" w:h="16838" w:orient="portrait"/>
          <w:cols w:equalWidth="0" w:num="1">
            <w:col w:w="11260"/>
          </w:cols>
          <w:pgMar w:left="320" w:top="146"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100" w:hanging="328"/>
        <w:spacing w:after="0" w:line="250"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Irvine Management Company ("</w:t>
      </w:r>
      <w:r>
        <w:rPr>
          <w:rFonts w:ascii="Arial" w:cs="Arial" w:eastAsia="Arial" w:hAnsi="Arial"/>
          <w:sz w:val="18"/>
          <w:szCs w:val="18"/>
          <w:b w:val="1"/>
          <w:bCs w:val="1"/>
          <w:color w:val="auto"/>
        </w:rPr>
        <w:t>Landlord's Broker</w:t>
      </w:r>
      <w:r>
        <w:rPr>
          <w:rFonts w:ascii="Arial" w:cs="Arial" w:eastAsia="Arial" w:hAnsi="Arial"/>
          <w:sz w:val="18"/>
          <w:szCs w:val="18"/>
          <w:color w:val="auto"/>
        </w:rPr>
        <w:t>") is the agent of Landlord exclusively and RE:Align, Inc. ("</w:t>
      </w:r>
      <w:r>
        <w:rPr>
          <w:rFonts w:ascii="Arial" w:cs="Arial" w:eastAsia="Arial" w:hAnsi="Arial"/>
          <w:sz w:val="18"/>
          <w:szCs w:val="18"/>
          <w:b w:val="1"/>
          <w:bCs w:val="1"/>
          <w:color w:val="auto"/>
        </w:rPr>
        <w:t>Tenant's Broker</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the agent of Tenant exclusively.</w:t>
      </w:r>
    </w:p>
    <w:p>
      <w:pPr>
        <w:spacing w:after="0" w:line="189" w:lineRule="exact"/>
        <w:rPr>
          <w:rFonts w:ascii="Arial" w:cs="Arial" w:eastAsia="Arial" w:hAnsi="Arial"/>
          <w:sz w:val="18"/>
          <w:szCs w:val="18"/>
          <w:color w:val="auto"/>
        </w:rPr>
      </w:pPr>
    </w:p>
    <w:p>
      <w:pPr>
        <w:ind w:left="640" w:hanging="30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Parking : </w:t>
      </w:r>
      <w:r>
        <w:rPr>
          <w:rFonts w:ascii="Arial" w:cs="Arial" w:eastAsia="Arial" w:hAnsi="Arial"/>
          <w:sz w:val="18"/>
          <w:szCs w:val="18"/>
          <w:color w:val="auto"/>
        </w:rPr>
        <w:t>144 unreserved parking passes in accordance with the provisions set forth in</w:t>
      </w:r>
      <w:r>
        <w:rPr>
          <w:rFonts w:ascii="Arial" w:cs="Arial" w:eastAsia="Arial" w:hAnsi="Arial"/>
          <w:sz w:val="18"/>
          <w:szCs w:val="18"/>
          <w:b w:val="1"/>
          <w:bCs w:val="1"/>
          <w:color w:val="auto"/>
        </w:rPr>
        <w:t xml:space="preserve"> Exhibit F </w:t>
      </w:r>
      <w:r>
        <w:rPr>
          <w:rFonts w:ascii="Arial" w:cs="Arial" w:eastAsia="Arial" w:hAnsi="Arial"/>
          <w:sz w:val="18"/>
          <w:szCs w:val="18"/>
          <w:color w:val="auto"/>
        </w:rPr>
        <w:t>to this Lease.</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Address for Payments and Notices: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4340" w:type="dxa"/>
            <w:vAlign w:val="bottom"/>
          </w:tcPr>
          <w:p>
            <w:pPr>
              <w:ind w:left="120"/>
              <w:spacing w:after="0"/>
              <w:rPr>
                <w:sz w:val="20"/>
                <w:szCs w:val="20"/>
                <w:color w:val="auto"/>
              </w:rPr>
            </w:pPr>
            <w:r>
              <w:rPr>
                <w:rFonts w:ascii="Arial" w:cs="Arial" w:eastAsia="Arial" w:hAnsi="Arial"/>
                <w:sz w:val="18"/>
                <w:szCs w:val="18"/>
                <w:b w:val="1"/>
                <w:bCs w:val="1"/>
                <w:color w:val="auto"/>
              </w:rPr>
              <w:t>TENANT</w:t>
            </w:r>
          </w:p>
        </w:tc>
        <w:tc>
          <w:tcPr>
            <w:tcW w:w="0" w:type="dxa"/>
            <w:vAlign w:val="bottom"/>
          </w:tcPr>
          <w:p>
            <w:pPr>
              <w:spacing w:after="0"/>
              <w:rPr>
                <w:sz w:val="1"/>
                <w:szCs w:val="1"/>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Payment Registration Address:</w:t>
            </w: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line="176" w:lineRule="exact"/>
              <w:rPr>
                <w:sz w:val="20"/>
                <w:szCs w:val="20"/>
                <w:color w:val="auto"/>
              </w:rPr>
            </w:pPr>
            <w:r>
              <w:rPr>
                <w:rFonts w:ascii="Arial" w:cs="Arial" w:eastAsia="Arial" w:hAnsi="Arial"/>
                <w:sz w:val="18"/>
                <w:szCs w:val="18"/>
                <w:color w:val="auto"/>
                <w:w w:val="91"/>
              </w:rPr>
              <w:t>Email tenantportal@irvinecompany.com to request an account for the Tenant Payment</w:t>
            </w:r>
          </w:p>
        </w:tc>
        <w:tc>
          <w:tcPr>
            <w:tcW w:w="4340" w:type="dxa"/>
            <w:vAlign w:val="bottom"/>
            <w:vMerge w:val="restart"/>
          </w:tcPr>
          <w:p>
            <w:pPr>
              <w:ind w:left="120"/>
              <w:spacing w:after="0"/>
              <w:rPr>
                <w:sz w:val="20"/>
                <w:szCs w:val="20"/>
                <w:color w:val="auto"/>
              </w:rPr>
            </w:pPr>
            <w:r>
              <w:rPr>
                <w:rFonts w:ascii="Arial" w:cs="Arial" w:eastAsia="Arial" w:hAnsi="Arial"/>
                <w:sz w:val="18"/>
                <w:szCs w:val="18"/>
                <w:color w:val="auto"/>
              </w:rPr>
              <w:t>TANDEM DIABETES CARE, INC.</w:t>
            </w:r>
          </w:p>
        </w:tc>
        <w:tc>
          <w:tcPr>
            <w:tcW w:w="0" w:type="dxa"/>
            <w:vAlign w:val="bottom"/>
          </w:tcPr>
          <w:p>
            <w:pPr>
              <w:spacing w:after="0"/>
              <w:rPr>
                <w:sz w:val="1"/>
                <w:szCs w:val="1"/>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Portal.</w:t>
            </w:r>
          </w:p>
        </w:tc>
        <w:tc>
          <w:tcPr>
            <w:tcW w:w="4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Notice Address:</w:t>
            </w:r>
          </w:p>
        </w:tc>
        <w:tc>
          <w:tcPr>
            <w:tcW w:w="4340" w:type="dxa"/>
            <w:vAlign w:val="bottom"/>
          </w:tcPr>
          <w:p>
            <w:pPr>
              <w:ind w:left="120"/>
              <w:spacing w:after="0"/>
              <w:rPr>
                <w:sz w:val="20"/>
                <w:szCs w:val="20"/>
                <w:color w:val="auto"/>
              </w:rPr>
            </w:pPr>
            <w:r>
              <w:rPr>
                <w:rFonts w:ascii="Arial" w:cs="Arial" w:eastAsia="Arial" w:hAnsi="Arial"/>
                <w:sz w:val="18"/>
                <w:szCs w:val="18"/>
                <w:color w:val="auto"/>
                <w:w w:val="92"/>
              </w:rPr>
              <w:t>12544 High Bluff Drive, Suite 0200 San Diego, CA 92130</w:t>
            </w:r>
          </w:p>
        </w:tc>
        <w:tc>
          <w:tcPr>
            <w:tcW w:w="0" w:type="dxa"/>
            <w:vAlign w:val="bottom"/>
          </w:tcPr>
          <w:p>
            <w:pPr>
              <w:spacing w:after="0"/>
              <w:rPr>
                <w:sz w:val="1"/>
                <w:szCs w:val="1"/>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ONE DEL MAR LLC</w:t>
            </w: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12275 El Camino Real, Suite 130 San Diego, CA 92130</w:t>
            </w: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Attn: Property Manager</w:t>
            </w: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with a copy of notices to: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IRVINE MANAGEMENT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Newport Center Drive Newport Beach, CA 92660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Senior Vice President, Property Operations Irvine Office Properties</w:t>
      </w:r>
    </w:p>
    <w:p>
      <w:pPr>
        <w:spacing w:after="0" w:line="247" w:lineRule="exact"/>
        <w:rPr>
          <w:sz w:val="20"/>
          <w:szCs w:val="20"/>
          <w:color w:val="auto"/>
        </w:rPr>
      </w:pPr>
    </w:p>
    <w:p>
      <w:pPr>
        <w:ind w:left="640" w:hanging="308"/>
        <w:spacing w:after="0"/>
        <w:tabs>
          <w:tab w:leader="none" w:pos="640" w:val="left"/>
        </w:tabs>
        <w:numPr>
          <w:ilvl w:val="0"/>
          <w:numId w:val="92"/>
        </w:numPr>
        <w:rPr>
          <w:rFonts w:ascii="Arial" w:cs="Arial" w:eastAsia="Arial" w:hAnsi="Arial"/>
          <w:sz w:val="19"/>
          <w:szCs w:val="19"/>
          <w:color w:val="auto"/>
        </w:rPr>
      </w:pPr>
      <w:r>
        <w:rPr>
          <w:rFonts w:ascii="Arial" w:cs="Arial" w:eastAsia="Arial" w:hAnsi="Arial"/>
          <w:sz w:val="17"/>
          <w:szCs w:val="17"/>
          <w:b w:val="1"/>
          <w:bCs w:val="1"/>
          <w:color w:val="auto"/>
        </w:rPr>
        <w:t xml:space="preserve">List of Lease Exhibits </w:t>
      </w:r>
      <w:r>
        <w:rPr>
          <w:rFonts w:ascii="Arial" w:cs="Arial" w:eastAsia="Arial" w:hAnsi="Arial"/>
          <w:sz w:val="17"/>
          <w:szCs w:val="17"/>
          <w:color w:val="auto"/>
        </w:rPr>
        <w:t>(all exhibits, riders and addenda attached to this Lease are hereby incorporated into and made a part of this Lease):</w:t>
      </w:r>
    </w:p>
    <w:p>
      <w:pPr>
        <w:spacing w:after="0" w:line="258"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Description of Premises</w:t>
      </w:r>
    </w:p>
    <w:p>
      <w:pPr>
        <w:spacing w:after="0" w:line="23"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Operating Expenses</w:t>
      </w:r>
    </w:p>
    <w:p>
      <w:pPr>
        <w:spacing w:after="0" w:line="23" w:lineRule="exact"/>
        <w:rPr>
          <w:sz w:val="20"/>
          <w:szCs w:val="20"/>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Utilities and Services</w:t>
      </w:r>
    </w:p>
    <w:p>
      <w:pPr>
        <w:spacing w:after="0" w:line="23" w:lineRule="exact"/>
        <w:rPr>
          <w:sz w:val="20"/>
          <w:szCs w:val="20"/>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5"/>
          <w:szCs w:val="15"/>
          <w:color w:val="auto"/>
        </w:rPr>
        <w:t>Tenant’s Insurance</w:t>
      </w:r>
    </w:p>
    <w:p>
      <w:pPr>
        <w:spacing w:after="0" w:line="23" w:lineRule="exact"/>
        <w:rPr>
          <w:sz w:val="20"/>
          <w:szCs w:val="20"/>
          <w:color w:val="auto"/>
        </w:rPr>
      </w:pPr>
    </w:p>
    <w:p>
      <w:pPr>
        <w:ind w:left="500"/>
        <w:spacing w:after="0"/>
        <w:tabs>
          <w:tab w:leader="none" w:pos="13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Rules and Regulations</w:t>
      </w:r>
    </w:p>
    <w:p>
      <w:pPr>
        <w:spacing w:after="0" w:line="23" w:lineRule="exact"/>
        <w:rPr>
          <w:sz w:val="20"/>
          <w:szCs w:val="20"/>
          <w:color w:val="auto"/>
        </w:rPr>
      </w:pPr>
    </w:p>
    <w:p>
      <w:pPr>
        <w:ind w:left="500"/>
        <w:spacing w:after="0"/>
        <w:tabs>
          <w:tab w:leader="none" w:pos="13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Parking</w:t>
      </w:r>
    </w:p>
    <w:p>
      <w:pPr>
        <w:spacing w:after="0" w:line="23"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7"/>
          <w:szCs w:val="17"/>
          <w:color w:val="auto"/>
        </w:rPr>
        <w:t>Additional Provisions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ARTICLE 2. PREMISES</w:t>
      </w:r>
    </w:p>
    <w:p>
      <w:pPr>
        <w:spacing w:after="0" w:line="225"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b w:val="1"/>
          <w:bCs w:val="1"/>
          <w:color w:val="auto"/>
        </w:rPr>
        <w:t>2.1 LEASED PREMISES</w:t>
      </w:r>
      <w:r>
        <w:rPr>
          <w:rFonts w:ascii="Arial" w:cs="Arial" w:eastAsia="Arial" w:hAnsi="Arial"/>
          <w:sz w:val="17"/>
          <w:szCs w:val="17"/>
          <w:color w:val="auto"/>
        </w:rPr>
        <w:t>. Landlord leases to Tenant and Tenant leases from Landlord the Premises shown in</w:t>
      </w:r>
      <w:r>
        <w:rPr>
          <w:rFonts w:ascii="Arial" w:cs="Arial" w:eastAsia="Arial" w:hAnsi="Arial"/>
          <w:sz w:val="17"/>
          <w:szCs w:val="17"/>
          <w:b w:val="1"/>
          <w:bCs w:val="1"/>
          <w:color w:val="auto"/>
        </w:rPr>
        <w:t xml:space="preserve"> Exhibit A </w:t>
      </w:r>
      <w:r>
        <w:rPr>
          <w:rFonts w:ascii="Arial" w:cs="Arial" w:eastAsia="Arial" w:hAnsi="Arial"/>
          <w:sz w:val="17"/>
          <w:szCs w:val="17"/>
          <w:color w:val="auto"/>
        </w:rPr>
        <w:t>(the “</w:t>
      </w:r>
      <w:r>
        <w:rPr>
          <w:rFonts w:ascii="Arial" w:cs="Arial" w:eastAsia="Arial" w:hAnsi="Arial"/>
          <w:sz w:val="17"/>
          <w:szCs w:val="17"/>
          <w:b w:val="1"/>
          <w:bCs w:val="1"/>
          <w:color w:val="auto"/>
        </w:rPr>
        <w:t>Premises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containing approximately the floor area set forth in Item 8 of the Basic Lease Provisions (the “</w:t>
      </w:r>
      <w:r>
        <w:rPr>
          <w:rFonts w:ascii="Arial" w:cs="Arial" w:eastAsia="Arial" w:hAnsi="Arial"/>
          <w:sz w:val="17"/>
          <w:szCs w:val="17"/>
          <w:b w:val="1"/>
          <w:bCs w:val="1"/>
          <w:color w:val="auto"/>
        </w:rPr>
        <w:t>Floor Area</w:t>
      </w:r>
      <w:r>
        <w:rPr>
          <w:rFonts w:ascii="Arial" w:cs="Arial" w:eastAsia="Arial" w:hAnsi="Arial"/>
          <w:sz w:val="17"/>
          <w:szCs w:val="17"/>
          <w:color w:val="auto"/>
        </w:rPr>
        <w:t>”). The Premises are located in the building identified in Item 2 of the Basic Lease Provisions (the “</w:t>
      </w:r>
      <w:r>
        <w:rPr>
          <w:rFonts w:ascii="Arial" w:cs="Arial" w:eastAsia="Arial" w:hAnsi="Arial"/>
          <w:sz w:val="17"/>
          <w:szCs w:val="17"/>
          <w:b w:val="1"/>
          <w:bCs w:val="1"/>
          <w:color w:val="auto"/>
        </w:rPr>
        <w:t>Building</w:t>
      </w:r>
      <w:r>
        <w:rPr>
          <w:rFonts w:ascii="Arial" w:cs="Arial" w:eastAsia="Arial" w:hAnsi="Arial"/>
          <w:sz w:val="17"/>
          <w:szCs w:val="17"/>
          <w:color w:val="auto"/>
        </w:rPr>
        <w:t>”), which is a portion of the project described in Item 2 (the “</w:t>
      </w:r>
      <w:r>
        <w:rPr>
          <w:rFonts w:ascii="Arial" w:cs="Arial" w:eastAsia="Arial" w:hAnsi="Arial"/>
          <w:sz w:val="17"/>
          <w:szCs w:val="17"/>
          <w:b w:val="1"/>
          <w:bCs w:val="1"/>
          <w:color w:val="auto"/>
        </w:rPr>
        <w:t>Project</w:t>
      </w:r>
      <w:r>
        <w:rPr>
          <w:rFonts w:ascii="Arial" w:cs="Arial" w:eastAsia="Arial" w:hAnsi="Arial"/>
          <w:sz w:val="17"/>
          <w:szCs w:val="17"/>
          <w:color w:val="auto"/>
        </w:rPr>
        <w:t>”). Landlord and</w:t>
      </w:r>
    </w:p>
    <w:p>
      <w:pPr>
        <w:sectPr>
          <w:pgSz w:w="11900" w:h="16838" w:orient="portrait"/>
          <w:cols w:equalWidth="0" w:num="1">
            <w:col w:w="11240"/>
          </w:cols>
          <w:pgMar w:left="320" w:top="146"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Tenant stipulate and agree that the Floor Area of Premises set forth in Item 8 of the Basic Lease Provisions is correct.</w:t>
      </w:r>
    </w:p>
    <w:p>
      <w:pPr>
        <w:spacing w:after="0" w:line="221" w:lineRule="exact"/>
        <w:rPr>
          <w:sz w:val="20"/>
          <w:szCs w:val="20"/>
          <w:color w:val="auto"/>
        </w:rPr>
      </w:pPr>
    </w:p>
    <w:p>
      <w:pPr>
        <w:jc w:val="both"/>
        <w:ind w:firstLine="479"/>
        <w:spacing w:after="0" w:line="229" w:lineRule="auto"/>
        <w:rPr>
          <w:sz w:val="20"/>
          <w:szCs w:val="20"/>
          <w:color w:val="auto"/>
        </w:rPr>
      </w:pPr>
      <w:r>
        <w:rPr>
          <w:rFonts w:ascii="Arial" w:cs="Arial" w:eastAsia="Arial" w:hAnsi="Arial"/>
          <w:sz w:val="18"/>
          <w:szCs w:val="18"/>
          <w:b w:val="1"/>
          <w:bCs w:val="1"/>
          <w:color w:val="auto"/>
        </w:rPr>
        <w:t>2.2 ACCEPTANCE OF PREMISES</w:t>
      </w:r>
      <w:r>
        <w:rPr>
          <w:rFonts w:ascii="Arial" w:cs="Arial" w:eastAsia="Arial" w:hAnsi="Arial"/>
          <w:sz w:val="18"/>
          <w:szCs w:val="18"/>
          <w:color w:val="auto"/>
        </w:rPr>
        <w:t>. Tenant acknowledges that neither Landlord nor any representative of Landlord has made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warranty with respect to the Premises, the Building or the Project or the suitability or fitness of either for any purpose, except as set forth in this Lease. Tenant is currently occupying the Premises as a subtenant and accepts the Premises and its improvements in their existing as-is condition, and waives any right or claim against Landlord arising out of the condition of the Premises. Nothing contained in this Section 2.2 shall affect the commencement of the Term or the obligation of Tenant to pay rent.</w:t>
      </w:r>
    </w:p>
    <w:p>
      <w:pPr>
        <w:spacing w:after="0" w:line="20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ARTICLE 3. TERM</w:t>
      </w:r>
    </w:p>
    <w:p>
      <w:pPr>
        <w:spacing w:after="0" w:line="225" w:lineRule="exact"/>
        <w:rPr>
          <w:sz w:val="20"/>
          <w:szCs w:val="20"/>
          <w:color w:val="auto"/>
        </w:rPr>
      </w:pPr>
    </w:p>
    <w:p>
      <w:pPr>
        <w:jc w:val="both"/>
        <w:ind w:firstLine="479"/>
        <w:spacing w:after="0" w:line="236"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term of this Lease (“</w:t>
      </w:r>
      <w:r>
        <w:rPr>
          <w:rFonts w:ascii="Arial" w:cs="Arial" w:eastAsia="Arial" w:hAnsi="Arial"/>
          <w:sz w:val="18"/>
          <w:szCs w:val="18"/>
          <w:b w:val="1"/>
          <w:bCs w:val="1"/>
          <w:color w:val="auto"/>
        </w:rPr>
        <w:t>Term</w:t>
      </w:r>
      <w:r>
        <w:rPr>
          <w:rFonts w:ascii="Arial" w:cs="Arial" w:eastAsia="Arial" w:hAnsi="Arial"/>
          <w:sz w:val="18"/>
          <w:szCs w:val="18"/>
          <w:color w:val="auto"/>
        </w:rPr>
        <w:t>”) shall be for the period shown in Item 5 of the Basic Lease Provisions. The Term shall commence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 on the date set forth in Item 4 of the Basic Lease Provisions and shall expire (“</w:t>
      </w:r>
      <w:r>
        <w:rPr>
          <w:rFonts w:ascii="Arial" w:cs="Arial" w:eastAsia="Arial" w:hAnsi="Arial"/>
          <w:sz w:val="18"/>
          <w:szCs w:val="18"/>
          <w:b w:val="1"/>
          <w:bCs w:val="1"/>
          <w:color w:val="auto"/>
        </w:rPr>
        <w:t>Expiration Date</w:t>
      </w:r>
      <w:r>
        <w:rPr>
          <w:rFonts w:ascii="Arial" w:cs="Arial" w:eastAsia="Arial" w:hAnsi="Arial"/>
          <w:sz w:val="18"/>
          <w:szCs w:val="18"/>
          <w:color w:val="auto"/>
        </w:rPr>
        <w:t>”) on the date set forth in Item 5 of the Basic Lease Provisions.</w:t>
      </w:r>
    </w:p>
    <w:p>
      <w:pPr>
        <w:spacing w:after="0" w:line="200" w:lineRule="exact"/>
        <w:rPr>
          <w:sz w:val="20"/>
          <w:szCs w:val="20"/>
          <w:color w:val="auto"/>
        </w:rPr>
      </w:pPr>
    </w:p>
    <w:p>
      <w:pPr>
        <w:spacing w:after="0" w:line="24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ARTICLE 4. RENT AND OPERATING EXPENSES</w:t>
      </w:r>
    </w:p>
    <w:p>
      <w:pPr>
        <w:spacing w:after="0" w:line="225" w:lineRule="exact"/>
        <w:rPr>
          <w:sz w:val="20"/>
          <w:szCs w:val="20"/>
          <w:color w:val="auto"/>
        </w:rPr>
      </w:pPr>
    </w:p>
    <w:p>
      <w:pPr>
        <w:jc w:val="both"/>
        <w:ind w:firstLine="479"/>
        <w:spacing w:after="0" w:line="238" w:lineRule="auto"/>
        <w:rPr>
          <w:sz w:val="20"/>
          <w:szCs w:val="20"/>
          <w:color w:val="auto"/>
        </w:rPr>
      </w:pPr>
      <w:r>
        <w:rPr>
          <w:rFonts w:ascii="Arial" w:cs="Arial" w:eastAsia="Arial" w:hAnsi="Arial"/>
          <w:sz w:val="17"/>
          <w:szCs w:val="17"/>
          <w:b w:val="1"/>
          <w:bCs w:val="1"/>
          <w:color w:val="auto"/>
        </w:rPr>
        <w:t>4.1 BASIC RENT</w:t>
      </w:r>
      <w:r>
        <w:rPr>
          <w:rFonts w:ascii="Arial" w:cs="Arial" w:eastAsia="Arial" w:hAnsi="Arial"/>
          <w:sz w:val="17"/>
          <w:szCs w:val="17"/>
          <w:color w:val="auto"/>
        </w:rPr>
        <w:t>. From and after the Commencement Date, Tenant shall pay to Landlord without deduction or offset a Basic Rent for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total amount shown (including subsequent adjustments, if any) in Item 6 of the Basic Lease Provisions (the “</w:t>
      </w:r>
      <w:r>
        <w:rPr>
          <w:rFonts w:ascii="Arial" w:cs="Arial" w:eastAsia="Arial" w:hAnsi="Arial"/>
          <w:sz w:val="17"/>
          <w:szCs w:val="17"/>
          <w:b w:val="1"/>
          <w:bCs w:val="1"/>
          <w:color w:val="auto"/>
        </w:rPr>
        <w:t>Basic Rent”</w:t>
      </w:r>
      <w:r>
        <w:rPr>
          <w:rFonts w:ascii="Arial" w:cs="Arial" w:eastAsia="Arial" w:hAnsi="Arial"/>
          <w:sz w:val="17"/>
          <w:szCs w:val="17"/>
          <w:color w:val="auto"/>
        </w:rPr>
        <w:t>). If the Commencement Date is other than the first day of a calendar month, any rental adjustment shown in Item 6 shall be deemed to occur on the first day of the next calendar month following the specified monthly anniversary of the Commencement Date. The Basic Rent shall be due and payable in advance commencing on the Commencement Date and continuing thereafter on the first day of each successive calendar month of the Term, as prorated for any partial month. No demand, notice or invoice shall be required. An installment in the amount of 1 full month’s Basic Rent at the initial rate specified in Item 6 of the Basic Lease Provisions shall be delivered to Landlord concurrently with Tenant’s execution of this Lease and shall be applied against the Basic Rent first due hereunder; the next installment of Basic Rent shall be due on the first day of the second calendar month of the Term, which installment shall, if applicable, be appropriately prorated to reflect the amount prepaid for that calendar month.</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4.2 OPERATING EXPENSES</w:t>
      </w:r>
      <w:r>
        <w:rPr>
          <w:rFonts w:ascii="Arial" w:cs="Arial" w:eastAsia="Arial" w:hAnsi="Arial"/>
          <w:sz w:val="18"/>
          <w:szCs w:val="18"/>
          <w:color w:val="auto"/>
        </w:rPr>
        <w:t>. Tenant shall pay Tenant’s Share of Operating Expenses in accordance with</w:t>
      </w:r>
      <w:r>
        <w:rPr>
          <w:rFonts w:ascii="Arial" w:cs="Arial" w:eastAsia="Arial" w:hAnsi="Arial"/>
          <w:sz w:val="18"/>
          <w:szCs w:val="18"/>
          <w:b w:val="1"/>
          <w:bCs w:val="1"/>
          <w:color w:val="auto"/>
        </w:rPr>
        <w:t xml:space="preserve"> Exhibit B </w:t>
      </w:r>
      <w:r>
        <w:rPr>
          <w:rFonts w:ascii="Arial" w:cs="Arial" w:eastAsia="Arial" w:hAnsi="Arial"/>
          <w:sz w:val="18"/>
          <w:szCs w:val="18"/>
          <w:color w:val="auto"/>
        </w:rPr>
        <w:t>of this Lease.</w:t>
      </w:r>
    </w:p>
    <w:p>
      <w:pPr>
        <w:spacing w:after="0" w:line="225" w:lineRule="exact"/>
        <w:rPr>
          <w:sz w:val="20"/>
          <w:szCs w:val="20"/>
          <w:color w:val="auto"/>
        </w:rPr>
      </w:pPr>
    </w:p>
    <w:p>
      <w:pPr>
        <w:jc w:val="both"/>
        <w:ind w:firstLine="479"/>
        <w:spacing w:after="0" w:line="252" w:lineRule="auto"/>
        <w:rPr>
          <w:sz w:val="20"/>
          <w:szCs w:val="20"/>
          <w:color w:val="auto"/>
        </w:rPr>
      </w:pPr>
      <w:r>
        <w:rPr>
          <w:rFonts w:ascii="Arial" w:cs="Arial" w:eastAsia="Arial" w:hAnsi="Arial"/>
          <w:sz w:val="16"/>
          <w:szCs w:val="16"/>
          <w:b w:val="1"/>
          <w:bCs w:val="1"/>
          <w:color w:val="auto"/>
        </w:rPr>
        <w:t>4.3 SECURITY DEPOSIT</w:t>
      </w:r>
      <w:r>
        <w:rPr>
          <w:rFonts w:ascii="Arial" w:cs="Arial" w:eastAsia="Arial" w:hAnsi="Arial"/>
          <w:sz w:val="16"/>
          <w:szCs w:val="16"/>
          <w:color w:val="auto"/>
        </w:rPr>
        <w:t>. Concurrently with Tenant’s delivery of this Lease, Tenant shall deposit with Landlord the sum, if any, stated in Item 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Basic Lease Provisions (the “</w:t>
      </w:r>
      <w:r>
        <w:rPr>
          <w:rFonts w:ascii="Arial" w:cs="Arial" w:eastAsia="Arial" w:hAnsi="Arial"/>
          <w:sz w:val="16"/>
          <w:szCs w:val="16"/>
          <w:b w:val="1"/>
          <w:bCs w:val="1"/>
          <w:color w:val="auto"/>
        </w:rPr>
        <w:t>Security Deposit</w:t>
      </w:r>
      <w:r>
        <w:rPr>
          <w:rFonts w:ascii="Arial" w:cs="Arial" w:eastAsia="Arial" w:hAnsi="Arial"/>
          <w:sz w:val="16"/>
          <w:szCs w:val="16"/>
          <w:color w:val="auto"/>
        </w:rPr>
        <w:t>”), to be held by Landlord as security for the full and faithful performance of Tenant’s obligations under this Lease, to pay any rental sums, including without limitation such additional rent as may be owing under any provision hereof, and to maintain the Premises as required by Sections 7.1 and 15.2 or any other provision of this Lease. Upon any breach of the foregoing obligations by Tenant, Landlord may apply all or part of the Security Deposit as full or partial compensation. If any portion of the Security Deposit is so applied, Tenant shall within 5 days after written demand by Landlord deposit cash with Landlord in an amount sufficient to restore the Security Deposit to its original amount. Landlord shall not be required to keep this Security Deposit separate from its general funds, and Tenant shall not be entitled to interest on the Security Deposit. In no event may Tenant utilize all or any portion of the Security Deposit as a payment toward any Rent due under this Lease. Any unapplied balance of the Security Deposit shall be returned to Tenant or, at Landlord’s option, to the last assignee of Tenant’s interest in this Lease within 30 days following the termination of this Lease and Tenant's vacation of the Premises. Tenant hereby waives the provisions of Section 1950.7 of the California Civil Code, or any similar or successor laws now or hereafter in effect, in connection with Landlord’s application of the Security Deposit to prospective rent that would have been payable by Tenant but for the early termination due to Tenant’s Default (as defined herein).</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ARTICLE 5. USES</w:t>
      </w:r>
    </w:p>
    <w:p>
      <w:pPr>
        <w:spacing w:after="0" w:line="225" w:lineRule="exact"/>
        <w:rPr>
          <w:sz w:val="20"/>
          <w:szCs w:val="20"/>
          <w:color w:val="auto"/>
        </w:rPr>
      </w:pPr>
    </w:p>
    <w:p>
      <w:pPr>
        <w:jc w:val="both"/>
        <w:ind w:firstLine="479"/>
        <w:spacing w:after="0" w:line="236" w:lineRule="auto"/>
        <w:rPr>
          <w:sz w:val="20"/>
          <w:szCs w:val="20"/>
          <w:color w:val="auto"/>
        </w:rPr>
      </w:pPr>
      <w:r>
        <w:rPr>
          <w:rFonts w:ascii="Arial" w:cs="Arial" w:eastAsia="Arial" w:hAnsi="Arial"/>
          <w:sz w:val="18"/>
          <w:szCs w:val="18"/>
          <w:b w:val="1"/>
          <w:bCs w:val="1"/>
          <w:color w:val="auto"/>
        </w:rPr>
        <w:t>5.1 USE</w:t>
      </w:r>
      <w:r>
        <w:rPr>
          <w:rFonts w:ascii="Arial" w:cs="Arial" w:eastAsia="Arial" w:hAnsi="Arial"/>
          <w:sz w:val="18"/>
          <w:szCs w:val="18"/>
          <w:color w:val="auto"/>
        </w:rPr>
        <w:t>. Tenant shall use the Premises only for the purposes stated in Item 3 of the Basic Lease Provisions and for no other use whatsoever. The</w:t>
      </w:r>
      <w:r>
        <w:rPr>
          <w:rFonts w:ascii="Arial" w:cs="Arial" w:eastAsia="Arial" w:hAnsi="Arial"/>
          <w:sz w:val="18"/>
          <w:szCs w:val="18"/>
          <w:b w:val="1"/>
          <w:bCs w:val="1"/>
          <w:color w:val="auto"/>
        </w:rPr>
        <w:t xml:space="preserve"> </w:t>
      </w:r>
      <w:r>
        <w:rPr>
          <w:rFonts w:ascii="Arial" w:cs="Arial" w:eastAsia="Arial" w:hAnsi="Arial"/>
          <w:sz w:val="18"/>
          <w:szCs w:val="18"/>
          <w:color w:val="auto"/>
        </w:rPr>
        <w:t>uses prohibited under this Lease shall include, without limitation, use of the Premises or a portion thereof for (i) offices of any agency or bureau of the United States or any state or political</w:t>
      </w:r>
    </w:p>
    <w:p>
      <w:pPr>
        <w:sectPr>
          <w:pgSz w:w="11900" w:h="16838" w:orient="portrait"/>
          <w:cols w:equalWidth="0" w:num="1">
            <w:col w:w="11240"/>
          </w:cols>
          <w:pgMar w:left="320" w:top="146"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subdivision thereof; (ii) offices or agencies of any foreign governmental or political subdivision thereof; or (iii) schools, temporary employment agencies or other training facilities which are not ancillary to corporate, executive or professional office use. Tenant shall not do or permit anything to be done in or about the Premises which will in any way interfere with the rights or quiet enjoyment of other occupants of the Building or the Project, or use or allow the Premises to be used for any unlawful purpose, nor shall Tenant permit any nuisance or commit any waste in the Premises or the Project. Tenant shall not perform any work or conduct any business whatsoever in the Project other than inside the Premises. Tenant shall comply at its expense with all present and future laws, ordinances and requirements of all governmental authorities that pertain to Tenant or its use of the Premises, and with all energy usage reporting requirements of Landlord. Pursuant to California Civil Code § 1938, Landlord hereby states that the Premises have not undergone inspection by a Certified Access Specialist (CASp) (defined in California Civil Code § 55.52(a)(3)). Pursuant to Section 1938 of the California Civil Code, Landlord hereby provides the following notification to Tenant: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w:t>
      </w:r>
    </w:p>
    <w:p>
      <w:pPr>
        <w:spacing w:after="0" w:line="191" w:lineRule="exact"/>
        <w:rPr>
          <w:sz w:val="20"/>
          <w:szCs w:val="20"/>
          <w:color w:val="auto"/>
        </w:rPr>
      </w:pPr>
    </w:p>
    <w:p>
      <w:pPr>
        <w:jc w:val="both"/>
        <w:ind w:firstLine="479"/>
        <w:spacing w:after="0" w:line="241" w:lineRule="auto"/>
        <w:rPr>
          <w:sz w:val="20"/>
          <w:szCs w:val="20"/>
          <w:color w:val="auto"/>
        </w:rPr>
      </w:pPr>
      <w:r>
        <w:rPr>
          <w:rFonts w:ascii="Arial" w:cs="Arial" w:eastAsia="Arial" w:hAnsi="Arial"/>
          <w:sz w:val="17"/>
          <w:szCs w:val="17"/>
          <w:b w:val="1"/>
          <w:bCs w:val="1"/>
          <w:color w:val="auto"/>
        </w:rPr>
        <w:t>5.2 SIGNS</w:t>
      </w:r>
      <w:r>
        <w:rPr>
          <w:rFonts w:ascii="Arial" w:cs="Arial" w:eastAsia="Arial" w:hAnsi="Arial"/>
          <w:sz w:val="17"/>
          <w:szCs w:val="17"/>
          <w:color w:val="auto"/>
        </w:rPr>
        <w:t>. Landlord shall affix and maintain a sign (restricted solely to Tenant’s name as set forth herein or such other name as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to in writing) adjacent to the entry door of the Premises, together with a directory strip listing Tenant's name as set forth herein in the lobby directory of the Building. Any subsequent changes to that initial signage shall be at Tenant's sole expense. All signage shall conform to the criteria for signs established by Landlord and shall be ordered through Landlord. Tenant shall not place or allow to be placed any other sign, decoration or advertising matter of any kind that is visible from the exterior of the Premises. Any violating sign or decoration may be immediately removed by Landlord at Tenant’s expense without notice and without the removal constituting a breach of this Lease or entitling Tenant to claim damages.</w:t>
      </w:r>
    </w:p>
    <w:p>
      <w:pPr>
        <w:spacing w:after="0" w:line="199" w:lineRule="exact"/>
        <w:rPr>
          <w:sz w:val="20"/>
          <w:szCs w:val="20"/>
          <w:color w:val="auto"/>
        </w:rPr>
      </w:pPr>
    </w:p>
    <w:p>
      <w:pPr>
        <w:jc w:val="both"/>
        <w:ind w:firstLine="479"/>
        <w:spacing w:after="0" w:line="229" w:lineRule="auto"/>
        <w:rPr>
          <w:sz w:val="20"/>
          <w:szCs w:val="20"/>
          <w:color w:val="auto"/>
        </w:rPr>
      </w:pPr>
      <w:r>
        <w:rPr>
          <w:rFonts w:ascii="Arial" w:cs="Arial" w:eastAsia="Arial" w:hAnsi="Arial"/>
          <w:sz w:val="18"/>
          <w:szCs w:val="18"/>
          <w:b w:val="1"/>
          <w:bCs w:val="1"/>
          <w:color w:val="auto"/>
        </w:rPr>
        <w:t>5.3 HAZARDOUS MATERIALS</w:t>
      </w:r>
      <w:r>
        <w:rPr>
          <w:rFonts w:ascii="Arial" w:cs="Arial" w:eastAsia="Arial" w:hAnsi="Arial"/>
          <w:sz w:val="18"/>
          <w:szCs w:val="18"/>
          <w:color w:val="auto"/>
        </w:rPr>
        <w:t>. Tenant shall not generate, handle, store or dispose of hazardous or toxic materials (as such materials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identified in any federal, state or local law or regulation) in the Premises or Project without the prior written consent of Landlord; provided that the foregoing shall not be deemed to proscribe the use by Tenant of customary office supplies in normal quantities so long as such use comports with all applicable laws. Tenant acknowledges that it has read, understands and, if applicable, shall comply with the provisions of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to this Lease, if that Exhibit is attached.</w:t>
      </w:r>
    </w:p>
    <w:p>
      <w:pPr>
        <w:spacing w:after="0" w:line="20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6. LANDLORD SERVICES</w:t>
      </w:r>
    </w:p>
    <w:p>
      <w:pPr>
        <w:spacing w:after="0" w:line="225" w:lineRule="exact"/>
        <w:rPr>
          <w:sz w:val="20"/>
          <w:szCs w:val="20"/>
          <w:color w:val="auto"/>
        </w:rPr>
      </w:pPr>
    </w:p>
    <w:p>
      <w:pPr>
        <w:jc w:val="both"/>
        <w:ind w:firstLine="479"/>
        <w:spacing w:after="0" w:line="252" w:lineRule="auto"/>
        <w:rPr>
          <w:sz w:val="20"/>
          <w:szCs w:val="20"/>
          <w:color w:val="auto"/>
        </w:rPr>
      </w:pPr>
      <w:r>
        <w:rPr>
          <w:rFonts w:ascii="Arial" w:cs="Arial" w:eastAsia="Arial" w:hAnsi="Arial"/>
          <w:sz w:val="16"/>
          <w:szCs w:val="16"/>
          <w:b w:val="1"/>
          <w:bCs w:val="1"/>
          <w:color w:val="auto"/>
        </w:rPr>
        <w:t>6.1 UTILITIES AND SERVICES</w:t>
      </w:r>
      <w:r>
        <w:rPr>
          <w:rFonts w:ascii="Arial" w:cs="Arial" w:eastAsia="Arial" w:hAnsi="Arial"/>
          <w:sz w:val="16"/>
          <w:szCs w:val="16"/>
          <w:color w:val="auto"/>
        </w:rPr>
        <w:t>. Landlord and Tenant shall be responsible to furnish those utilities and services to the Premises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in </w:t>
      </w:r>
      <w:r>
        <w:rPr>
          <w:rFonts w:ascii="Arial" w:cs="Arial" w:eastAsia="Arial" w:hAnsi="Arial"/>
          <w:sz w:val="16"/>
          <w:szCs w:val="16"/>
          <w:b w:val="1"/>
          <w:bCs w:val="1"/>
          <w:color w:val="auto"/>
        </w:rPr>
        <w:t>Exhibit C</w:t>
      </w:r>
      <w:r>
        <w:rPr>
          <w:rFonts w:ascii="Arial" w:cs="Arial" w:eastAsia="Arial" w:hAnsi="Arial"/>
          <w:sz w:val="16"/>
          <w:szCs w:val="16"/>
          <w:color w:val="auto"/>
        </w:rPr>
        <w:t>, subject to the conditions and payment obligations and standards set forth in this Lease. Landlord shall not be liable for any failure to furnish any services or utilities when the failure is the result of any accident or other cause beyond Landlord’s reasonable control, nor shall Landlord be liable for damages resulting from power surges or any breakdown in telecommunications facilities or services. Landlord’s temporary inability to furnish any services or utilities shall not entitle Tenant to any damages, relieve Tenant of the obligation to pay rent or constitute a constructive or other eviction of Tenant, except that Landlord shall diligently attempt to restore the service or utility promptly. Tenant shall comply with all rules and regulations which Landlord may reasonably establish for the provision of services and utilities, and shall cooperate with all reasonable conservation practices established by Landlord. Landlord shall at all reasonable times have free access to all electrical and mechanical installations of Landlord. Electricity used by Tenant in the Premises shall be paid for by Tenant by separate charge billed by the applicable utility company and payable directly by Tenant. However, if the Premises, or a material portion of the Premises, are made untenantable for a period in excess of 5 consecutive business days as a result of a service interruption or repair that is reasonably within the control of Landlord to correct and through no fault of Tenant and for reasons other than as contemplated in Article 11, then Tenant, as its sole remedy, shall be entitled to receive an abatement of Rent payable hereunder during the period beginning on the 6th consecutive business day of the service interruption or repair and ending on the day the service has been restored.</w:t>
      </w:r>
    </w:p>
    <w:p>
      <w:pPr>
        <w:sectPr>
          <w:pgSz w:w="11900" w:h="16838" w:orient="portrait"/>
          <w:cols w:equalWidth="0" w:num="1">
            <w:col w:w="11240"/>
          </w:cols>
          <w:pgMar w:left="320" w:top="147"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79"/>
        <w:spacing w:after="0" w:line="229" w:lineRule="auto"/>
        <w:rPr>
          <w:sz w:val="20"/>
          <w:szCs w:val="20"/>
          <w:color w:val="auto"/>
        </w:rPr>
      </w:pPr>
      <w:r>
        <w:rPr>
          <w:rFonts w:ascii="Arial" w:cs="Arial" w:eastAsia="Arial" w:hAnsi="Arial"/>
          <w:sz w:val="18"/>
          <w:szCs w:val="18"/>
          <w:b w:val="1"/>
          <w:bCs w:val="1"/>
          <w:color w:val="auto"/>
        </w:rPr>
        <w:t>6.2 OPERATION AND MAINTENANCE OF COMMON AREAS</w:t>
      </w:r>
      <w:r>
        <w:rPr>
          <w:rFonts w:ascii="Arial" w:cs="Arial" w:eastAsia="Arial" w:hAnsi="Arial"/>
          <w:sz w:val="18"/>
          <w:szCs w:val="18"/>
          <w:color w:val="auto"/>
        </w:rPr>
        <w:t>. During the Term, Landlord shall operate all Common Areas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 the Project. The term “Common Areas” shall mean all areas within the Building and other buildings in the Project which are not held for exclusive use by persons entitled to occupy space, including without limitation parking areas and structures, driveways, sidewalks, landscaped and planted areas, hallways and interior stairwells not located within the premises of any tenant, common electrical rooms, entrances and lobbies, elevators, and restrooms not located within the premises of any tenant.</w:t>
      </w:r>
    </w:p>
    <w:p>
      <w:pPr>
        <w:spacing w:after="0" w:line="201" w:lineRule="exact"/>
        <w:rPr>
          <w:sz w:val="20"/>
          <w:szCs w:val="20"/>
          <w:color w:val="auto"/>
        </w:rPr>
      </w:pPr>
    </w:p>
    <w:p>
      <w:pPr>
        <w:jc w:val="both"/>
        <w:ind w:firstLine="479"/>
        <w:spacing w:after="0" w:line="257" w:lineRule="auto"/>
        <w:rPr>
          <w:sz w:val="20"/>
          <w:szCs w:val="20"/>
          <w:color w:val="auto"/>
        </w:rPr>
      </w:pPr>
      <w:r>
        <w:rPr>
          <w:rFonts w:ascii="Arial" w:cs="Arial" w:eastAsia="Arial" w:hAnsi="Arial"/>
          <w:sz w:val="16"/>
          <w:szCs w:val="16"/>
          <w:b w:val="1"/>
          <w:bCs w:val="1"/>
          <w:color w:val="auto"/>
        </w:rPr>
        <w:t>6.3 COMMON AREAS</w:t>
      </w:r>
      <w:r>
        <w:rPr>
          <w:rFonts w:ascii="Arial" w:cs="Arial" w:eastAsia="Arial" w:hAnsi="Arial"/>
          <w:sz w:val="16"/>
          <w:szCs w:val="16"/>
          <w:color w:val="auto"/>
        </w:rPr>
        <w:t>. The occupancy by Tenant of the Premises shall include the use of the Common Areas in common with Landlord and with</w:t>
      </w:r>
      <w:r>
        <w:rPr>
          <w:rFonts w:ascii="Arial" w:cs="Arial" w:eastAsia="Arial" w:hAnsi="Arial"/>
          <w:sz w:val="16"/>
          <w:szCs w:val="16"/>
          <w:b w:val="1"/>
          <w:bCs w:val="1"/>
          <w:color w:val="auto"/>
        </w:rPr>
        <w:t xml:space="preserve"> </w:t>
      </w:r>
      <w:r>
        <w:rPr>
          <w:rFonts w:ascii="Arial" w:cs="Arial" w:eastAsia="Arial" w:hAnsi="Arial"/>
          <w:sz w:val="16"/>
          <w:szCs w:val="16"/>
          <w:color w:val="auto"/>
        </w:rPr>
        <w:t>all others for whose convenience and use the Common Areas may be provided by Landlord, subject, however, to compliance with Rules and Regulations set forth in Exhibit E. Landlord shall at all times during the Term have exclusive control of the Common Areas, and may restrain or permit any use or occupancy, except as otherwise provided in this Lease or in Landlord’s rules and regulations. Tenant shall keep the Common Areas clear of any obstruction or unauthorized use related to Tenant’s operations. Landlord may temporarily close any portion of the Common Areas for repairs, remodeling and/or alterations, to prevent a public dedication or the accrual of prescriptive rights, or for any other reasonable purpose. Landlord’s temporary closure of any portion of the Common Areas for such purposes shall not deprive Tenant of reasonable access to the Premises or the Parking Area.</w:t>
      </w:r>
    </w:p>
    <w:p>
      <w:pPr>
        <w:spacing w:after="0" w:line="187" w:lineRule="exact"/>
        <w:rPr>
          <w:sz w:val="20"/>
          <w:szCs w:val="20"/>
          <w:color w:val="auto"/>
        </w:rPr>
      </w:pPr>
    </w:p>
    <w:p>
      <w:pPr>
        <w:jc w:val="both"/>
        <w:ind w:firstLine="479"/>
        <w:spacing w:after="0" w:line="236" w:lineRule="auto"/>
        <w:rPr>
          <w:sz w:val="20"/>
          <w:szCs w:val="20"/>
          <w:color w:val="auto"/>
        </w:rPr>
      </w:pPr>
      <w:r>
        <w:rPr>
          <w:rFonts w:ascii="Arial" w:cs="Arial" w:eastAsia="Arial" w:hAnsi="Arial"/>
          <w:sz w:val="18"/>
          <w:szCs w:val="18"/>
          <w:b w:val="1"/>
          <w:bCs w:val="1"/>
          <w:color w:val="auto"/>
        </w:rPr>
        <w:t>6.4 CHANGES AND ADDITIONS BY LANDLORD</w:t>
      </w:r>
      <w:r>
        <w:rPr>
          <w:rFonts w:ascii="Arial" w:cs="Arial" w:eastAsia="Arial" w:hAnsi="Arial"/>
          <w:sz w:val="18"/>
          <w:szCs w:val="18"/>
          <w:color w:val="auto"/>
        </w:rPr>
        <w:t>. Landlord reserves the right to make alterations or additions to the Building or the Project 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attendant fixtures, equipment and Common Areas</w:t>
      </w:r>
      <w:r>
        <w:rPr>
          <w:rFonts w:ascii="Arial" w:cs="Arial" w:eastAsia="Arial" w:hAnsi="Arial"/>
          <w:sz w:val="18"/>
          <w:szCs w:val="18"/>
          <w:color w:val="0000FF"/>
        </w:rPr>
        <w:t>,</w:t>
      </w:r>
      <w:r>
        <w:rPr>
          <w:rFonts w:ascii="Arial" w:cs="Arial" w:eastAsia="Arial" w:hAnsi="Arial"/>
          <w:sz w:val="18"/>
          <w:szCs w:val="18"/>
          <w:color w:val="auto"/>
        </w:rPr>
        <w:t xml:space="preserve"> and such change shall not entitle Tenant to any abatement of rent or other claim against Landlord. No such change shall deprive Tenant of reasonable access to or use of the Premises or the Parking Area.</w:t>
      </w:r>
    </w:p>
    <w:p>
      <w:pPr>
        <w:spacing w:after="0" w:line="1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7. REPAIRS AND MAINTENANCE</w:t>
      </w:r>
    </w:p>
    <w:p>
      <w:pPr>
        <w:spacing w:after="0" w:line="225" w:lineRule="exact"/>
        <w:rPr>
          <w:sz w:val="20"/>
          <w:szCs w:val="20"/>
          <w:color w:val="auto"/>
        </w:rPr>
      </w:pPr>
    </w:p>
    <w:p>
      <w:pPr>
        <w:jc w:val="both"/>
        <w:ind w:firstLine="479"/>
        <w:spacing w:after="0" w:line="225" w:lineRule="auto"/>
        <w:rPr>
          <w:sz w:val="20"/>
          <w:szCs w:val="20"/>
          <w:color w:val="auto"/>
        </w:rPr>
      </w:pPr>
      <w:r>
        <w:rPr>
          <w:rFonts w:ascii="Arial" w:cs="Arial" w:eastAsia="Arial" w:hAnsi="Arial"/>
          <w:sz w:val="18"/>
          <w:szCs w:val="18"/>
          <w:b w:val="1"/>
          <w:bCs w:val="1"/>
          <w:color w:val="auto"/>
        </w:rPr>
        <w:t>7.1 TENANT’S MAINTENANCE AND REPAIR</w:t>
      </w:r>
      <w:r>
        <w:rPr>
          <w:rFonts w:ascii="Arial" w:cs="Arial" w:eastAsia="Arial" w:hAnsi="Arial"/>
          <w:sz w:val="18"/>
          <w:szCs w:val="18"/>
          <w:color w:val="auto"/>
        </w:rPr>
        <w:t>. Subject to Articles 11 and 12, Tenant at its sole expense shall make all repairs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keep the Premises and all improvements and fixtures therein in good condition and repair. Notwithstanding Section 7.2 below, Tenant’s maintenance obligation shall include without limitation all appliances, interior glass, doors, door closures, hardware, fixtures, electrical, plumbing, fire extinguisher equipment and other equipment installed in the Premises and all Alterations constructed by Tenant pursuant to Section 7.3 below, together with any supplemental HVAC equipment servicing only the Premises. All repairs and other work performed by Tenant or its contractors shall be subject to the terms of Sections 7.3 and 7.4 below. Alternatively, should Landlord or its management agent agree to make a repair on behalf of Tenant and at Tenant’s request, Tenant shall promptly reimburse Landlord as additional rent for all reasonable costs incurred (including the standard supervision fee) upon submission of an invoice.</w:t>
      </w:r>
    </w:p>
    <w:p>
      <w:pPr>
        <w:spacing w:after="0" w:line="203" w:lineRule="exact"/>
        <w:rPr>
          <w:sz w:val="20"/>
          <w:szCs w:val="20"/>
          <w:color w:val="auto"/>
        </w:rPr>
      </w:pPr>
    </w:p>
    <w:p>
      <w:pPr>
        <w:jc w:val="both"/>
        <w:ind w:firstLine="479"/>
        <w:spacing w:after="0" w:line="252" w:lineRule="auto"/>
        <w:rPr>
          <w:sz w:val="20"/>
          <w:szCs w:val="20"/>
          <w:color w:val="auto"/>
        </w:rPr>
      </w:pPr>
      <w:r>
        <w:rPr>
          <w:rFonts w:ascii="Arial" w:cs="Arial" w:eastAsia="Arial" w:hAnsi="Arial"/>
          <w:sz w:val="16"/>
          <w:szCs w:val="16"/>
          <w:b w:val="1"/>
          <w:bCs w:val="1"/>
          <w:color w:val="auto"/>
        </w:rPr>
        <w:t>7.2 LANDLORD’S MAINTENANCE AND REPAIR</w:t>
      </w:r>
      <w:r>
        <w:rPr>
          <w:rFonts w:ascii="Arial" w:cs="Arial" w:eastAsia="Arial" w:hAnsi="Arial"/>
          <w:sz w:val="16"/>
          <w:szCs w:val="16"/>
          <w:color w:val="auto"/>
        </w:rPr>
        <w:t>. Subject to Articles 11 and 12, Landlord shall provide service, maintenance and repair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heating, ventilating and air conditioning (“</w:t>
      </w:r>
      <w:r>
        <w:rPr>
          <w:rFonts w:ascii="Arial" w:cs="Arial" w:eastAsia="Arial" w:hAnsi="Arial"/>
          <w:sz w:val="16"/>
          <w:szCs w:val="16"/>
          <w:b w:val="1"/>
          <w:bCs w:val="1"/>
          <w:color w:val="auto"/>
        </w:rPr>
        <w:t>HVAC</w:t>
      </w:r>
      <w:r>
        <w:rPr>
          <w:rFonts w:ascii="Arial" w:cs="Arial" w:eastAsia="Arial" w:hAnsi="Arial"/>
          <w:sz w:val="16"/>
          <w:szCs w:val="16"/>
          <w:color w:val="auto"/>
        </w:rPr>
        <w:t>”) equipment of the Building (exclusive of any supplemental HVAC equipment servicing only the Premises) and shall maintain in good repair the Common Areas, roof, foundations, footings, the exterior surfaces of the exterior walls of the Building (including exterior glass), and the structural, electrical, mechanical and plumbing systems of the Building (including elevators, if any, serving the Building), except to the extent provided in Section 7.1 above. Landlord need not make any other improvements or repairs except as specifically required under this Lease, and nothing contained in this Section 7.2 shall limit Landlord’s right to reimbursement from Tenant for maintenance, repair costs and replacement costs as provided elsewhere in this Lease. Notwithstanding any provision of the California Civil Code or any similar or successor laws to the contrary, Tenant understands that it shall not make repairs at Landlord’s expense or by rental offset. Except as provided in Section 11.1 and Article 12 below, there shall be no abatement of rent and no liability of Landlord by reason of any injury to or interference with Tenant’s business arising from the making of any repairs, alterations or improvements to any portion of the Building, including repairs to the Premises, nor shall any related activity by Landlord constitute an actual or constructive eviction; provided, however, that in making repairs, alterations or improvements, Landlord shall interfere as little as reasonably practicable with the conduct of Tenant’s business in the Premises. Tenant hereby waives any and all rights under and benefits of subsection 1 of Section 1932, and Sections 1941 and 1942 of the California Civil Code, or any similar or successor laws now or hereafter in effect.</w:t>
      </w:r>
    </w:p>
    <w:p>
      <w:pPr>
        <w:sectPr>
          <w:pgSz w:w="11900" w:h="16838" w:orient="portrait"/>
          <w:cols w:equalWidth="0" w:num="1">
            <w:col w:w="11240"/>
          </w:cols>
          <w:pgMar w:left="320" w:top="147"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79"/>
        <w:spacing w:after="0" w:line="249" w:lineRule="auto"/>
        <w:rPr>
          <w:sz w:val="20"/>
          <w:szCs w:val="20"/>
          <w:color w:val="auto"/>
        </w:rPr>
      </w:pPr>
      <w:r>
        <w:rPr>
          <w:rFonts w:ascii="Arial" w:cs="Arial" w:eastAsia="Arial" w:hAnsi="Arial"/>
          <w:sz w:val="16"/>
          <w:szCs w:val="16"/>
          <w:b w:val="1"/>
          <w:bCs w:val="1"/>
          <w:color w:val="auto"/>
        </w:rPr>
        <w:t>7.3 ALTERATIONS</w:t>
      </w:r>
      <w:r>
        <w:rPr>
          <w:rFonts w:ascii="Arial" w:cs="Arial" w:eastAsia="Arial" w:hAnsi="Arial"/>
          <w:sz w:val="16"/>
          <w:szCs w:val="16"/>
          <w:color w:val="auto"/>
        </w:rPr>
        <w:t>. Except for cosmetic alteration projects that do not exceed $25,000.00 during each calendar year and that do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structural, electrical or mechanical components or systems of the Building, are not visible from the exterior of the Premises, do not change the basic floor plan of the Premises, and utilize only Landlord’s building standard materials (which work shall require notice to Landlord but not Landlord’s consent), Tenant shall make no alterations, additions, decorations or improvements (collectively referred to as “</w:t>
      </w:r>
      <w:r>
        <w:rPr>
          <w:rFonts w:ascii="Arial" w:cs="Arial" w:eastAsia="Arial" w:hAnsi="Arial"/>
          <w:sz w:val="16"/>
          <w:szCs w:val="16"/>
          <w:b w:val="1"/>
          <w:bCs w:val="1"/>
          <w:color w:val="auto"/>
        </w:rPr>
        <w:t>Alterations</w:t>
      </w:r>
      <w:r>
        <w:rPr>
          <w:rFonts w:ascii="Arial" w:cs="Arial" w:eastAsia="Arial" w:hAnsi="Arial"/>
          <w:sz w:val="16"/>
          <w:szCs w:val="16"/>
          <w:color w:val="auto"/>
        </w:rPr>
        <w:t>”) to the Premises without the prior written consent of Landlord. Landlord’s consent shall not be unreasonably withheld as long as the proposed Alterations do not affect the structural, electrical or mechanical components or systems of the Building, are not visible from the exterior of the Premises, do not change the basic floor plan of the Premises, and utilize only Landlord’s building standard materials (“</w:t>
      </w:r>
      <w:r>
        <w:rPr>
          <w:rFonts w:ascii="Arial" w:cs="Arial" w:eastAsia="Arial" w:hAnsi="Arial"/>
          <w:sz w:val="16"/>
          <w:szCs w:val="16"/>
          <w:b w:val="1"/>
          <w:bCs w:val="1"/>
          <w:color w:val="auto"/>
        </w:rPr>
        <w:t>Standard Improvements</w:t>
      </w:r>
      <w:r>
        <w:rPr>
          <w:rFonts w:ascii="Arial" w:cs="Arial" w:eastAsia="Arial" w:hAnsi="Arial"/>
          <w:sz w:val="16"/>
          <w:szCs w:val="16"/>
          <w:color w:val="auto"/>
        </w:rPr>
        <w:t>”). Landlord may impose, as a condition to its consent, any requirements that Landlord in its discretion may deem reasonable or desirable. Without limiting the generality of the foregoing, Tenant shall use Landlord’s designated mechanical and electrical contractors for all Alterations work affecting the mechanical or electrical systems of the Building. Should Tenant perform any Alterations work that would necessitate any ancillary Building modification or other expenditure by Landlord, then Tenant shall promptly fund the cost thereof to Landlord. Tenant shall obtain all required permits for the Alterations and shall perform the work in compliance with all applicable laws, regulations and ordinances with contractors reasonably acceptable to Landlord, and except for cosmetic Alterations not requiring a permit, Landlord shall be entitled to a supervision fee in the amount of 5% of the cost of the Alterations. Any request for Landlord’s consent shall be made in writing and shall contain architectural plans describing the work in detail reasonably satisfactory to Landlord. Landlord may elect to cause its architect to review Tenant’s architectural plans, and the reasonable cost of that review shall be reimbursed by Tenant. Should the Alterations proposed by Tenant and consented to by Landlord change the floor plan of the Premises, then Tenant shall, at its expense, furnish Landlord with as-built drawings and CAD disks compatible with Landlord’s systems. Alterations shall be constructed in a good and workmanlike manner using materials of a quality reasonably approved by Landlord Unless Landlord otherwise agrees in writing, all Alterations affixed to the Premises, including without limitation all Tenant Improvements constructed pursuant to the Work Letter (except as otherwise provided in the Work Letter), but excluding moveable trade fixtures and furniture, shall become the property of Landlord. Such Alterations shall be surrendered with the Premises at the end of the Term, except that Landlord may, by notice to Tenant given at the time of Landlord’s approval, require Tenant to remove by the Expiration Date, or sooner termination date of this Lease, all or any Alterations (including without limitation any Tenant Improvements constructed pursuant to the Work Letter) installed either by Tenant or by Landlord at Tenant’s request (collectively, the “</w:t>
      </w:r>
      <w:r>
        <w:rPr>
          <w:rFonts w:ascii="Arial" w:cs="Arial" w:eastAsia="Arial" w:hAnsi="Arial"/>
          <w:sz w:val="16"/>
          <w:szCs w:val="16"/>
          <w:b w:val="1"/>
          <w:bCs w:val="1"/>
          <w:color w:val="auto"/>
        </w:rPr>
        <w:t>Required Removables</w:t>
      </w:r>
      <w:r>
        <w:rPr>
          <w:rFonts w:ascii="Arial" w:cs="Arial" w:eastAsia="Arial" w:hAnsi="Arial"/>
          <w:sz w:val="16"/>
          <w:szCs w:val="16"/>
          <w:color w:val="auto"/>
        </w:rPr>
        <w:t>”)</w:t>
      </w:r>
      <w:r>
        <w:rPr>
          <w:rFonts w:ascii="Arial" w:cs="Arial" w:eastAsia="Arial" w:hAnsi="Arial"/>
          <w:sz w:val="16"/>
          <w:szCs w:val="16"/>
          <w:color w:val="0000FF"/>
        </w:rPr>
        <w:t>,</w:t>
      </w:r>
      <w:r>
        <w:rPr>
          <w:rFonts w:ascii="Arial" w:cs="Arial" w:eastAsia="Arial" w:hAnsi="Arial"/>
          <w:sz w:val="16"/>
          <w:szCs w:val="16"/>
          <w:color w:val="auto"/>
        </w:rPr>
        <w:t xml:space="preserve"> and to replace any non-Standard Improvements with the applicable Standard Improvements. Tenant, at the time it requests approval for a proposed Alteration, may request in writing that Landlord advise Tenant whether the Alteration or any portion thereof, is a Required Removable. Within 10 days after receipt of Tenant’s request, Landlord shall advise Tenant in writing as to which portions of the subject Alterations are Required Removables. In connection with its removal of Required Removables, Tenant shall repair any damage to the Premises arising from that removal and shall restore the affected area to its pre- existing condition, reasonable wear and tear excepted.</w:t>
      </w:r>
    </w:p>
    <w:p>
      <w:pPr>
        <w:spacing w:after="0" w:line="192" w:lineRule="exact"/>
        <w:rPr>
          <w:sz w:val="20"/>
          <w:szCs w:val="20"/>
          <w:color w:val="auto"/>
        </w:rPr>
      </w:pPr>
    </w:p>
    <w:p>
      <w:pPr>
        <w:jc w:val="both"/>
        <w:ind w:firstLine="479"/>
        <w:spacing w:after="0" w:line="239" w:lineRule="auto"/>
        <w:rPr>
          <w:sz w:val="20"/>
          <w:szCs w:val="20"/>
          <w:color w:val="auto"/>
        </w:rPr>
      </w:pPr>
      <w:r>
        <w:rPr>
          <w:rFonts w:ascii="Arial" w:cs="Arial" w:eastAsia="Arial" w:hAnsi="Arial"/>
          <w:sz w:val="17"/>
          <w:szCs w:val="17"/>
          <w:b w:val="1"/>
          <w:bCs w:val="1"/>
          <w:color w:val="auto"/>
        </w:rPr>
        <w:t>7.4 MECHANIC’S LIENS</w:t>
      </w:r>
      <w:r>
        <w:rPr>
          <w:rFonts w:ascii="Arial" w:cs="Arial" w:eastAsia="Arial" w:hAnsi="Arial"/>
          <w:sz w:val="17"/>
          <w:szCs w:val="17"/>
          <w:color w:val="auto"/>
        </w:rPr>
        <w:t>. Tenant shall keep the Premises free from any liens arising out of any work performed, materials furnished, or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incurred by or for Tenant. Upon request by Landlord, Tenant shall promptly cause any such lien to be released by posting a bond in accordance with California Civil Code Section 8424 or any successor statute. In the event that Tenant shall not, within 15 days following the imposition of any lien, cause the lien to be released of record by payment or posting of a proper bond, Landlord shall have, in addition to all other available remedies, the right to cause the lien to be released by any means it deems proper, including payment of or defense against the claim giving rise to the lien. All expenses so incurred by Landlord, including Landlord’s attorneys’ fees, shall be reimbursed by Tenant promptly following Landlord’s demand, together with interest from the date of payment by Landlord at the maximum rate permitted by law until paid. Tenant shall give Landlord no less than 20 days’ prior notice in writing before commencing construction of any kind on the Premises.</w:t>
      </w:r>
    </w:p>
    <w:p>
      <w:pPr>
        <w:spacing w:after="0" w:line="198" w:lineRule="exact"/>
        <w:rPr>
          <w:sz w:val="20"/>
          <w:szCs w:val="20"/>
          <w:color w:val="auto"/>
        </w:rPr>
      </w:pPr>
    </w:p>
    <w:p>
      <w:pPr>
        <w:jc w:val="both"/>
        <w:ind w:firstLine="479"/>
        <w:spacing w:after="0" w:line="227" w:lineRule="auto"/>
        <w:rPr>
          <w:sz w:val="20"/>
          <w:szCs w:val="20"/>
          <w:color w:val="auto"/>
        </w:rPr>
      </w:pPr>
      <w:r>
        <w:rPr>
          <w:rFonts w:ascii="Arial" w:cs="Arial" w:eastAsia="Arial" w:hAnsi="Arial"/>
          <w:sz w:val="18"/>
          <w:szCs w:val="18"/>
          <w:b w:val="1"/>
          <w:bCs w:val="1"/>
          <w:color w:val="auto"/>
        </w:rPr>
        <w:t>7.5 ENTRY AND INSPECTION</w:t>
      </w:r>
      <w:r>
        <w:rPr>
          <w:rFonts w:ascii="Arial" w:cs="Arial" w:eastAsia="Arial" w:hAnsi="Arial"/>
          <w:sz w:val="18"/>
          <w:szCs w:val="18"/>
          <w:color w:val="auto"/>
        </w:rPr>
        <w:t>. Landlord shall at all reasonable times have the right to enter the Premises to inspect them, to supply services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Lease, to make repairs and renovations as reasonably deemed necessary by Landlord, and to submit the Premises to prospective or actual purchasers or encumbrance holders (or, during the final twelve months of the Term or when an uncured Default exists, to prospective tenants), all without being deemed to have caused an eviction of Tenant and without abatement of rent except as provided elsewhere in this Lease. If reasonably necessary, Landlord may temporarily close all or a portion of the Premises to perform repairs, alterations and additions. Except in emergencies or to provide Building services, Landlord shall</w:t>
      </w:r>
    </w:p>
    <w:p>
      <w:pPr>
        <w:sectPr>
          <w:pgSz w:w="11900" w:h="16838" w:orient="portrait"/>
          <w:cols w:equalWidth="0" w:num="1">
            <w:col w:w="11240"/>
          </w:cols>
          <w:pgMar w:left="320" w:top="147"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provide Tenant with reasonable prior verbal notice (at least 24 hours) of entry and shall use reasonable efforts to minimize any interference with Tenant’s use of the Premises.</w:t>
      </w:r>
    </w:p>
    <w:p>
      <w:pPr>
        <w:spacing w:after="0" w:line="200" w:lineRule="exact"/>
        <w:rPr>
          <w:sz w:val="20"/>
          <w:szCs w:val="20"/>
          <w:color w:val="auto"/>
        </w:rPr>
      </w:pPr>
    </w:p>
    <w:p>
      <w:pPr>
        <w:spacing w:after="0" w:line="236" w:lineRule="exact"/>
        <w:rPr>
          <w:sz w:val="20"/>
          <w:szCs w:val="20"/>
          <w:color w:val="auto"/>
        </w:rPr>
      </w:pPr>
    </w:p>
    <w:p>
      <w:pPr>
        <w:jc w:val="center"/>
        <w:ind w:left="2420"/>
        <w:spacing w:after="0"/>
        <w:rPr>
          <w:sz w:val="20"/>
          <w:szCs w:val="20"/>
          <w:color w:val="auto"/>
        </w:rPr>
      </w:pPr>
      <w:r>
        <w:rPr>
          <w:rFonts w:ascii="Arial" w:cs="Arial" w:eastAsia="Arial" w:hAnsi="Arial"/>
          <w:sz w:val="18"/>
          <w:szCs w:val="18"/>
          <w:b w:val="1"/>
          <w:bCs w:val="1"/>
          <w:color w:val="auto"/>
        </w:rPr>
        <w:t>ARTICLE 8. SPACE PLANNING AND SUBSTITUTION</w:t>
      </w:r>
    </w:p>
    <w:p>
      <w:pPr>
        <w:spacing w:after="0" w:line="229" w:lineRule="exact"/>
        <w:rPr>
          <w:sz w:val="20"/>
          <w:szCs w:val="20"/>
          <w:color w:val="auto"/>
        </w:rPr>
      </w:pPr>
    </w:p>
    <w:p>
      <w:pPr>
        <w:jc w:val="center"/>
        <w:ind w:left="2420"/>
        <w:spacing w:after="0"/>
        <w:rPr>
          <w:sz w:val="20"/>
          <w:szCs w:val="20"/>
          <w:color w:val="auto"/>
        </w:rPr>
      </w:pPr>
      <w:r>
        <w:rPr>
          <w:rFonts w:ascii="Arial" w:cs="Arial" w:eastAsia="Arial" w:hAnsi="Arial"/>
          <w:sz w:val="18"/>
          <w:szCs w:val="18"/>
          <w:color w:val="auto"/>
        </w:rPr>
        <w:t>Intentionally omitted.</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ARTICLE 9. ASSIGNMENT AND SUBLETTING</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9.1 RIGHTS OF PARTIES.</w:t>
      </w:r>
    </w:p>
    <w:p>
      <w:pPr>
        <w:spacing w:after="0" w:line="229" w:lineRule="exact"/>
        <w:rPr>
          <w:sz w:val="20"/>
          <w:szCs w:val="20"/>
          <w:color w:val="auto"/>
        </w:rPr>
      </w:pPr>
    </w:p>
    <w:p>
      <w:pPr>
        <w:jc w:val="both"/>
        <w:ind w:left="1300" w:hanging="320"/>
        <w:spacing w:after="0" w:line="225" w:lineRule="auto"/>
        <w:tabs>
          <w:tab w:leader="none" w:pos="12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otherwise specifically provided in this Article 9, Tenant may not, either voluntarily or by operation of law, assign, sublet, encumber, or otherwise transfer all or any part of Tenant’s interest in this Lease, or permit the Premises to be occupied by anyone other than Tenant (each, a “</w:t>
      </w:r>
      <w:r>
        <w:rPr>
          <w:rFonts w:ascii="Arial" w:cs="Arial" w:eastAsia="Arial" w:hAnsi="Arial"/>
          <w:sz w:val="18"/>
          <w:szCs w:val="18"/>
          <w:b w:val="1"/>
          <w:bCs w:val="1"/>
          <w:color w:val="auto"/>
        </w:rPr>
        <w:t>Transfer</w:t>
      </w:r>
      <w:r>
        <w:rPr>
          <w:rFonts w:ascii="Arial" w:cs="Arial" w:eastAsia="Arial" w:hAnsi="Arial"/>
          <w:sz w:val="18"/>
          <w:szCs w:val="18"/>
          <w:color w:val="auto"/>
        </w:rPr>
        <w:t>”), without Landlord’s prior written consent, which consent shall not unreasonably be withheld in accordance with the provisions of Section 9.1(b). For purposes of this Lease, references to any subletting, sublease or variation thereof shall be deemed to apply not only to a sublease effected directly by Tenant, but also to a sub-subletting or an assignment of subtenancy by a subtenant at any level. Except as otherwise specifically provided in this Article 9, no Transfer (whether voluntary, involuntary or by operation of law) shall be valid or effective without Landlord’s prior written consent and, at Landlord’s election, such a Transfer shall constitute a material default of this Lease.</w:t>
      </w:r>
    </w:p>
    <w:p>
      <w:pPr>
        <w:spacing w:after="0" w:line="202" w:lineRule="exact"/>
        <w:rPr>
          <w:rFonts w:ascii="Arial" w:cs="Arial" w:eastAsia="Arial" w:hAnsi="Arial"/>
          <w:sz w:val="18"/>
          <w:szCs w:val="18"/>
          <w:color w:val="auto"/>
        </w:rPr>
      </w:pPr>
    </w:p>
    <w:p>
      <w:pPr>
        <w:jc w:val="both"/>
        <w:ind w:left="1300" w:hanging="320"/>
        <w:spacing w:after="0" w:line="249"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Except as otherwise specifically provided in this Article 9, if Tenant or any subtenant hereunder desires to transfer an interest in this Lease, Tenant shall first notify Landlord in writing and shall request Landlord’s consent thereto. Tenant shall also submit to Landlord in writing: (i) the name and address of the proposed transferee; (ii) the nature of any proposed subtenant’s or assignee’s business to be carried on in the Premises; (iii) the terms and provisions of any proposed sublease or assignment (including without limitation the rent and other economic provisions, term, improvement obligations and commencement date); (iv) evidence that the proposed assignee or subtenant will comply with the requirements of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to this Lease; and (v) any other information requested by Landlord and reasonably related to the Transfer. Landlord shall not unreasonably withhold its consent, provided: (1) the use of the Premises will be consistent with the provisions of this Lease and with Landlord’s commitment to other tenants of the Building and Project; (2) any proposed subtenant or assignee demonstrates that it is financially responsible by submission to Landlord of all reasonable information as Landlord may request concerning the proposed subtenant or assignee, including, but not limited to, a balance sheet of the proposed subtenant or assignee as of a date within 90 days of the request for Landlord’s consent and statements of income or profit and loss of the proposed subtenant or assignee for the two-year period preceding the request for Landlord’s consent; (3) the proposed assignee or subtenant is neither an existing tenant or occupant of the Building or Project nor a prospective tenant with whom Landlord or Landlord's affiliate has been actively negotiating to become a tenant at the Building or Project; and (4) the proposed transferee is not an SDN (as defined below) and will not impose additional burdens or security risks on Landlord. If Landlord consents to the proposed Transfer, then the Transfer may be effected within 90 days after the date of the consent upon the terms described in the information furnished to Landlord; provided that any material change in the terms shall be subject to Landlord’s consent as set forth in this Section 9.1(b). Landlord shall approve or disapprove any requested Transfer within 30 days following receipt of Tenant’s written notice and the information set forth above. Except in connection with a Permitted Transfer (as defined below), if Landlord approves the Transfer Tenant shall pay a transfer fee of $1,000.00 to Landlord concurrently with Tenant’s execution of a Transfer consent prepared by Landlord.</w:t>
      </w:r>
    </w:p>
    <w:p>
      <w:pPr>
        <w:spacing w:after="0" w:line="201" w:lineRule="exact"/>
        <w:rPr>
          <w:rFonts w:ascii="Arial" w:cs="Arial" w:eastAsia="Arial" w:hAnsi="Arial"/>
          <w:sz w:val="16"/>
          <w:szCs w:val="16"/>
          <w:color w:val="auto"/>
        </w:rPr>
      </w:pPr>
    </w:p>
    <w:p>
      <w:pPr>
        <w:jc w:val="both"/>
        <w:ind w:left="1300" w:hanging="320"/>
        <w:spacing w:after="0" w:line="236" w:lineRule="auto"/>
        <w:tabs>
          <w:tab w:leader="none" w:pos="12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the provisions of Subsection (b) above, and except in connection with a “</w:t>
      </w:r>
      <w:r>
        <w:rPr>
          <w:rFonts w:ascii="Arial" w:cs="Arial" w:eastAsia="Arial" w:hAnsi="Arial"/>
          <w:sz w:val="18"/>
          <w:szCs w:val="18"/>
          <w:b w:val="1"/>
          <w:bCs w:val="1"/>
          <w:color w:val="auto"/>
        </w:rPr>
        <w:t>Permitted Transfer</w:t>
      </w:r>
      <w:r>
        <w:rPr>
          <w:rFonts w:ascii="Arial" w:cs="Arial" w:eastAsia="Arial" w:hAnsi="Arial"/>
          <w:sz w:val="18"/>
          <w:szCs w:val="18"/>
          <w:color w:val="auto"/>
        </w:rPr>
        <w:t>” (as defined below), in lieu of consenting to a proposed assignment or subletting, Landlord may elect to terminate this Lease in its entirety in the event of an assignment, or terminate this Lease as to the portion of the Premises proposed to be subleased with a</w:t>
      </w:r>
    </w:p>
    <w:p>
      <w:pPr>
        <w:sectPr>
          <w:pgSz w:w="11900" w:h="16838" w:orient="portrait"/>
          <w:cols w:equalWidth="0" w:num="1">
            <w:col w:w="11240"/>
          </w:cols>
          <w:pgMar w:left="320" w:top="147" w:right="339" w:bottom="1440" w:gutter="0" w:footer="0" w:header="0"/>
        </w:sectPr>
      </w:pPr>
    </w:p>
    <w:bookmarkStart w:id="156" w:name="page157"/>
    <w:bookmarkEnd w:id="156"/>
    <w:p>
      <w:pPr>
        <w:ind w:left="10000"/>
        <w:spacing w:after="0"/>
        <w:rPr>
          <w:sz w:val="20"/>
          <w:szCs w:val="20"/>
          <w:color w:val="auto"/>
        </w:rPr>
      </w:pPr>
      <w:r>
        <w:rPr>
          <w:rFonts w:ascii="Arial" w:cs="Arial" w:eastAsia="Arial" w:hAnsi="Arial"/>
          <w:sz w:val="21"/>
          <w:szCs w:val="2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300"/>
        <w:spacing w:after="0" w:line="235" w:lineRule="auto"/>
        <w:rPr>
          <w:sz w:val="20"/>
          <w:szCs w:val="20"/>
          <w:color w:val="auto"/>
        </w:rPr>
      </w:pPr>
      <w:r>
        <w:rPr>
          <w:rFonts w:ascii="Arial" w:cs="Arial" w:eastAsia="Arial" w:hAnsi="Arial"/>
          <w:sz w:val="18"/>
          <w:szCs w:val="18"/>
          <w:color w:val="auto"/>
        </w:rPr>
        <w:t>proportionate abatement in the rent payable under this Lease, such termination to be effective on the date that the proposed sublease or assignment would have commenced. Landlord may thereafter, at its option, assign or re-let any space so recaptured to any third party, including without limitation the proposed transferee identified by Tenant.</w:t>
      </w:r>
    </w:p>
    <w:p>
      <w:pPr>
        <w:spacing w:after="0" w:line="202" w:lineRule="exact"/>
        <w:rPr>
          <w:sz w:val="20"/>
          <w:szCs w:val="20"/>
          <w:color w:val="auto"/>
        </w:rPr>
      </w:pPr>
    </w:p>
    <w:p>
      <w:pPr>
        <w:jc w:val="both"/>
        <w:ind w:left="1300" w:hanging="320"/>
        <w:spacing w:after="0" w:line="258" w:lineRule="auto"/>
        <w:tabs>
          <w:tab w:leader="none" w:pos="1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Should any Transfer occur, Tenant shall, except in connection with a Permitted Transfer, promptly pay or cause to be paid to Landlord, as additional rent, 50% of any amounts paid by the assignee or subtenant, however described and whether funded during or after the Lease Term, to the extent such amounts are in excess of the sum of (i) the scheduled Basic Rent payable by Tenant hereunder (or, in the event of a subletting of only a portion of the Premises, the Basic Rent allocable to such portion as reasonably determined by Landlord) and (ii) the direct out-of-pocket costs, as evidenced by third party invoices provided to Landlord, incurred by Tenant to effect the Transfer, which costs shall be amortized over the remaining Term of this Lease or, if shorter, over the term of the sublease.</w:t>
      </w:r>
    </w:p>
    <w:p>
      <w:pPr>
        <w:spacing w:after="0" w:line="190" w:lineRule="exact"/>
        <w:rPr>
          <w:rFonts w:ascii="Arial" w:cs="Arial" w:eastAsia="Arial" w:hAnsi="Arial"/>
          <w:sz w:val="16"/>
          <w:szCs w:val="16"/>
          <w:color w:val="auto"/>
        </w:rPr>
      </w:pPr>
    </w:p>
    <w:p>
      <w:pPr>
        <w:jc w:val="both"/>
        <w:ind w:left="1300" w:hanging="320"/>
        <w:spacing w:after="0" w:line="223" w:lineRule="auto"/>
        <w:tabs>
          <w:tab w:leader="none" w:pos="12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the foregoing, Tenant may assign this Lease to a successor to Tenant by merger, consolidation or the purchase of substantially all of Tenant’s assets, or assign this Lease or sublet all or a portion of the Premises to an Affiliate (defined below), without the consent of Landlord, provided that all of the following conditions are satisfied (a “</w:t>
      </w:r>
      <w:r>
        <w:rPr>
          <w:rFonts w:ascii="Arial" w:cs="Arial" w:eastAsia="Arial" w:hAnsi="Arial"/>
          <w:sz w:val="18"/>
          <w:szCs w:val="18"/>
          <w:b w:val="1"/>
          <w:bCs w:val="1"/>
          <w:color w:val="auto"/>
        </w:rPr>
        <w:t>Permitted Transfer</w:t>
      </w:r>
      <w:r>
        <w:rPr>
          <w:rFonts w:ascii="Arial" w:cs="Arial" w:eastAsia="Arial" w:hAnsi="Arial"/>
          <w:sz w:val="18"/>
          <w:szCs w:val="18"/>
          <w:color w:val="auto"/>
        </w:rPr>
        <w:t>”): (i) Tenant is not then in Default hereunder; (ii) Tenant gives Landlord written notice prior to such Permitted Transfer; and (iii) if Tenant ceases to exist as a going concern as a result of any merger or consolidation of Tenant or the sale of all or substantially all of the assets of Tenant, the resulting successor entity has a tangible net worth not less than the tangible net worth of Tenant immediately before the Permitted Transfer. Tenant’s notice to Landlord shall include reasonable information and documentation evidencing the Permitted Transfer and showing that each of the above conditions has been satisfied. If requested by Landlord, Tenant’s successor shall sign and deliver to Landlord a commercially reasonable form of assumption agreement. “</w:t>
      </w:r>
      <w:r>
        <w:rPr>
          <w:rFonts w:ascii="Arial" w:cs="Arial" w:eastAsia="Arial" w:hAnsi="Arial"/>
          <w:sz w:val="18"/>
          <w:szCs w:val="18"/>
          <w:b w:val="1"/>
          <w:bCs w:val="1"/>
          <w:color w:val="auto"/>
        </w:rPr>
        <w:t>Affiliate</w:t>
      </w:r>
      <w:r>
        <w:rPr>
          <w:rFonts w:ascii="Arial" w:cs="Arial" w:eastAsia="Arial" w:hAnsi="Arial"/>
          <w:sz w:val="18"/>
          <w:szCs w:val="18"/>
          <w:color w:val="auto"/>
        </w:rPr>
        <w:t>” shall mean an entity controlled by, controlling or under common control with Tenant.</w:t>
      </w:r>
    </w:p>
    <w:p>
      <w:pPr>
        <w:spacing w:after="0" w:line="206" w:lineRule="exact"/>
        <w:rPr>
          <w:sz w:val="20"/>
          <w:szCs w:val="20"/>
          <w:color w:val="auto"/>
        </w:rPr>
      </w:pPr>
    </w:p>
    <w:p>
      <w:pPr>
        <w:jc w:val="both"/>
        <w:ind w:firstLine="479"/>
        <w:spacing w:after="0" w:line="227" w:lineRule="auto"/>
        <w:rPr>
          <w:sz w:val="20"/>
          <w:szCs w:val="20"/>
          <w:color w:val="auto"/>
        </w:rPr>
      </w:pPr>
      <w:r>
        <w:rPr>
          <w:rFonts w:ascii="Arial" w:cs="Arial" w:eastAsia="Arial" w:hAnsi="Arial"/>
          <w:sz w:val="18"/>
          <w:szCs w:val="18"/>
          <w:b w:val="1"/>
          <w:bCs w:val="1"/>
          <w:color w:val="auto"/>
        </w:rPr>
        <w:t>9.2 EFFECT OF TRANSFER</w:t>
      </w:r>
      <w:r>
        <w:rPr>
          <w:rFonts w:ascii="Arial" w:cs="Arial" w:eastAsia="Arial" w:hAnsi="Arial"/>
          <w:sz w:val="18"/>
          <w:szCs w:val="18"/>
          <w:color w:val="auto"/>
        </w:rPr>
        <w:t>. No subletting or assignment, even with the consent of Landlord, shall relieve Tenant, or any successor-in-interest to</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hereunder, of its obligation to pay rent and to perform all its other obligations under this Lease. Each assignee, other than Landlord, shall be deemed to assume all obligations of Tenant under this Lease and shall be liable jointly and severally with Tenant for the payment of all rent, and for the due performance of all of Tenant’s obligations, under this Lease. Such joint and several liability shall not be discharged or impaired by any subsequent modification or extension of this Lease. Consent by Landlord to one or more transfers shall not operate as a waiver or estoppel to the future enforcement by Landlord of its rights under this Lease.</w:t>
      </w:r>
    </w:p>
    <w:p>
      <w:pPr>
        <w:spacing w:after="0" w:line="202" w:lineRule="exact"/>
        <w:rPr>
          <w:sz w:val="20"/>
          <w:szCs w:val="20"/>
          <w:color w:val="auto"/>
        </w:rPr>
      </w:pPr>
    </w:p>
    <w:p>
      <w:pPr>
        <w:jc w:val="both"/>
        <w:ind w:firstLine="479"/>
        <w:spacing w:after="0" w:line="222" w:lineRule="auto"/>
        <w:rPr>
          <w:sz w:val="20"/>
          <w:szCs w:val="20"/>
          <w:color w:val="auto"/>
        </w:rPr>
      </w:pPr>
      <w:r>
        <w:rPr>
          <w:rFonts w:ascii="Arial" w:cs="Arial" w:eastAsia="Arial" w:hAnsi="Arial"/>
          <w:sz w:val="17"/>
          <w:szCs w:val="17"/>
          <w:b w:val="1"/>
          <w:bCs w:val="1"/>
          <w:color w:val="auto"/>
        </w:rPr>
        <w:t>9.3 SUBLEASE REQUIREMENTS</w:t>
      </w:r>
      <w:r>
        <w:rPr>
          <w:rFonts w:ascii="Arial" w:cs="Arial" w:eastAsia="Arial" w:hAnsi="Arial"/>
          <w:sz w:val="17"/>
          <w:szCs w:val="17"/>
          <w:color w:val="auto"/>
        </w:rPr>
        <w:t>. Any sublease, license, concession or other occupancy agreement entered into by Tenant shall be subordinate</w:t>
      </w:r>
      <w:r>
        <w:rPr>
          <w:rFonts w:ascii="Arial" w:cs="Arial" w:eastAsia="Arial" w:hAnsi="Arial"/>
          <w:sz w:val="17"/>
          <w:szCs w:val="17"/>
          <w:b w:val="1"/>
          <w:bCs w:val="1"/>
          <w:color w:val="auto"/>
        </w:rPr>
        <w:t xml:space="preserve"> </w:t>
      </w:r>
      <w:r>
        <w:rPr>
          <w:rFonts w:ascii="Arial" w:cs="Arial" w:eastAsia="Arial" w:hAnsi="Arial"/>
          <w:sz w:val="17"/>
          <w:szCs w:val="17"/>
          <w:color w:val="auto"/>
        </w:rPr>
        <w:t>and subject to the provisions of this Lease, and if this Lease is terminated during the term of any such agreement, Landlord shall have the right to: (i) treat such agreement as cancelled and repossess the subject space by any lawful means, or (ii) require that such transferee attorn to and recognize Landlord as its landlord (or licensor, as applicable) under such agreement. Landlord shall not, by reason of such attornment or the collection of sublease rentals, be deemed liable to the subtenant for the performance of any of Tenant’s obligations under the sublease. If Tenant is in Default (hereinafter defined), Landlord is irrevocably authorized to direct any transferee under any such agreement to make all payments under such agreement directly to Landlord (which Landlord shall apply towards Tenant’s obligations under this Lease) until such Default is cured. No collection or acceptance of rent by Landlord from any transferee shall be deemed a waiver of any provision of Article 9 of this Lease, an approval of any transferee, or a release of Tenant from any obligation under this Lease, whenever accruing. In no event shall Landlord’s enforcement of any provision of this Lease against any transferee be deemed a waiver of Landlord’s right to enforce any term of this Lease against Tenant or any other person.</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10. INSURANCE AND INDEMNITY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10.1 TENANT’S INSURANCE</w:t>
      </w:r>
      <w:r>
        <w:rPr>
          <w:rFonts w:ascii="Arial" w:cs="Arial" w:eastAsia="Arial" w:hAnsi="Arial"/>
          <w:sz w:val="17"/>
          <w:szCs w:val="17"/>
          <w:color w:val="auto"/>
        </w:rPr>
        <w:t>. Tenant, at its sole cost and expense, shall provide and maintain in effect the insurance described in</w:t>
      </w:r>
      <w:r>
        <w:rPr>
          <w:rFonts w:ascii="Arial" w:cs="Arial" w:eastAsia="Arial" w:hAnsi="Arial"/>
          <w:sz w:val="17"/>
          <w:szCs w:val="17"/>
          <w:b w:val="1"/>
          <w:bCs w:val="1"/>
          <w:color w:val="auto"/>
        </w:rPr>
        <w:t xml:space="preserve"> Exhibit D</w:t>
      </w:r>
      <w:r>
        <w:rPr>
          <w:rFonts w:ascii="Arial" w:cs="Arial" w:eastAsia="Arial" w:hAnsi="Arial"/>
          <w:sz w:val="17"/>
          <w:szCs w:val="17"/>
          <w:color w:val="auto"/>
        </w:rPr>
        <w:t>.</w:t>
      </w:r>
    </w:p>
    <w:p>
      <w:pPr>
        <w:spacing w:after="0"/>
        <w:rPr>
          <w:sz w:val="20"/>
          <w:szCs w:val="20"/>
          <w:color w:val="auto"/>
        </w:rPr>
      </w:pPr>
      <w:r>
        <w:rPr>
          <w:rFonts w:ascii="Arial" w:cs="Arial" w:eastAsia="Arial" w:hAnsi="Arial"/>
          <w:sz w:val="18"/>
          <w:szCs w:val="18"/>
          <w:color w:val="auto"/>
        </w:rPr>
        <w:t>Evidence of that insurance must be delivered to Landlord prior to the Commencement Date.</w:t>
      </w:r>
    </w:p>
    <w:p>
      <w:pPr>
        <w:sectPr>
          <w:pgSz w:w="11900" w:h="16838" w:orient="portrait"/>
          <w:cols w:equalWidth="0" w:num="1">
            <w:col w:w="11240"/>
          </w:cols>
          <w:pgMar w:left="320" w:top="147"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79"/>
        <w:spacing w:after="0" w:line="224" w:lineRule="auto"/>
        <w:rPr>
          <w:sz w:val="20"/>
          <w:szCs w:val="20"/>
          <w:color w:val="auto"/>
        </w:rPr>
      </w:pPr>
      <w:r>
        <w:rPr>
          <w:rFonts w:ascii="Arial" w:cs="Arial" w:eastAsia="Arial" w:hAnsi="Arial"/>
          <w:sz w:val="18"/>
          <w:szCs w:val="18"/>
          <w:b w:val="1"/>
          <w:bCs w:val="1"/>
          <w:color w:val="auto"/>
        </w:rPr>
        <w:t>10.2 LANDLORD’S INSURANCE</w:t>
      </w:r>
      <w:r>
        <w:rPr>
          <w:rFonts w:ascii="Arial" w:cs="Arial" w:eastAsia="Arial" w:hAnsi="Arial"/>
          <w:sz w:val="18"/>
          <w:szCs w:val="18"/>
          <w:color w:val="auto"/>
        </w:rPr>
        <w:t>. Landlord shall provide the following types of insurance, with or without deductible and in amounts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coverages as may be determined by Landlord in its discretion: property insurance, subject to standard exclusions (such as, but not limited to, earthquake and flood exclusions), covering the Building or Project. In addition, Landlord may, at its election, obtain insurance coverages for such other risks as Landlord or its Mortgagees may from time to time deem appropriate, including earthquake, terrorism and commercial general liability coverage. Landlord shall not be required to carry insurance of any kind on any tenant improvements or Alterations in the Premises installed by Tenant or its contractors or otherwise removable by Tenant (collectively, "</w:t>
      </w:r>
      <w:r>
        <w:rPr>
          <w:rFonts w:ascii="Arial" w:cs="Arial" w:eastAsia="Arial" w:hAnsi="Arial"/>
          <w:sz w:val="18"/>
          <w:szCs w:val="18"/>
          <w:b w:val="1"/>
          <w:bCs w:val="1"/>
          <w:color w:val="auto"/>
        </w:rPr>
        <w:t>Tenant Installations</w:t>
      </w:r>
      <w:r>
        <w:rPr>
          <w:rFonts w:ascii="Arial" w:cs="Arial" w:eastAsia="Arial" w:hAnsi="Arial"/>
          <w:sz w:val="18"/>
          <w:szCs w:val="18"/>
          <w:color w:val="auto"/>
        </w:rPr>
        <w:t>"), or on any trade fixtures, furnishings, equipment, interior plate glass, signs or items of personal property in the Premises, and Landlord shall not be obligated to repair or replace any of the foregoing items should damage occur. All proceeds of insurance maintained by Landlord upon the Building and Project shall be the property of Landlord, whether or not Landlord is obligated to or elects to make any repairs.</w:t>
      </w:r>
    </w:p>
    <w:p>
      <w:pPr>
        <w:spacing w:after="0" w:line="205"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6"/>
          <w:szCs w:val="16"/>
          <w:b w:val="1"/>
          <w:bCs w:val="1"/>
          <w:color w:val="auto"/>
        </w:rPr>
        <w:t>10.3 TENANT’S INDEMNITY</w:t>
      </w:r>
      <w:r>
        <w:rPr>
          <w:rFonts w:ascii="Arial" w:cs="Arial" w:eastAsia="Arial" w:hAnsi="Arial"/>
          <w:sz w:val="16"/>
          <w:szCs w:val="16"/>
          <w:color w:val="auto"/>
        </w:rPr>
        <w:t>. To the fullest extent permitted by law, but subject to Section 10.5 below, Tenant shall defend, indemnify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Landlord and Landlord’s agents, employees, lenders, and affiliates, from and against any and all negligence, claims, liabilities, damages, costs or expenses arising either before or after the Commencement Date which arise from or are caused by Tenant’s use or occupancy of the Premises, the Building or the Common Areas of the Project, or from the conduct of Tenant’s business, or from any activity, work, or thing done, permitted or suffered by Tenant or Tenant’s agents, employees, subtenants, vendors, contractors, invitees or licensees in or about the Premises, the Building or the Common Areas of the Project, or from any Default in the performance of any obligation on Tenant’s part to be performed under this Lease, or from any act, omission or negligence on the part of Tenant or Tenant’s agents, employees, subtenants, vendors, contractors, invitees or licensees. Landlord may, at its option, require Tenant to assume Landlord’s defense in any action covered by this Section 10.3 through counsel reasonably satisfactory to Landlord. Notwithstanding the foregoing, Tenant shall not be obligated to indemnify Landlord against any liability or expense to the extent it is ultimately determined that the same was caused by the sole negligence or willful misconduct of Landlord, its agents, contractors or employees.</w:t>
      </w:r>
    </w:p>
    <w:p>
      <w:pPr>
        <w:spacing w:after="0" w:line="193" w:lineRule="exact"/>
        <w:rPr>
          <w:sz w:val="20"/>
          <w:szCs w:val="20"/>
          <w:color w:val="auto"/>
        </w:rPr>
      </w:pPr>
    </w:p>
    <w:p>
      <w:pPr>
        <w:jc w:val="both"/>
        <w:ind w:firstLine="479"/>
        <w:spacing w:after="0" w:line="237" w:lineRule="auto"/>
        <w:rPr>
          <w:sz w:val="20"/>
          <w:szCs w:val="20"/>
          <w:color w:val="auto"/>
        </w:rPr>
      </w:pPr>
      <w:r>
        <w:rPr>
          <w:rFonts w:ascii="Arial" w:cs="Arial" w:eastAsia="Arial" w:hAnsi="Arial"/>
          <w:sz w:val="17"/>
          <w:szCs w:val="17"/>
          <w:b w:val="1"/>
          <w:bCs w:val="1"/>
          <w:color w:val="auto"/>
        </w:rPr>
        <w:t>10.4 WAIVER OF CLAIMS</w:t>
      </w:r>
      <w:r>
        <w:rPr>
          <w:rFonts w:ascii="Arial" w:cs="Arial" w:eastAsia="Arial" w:hAnsi="Arial"/>
          <w:sz w:val="17"/>
          <w:szCs w:val="17"/>
          <w:color w:val="auto"/>
        </w:rPr>
        <w:t>. Landlord shall not be liable to Tenant, its employees, agents and invitees, and Tenant hereby waives all claims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its employees and agents for loss of or damage to any property, or any injury to any person, resulting from any condition including, but not limited to, acts or omissions (criminal or otherwise) of third parties and/or other tenants of the Project, or their agents, employees or invitees, fire, explosion, falling plaster, steam, gas, electricity, water or rain which may leak or flow from or into any part of the Premises or from the breakage, leakage, obstruction or other defects of the pipes, sprinklers, wires, appliances, plumbing, air conditioning, electrical works or other fixtures in the Building, whether the damage or injury results from conditions arising in the Premises or in other portions of the Building, regardless of the negligence of Landlord, its agents or any and all affiliates of Landlord in connection with the foregoing. It is understood that any such condition may require the temporary evacuation or closure of all or a portion of the Building. Should Tenant elect to receive any service from a concessionaire, licensee or third party tenant of Landlord, Tenant shall not seek recourse against Landlord for any breach or liability of that service provider. Notwithstanding anything to the contrary contained in this Lease, in no event shall Landlord be liable for Tenant’s loss or interruption of business or income (including without limitation, Tenant’s consequential damages, lost profits or opportunity costs), or for interference with light or other similar intangible interests.</w:t>
      </w:r>
    </w:p>
    <w:p>
      <w:pPr>
        <w:spacing w:after="0" w:line="199" w:lineRule="exact"/>
        <w:rPr>
          <w:sz w:val="20"/>
          <w:szCs w:val="20"/>
          <w:color w:val="auto"/>
        </w:rPr>
      </w:pPr>
    </w:p>
    <w:p>
      <w:pPr>
        <w:jc w:val="both"/>
        <w:ind w:firstLine="479"/>
        <w:spacing w:after="0" w:line="241" w:lineRule="auto"/>
        <w:rPr>
          <w:sz w:val="20"/>
          <w:szCs w:val="20"/>
          <w:color w:val="auto"/>
        </w:rPr>
      </w:pPr>
      <w:r>
        <w:rPr>
          <w:rFonts w:ascii="Arial" w:cs="Arial" w:eastAsia="Arial" w:hAnsi="Arial"/>
          <w:sz w:val="17"/>
          <w:szCs w:val="17"/>
          <w:b w:val="1"/>
          <w:bCs w:val="1"/>
          <w:color w:val="auto"/>
        </w:rPr>
        <w:t>10.5 WAIVER OF SUBROGATION</w:t>
      </w:r>
      <w:r>
        <w:rPr>
          <w:rFonts w:ascii="Arial" w:cs="Arial" w:eastAsia="Arial" w:hAnsi="Arial"/>
          <w:sz w:val="17"/>
          <w:szCs w:val="17"/>
          <w:color w:val="auto"/>
        </w:rPr>
        <w:t>. Landlord and Tenant waive all rights of recovery against the other on account of loss and damage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of such waiving party to the extent that the waiving party is entitled to proceeds for such loss and damage under any property insurance policies carried or otherwise required to be carried by this Lease. By this waiver it is the intent of the parties that neither Landlord nor Tenant shall be liable to any insurance company (by way of subrogation or otherwise) insuring the other party for any loss or damage insured against under any property insurance policies, even though such loss or damage might be occasioned by the negligence of such party, its agents, employees, contractors or invitees. The foregoing waiver by Tenant shall also inure to the benefit of Landlord's management agent for the Building.</w:t>
      </w:r>
    </w:p>
    <w:p>
      <w:pPr>
        <w:sectPr>
          <w:pgSz w:w="11900" w:h="16838" w:orient="portrait"/>
          <w:cols w:equalWidth="0" w:num="1">
            <w:col w:w="11240"/>
          </w:cols>
          <w:pgMar w:left="320" w:top="147"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11. DAMAGE OR DESTRUCTION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11.1 RESTORATION.</w:t>
      </w:r>
    </w:p>
    <w:p>
      <w:pPr>
        <w:spacing w:after="0" w:line="229" w:lineRule="exact"/>
        <w:rPr>
          <w:sz w:val="20"/>
          <w:szCs w:val="20"/>
          <w:color w:val="auto"/>
        </w:rPr>
      </w:pPr>
    </w:p>
    <w:p>
      <w:pPr>
        <w:jc w:val="both"/>
        <w:ind w:left="1300" w:hanging="320"/>
        <w:spacing w:after="0" w:line="239" w:lineRule="auto"/>
        <w:tabs>
          <w:tab w:leader="none" w:pos="129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Building of which the Premises are a part is damaged as the result of an event of casualty, then subject to the provisions below, Landlord shall repair that damage as soon as reasonably possible unless Landlord reasonably determines that: (i) the Premises have been materially damaged and there is less than 1 year of the Term remaining on the date of the casualty; (ii) any Mortgagee (defined in Section 13.1) requires that the insurance proceeds be applied to the payment of the mortgage debt; or (iii) proceeds necessary to pay the full cost of the repair are not available from Landlord’s insurance, including without limitation earthquake insurance. Should Landlord elect not to repair the damage for one of the preceding reasons, Landlord shall so notify Tenant in the “Casualty Notice” (as defined below), and this Lease shall terminate as of the date of delivery of that notice.</w:t>
      </w:r>
    </w:p>
    <w:p>
      <w:pPr>
        <w:spacing w:after="0" w:line="203" w:lineRule="exact"/>
        <w:rPr>
          <w:rFonts w:ascii="Arial" w:cs="Arial" w:eastAsia="Arial" w:hAnsi="Arial"/>
          <w:sz w:val="17"/>
          <w:szCs w:val="17"/>
          <w:color w:val="auto"/>
        </w:rPr>
      </w:pPr>
    </w:p>
    <w:p>
      <w:pPr>
        <w:jc w:val="both"/>
        <w:ind w:left="1300" w:hanging="320"/>
        <w:spacing w:after="0" w:line="242" w:lineRule="auto"/>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soon as reasonably practicable following the casualty event but not later than 60 days thereafter, Landlord shall notify Tenant in writing (“</w:t>
      </w:r>
      <w:r>
        <w:rPr>
          <w:rFonts w:ascii="Arial" w:cs="Arial" w:eastAsia="Arial" w:hAnsi="Arial"/>
          <w:sz w:val="17"/>
          <w:szCs w:val="17"/>
          <w:b w:val="1"/>
          <w:bCs w:val="1"/>
          <w:color w:val="auto"/>
        </w:rPr>
        <w:t>Casualty Notice</w:t>
      </w:r>
      <w:r>
        <w:rPr>
          <w:rFonts w:ascii="Arial" w:cs="Arial" w:eastAsia="Arial" w:hAnsi="Arial"/>
          <w:sz w:val="17"/>
          <w:szCs w:val="17"/>
          <w:color w:val="auto"/>
        </w:rPr>
        <w:t>”) of Landlord’s election, if applicable, to terminate this Lease. If this Lease is not so terminated, the Casualty Notice shall set forth the anticipated period for repairing the casualty damage. If the anticipated repair period exceeds 270 days and if the damage is so extensive as to reasonably prevent Tenant’s substantial use and enjoyment of the Premises, then either party may elect to terminate this Lease by written notice to the other within 10 days following delivery of the Casualty Notice.</w:t>
      </w:r>
    </w:p>
    <w:p>
      <w:pPr>
        <w:spacing w:after="0" w:line="202" w:lineRule="exact"/>
        <w:rPr>
          <w:rFonts w:ascii="Arial" w:cs="Arial" w:eastAsia="Arial" w:hAnsi="Arial"/>
          <w:sz w:val="17"/>
          <w:szCs w:val="17"/>
          <w:color w:val="auto"/>
        </w:rPr>
      </w:pPr>
    </w:p>
    <w:p>
      <w:pPr>
        <w:jc w:val="both"/>
        <w:ind w:left="1300" w:hanging="320"/>
        <w:spacing w:after="0" w:line="256" w:lineRule="auto"/>
        <w:tabs>
          <w:tab w:leader="none" w:pos="129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event that neither Landlord nor Tenant terminates this Lease pursuant to Section 11.1(b), Landlord shall repair all material damage to the Premises or the Building as soon as reasonably possible and this Lease shall continue in effect for the remainder of the Term. Upon notice from Landlord, Tenant shall assign or endorse over to Landlord (or to any party designated by Landlord) all property insurance proceeds payable to Tenant under Tenant's insurance with respect to any Tenant Installations; provided if the estimated cost to repair such Tenant Installations exceeds the amount of insurance proceeds received by Landlord from Tenant's insurance carrier, the excess cost of such repairs shall be paid by Tenant to Landlord prior to Landlord's commencement of repairs. Within 15 days of demand, Tenant shall also pay Landlord for any additional excess costs that are determined during the performance of the repairs to such Tenant Installations.</w:t>
      </w:r>
    </w:p>
    <w:p>
      <w:pPr>
        <w:spacing w:after="0" w:line="192" w:lineRule="exact"/>
        <w:rPr>
          <w:rFonts w:ascii="Arial" w:cs="Arial" w:eastAsia="Arial" w:hAnsi="Arial"/>
          <w:sz w:val="16"/>
          <w:szCs w:val="16"/>
          <w:color w:val="auto"/>
        </w:rPr>
      </w:pPr>
    </w:p>
    <w:p>
      <w:pPr>
        <w:jc w:val="both"/>
        <w:ind w:left="1300" w:hanging="320"/>
        <w:spacing w:after="0" w:line="235"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From and after the 6th business day following the casualty event, the rental to be paid under this Lease shall be abated in the same proportion that the Floor Area of the Premises that is rendered unusable by the damage from time to time bears to the total Floor Area of the Premises.</w:t>
      </w:r>
    </w:p>
    <w:p>
      <w:pPr>
        <w:spacing w:after="0" w:line="201" w:lineRule="exact"/>
        <w:rPr>
          <w:rFonts w:ascii="Arial" w:cs="Arial" w:eastAsia="Arial" w:hAnsi="Arial"/>
          <w:sz w:val="18"/>
          <w:szCs w:val="18"/>
          <w:color w:val="auto"/>
        </w:rPr>
      </w:pPr>
    </w:p>
    <w:p>
      <w:pPr>
        <w:jc w:val="both"/>
        <w:ind w:left="1300" w:hanging="320"/>
        <w:spacing w:after="0" w:line="228" w:lineRule="auto"/>
        <w:tabs>
          <w:tab w:leader="none" w:pos="12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subsections (a), (b) and (c) of this Section 11.1, but subject to Section 10.5, the cost of any repairs shall be borne by Tenant, and Tenant shall not be entitled to rental abatement or termination rights, if the damage is due to the fault or neglect of Tenant or its employees, subtenants, contractors, invitees or representatives. In addition, the provisions of this Section 11.1 shall not be deemed to require Landlord to repair any Tenant Installations, fixtures and other items that Tenant is obligated to insure pursuant to </w:t>
      </w:r>
      <w:r>
        <w:rPr>
          <w:rFonts w:ascii="Arial" w:cs="Arial" w:eastAsia="Arial" w:hAnsi="Arial"/>
          <w:sz w:val="18"/>
          <w:szCs w:val="18"/>
          <w:b w:val="1"/>
          <w:bCs w:val="1"/>
          <w:color w:val="auto"/>
        </w:rPr>
        <w:t xml:space="preserve">Exhibit D </w:t>
      </w:r>
      <w:r>
        <w:rPr>
          <w:rFonts w:ascii="Arial" w:cs="Arial" w:eastAsia="Arial" w:hAnsi="Arial"/>
          <w:sz w:val="18"/>
          <w:szCs w:val="18"/>
          <w:color w:val="auto"/>
        </w:rPr>
        <w:t>or under any other provision of this Lease.</w:t>
      </w:r>
    </w:p>
    <w:p>
      <w:pPr>
        <w:spacing w:after="0" w:line="201" w:lineRule="exact"/>
        <w:rPr>
          <w:sz w:val="20"/>
          <w:szCs w:val="20"/>
          <w:color w:val="auto"/>
        </w:rPr>
      </w:pPr>
    </w:p>
    <w:p>
      <w:pPr>
        <w:jc w:val="both"/>
        <w:ind w:firstLine="479"/>
        <w:spacing w:after="0" w:line="250" w:lineRule="auto"/>
        <w:rPr>
          <w:sz w:val="20"/>
          <w:szCs w:val="20"/>
          <w:color w:val="auto"/>
        </w:rPr>
      </w:pPr>
      <w:r>
        <w:rPr>
          <w:rFonts w:ascii="Arial" w:cs="Arial" w:eastAsia="Arial" w:hAnsi="Arial"/>
          <w:sz w:val="18"/>
          <w:szCs w:val="18"/>
          <w:b w:val="1"/>
          <w:bCs w:val="1"/>
          <w:color w:val="auto"/>
        </w:rPr>
        <w:t>11.2 LEASE GOVERNS</w:t>
      </w:r>
      <w:r>
        <w:rPr>
          <w:rFonts w:ascii="Arial" w:cs="Arial" w:eastAsia="Arial" w:hAnsi="Arial"/>
          <w:sz w:val="18"/>
          <w:szCs w:val="18"/>
          <w:color w:val="auto"/>
        </w:rPr>
        <w:t>. Tenant agrees that the provisions of this Lease, including without limitation Section 11.1, shall govern any damage or</w:t>
      </w:r>
      <w:r>
        <w:rPr>
          <w:rFonts w:ascii="Arial" w:cs="Arial" w:eastAsia="Arial" w:hAnsi="Arial"/>
          <w:sz w:val="18"/>
          <w:szCs w:val="18"/>
          <w:b w:val="1"/>
          <w:bCs w:val="1"/>
          <w:color w:val="auto"/>
        </w:rPr>
        <w:t xml:space="preserve"> </w:t>
      </w:r>
      <w:r>
        <w:rPr>
          <w:rFonts w:ascii="Arial" w:cs="Arial" w:eastAsia="Arial" w:hAnsi="Arial"/>
          <w:sz w:val="18"/>
          <w:szCs w:val="18"/>
          <w:color w:val="auto"/>
        </w:rPr>
        <w:t>destruction and shall accordingly supersede any contrary statute or rule of law.</w:t>
      </w:r>
    </w:p>
    <w:p>
      <w:pPr>
        <w:spacing w:after="0" w:line="23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ARTICLE 12. EMINENT DOMAIN</w:t>
      </w:r>
    </w:p>
    <w:p>
      <w:pPr>
        <w:spacing w:after="0" w:line="229" w:lineRule="exact"/>
        <w:rPr>
          <w:sz w:val="20"/>
          <w:szCs w:val="20"/>
          <w:color w:val="auto"/>
        </w:rPr>
      </w:pPr>
    </w:p>
    <w:p>
      <w:pPr>
        <w:jc w:val="both"/>
        <w:ind w:firstLine="414"/>
        <w:spacing w:after="0" w:line="235" w:lineRule="auto"/>
        <w:rPr>
          <w:sz w:val="20"/>
          <w:szCs w:val="20"/>
          <w:color w:val="auto"/>
        </w:rPr>
      </w:pPr>
      <w:r>
        <w:rPr>
          <w:rFonts w:ascii="Arial" w:cs="Arial" w:eastAsia="Arial" w:hAnsi="Arial"/>
          <w:sz w:val="18"/>
          <w:szCs w:val="18"/>
          <w:color w:val="auto"/>
        </w:rPr>
        <w:t>Either party may terminate this Lease if any material part of the Premises is taken or condemned for any public or quasi- public use under Law, by eminent domain or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Landlord shall also have the right to terminate this Lease if there is a Taking of any portion of the Building or Project which would</w:t>
      </w:r>
    </w:p>
    <w:p>
      <w:pPr>
        <w:sectPr>
          <w:pgSz w:w="11900" w:h="16838" w:orient="portrait"/>
          <w:cols w:equalWidth="0" w:num="1">
            <w:col w:w="11240"/>
          </w:cols>
          <w:pgMar w:left="320" w:top="147"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have a material adverse effect on Landlord’s ability to profitably operate the remainder of the Building or Project. The termination shall be effective as of the effective date of any order granting possession to, or vesting legal title in, the condemning authority. If this Lease is not terminated, Basic Rent and Tenant’s Share of Operating Expenses shall be appropriately adjusted to account for any reduction in the square footage of the Building or Premises. All compensation awarded for a Taking shall be the property of Landlord and the right to receive compensation or proceeds in connection with a Taking are expressly waived by Tenant; provided, however, Tenant may file a separate claim for Tenant's personal property and Tenant's reasonable relocation expenses, provided the filing of the claim does not diminish the amount of Landlord’s award. If only a part of the Premises is subject to a Taking and this Lease is not terminated, Landlord, with reasonable diligence, will restore the remaining portion of the Premises as nearly as practicable to the condition immediately prior to the Taking. Tenant agrees that the provisions of this Lease shall govern any Taking and shall accordingly supersede any contrary statute or rule of law.</w:t>
      </w:r>
    </w:p>
    <w:p>
      <w:pPr>
        <w:spacing w:after="0" w:line="24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ARTICLE 13. SUBORDINATION; ESTOPPEL CERTIFICATE</w:t>
      </w:r>
    </w:p>
    <w:p>
      <w:pPr>
        <w:spacing w:after="0" w:line="225"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6"/>
          <w:szCs w:val="16"/>
          <w:b w:val="1"/>
          <w:bCs w:val="1"/>
          <w:color w:val="auto"/>
        </w:rPr>
        <w:t>13.1 SUBORDINATION</w:t>
      </w:r>
      <w:r>
        <w:rPr>
          <w:rFonts w:ascii="Arial" w:cs="Arial" w:eastAsia="Arial" w:hAnsi="Arial"/>
          <w:sz w:val="16"/>
          <w:szCs w:val="16"/>
          <w:color w:val="auto"/>
        </w:rPr>
        <w:t>. Tenant accepts this Lease subject and subordinate to any mortgage(s), deed(s) of trust, ground lease(s) or other lien(s)</w:t>
      </w:r>
      <w:r>
        <w:rPr>
          <w:rFonts w:ascii="Arial" w:cs="Arial" w:eastAsia="Arial" w:hAnsi="Arial"/>
          <w:sz w:val="16"/>
          <w:szCs w:val="16"/>
          <w:b w:val="1"/>
          <w:bCs w:val="1"/>
          <w:color w:val="auto"/>
        </w:rPr>
        <w:t xml:space="preserve"> </w:t>
      </w:r>
      <w:r>
        <w:rPr>
          <w:rFonts w:ascii="Arial" w:cs="Arial" w:eastAsia="Arial" w:hAnsi="Arial"/>
          <w:sz w:val="16"/>
          <w:szCs w:val="16"/>
          <w:color w:val="auto"/>
        </w:rPr>
        <w:t>now or subsequently arising upon the Building or the Project, and to renewals, modifications, refinancings and extensions thereof (collectively referred to as a “</w:t>
      </w:r>
      <w:r>
        <w:rPr>
          <w:rFonts w:ascii="Arial" w:cs="Arial" w:eastAsia="Arial" w:hAnsi="Arial"/>
          <w:sz w:val="16"/>
          <w:szCs w:val="16"/>
          <w:b w:val="1"/>
          <w:bCs w:val="1"/>
          <w:color w:val="auto"/>
        </w:rPr>
        <w:t>Mortgage</w:t>
      </w:r>
      <w:r>
        <w:rPr>
          <w:rFonts w:ascii="Arial" w:cs="Arial" w:eastAsia="Arial" w:hAnsi="Arial"/>
          <w:sz w:val="16"/>
          <w:szCs w:val="16"/>
          <w:color w:val="auto"/>
        </w:rPr>
        <w:t>”). The party having the benefit of a Mortgage shall be referred to as a “</w:t>
      </w:r>
      <w:r>
        <w:rPr>
          <w:rFonts w:ascii="Arial" w:cs="Arial" w:eastAsia="Arial" w:hAnsi="Arial"/>
          <w:sz w:val="16"/>
          <w:szCs w:val="16"/>
          <w:b w:val="1"/>
          <w:bCs w:val="1"/>
          <w:color w:val="auto"/>
        </w:rPr>
        <w:t>Mortgagee</w:t>
      </w:r>
      <w:r>
        <w:rPr>
          <w:rFonts w:ascii="Arial" w:cs="Arial" w:eastAsia="Arial" w:hAnsi="Arial"/>
          <w:sz w:val="16"/>
          <w:szCs w:val="16"/>
          <w:color w:val="auto"/>
        </w:rPr>
        <w:t>”. This clause shall be self-operative, but upon request from a Mortgagee, Tenant shall execute a commercially reasonable subordination and attornment agreement in favor of the Mortgagee, provided such commercially reasonable agreement provides a non-disturbance covenant benefitting Tenant. Alternatively, a Mortgagee shall have the right at any time to subordinate its Mortgage to this Lease. Upon request, Tenant, without charge, shall attorn to any successor to Landlord’s interest in this Lease in the event of a foreclosure of any Mortgage. Tenant agrees that any purchaser at a foreclosure sale or lender taking title under a deed in lieu of foreclosure shall not be responsible for any act or omission of a prior landlord, shall not be subject to any offsets or defenses Tenant may have against a prior landlord, and shall not be liable for the return of the Security Deposit not actually recovered by such purchaser nor bound by any rent paid in advance of the calendar month in which the transfer of title occurred; provided that the foregoing shall not release the applicable prior landlord from any liability for those obligations. Tenant acknowledges that Landlord’s Mortgagees and their successors-in-interest are intended third party beneficiaries of this Section 13.1.</w:t>
      </w:r>
    </w:p>
    <w:p>
      <w:pPr>
        <w:spacing w:after="0" w:line="189" w:lineRule="exact"/>
        <w:rPr>
          <w:sz w:val="20"/>
          <w:szCs w:val="20"/>
          <w:color w:val="auto"/>
        </w:rPr>
      </w:pPr>
    </w:p>
    <w:p>
      <w:pPr>
        <w:jc w:val="both"/>
        <w:ind w:firstLine="479"/>
        <w:spacing w:after="0" w:line="226" w:lineRule="auto"/>
        <w:rPr>
          <w:sz w:val="20"/>
          <w:szCs w:val="20"/>
          <w:color w:val="auto"/>
        </w:rPr>
      </w:pPr>
      <w:r>
        <w:rPr>
          <w:rFonts w:ascii="Arial" w:cs="Arial" w:eastAsia="Arial" w:hAnsi="Arial"/>
          <w:sz w:val="18"/>
          <w:szCs w:val="18"/>
          <w:b w:val="1"/>
          <w:bCs w:val="1"/>
          <w:color w:val="auto"/>
        </w:rPr>
        <w:t>13.2 ESTOPPEL CERTIFICATE</w:t>
      </w:r>
      <w:r>
        <w:rPr>
          <w:rFonts w:ascii="Arial" w:cs="Arial" w:eastAsia="Arial" w:hAnsi="Arial"/>
          <w:sz w:val="18"/>
          <w:szCs w:val="18"/>
          <w:color w:val="auto"/>
        </w:rPr>
        <w:t>. Tenant shall, within 10 business days after receipt of a written request from Landlord, execute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estoppel certificate in favor of those parties as are reasonably requested by Landlord (including a Mortgagee or a prospective purchaser of the Building or the Project).</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14. DEFAULTS AND REMEDIES</w:t>
      </w:r>
    </w:p>
    <w:p>
      <w:pPr>
        <w:spacing w:after="0" w:line="225" w:lineRule="exact"/>
        <w:rPr>
          <w:sz w:val="20"/>
          <w:szCs w:val="20"/>
          <w:color w:val="auto"/>
        </w:rPr>
      </w:pPr>
    </w:p>
    <w:p>
      <w:pPr>
        <w:jc w:val="both"/>
        <w:ind w:right="20" w:firstLine="479"/>
        <w:spacing w:after="0" w:line="250" w:lineRule="auto"/>
        <w:rPr>
          <w:sz w:val="20"/>
          <w:szCs w:val="20"/>
          <w:color w:val="auto"/>
        </w:rPr>
      </w:pPr>
      <w:r>
        <w:rPr>
          <w:rFonts w:ascii="Arial" w:cs="Arial" w:eastAsia="Arial" w:hAnsi="Arial"/>
          <w:sz w:val="18"/>
          <w:szCs w:val="18"/>
          <w:b w:val="1"/>
          <w:bCs w:val="1"/>
          <w:color w:val="auto"/>
        </w:rPr>
        <w:t>14.1 TENANT’S DEFAULTS</w:t>
      </w:r>
      <w:r>
        <w:rPr>
          <w:rFonts w:ascii="Arial" w:cs="Arial" w:eastAsia="Arial" w:hAnsi="Arial"/>
          <w:sz w:val="18"/>
          <w:szCs w:val="18"/>
          <w:color w:val="auto"/>
        </w:rPr>
        <w:t>. In addition to any other event of default set forth in this Lease, the occurrence of any one or more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events shall constitute a “</w:t>
      </w:r>
      <w:r>
        <w:rPr>
          <w:rFonts w:ascii="Arial" w:cs="Arial" w:eastAsia="Arial" w:hAnsi="Arial"/>
          <w:sz w:val="18"/>
          <w:szCs w:val="18"/>
          <w:b w:val="1"/>
          <w:bCs w:val="1"/>
          <w:color w:val="auto"/>
        </w:rPr>
        <w:t>Default</w:t>
      </w:r>
      <w:r>
        <w:rPr>
          <w:rFonts w:ascii="Arial" w:cs="Arial" w:eastAsia="Arial" w:hAnsi="Arial"/>
          <w:sz w:val="18"/>
          <w:szCs w:val="18"/>
          <w:color w:val="auto"/>
        </w:rPr>
        <w:t>” by Tenant:</w:t>
      </w:r>
    </w:p>
    <w:p>
      <w:pPr>
        <w:spacing w:after="0" w:line="194" w:lineRule="exact"/>
        <w:rPr>
          <w:sz w:val="20"/>
          <w:szCs w:val="20"/>
          <w:color w:val="auto"/>
        </w:rPr>
      </w:pPr>
    </w:p>
    <w:p>
      <w:pPr>
        <w:jc w:val="both"/>
        <w:ind w:left="1300" w:hanging="320"/>
        <w:spacing w:after="0" w:line="231" w:lineRule="auto"/>
        <w:tabs>
          <w:tab w:leader="none" w:pos="12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failure by Tenant to make any payment of Rent required to be made by Tenant, as and when due, where the failure continues for a period of 3 business days after written notice from Landlord to Tenant. The term “</w:t>
      </w:r>
      <w:r>
        <w:rPr>
          <w:rFonts w:ascii="Arial" w:cs="Arial" w:eastAsia="Arial" w:hAnsi="Arial"/>
          <w:sz w:val="18"/>
          <w:szCs w:val="18"/>
          <w:b w:val="1"/>
          <w:bCs w:val="1"/>
          <w:color w:val="auto"/>
        </w:rPr>
        <w:t>Rent</w:t>
      </w:r>
      <w:r>
        <w:rPr>
          <w:rFonts w:ascii="Arial" w:cs="Arial" w:eastAsia="Arial" w:hAnsi="Arial"/>
          <w:sz w:val="18"/>
          <w:szCs w:val="18"/>
          <w:color w:val="auto"/>
        </w:rPr>
        <w:t>” as used in this Lease shall be deemed to mean the Basic Rent and all other sums, including but not limited to parking charges, required to be paid by Tenant to Landlord pursuant to the terms of this Lease</w:t>
      </w:r>
    </w:p>
    <w:p>
      <w:pPr>
        <w:spacing w:after="0" w:line="202" w:lineRule="exact"/>
        <w:rPr>
          <w:rFonts w:ascii="Arial" w:cs="Arial" w:eastAsia="Arial" w:hAnsi="Arial"/>
          <w:sz w:val="18"/>
          <w:szCs w:val="18"/>
          <w:color w:val="auto"/>
        </w:rPr>
      </w:pPr>
    </w:p>
    <w:p>
      <w:pPr>
        <w:jc w:val="both"/>
        <w:ind w:left="1300" w:right="20" w:hanging="320"/>
        <w:spacing w:after="0" w:line="235"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assignment, sublease, encumbrance or other Transfer of the Lease by Tenant, either voluntarily or by operation of law, whether by judgment, execution, transfer by intestacy or testacy, or other means, without the prior written consent of Landlord unless otherwise authorized in Article 9 of this Lease.</w:t>
      </w:r>
    </w:p>
    <w:p>
      <w:pPr>
        <w:spacing w:after="0" w:line="201" w:lineRule="exact"/>
        <w:rPr>
          <w:rFonts w:ascii="Arial" w:cs="Arial" w:eastAsia="Arial" w:hAnsi="Arial"/>
          <w:sz w:val="18"/>
          <w:szCs w:val="18"/>
          <w:color w:val="auto"/>
        </w:rPr>
      </w:pPr>
    </w:p>
    <w:p>
      <w:pPr>
        <w:ind w:left="1300" w:hanging="320"/>
        <w:spacing w:after="0" w:line="246" w:lineRule="auto"/>
        <w:tabs>
          <w:tab w:leader="none" w:pos="12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discovery by Landlord that any financial statement provided by Tenant, or by any affiliate, successor or guarantor of Tenant, was materially false.</w:t>
      </w:r>
    </w:p>
    <w:p>
      <w:pPr>
        <w:spacing w:after="0" w:line="196" w:lineRule="exact"/>
        <w:rPr>
          <w:rFonts w:ascii="Arial" w:cs="Arial" w:eastAsia="Arial" w:hAnsi="Arial"/>
          <w:sz w:val="18"/>
          <w:szCs w:val="18"/>
          <w:color w:val="auto"/>
        </w:rPr>
      </w:pPr>
    </w:p>
    <w:p>
      <w:pPr>
        <w:jc w:val="both"/>
        <w:ind w:left="1300" w:right="20" w:hanging="320"/>
        <w:spacing w:after="0" w:line="253" w:lineRule="auto"/>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Except where a specific time period is otherwise set forth for Tenant’s performance in this Lease (in which event the failure to perform by Tenant within such time period shall be a Default), the failure or inability by Tenant to observe or perform any of the covenants or provisions of this Lease to be observed or performed by Tenant, other than as specified in any other subsection of</w:t>
      </w:r>
    </w:p>
    <w:p>
      <w:pPr>
        <w:sectPr>
          <w:pgSz w:w="11900" w:h="16838" w:orient="portrait"/>
          <w:cols w:equalWidth="0" w:num="1">
            <w:col w:w="11240"/>
          </w:cols>
          <w:pgMar w:left="320" w:top="147"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300"/>
        <w:spacing w:after="0" w:line="235" w:lineRule="auto"/>
        <w:rPr>
          <w:sz w:val="20"/>
          <w:szCs w:val="20"/>
          <w:color w:val="auto"/>
        </w:rPr>
      </w:pPr>
      <w:r>
        <w:rPr>
          <w:rFonts w:ascii="Arial" w:cs="Arial" w:eastAsia="Arial" w:hAnsi="Arial"/>
          <w:sz w:val="18"/>
          <w:szCs w:val="18"/>
          <w:color w:val="auto"/>
        </w:rPr>
        <w:t>this Section 14.1, where the failure continues for a period of 30 days after written notice from Landlord to Tenant. However, if the nature of the failure is such that more than 30 days are reasonably required for its cure, then Tenant shall not be deemed to be in Default if Tenant commences the cure within 30 days, and thereafter diligently pursues the cure to completion.</w:t>
      </w:r>
    </w:p>
    <w:p>
      <w:pPr>
        <w:spacing w:after="0" w:line="202" w:lineRule="exact"/>
        <w:rPr>
          <w:sz w:val="20"/>
          <w:szCs w:val="20"/>
          <w:color w:val="auto"/>
        </w:rPr>
      </w:pPr>
    </w:p>
    <w:p>
      <w:pPr>
        <w:jc w:val="both"/>
        <w:ind w:firstLine="738"/>
        <w:spacing w:after="0" w:line="235" w:lineRule="auto"/>
        <w:rPr>
          <w:sz w:val="20"/>
          <w:szCs w:val="20"/>
          <w:color w:val="auto"/>
        </w:rPr>
      </w:pPr>
      <w:r>
        <w:rPr>
          <w:rFonts w:ascii="Arial" w:cs="Arial" w:eastAsia="Arial" w:hAnsi="Arial"/>
          <w:sz w:val="18"/>
          <w:szCs w:val="18"/>
          <w:color w:val="auto"/>
        </w:rPr>
        <w:t>The notice periods provided herein are in lieu of, and not in addition to, any notice periods provided by law, and Landlord shall not be required to give any additional notice under California Code of Civil Procedure Section 1161, or any successor statute, in order to be entitled to commence an unlawful detainer proceeding.</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14.2 LANDLORD’S REMEDIES</w:t>
      </w:r>
      <w:r>
        <w:rPr>
          <w:rFonts w:ascii="Arial" w:cs="Arial" w:eastAsia="Arial" w:hAnsi="Arial"/>
          <w:sz w:val="21"/>
          <w:szCs w:val="21"/>
          <w:b w:val="1"/>
          <w:bCs w:val="1"/>
          <w:color w:val="auto"/>
        </w:rPr>
        <w:t>.</w:t>
      </w:r>
    </w:p>
    <w:p>
      <w:pPr>
        <w:spacing w:after="0" w:line="231" w:lineRule="exact"/>
        <w:rPr>
          <w:sz w:val="20"/>
          <w:szCs w:val="20"/>
          <w:color w:val="auto"/>
        </w:rPr>
      </w:pPr>
    </w:p>
    <w:p>
      <w:pPr>
        <w:ind w:left="1300" w:right="20" w:hanging="320"/>
        <w:spacing w:after="0" w:line="246" w:lineRule="auto"/>
        <w:tabs>
          <w:tab w:leader="none" w:pos="12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the occurrence of any Default by Tenant, then in addition to any other remedies available to Landlord, Landlord may exercise the following remedies:</w:t>
      </w:r>
    </w:p>
    <w:p>
      <w:pPr>
        <w:spacing w:after="0" w:line="196" w:lineRule="exact"/>
        <w:rPr>
          <w:rFonts w:ascii="Arial" w:cs="Arial" w:eastAsia="Arial" w:hAnsi="Arial"/>
          <w:sz w:val="18"/>
          <w:szCs w:val="18"/>
          <w:color w:val="auto"/>
        </w:rPr>
      </w:pPr>
    </w:p>
    <w:p>
      <w:pPr>
        <w:jc w:val="both"/>
        <w:ind w:left="1960" w:hanging="332"/>
        <w:spacing w:after="0" w:line="231" w:lineRule="auto"/>
        <w:tabs>
          <w:tab w:leader="none" w:pos="19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Landlord may terminate Tenant’s right to possession of the Premises by any lawful means, in which case this Lease shall terminate and Tenant shall immediately surrender possession of the Premises to Landlord. Such termination shall not affect any accrued obligations of Tenant under this Lease. Upon termination, Landlord shall have the right to reenter the Premises and remove all persons and property. Landlord shall also be entitled to recover from Tenant:</w:t>
      </w:r>
    </w:p>
    <w:p>
      <w:pPr>
        <w:spacing w:after="0" w:line="202" w:lineRule="exact"/>
        <w:rPr>
          <w:rFonts w:ascii="Arial" w:cs="Arial" w:eastAsia="Arial" w:hAnsi="Arial"/>
          <w:sz w:val="18"/>
          <w:szCs w:val="18"/>
          <w:color w:val="auto"/>
        </w:rPr>
      </w:pPr>
    </w:p>
    <w:p>
      <w:pPr>
        <w:ind w:left="2600" w:hanging="324"/>
        <w:spacing w:after="0"/>
        <w:tabs>
          <w:tab w:leader="none" w:pos="26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which had been earned at the time of termination;</w:t>
      </w:r>
    </w:p>
    <w:p>
      <w:pPr>
        <w:spacing w:after="0" w:line="225" w:lineRule="exact"/>
        <w:rPr>
          <w:rFonts w:ascii="Arial" w:cs="Arial" w:eastAsia="Arial" w:hAnsi="Arial"/>
          <w:sz w:val="18"/>
          <w:szCs w:val="18"/>
          <w:color w:val="auto"/>
        </w:rPr>
      </w:pPr>
    </w:p>
    <w:p>
      <w:pPr>
        <w:jc w:val="both"/>
        <w:ind w:left="2600" w:hanging="324"/>
        <w:spacing w:after="0" w:line="235" w:lineRule="auto"/>
        <w:tabs>
          <w:tab w:leader="none" w:pos="26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loss that Tenant proves could have been reasonably avoided;</w:t>
      </w:r>
    </w:p>
    <w:p>
      <w:pPr>
        <w:spacing w:after="0" w:line="201" w:lineRule="exact"/>
        <w:rPr>
          <w:rFonts w:ascii="Arial" w:cs="Arial" w:eastAsia="Arial" w:hAnsi="Arial"/>
          <w:sz w:val="18"/>
          <w:szCs w:val="18"/>
          <w:color w:val="auto"/>
        </w:rPr>
      </w:pPr>
    </w:p>
    <w:p>
      <w:pPr>
        <w:ind w:left="2600" w:hanging="324"/>
        <w:spacing w:after="0" w:line="246" w:lineRule="auto"/>
        <w:tabs>
          <w:tab w:leader="none" w:pos="26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loss that Tenant proves could be reasonably avoided;</w:t>
      </w:r>
    </w:p>
    <w:p>
      <w:pPr>
        <w:spacing w:after="0" w:line="196" w:lineRule="exact"/>
        <w:rPr>
          <w:rFonts w:ascii="Arial" w:cs="Arial" w:eastAsia="Arial" w:hAnsi="Arial"/>
          <w:sz w:val="18"/>
          <w:szCs w:val="18"/>
          <w:color w:val="auto"/>
        </w:rPr>
      </w:pPr>
    </w:p>
    <w:p>
      <w:pPr>
        <w:jc w:val="both"/>
        <w:ind w:left="2600" w:hanging="324"/>
        <w:spacing w:after="0" w:line="228" w:lineRule="auto"/>
        <w:tabs>
          <w:tab w:leader="none" w:pos="26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from Tenant’s default, including, but not limited to, the cost of recovering possession of the Premises, commissions and other expenses of reletting, including necessary repair, renovation, improvement and alteration of the Premises for a new tenant, reasonable attorneys’ fees, and any other reasonable costs; and</w:t>
      </w:r>
    </w:p>
    <w:p>
      <w:pPr>
        <w:spacing w:after="0" w:line="204" w:lineRule="exact"/>
        <w:rPr>
          <w:rFonts w:ascii="Arial" w:cs="Arial" w:eastAsia="Arial" w:hAnsi="Arial"/>
          <w:sz w:val="18"/>
          <w:szCs w:val="18"/>
          <w:color w:val="auto"/>
        </w:rPr>
      </w:pPr>
    </w:p>
    <w:p>
      <w:pPr>
        <w:jc w:val="both"/>
        <w:ind w:left="2600" w:hanging="324"/>
        <w:spacing w:after="0" w:line="225" w:lineRule="auto"/>
        <w:tabs>
          <w:tab w:leader="none" w:pos="26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At Landlord’s election, all other amounts in addition to or in lieu of the foregoing as may be permitted by law. Any sum, other than Basic Rent, shall be computed on the basis of the average monthly amount accruing during the 24 month period immediately prior to Default, except that if it becomes necessary to compute such rental before the 24 month period has occurred, then the computation shall be on the basis of the average monthly amount during the shorter period. As used in subparagraphs (1) and (2) above, the “worth at the time of award” shall be computed by allowing interest at the rate of 10% per annum. As used in subparagraph (3) above, the “worth at the time of award” shall be computed by discounting the amount at the discount rate of the Federal Reserve Bank of San Francisco at the time of award plus 1%.</w:t>
      </w:r>
    </w:p>
    <w:p>
      <w:pPr>
        <w:spacing w:after="0" w:line="202" w:lineRule="exact"/>
        <w:rPr>
          <w:rFonts w:ascii="Arial" w:cs="Arial" w:eastAsia="Arial" w:hAnsi="Arial"/>
          <w:sz w:val="18"/>
          <w:szCs w:val="18"/>
          <w:color w:val="auto"/>
        </w:rPr>
      </w:pPr>
    </w:p>
    <w:p>
      <w:pPr>
        <w:jc w:val="both"/>
        <w:ind w:left="1960" w:hanging="332"/>
        <w:spacing w:after="0" w:line="231" w:lineRule="auto"/>
        <w:tabs>
          <w:tab w:leader="none" w:pos="1956" w:val="left"/>
        </w:tabs>
        <w:numPr>
          <w:ilvl w:val="1"/>
          <w:numId w:val="97"/>
        </w:numPr>
        <w:rPr>
          <w:rFonts w:ascii="Arial" w:cs="Arial" w:eastAsia="Arial" w:hAnsi="Arial"/>
          <w:sz w:val="18"/>
          <w:szCs w:val="18"/>
          <w:color w:val="auto"/>
        </w:rPr>
      </w:pPr>
      <w:r>
        <w:rPr>
          <w:rFonts w:ascii="Arial" w:cs="Arial" w:eastAsia="Arial" w:hAnsi="Arial"/>
          <w:sz w:val="18"/>
          <w:szCs w:val="18"/>
          <w:color w:val="auto"/>
        </w:rPr>
        <w:t>Landlord may elect not to terminate Tenant’s right to possession of the Premises, in which event Landlord may continue to enforce all of its rights and remedies under this Lease, including the right to collect all rent as it becomes due. Efforts by the Landlord to maintain, preserve or relet the Premises, or the appointment of a receiver to protect the Landlord’s interests under this Lease, shall not constitute a termination of the Tenant’s</w:t>
      </w:r>
    </w:p>
    <w:p>
      <w:pPr>
        <w:sectPr>
          <w:pgSz w:w="11900" w:h="16838" w:orient="portrait"/>
          <w:cols w:equalWidth="0" w:num="1">
            <w:col w:w="11240"/>
          </w:cols>
          <w:pgMar w:left="320" w:top="147"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960"/>
        <w:spacing w:after="0" w:line="235" w:lineRule="auto"/>
        <w:rPr>
          <w:sz w:val="20"/>
          <w:szCs w:val="20"/>
          <w:color w:val="auto"/>
        </w:rPr>
      </w:pPr>
      <w:r>
        <w:rPr>
          <w:rFonts w:ascii="Arial" w:cs="Arial" w:eastAsia="Arial" w:hAnsi="Arial"/>
          <w:sz w:val="18"/>
          <w:szCs w:val="18"/>
          <w:color w:val="auto"/>
        </w:rPr>
        <w:t>right to possession of the Premises. In the event that Landlord elects to avail itself of the remedy provided by this subsection (ii), Landlord shall not unreasonably withhold its consent to an assignment or subletting of the Premises subject to the reasonable standards for Landlord’s consent as are contained in this Lease.</w:t>
      </w:r>
    </w:p>
    <w:p>
      <w:pPr>
        <w:spacing w:after="0" w:line="202" w:lineRule="exact"/>
        <w:rPr>
          <w:sz w:val="20"/>
          <w:szCs w:val="20"/>
          <w:color w:val="auto"/>
        </w:rPr>
      </w:pPr>
    </w:p>
    <w:p>
      <w:pPr>
        <w:jc w:val="both"/>
        <w:ind w:left="1300" w:hanging="320"/>
        <w:spacing w:after="0" w:line="250" w:lineRule="auto"/>
        <w:tabs>
          <w:tab w:leader="none" w:pos="13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various rights and remedies reserved to Landlord in this Lease or otherwise shall be cumulative and, except as otherwise provided by California law, Landlord may pursue any or all of its rights and remedies at the same time. No delay or omission of Landlord to exercise any right or remedy shall be construed as a waiver of the right or remedy or of any breach or Default by Tenant. The acceptance by Landlord of rent shall not be a (i) waiver of any preceding breach or Default by Tenant of any provision of this Lease, other than the failure of Tenant to pay the particular rent accepted, regardless of Landlord’s knowledge of the preceding breach or Default at the time of acceptance of rent, or (ii) a waiver of Landlord’s right to exercise any remedy available to Landlord by virtue of the breach or Default. The acceptance of any payment from a debtor in possession, a trustee, a receiver or any other person acting on behalf of Tenant or Tenant’s estate shall not waive or cure a Default under Section 14.1. No payment by Tenant or receipt by Landlord of a lesser amount than the rent required by this Lease shall be deemed to be other than a partial payment on account of the earliest due stipulated rent, nor shall any endorsement or statement on any check or letter be deemed an accord and satisfaction and Landlord shall accept the check or payment without prejudice to Landlord’s right to recover the balance of the rent or pursue any other remedy available to it. Tenant hereby waives any right of redemption or relief from forfeiture under California Code of Civil Procedure Section 1174 or 1179, or under any successor statute, in the event this Lease is terminated by reason of any Default by Tenant. No act or thing done by Landlord or Landlord’s agents during the Term shall be deemed an acceptance of a surrender of the Premises, and no agreement to accept a surrender shall be valid unless in writing and signed by Landlord. No employee of Landlord or of Landlord’s agents shall have any power to accept the keys to the Premises prior to the termination of this Lease, and the delivery of the keys to any employee shall not operate as a termination of the Lease or a surrender of the Premises.</w:t>
      </w:r>
    </w:p>
    <w:p>
      <w:pPr>
        <w:spacing w:after="0" w:line="389" w:lineRule="exact"/>
        <w:rPr>
          <w:rFonts w:ascii="Arial" w:cs="Arial" w:eastAsia="Arial" w:hAnsi="Arial"/>
          <w:sz w:val="16"/>
          <w:szCs w:val="16"/>
          <w:color w:val="auto"/>
        </w:rPr>
      </w:pPr>
    </w:p>
    <w:p>
      <w:pPr>
        <w:jc w:val="both"/>
        <w:ind w:left="1300" w:hanging="320"/>
        <w:spacing w:after="0" w:line="231" w:lineRule="auto"/>
        <w:tabs>
          <w:tab w:leader="none" w:pos="12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 Default by Tenant occurs, Landlord shall not be entitled to recover any resulting consequential damages, lost profit or opportunity costs, provided that nothing contained in this Section 14.2(c) shall limit or otherwise restrict Landlord’s right to recover damages resulting from Tenant’s breach of its obligations under Sections 5.3, 7.4 and/or 15.1 of this Lease, or Landlord’s right to recover any amounts described under Section 14.2(a)(i)(1),(2), (3) and (4) above.</w:t>
      </w:r>
    </w:p>
    <w:p>
      <w:pPr>
        <w:spacing w:after="0" w:line="198" w:lineRule="exact"/>
        <w:rPr>
          <w:sz w:val="20"/>
          <w:szCs w:val="20"/>
          <w:color w:val="auto"/>
        </w:rPr>
      </w:pPr>
    </w:p>
    <w:p>
      <w:pPr>
        <w:jc w:val="both"/>
        <w:ind w:firstLine="479"/>
        <w:spacing w:after="0" w:line="238" w:lineRule="auto"/>
        <w:rPr>
          <w:sz w:val="20"/>
          <w:szCs w:val="20"/>
          <w:color w:val="auto"/>
        </w:rPr>
      </w:pPr>
      <w:r>
        <w:rPr>
          <w:rFonts w:ascii="Arial" w:cs="Arial" w:eastAsia="Arial" w:hAnsi="Arial"/>
          <w:sz w:val="17"/>
          <w:szCs w:val="17"/>
          <w:b w:val="1"/>
          <w:bCs w:val="1"/>
          <w:color w:val="auto"/>
        </w:rPr>
        <w:t>14.3 LATE PAYMENTS</w:t>
      </w:r>
      <w:r>
        <w:rPr>
          <w:rFonts w:ascii="Arial" w:cs="Arial" w:eastAsia="Arial" w:hAnsi="Arial"/>
          <w:sz w:val="17"/>
          <w:szCs w:val="17"/>
          <w:color w:val="auto"/>
        </w:rPr>
        <w:t>. Any Rent due under this Lease that is not paid to Landlord within 5 days of the date when due shall bear interest at the</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rate permitted by law from the date due until fully paid. The payment of interest shall not cure any Default by Tenant under this Lease. In addition, Tenant acknowledges that the late payment by Tenant to Landlord of rent will cause Landlord to incur costs not contemplated by this Lease, the exact amount of which will be extremely difficult and impracticable to ascertain. Those costs may include, but are not limited to, administrative, processing and accounting charges, and late charges which may be imposed on Landlord by the terms of any ground lease, mortgage or trust deed covering the Premises. Accordingly, if any Rent due from Tenant shall not be received by Landlord or Landlord’s designee within 5 days after the date due, then Tenant shall pay to Landlord, in addition to the interest provided above, a late charge for each delinquent payment equal to the greater of (i) 5% of that delinquent payment or (ii) $100.00. Acceptance of a late charge by Landlord shall not constitute a waiver of Tenant’s Default with respect to the overdue amount, nor shall it prevent Landlord from exercising any of its other rights and remedies.</w:t>
      </w:r>
    </w:p>
    <w:p>
      <w:pPr>
        <w:spacing w:after="0" w:line="199" w:lineRule="exact"/>
        <w:rPr>
          <w:sz w:val="20"/>
          <w:szCs w:val="20"/>
          <w:color w:val="auto"/>
        </w:rPr>
      </w:pPr>
    </w:p>
    <w:p>
      <w:pPr>
        <w:jc w:val="both"/>
        <w:ind w:firstLine="479"/>
        <w:spacing w:after="0" w:line="226" w:lineRule="auto"/>
        <w:rPr>
          <w:sz w:val="20"/>
          <w:szCs w:val="20"/>
          <w:color w:val="auto"/>
        </w:rPr>
      </w:pPr>
      <w:r>
        <w:rPr>
          <w:rFonts w:ascii="Arial" w:cs="Arial" w:eastAsia="Arial" w:hAnsi="Arial"/>
          <w:sz w:val="18"/>
          <w:szCs w:val="18"/>
          <w:b w:val="1"/>
          <w:bCs w:val="1"/>
          <w:color w:val="auto"/>
        </w:rPr>
        <w:t>14.4 RIGHT OF LANDLORD TO PERFORM</w:t>
      </w:r>
      <w:r>
        <w:rPr>
          <w:rFonts w:ascii="Arial" w:cs="Arial" w:eastAsia="Arial" w:hAnsi="Arial"/>
          <w:sz w:val="18"/>
          <w:szCs w:val="18"/>
          <w:color w:val="auto"/>
        </w:rPr>
        <w:t>. If Tenant is in Default of any of its obligations under the Lease, Landlord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such obligations. Tenant shall reimburse Landlord for the cost of such performance upon demand together with an administrative charge equal to 10% of the cost of the work performed by Landlord.</w:t>
      </w:r>
    </w:p>
    <w:p>
      <w:pPr>
        <w:spacing w:after="0" w:line="185" w:lineRule="exact"/>
        <w:rPr>
          <w:sz w:val="20"/>
          <w:szCs w:val="20"/>
          <w:color w:val="auto"/>
        </w:rPr>
      </w:pPr>
    </w:p>
    <w:p>
      <w:pPr>
        <w:jc w:val="both"/>
        <w:ind w:firstLine="479"/>
        <w:spacing w:after="0" w:line="279" w:lineRule="auto"/>
        <w:rPr>
          <w:sz w:val="20"/>
          <w:szCs w:val="20"/>
          <w:color w:val="auto"/>
        </w:rPr>
      </w:pPr>
      <w:r>
        <w:rPr>
          <w:rFonts w:ascii="Arial" w:cs="Arial" w:eastAsia="Arial" w:hAnsi="Arial"/>
          <w:sz w:val="16"/>
          <w:szCs w:val="16"/>
          <w:b w:val="1"/>
          <w:bCs w:val="1"/>
          <w:color w:val="auto"/>
        </w:rPr>
        <w:t>14.5 DEFAULT BY LANDLORD</w:t>
      </w:r>
      <w:r>
        <w:rPr>
          <w:rFonts w:ascii="Arial" w:cs="Arial" w:eastAsia="Arial" w:hAnsi="Arial"/>
          <w:sz w:val="16"/>
          <w:szCs w:val="16"/>
          <w:color w:val="auto"/>
        </w:rPr>
        <w:t>. Landlord shall not be deemed to be in default in the performance of any obligation under this Lease unless and</w:t>
      </w:r>
      <w:r>
        <w:rPr>
          <w:rFonts w:ascii="Arial" w:cs="Arial" w:eastAsia="Arial" w:hAnsi="Arial"/>
          <w:sz w:val="16"/>
          <w:szCs w:val="16"/>
          <w:b w:val="1"/>
          <w:bCs w:val="1"/>
          <w:color w:val="auto"/>
        </w:rPr>
        <w:t xml:space="preserve"> </w:t>
      </w:r>
      <w:r>
        <w:rPr>
          <w:rFonts w:ascii="Arial" w:cs="Arial" w:eastAsia="Arial" w:hAnsi="Arial"/>
          <w:sz w:val="16"/>
          <w:szCs w:val="16"/>
          <w:color w:val="auto"/>
        </w:rPr>
        <w:t>until it has failed to perform the obligation within 30 days after written notice by Tenant to Landlord specifying in reasonable detail the nature and extent of the failure; provided, however, that if the nature of Landlord’s obligation is such that more than 30 days are required for its performance, then Landlord</w:t>
      </w:r>
    </w:p>
    <w:p>
      <w:pPr>
        <w:sectPr>
          <w:pgSz w:w="11900" w:h="16838" w:orient="portrait"/>
          <w:cols w:equalWidth="0" w:num="1">
            <w:col w:w="11240"/>
          </w:cols>
          <w:pgMar w:left="320" w:top="147"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shall not be deemed to be in default if it commences performance within the 30 day period and thereafter diligently pursues the cure to completion. Tenant hereby waives any right to terminate or rescind this Lease as a result of any default by Landlord hereunder or any breach by Landlord of any promise or inducement relating hereto, and Tenant agrees that its remedies shall be limited to a suit for actual damages and/or injunction and shall in no event include any consequential damages, lost profits or opportunity costs.</w:t>
      </w:r>
    </w:p>
    <w:p>
      <w:pPr>
        <w:spacing w:after="0" w:line="198" w:lineRule="exact"/>
        <w:rPr>
          <w:sz w:val="20"/>
          <w:szCs w:val="20"/>
          <w:color w:val="auto"/>
        </w:rPr>
      </w:pPr>
    </w:p>
    <w:p>
      <w:pPr>
        <w:jc w:val="both"/>
        <w:ind w:firstLine="479"/>
        <w:spacing w:after="0" w:line="226" w:lineRule="auto"/>
        <w:rPr>
          <w:sz w:val="20"/>
          <w:szCs w:val="20"/>
          <w:color w:val="auto"/>
        </w:rPr>
      </w:pPr>
      <w:r>
        <w:rPr>
          <w:rFonts w:ascii="Arial" w:cs="Arial" w:eastAsia="Arial" w:hAnsi="Arial"/>
          <w:sz w:val="18"/>
          <w:szCs w:val="18"/>
          <w:b w:val="1"/>
          <w:bCs w:val="1"/>
          <w:color w:val="auto"/>
        </w:rPr>
        <w:t>14.6 EXPENSES AND LEGAL FEES</w:t>
      </w:r>
      <w:r>
        <w:rPr>
          <w:rFonts w:ascii="Arial" w:cs="Arial" w:eastAsia="Arial" w:hAnsi="Arial"/>
          <w:sz w:val="18"/>
          <w:szCs w:val="18"/>
          <w:color w:val="auto"/>
        </w:rPr>
        <w:t>. Should either Landlord or Tenant bring any action in connection with this Lease, the prevailing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recover as a part of the action its reasonable attorneys’ fees, and all other reasonable costs. The prevailing party for the purpose of this paragraph shall be determined by the trier of the facts.</w:t>
      </w:r>
    </w:p>
    <w:p>
      <w:pPr>
        <w:spacing w:after="0" w:line="185" w:lineRule="exact"/>
        <w:rPr>
          <w:sz w:val="20"/>
          <w:szCs w:val="20"/>
          <w:color w:val="auto"/>
        </w:rPr>
      </w:pPr>
    </w:p>
    <w:p>
      <w:pPr>
        <w:jc w:val="both"/>
        <w:ind w:firstLine="479"/>
        <w:spacing w:after="0" w:line="239" w:lineRule="auto"/>
        <w:rPr>
          <w:sz w:val="20"/>
          <w:szCs w:val="20"/>
          <w:color w:val="auto"/>
        </w:rPr>
      </w:pPr>
      <w:r>
        <w:rPr>
          <w:rFonts w:ascii="Arial" w:cs="Arial" w:eastAsia="Arial" w:hAnsi="Arial"/>
          <w:sz w:val="17"/>
          <w:szCs w:val="17"/>
          <w:b w:val="1"/>
          <w:bCs w:val="1"/>
          <w:color w:val="auto"/>
        </w:rPr>
        <w:t>14.7 JUDICIAL REFERENCE/WAIVER OF JURY TRIAL</w:t>
      </w:r>
      <w:r>
        <w:rPr>
          <w:rFonts w:ascii="Arial" w:cs="Arial" w:eastAsia="Arial" w:hAnsi="Arial"/>
          <w:sz w:val="17"/>
          <w:szCs w:val="17"/>
          <w:color w:val="auto"/>
        </w:rPr>
        <w:t>. Landlord and Tenant agree that any disputes arising in connection with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a determination of any and all of the issues in such dispute, whether of fact or of law) shall be resolved (and a decision shall be rendered) by way of a general reference as provided for in Part 2, Title 8, Chapter 6 (§§ 638 et. seq.) of the California Code of Civil Procedure, or any successor California statute governing resolution of disputes by a court appointed referee. Nothing within this Section 14.7 shall apply to an unlawful detainer action. LANDLORD AND TENANT EACH ACKNOWLEDGES THAT IT IS AWARE OF AND HAS HAD THE ADVICE OF COUNSEL OF ITS CHOICE WITH RESPECT TO ITS RIGHT TO TRIAL BY JURY, AND, TO THE EXTENT PERMITTED BY LAW, EACH PARTY DOES HEREBY EXPRESSLY AND KNOWINGLY WAIVE AND RELEASE ALL SUCH RIGHTS TO TRIAL BY JURY IN ANY ACTION, PROCEEDING OR COUNTERCLAIM ARISING OUT OF OR IN ANY WAY CONNECTED WITH THIS LEASE.</w:t>
      </w:r>
    </w:p>
    <w:p>
      <w:pPr>
        <w:spacing w:after="0" w:line="198" w:lineRule="exact"/>
        <w:rPr>
          <w:sz w:val="20"/>
          <w:szCs w:val="20"/>
          <w:color w:val="auto"/>
        </w:rPr>
      </w:pPr>
    </w:p>
    <w:p>
      <w:pPr>
        <w:jc w:val="both"/>
        <w:ind w:firstLine="479"/>
        <w:spacing w:after="0" w:line="232" w:lineRule="auto"/>
        <w:rPr>
          <w:sz w:val="20"/>
          <w:szCs w:val="20"/>
          <w:color w:val="auto"/>
        </w:rPr>
      </w:pPr>
      <w:r>
        <w:rPr>
          <w:rFonts w:ascii="Arial" w:cs="Arial" w:eastAsia="Arial" w:hAnsi="Arial"/>
          <w:sz w:val="18"/>
          <w:szCs w:val="18"/>
          <w:b w:val="1"/>
          <w:bCs w:val="1"/>
          <w:color w:val="auto"/>
        </w:rPr>
        <w:t>14.8 SATISFACTION OF JUDGMENT</w:t>
      </w:r>
      <w:r>
        <w:rPr>
          <w:rFonts w:ascii="Arial" w:cs="Arial" w:eastAsia="Arial" w:hAnsi="Arial"/>
          <w:sz w:val="18"/>
          <w:szCs w:val="18"/>
          <w:color w:val="auto"/>
        </w:rPr>
        <w:t>. The obligations of Landlord do not constitute the personal obligations of the individual partners, trustees,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members or shareholders of Landlord or its constituent partners or members. Should Tenant recover a money judgment against Landlord, such judgment shall be satisfied only from the interest of Landlord in the Project and out of the rent or other income from such property receivable by Landlord, and no action for any deficiency may be sought or obtained by Tenant.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ARTICLE 15. END OF TERM</w:t>
      </w:r>
    </w:p>
    <w:p>
      <w:pPr>
        <w:spacing w:after="0" w:line="225"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6"/>
          <w:szCs w:val="16"/>
          <w:b w:val="1"/>
          <w:bCs w:val="1"/>
          <w:color w:val="auto"/>
        </w:rPr>
        <w:t>15.1 HOLDING OVER</w:t>
      </w:r>
      <w:r>
        <w:rPr>
          <w:rFonts w:ascii="Arial" w:cs="Arial" w:eastAsia="Arial" w:hAnsi="Arial"/>
          <w:sz w:val="16"/>
          <w:szCs w:val="16"/>
          <w:color w:val="auto"/>
        </w:rPr>
        <w:t>. If Tenant holds over for any period after the Expiration Date (or earlier termination of the Term) without the prior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Landlord, such tenancy shall constitute a tenancy at sufferance only and a Default by Tenant; such holding over with the prior written consent of Landlord shall constitute a month-to-month tenancy commencing on the 1st day following the termination of this Lease and terminating 30 days following delivery of written notice of termination by either Landlord or Tenant to the other. In either of such events, possession shall be subject to all of the terms of this Lease, except that the monthly rental shall be 150% of the total monthly rental for the month immediately preceding the date of termination, subject to Landlord’s right to modify same upon 30 days’ notice to Tenant. The acceptance by Landlord of monthly hold-over rental in a lesser amount shall not constitute a waiver of Landlord's right to recover the full amount due unless otherwise agreed in writing by Landlord. If Tenant fails to surrender the Premises upon the expiration of this Lease despite demand to do so by Landlord, Tenant shall indemnify and hold Landlord harmless from all loss or liability, including without limitation, any claims made by any succeeding tenant relating to such failure to surrender. The foregoing provisions of this Section 15.1 are in addition to and do not affect Landlord’s right of re-entry or any other rights of Landlord under this Lease or at law.</w:t>
      </w:r>
    </w:p>
    <w:p>
      <w:pPr>
        <w:spacing w:after="0" w:line="193" w:lineRule="exact"/>
        <w:rPr>
          <w:sz w:val="20"/>
          <w:szCs w:val="20"/>
          <w:color w:val="auto"/>
        </w:rPr>
      </w:pPr>
    </w:p>
    <w:p>
      <w:pPr>
        <w:jc w:val="both"/>
        <w:ind w:firstLine="479"/>
        <w:spacing w:after="0" w:line="224" w:lineRule="auto"/>
        <w:rPr>
          <w:sz w:val="20"/>
          <w:szCs w:val="20"/>
          <w:color w:val="auto"/>
        </w:rPr>
      </w:pPr>
      <w:r>
        <w:rPr>
          <w:rFonts w:ascii="Arial" w:cs="Arial" w:eastAsia="Arial" w:hAnsi="Arial"/>
          <w:sz w:val="18"/>
          <w:szCs w:val="18"/>
          <w:b w:val="1"/>
          <w:bCs w:val="1"/>
          <w:color w:val="auto"/>
        </w:rPr>
        <w:t>15.2 SURRENDER OF PREMISES; REMOVAL OF PROPERTY</w:t>
      </w:r>
      <w:r>
        <w:rPr>
          <w:rFonts w:ascii="Arial" w:cs="Arial" w:eastAsia="Arial" w:hAnsi="Arial"/>
          <w:sz w:val="18"/>
          <w:szCs w:val="18"/>
          <w:color w:val="auto"/>
        </w:rPr>
        <w:t>. Upon the Expiration Date or upon any earlier termination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quit and surrender possession of the Premises to Landlord in as good order, condition and repair as when received or as hereafter may be improved by Landlord or Tenant, reasonable wear and tear and repairs which are Landlord’s obligation excepted, and shall remove or fund to Landlord the cost of removing all wallpapering, voice and/or data transmission cabling installed by or for Tenant and Required Removables, together with all personal property and debris, and shall perform all work required under Section 7.3 of this Lease. If Tenant shall fail to comply with the provisions of this Section 15.2, and remove any personal property within 10 days following the expiration or earlier termination of this Lease, such personal property shall be conclusively deemed to have been abandoned, then Landlord may effect the removal and/or make any repairs, without notice and without incurring any liability to Tenant, and the cost to Landlord shall be additional rent payable by Tenant upon demand. Tenant hereby waives all rights under and benefits of Section 1993.03 of the</w:t>
      </w:r>
    </w:p>
    <w:p>
      <w:pPr>
        <w:sectPr>
          <w:pgSz w:w="11900" w:h="16838" w:orient="portrait"/>
          <w:cols w:equalWidth="0" w:num="1">
            <w:col w:w="11240"/>
          </w:cols>
          <w:pgMar w:left="320" w:top="147"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California Civil Code, or any similar or successor laws now or hereafter in effect and authorizes Landlord to dispose of any personal property remaining at the Premises following the expiration or earlier termination of this Lease without further notice to Tenant.</w:t>
      </w:r>
    </w:p>
    <w:p>
      <w:pPr>
        <w:spacing w:after="0" w:line="23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16. PAYMENTS AND NOTICES</w:t>
      </w:r>
    </w:p>
    <w:p>
      <w:pPr>
        <w:spacing w:after="0" w:line="229" w:lineRule="exact"/>
        <w:rPr>
          <w:sz w:val="20"/>
          <w:szCs w:val="20"/>
          <w:color w:val="auto"/>
        </w:rPr>
      </w:pPr>
    </w:p>
    <w:p>
      <w:pPr>
        <w:jc w:val="both"/>
        <w:ind w:firstLine="479"/>
        <w:spacing w:after="0" w:line="237" w:lineRule="auto"/>
        <w:rPr>
          <w:sz w:val="20"/>
          <w:szCs w:val="20"/>
          <w:color w:val="auto"/>
        </w:rPr>
      </w:pPr>
      <w:r>
        <w:rPr>
          <w:rFonts w:ascii="Arial" w:cs="Arial" w:eastAsia="Arial" w:hAnsi="Arial"/>
          <w:sz w:val="17"/>
          <w:szCs w:val="17"/>
          <w:color w:val="auto"/>
        </w:rPr>
        <w:t>All sums payable by Tenant to Landlord shall be paid, without deduction or offset, in lawful money of the United States to Landlord at its address set forth in Item 12 of the Basic Lease Provisions, or at any other place as Landlord may designate in writing. Unless this Lease expressly provides otherwise, as for example in the payment of rent pursuant to Section 4.1, all payments shall be due and payable within 10 business days after demand. All payments requiring proration shall be prorated on the basis of the number of days in the pertinent calendar month or year, as applicable. Any notice, election, demand, consent, approval or other communication to be given or other document to be delivered by either party to the other may be delivered to the other party, at the address set forth in Item 12 of the Basic Lease Provisions, by personal service, or by any courier or “overnight” express mailing service. Either party may, by written notice to the other, served in the manner provided in this Article, designate a different address. The refusal to accept delivery of a notice, or the inability to deliver the notice (whether due to a change of address for which notice was not duly given or other good reason), shall be deemed delivery and receipt of the notice as of the date of attempted delivery. If more than one person or entity is named as Tenant under this Lease, service of any notice upon any one of them shall be deemed as service upon all of them.</w:t>
      </w:r>
    </w:p>
    <w:p>
      <w:pPr>
        <w:spacing w:after="0" w:line="23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17. RULES AND REGULATIONS</w:t>
      </w:r>
    </w:p>
    <w:p>
      <w:pPr>
        <w:spacing w:after="0" w:line="225" w:lineRule="exact"/>
        <w:rPr>
          <w:sz w:val="20"/>
          <w:szCs w:val="20"/>
          <w:color w:val="auto"/>
        </w:rPr>
      </w:pPr>
    </w:p>
    <w:p>
      <w:pPr>
        <w:jc w:val="both"/>
        <w:ind w:firstLine="479"/>
        <w:spacing w:after="0"/>
        <w:rPr>
          <w:sz w:val="20"/>
          <w:szCs w:val="20"/>
          <w:color w:val="auto"/>
        </w:rPr>
      </w:pPr>
      <w:r>
        <w:rPr>
          <w:rFonts w:ascii="Arial" w:cs="Arial" w:eastAsia="Arial" w:hAnsi="Arial"/>
          <w:sz w:val="17"/>
          <w:szCs w:val="17"/>
          <w:color w:val="auto"/>
        </w:rPr>
        <w:t xml:space="preserve">Tenant agrees to comply with the Rules and Regulations attached as </w:t>
      </w:r>
      <w:r>
        <w:rPr>
          <w:rFonts w:ascii="Arial" w:cs="Arial" w:eastAsia="Arial" w:hAnsi="Arial"/>
          <w:sz w:val="17"/>
          <w:szCs w:val="17"/>
          <w:b w:val="1"/>
          <w:bCs w:val="1"/>
          <w:color w:val="auto"/>
        </w:rPr>
        <w:t>Exhibit E</w:t>
      </w:r>
      <w:r>
        <w:rPr>
          <w:rFonts w:ascii="Arial" w:cs="Arial" w:eastAsia="Arial" w:hAnsi="Arial"/>
          <w:sz w:val="17"/>
          <w:szCs w:val="17"/>
          <w:color w:val="auto"/>
        </w:rPr>
        <w:t>, and any reasonable and nondiscriminatory amendments, modifications and/or additions as may be adopted and published by written notice to tenants by Landlord for the safety, care, security, good order, or cleanliness of the Premises, Building, Project and/or Common Areas. Landlord shall not be liable to Tenant for any violation of the Rules and Regulations or the breach of any covenant or condition in any lease or any other act or conduct by any other tenant, and the same shall not constitute a constructive eviction hereunder. One or more waivers by Landlord of any breach of the Rules and Regulations by Tenant or by any other tenant(s) shall not be a waiver of any subsequent breach of that rule or any other. Tenant’s failure to keep and observe the Rules and Regulations shall constitute a default under this Lease. In the case of any conflict between the Rules and Regulations and this Lease, this Lease shall be controlling.</w:t>
      </w: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18. BROKER’S COMMISSION</w:t>
      </w:r>
    </w:p>
    <w:p>
      <w:pPr>
        <w:spacing w:after="0" w:line="229" w:lineRule="exact"/>
        <w:rPr>
          <w:sz w:val="20"/>
          <w:szCs w:val="20"/>
          <w:color w:val="auto"/>
        </w:rPr>
      </w:pPr>
    </w:p>
    <w:p>
      <w:pPr>
        <w:jc w:val="both"/>
        <w:ind w:firstLine="479"/>
        <w:spacing w:after="0" w:line="239" w:lineRule="auto"/>
        <w:rPr>
          <w:sz w:val="20"/>
          <w:szCs w:val="20"/>
          <w:color w:val="auto"/>
        </w:rPr>
      </w:pPr>
      <w:r>
        <w:rPr>
          <w:rFonts w:ascii="Arial" w:cs="Arial" w:eastAsia="Arial" w:hAnsi="Arial"/>
          <w:sz w:val="17"/>
          <w:szCs w:val="17"/>
          <w:color w:val="auto"/>
        </w:rPr>
        <w:t>The parties recognize as the broker(s) who negotiated this Lease the firm(s) whose name(s) is (are) stated in Item 10 of the Basic Lease Provisions, and agree that Landlord shall be responsible for the payment of brokerage commissions to those broker(s) unless otherwise provided in this Lease. It is understood that Landlord's Broker represents only Landlord in this transaction and Tenant's Broker (if any) represents only Tenant. Each party warrants that it has had no dealings with any other real estate broker or agent in connection with the negotiation of this Lease, and agrees to indemnify and hold the other party harmless from any cost, expense or liability (including reasonable attorneys’ fees) for any compensation, commissions or charges claimed by any other real estate broker or agent employed or claiming to represent or to have been employed by the indemnifying party in connection with the negotiation of this Lease. The foregoing agreement shall survive the termination of this Lease.</w:t>
      </w:r>
    </w:p>
    <w:p>
      <w:pPr>
        <w:spacing w:after="0" w:line="19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ARTICLE 19. TRANSFER OF LANDLORD’S INTEREST</w:t>
      </w:r>
    </w:p>
    <w:p>
      <w:pPr>
        <w:spacing w:after="0" w:line="229" w:lineRule="exact"/>
        <w:rPr>
          <w:sz w:val="20"/>
          <w:szCs w:val="20"/>
          <w:color w:val="auto"/>
        </w:rPr>
      </w:pPr>
    </w:p>
    <w:p>
      <w:pPr>
        <w:jc w:val="both"/>
        <w:ind w:firstLine="479"/>
        <w:spacing w:after="0" w:line="239" w:lineRule="auto"/>
        <w:rPr>
          <w:sz w:val="20"/>
          <w:szCs w:val="20"/>
          <w:color w:val="auto"/>
        </w:rPr>
      </w:pPr>
      <w:r>
        <w:rPr>
          <w:rFonts w:ascii="Arial" w:cs="Arial" w:eastAsia="Arial" w:hAnsi="Arial"/>
          <w:sz w:val="17"/>
          <w:szCs w:val="17"/>
          <w:color w:val="auto"/>
        </w:rPr>
        <w:t>In the event of any transfer of Landlord’s interest in the Premises, the transferor shall be automatically relieved of all obligations on the part of Landlord accruing under this Lease from and after the date of the transfer, provided that Tenant is duly notified of the transfer. Any funds held by the transferor in which Tenant has an interest, including without limitation, the Security Deposit, shall be turned over, subject to that interest, to the transferee. No Mortgagee to which this Lease is or may be subordinate shall be responsible in connection with the Security Deposit unless the Mortgagee actually receives the Security Deposit. It is intended that the covenants and obligations contained in this Lease on the part of Landlord shall, subject to the foregoing, be binding on Landlord, its successors and assigns, only during and in respect to their respective successive periods of ownership, and further provided that any successor pursuant to a voluntary, third party transfer (but not as part of an involuntary transfer</w:t>
      </w:r>
    </w:p>
    <w:p>
      <w:pPr>
        <w:sectPr>
          <w:pgSz w:w="11900" w:h="16838" w:orient="portrait"/>
          <w:cols w:equalWidth="0" w:num="1">
            <w:col w:w="11240"/>
          </w:cols>
          <w:pgMar w:left="320" w:top="147"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resulting from a foreclosure or deed in lieu thereof) shall have assumed Landlord’s obligations under this Lease either by contractual obligation, assumption agreement or by operation of law.</w:t>
      </w:r>
    </w:p>
    <w:p>
      <w:pPr>
        <w:spacing w:after="0" w:line="23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ARTICLE 20. INTERPRETATION</w:t>
      </w:r>
    </w:p>
    <w:p>
      <w:pPr>
        <w:spacing w:after="0" w:line="225" w:lineRule="exact"/>
        <w:rPr>
          <w:sz w:val="20"/>
          <w:szCs w:val="20"/>
          <w:color w:val="auto"/>
        </w:rPr>
      </w:pPr>
    </w:p>
    <w:p>
      <w:pPr>
        <w:jc w:val="both"/>
        <w:ind w:right="20" w:firstLine="479"/>
        <w:spacing w:after="0" w:line="250"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NUMBER</w:t>
      </w:r>
      <w:r>
        <w:rPr>
          <w:rFonts w:ascii="Arial" w:cs="Arial" w:eastAsia="Arial" w:hAnsi="Arial"/>
          <w:sz w:val="18"/>
          <w:szCs w:val="18"/>
          <w:color w:val="auto"/>
        </w:rPr>
        <w:t>. Whenever the context of this Lease requires, the words “Landlord” and “Tenant” shall include the plural as well as the singular.</w:t>
      </w:r>
    </w:p>
    <w:p>
      <w:pPr>
        <w:spacing w:after="0" w:line="190" w:lineRule="exact"/>
        <w:rPr>
          <w:sz w:val="20"/>
          <w:szCs w:val="20"/>
          <w:color w:val="auto"/>
        </w:rPr>
      </w:pPr>
    </w:p>
    <w:p>
      <w:pPr>
        <w:jc w:val="both"/>
        <w:ind w:firstLine="479"/>
        <w:spacing w:after="0" w:line="23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HEADINGS</w:t>
      </w:r>
      <w:r>
        <w:rPr>
          <w:rFonts w:ascii="Arial" w:cs="Arial" w:eastAsia="Arial" w:hAnsi="Arial"/>
          <w:sz w:val="18"/>
          <w:szCs w:val="18"/>
          <w:color w:val="auto"/>
        </w:rPr>
        <w:t>. The captions and headings of the articles and sections of this Lease are for convenience only, are not a part of this Lease and shall have no effect upon its construction or interpretation.</w:t>
      </w:r>
    </w:p>
    <w:p>
      <w:pPr>
        <w:spacing w:after="0" w:line="185"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b w:val="1"/>
          <w:bCs w:val="1"/>
          <w:color w:val="auto"/>
        </w:rPr>
        <w:t>JOINT AND SEVERAL LIABILITY</w:t>
      </w:r>
      <w:r>
        <w:rPr>
          <w:rFonts w:ascii="Arial" w:cs="Arial" w:eastAsia="Arial" w:hAnsi="Arial"/>
          <w:sz w:val="17"/>
          <w:szCs w:val="17"/>
          <w:color w:val="auto"/>
        </w:rPr>
        <w:t>. If more than one person or entity is named as Tenant, the obligations imposed upon each shall be joint and several and the act of or notice from, or notice or refund to, or the signature of, any one or more of them shall be binding on all of them with respect to the tenancy of this Lease, including, but not limited to, any renewal, extension, termination or modification of this Lease.</w:t>
      </w:r>
    </w:p>
    <w:p>
      <w:pPr>
        <w:spacing w:after="0" w:line="187" w:lineRule="exact"/>
        <w:rPr>
          <w:sz w:val="20"/>
          <w:szCs w:val="20"/>
          <w:color w:val="auto"/>
        </w:rPr>
      </w:pPr>
    </w:p>
    <w:p>
      <w:pPr>
        <w:jc w:val="both"/>
        <w:ind w:firstLine="479"/>
        <w:spacing w:after="0" w:line="232"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b w:val="1"/>
          <w:bCs w:val="1"/>
          <w:color w:val="auto"/>
        </w:rPr>
        <w:t>SUCCESSORS</w:t>
      </w:r>
      <w:r>
        <w:rPr>
          <w:rFonts w:ascii="Arial" w:cs="Arial" w:eastAsia="Arial" w:hAnsi="Arial"/>
          <w:sz w:val="18"/>
          <w:szCs w:val="18"/>
          <w:color w:val="auto"/>
        </w:rPr>
        <w:t>. Subject to Sections 13.1 and 22.3 and to Articles 9 and 19 of this Lease, all rights and liabilities given to or imposed upon Landlord and Tenant shall extend to and bind their respective heirs, executors, administrators, successors and assigns. Nothing contained in this Section 20.4 is intended, or shall be construed, to grant to any person other than Landlord and Tenant and their successors and assigns any rights or remedies under this Lease.</w:t>
      </w:r>
    </w:p>
    <w:p>
      <w:pPr>
        <w:spacing w:after="0" w:line="199" w:lineRule="exact"/>
        <w:rPr>
          <w:sz w:val="20"/>
          <w:szCs w:val="20"/>
          <w:color w:val="auto"/>
        </w:rPr>
      </w:pPr>
    </w:p>
    <w:p>
      <w:pPr>
        <w:jc w:val="both"/>
        <w:ind w:firstLine="479"/>
        <w:spacing w:after="0" w:line="237"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b w:val="1"/>
          <w:bCs w:val="1"/>
          <w:color w:val="auto"/>
        </w:rPr>
        <w:t>TIME OF ESSENCE</w:t>
      </w:r>
      <w:r>
        <w:rPr>
          <w:rFonts w:ascii="Arial" w:cs="Arial" w:eastAsia="Arial" w:hAnsi="Arial"/>
          <w:sz w:val="18"/>
          <w:szCs w:val="18"/>
          <w:color w:val="auto"/>
        </w:rPr>
        <w:t>. Time is of the essence with respect to the performance of every provision of this Lease in which time of performance is a factor.</w:t>
      </w:r>
    </w:p>
    <w:p>
      <w:pPr>
        <w:spacing w:after="0" w:line="185" w:lineRule="exact"/>
        <w:rPr>
          <w:sz w:val="20"/>
          <w:szCs w:val="20"/>
          <w:color w:val="auto"/>
        </w:rPr>
      </w:pPr>
    </w:p>
    <w:p>
      <w:pPr>
        <w:jc w:val="both"/>
        <w:ind w:firstLine="479"/>
        <w:spacing w:after="0" w:line="226"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b w:val="1"/>
          <w:bCs w:val="1"/>
          <w:color w:val="auto"/>
        </w:rPr>
        <w:t>CONTROLLING LAW/VENUE</w:t>
      </w:r>
      <w:r>
        <w:rPr>
          <w:rFonts w:ascii="Arial" w:cs="Arial" w:eastAsia="Arial" w:hAnsi="Arial"/>
          <w:sz w:val="18"/>
          <w:szCs w:val="18"/>
          <w:color w:val="auto"/>
        </w:rPr>
        <w:t>. This Lease shall be governed by and interpreted in accordance with the laws of the State of California. Should any litigation be commenced between the parties in connection with this Lease, such action shall be prosecuted in the applicable State Court of California in the county in which the Building is located.</w:t>
      </w:r>
    </w:p>
    <w:p>
      <w:pPr>
        <w:spacing w:after="0" w:line="185" w:lineRule="exact"/>
        <w:rPr>
          <w:sz w:val="20"/>
          <w:szCs w:val="20"/>
          <w:color w:val="auto"/>
        </w:rPr>
      </w:pPr>
    </w:p>
    <w:p>
      <w:pPr>
        <w:jc w:val="both"/>
        <w:ind w:firstLine="479"/>
        <w:spacing w:after="0" w:line="279" w:lineRule="auto"/>
        <w:rPr>
          <w:sz w:val="20"/>
          <w:szCs w:val="20"/>
          <w:color w:val="auto"/>
        </w:rPr>
      </w:pPr>
      <w:r>
        <w:rPr>
          <w:rFonts w:ascii="Arial" w:cs="Arial" w:eastAsia="Arial" w:hAnsi="Arial"/>
          <w:sz w:val="16"/>
          <w:szCs w:val="16"/>
          <w:color w:val="auto"/>
        </w:rPr>
        <w:t xml:space="preserve">20.7. </w:t>
      </w:r>
      <w:r>
        <w:rPr>
          <w:rFonts w:ascii="Arial" w:cs="Arial" w:eastAsia="Arial" w:hAnsi="Arial"/>
          <w:sz w:val="16"/>
          <w:szCs w:val="16"/>
          <w:b w:val="1"/>
          <w:bCs w:val="1"/>
          <w:color w:val="auto"/>
        </w:rPr>
        <w:t>SEVERABILITY</w:t>
      </w:r>
      <w:r>
        <w:rPr>
          <w:rFonts w:ascii="Arial" w:cs="Arial" w:eastAsia="Arial" w:hAnsi="Arial"/>
          <w:sz w:val="16"/>
          <w:szCs w:val="16"/>
          <w:color w:val="auto"/>
        </w:rPr>
        <w:t>. If any term or provision of this Lease, the deletion of which would not adversely affect the receipt of any material benefit by either party or the deletion of which is consented to by the party adversely affected, shall be held invalid or unenforceable to any extent, the remainder of this Lease shall not be affected and each term and provision of this Lease shall be valid and enforceable to the fullest extent permitted by law.</w:t>
      </w:r>
    </w:p>
    <w:p>
      <w:pPr>
        <w:spacing w:after="0" w:line="168" w:lineRule="exact"/>
        <w:rPr>
          <w:sz w:val="20"/>
          <w:szCs w:val="20"/>
          <w:color w:val="auto"/>
        </w:rPr>
      </w:pPr>
    </w:p>
    <w:p>
      <w:pPr>
        <w:jc w:val="both"/>
        <w:ind w:firstLine="479"/>
        <w:spacing w:after="0" w:line="232"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b w:val="1"/>
          <w:bCs w:val="1"/>
          <w:color w:val="auto"/>
        </w:rPr>
        <w:t>WAIVER</w:t>
      </w:r>
      <w:r>
        <w:rPr>
          <w:rFonts w:ascii="Arial" w:cs="Arial" w:eastAsia="Arial" w:hAnsi="Arial"/>
          <w:sz w:val="18"/>
          <w:szCs w:val="18"/>
          <w:color w:val="auto"/>
        </w:rPr>
        <w:t>. One or more waivers by Landlord or Tenant of any breach of any term, covenant or condition contained in this Lease shall not be a waiver of any subsequent breach of the same or any other term, covenant or condition. Consent to any act by one of the parties shall not be deemed to render unnecessary the obtaining of that party’s consent to any subsequent act. No breach of this Lease shall be deemed to have been waived unless the waiver is in a writing signed by the waiving party.</w:t>
      </w:r>
    </w:p>
    <w:p>
      <w:pPr>
        <w:spacing w:after="0" w:line="199" w:lineRule="exact"/>
        <w:rPr>
          <w:sz w:val="20"/>
          <w:szCs w:val="20"/>
          <w:color w:val="auto"/>
        </w:rPr>
      </w:pPr>
    </w:p>
    <w:p>
      <w:pPr>
        <w:jc w:val="both"/>
        <w:ind w:firstLine="479"/>
        <w:spacing w:after="0" w:line="247" w:lineRule="auto"/>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b w:val="1"/>
          <w:bCs w:val="1"/>
          <w:color w:val="auto"/>
        </w:rPr>
        <w:t>INABILITY TO PERFORM</w:t>
      </w:r>
      <w:r>
        <w:rPr>
          <w:rFonts w:ascii="Arial" w:cs="Arial" w:eastAsia="Arial" w:hAnsi="Arial"/>
          <w:sz w:val="17"/>
          <w:szCs w:val="17"/>
          <w:color w:val="auto"/>
        </w:rPr>
        <w:t>. In the event that either party shall be delayed or hindered in or prevented from the performance of any work or in performing any act required under this Lease by reason of any cause beyond the reasonable control of that party, then the performance of the work or the doing of the act shall be excused for the period of the delay and the time for performance shall be extended for a period equivalent to the period of the delay. The provisions of this Section 20.9 shall not operate to excuse Tenant from the prompt payment of Rent.</w:t>
      </w:r>
    </w:p>
    <w:p>
      <w:pPr>
        <w:spacing w:after="0" w:line="194" w:lineRule="exact"/>
        <w:rPr>
          <w:sz w:val="20"/>
          <w:szCs w:val="20"/>
          <w:color w:val="auto"/>
        </w:rPr>
      </w:pPr>
    </w:p>
    <w:p>
      <w:pPr>
        <w:jc w:val="both"/>
        <w:ind w:firstLine="479"/>
        <w:spacing w:after="0" w:line="229" w:lineRule="auto"/>
        <w:rPr>
          <w:sz w:val="20"/>
          <w:szCs w:val="20"/>
          <w:color w:val="auto"/>
        </w:rPr>
      </w:pPr>
      <w:r>
        <w:rPr>
          <w:rFonts w:ascii="Arial" w:cs="Arial" w:eastAsia="Arial" w:hAnsi="Arial"/>
          <w:sz w:val="18"/>
          <w:szCs w:val="18"/>
          <w:color w:val="auto"/>
        </w:rPr>
        <w:t xml:space="preserve">20.10. </w:t>
      </w:r>
      <w:r>
        <w:rPr>
          <w:rFonts w:ascii="Arial" w:cs="Arial" w:eastAsia="Arial" w:hAnsi="Arial"/>
          <w:sz w:val="18"/>
          <w:szCs w:val="18"/>
          <w:b w:val="1"/>
          <w:bCs w:val="1"/>
          <w:color w:val="auto"/>
        </w:rPr>
        <w:t>ENTIRE AGREEMENT</w:t>
      </w:r>
      <w:r>
        <w:rPr>
          <w:rFonts w:ascii="Arial" w:cs="Arial" w:eastAsia="Arial" w:hAnsi="Arial"/>
          <w:sz w:val="18"/>
          <w:szCs w:val="18"/>
          <w:color w:val="auto"/>
        </w:rPr>
        <w:t>. This Lease and its exhibits and other attachments cover in full each and every agreement of every kind between the parties concerning the Premises, the Building, and the Project, and all preliminary negotiations, oral agreements, understandings and/or practices, except those contained in this Lease, are superseded and of no further effect. Tenant waives its rights to rely on any representations or promises made by Landlord or others which are not contained in this Lease. No verbal agreement or implied covenant shall be held to modify the provisions of this Lease, any statute, law, or custom to the contrary notwithstanding.</w:t>
      </w:r>
    </w:p>
    <w:p>
      <w:pPr>
        <w:spacing w:after="0" w:line="201" w:lineRule="exact"/>
        <w:rPr>
          <w:sz w:val="20"/>
          <w:szCs w:val="20"/>
          <w:color w:val="auto"/>
        </w:rPr>
      </w:pPr>
    </w:p>
    <w:p>
      <w:pPr>
        <w:jc w:val="both"/>
        <w:ind w:firstLine="479"/>
        <w:spacing w:after="0" w:line="237" w:lineRule="auto"/>
        <w:rPr>
          <w:sz w:val="20"/>
          <w:szCs w:val="20"/>
          <w:color w:val="auto"/>
        </w:rPr>
      </w:pPr>
      <w:r>
        <w:rPr>
          <w:rFonts w:ascii="Arial" w:cs="Arial" w:eastAsia="Arial" w:hAnsi="Arial"/>
          <w:sz w:val="18"/>
          <w:szCs w:val="18"/>
          <w:color w:val="auto"/>
        </w:rPr>
        <w:t xml:space="preserve">20.11. </w:t>
      </w:r>
      <w:r>
        <w:rPr>
          <w:rFonts w:ascii="Arial" w:cs="Arial" w:eastAsia="Arial" w:hAnsi="Arial"/>
          <w:sz w:val="18"/>
          <w:szCs w:val="18"/>
          <w:b w:val="1"/>
          <w:bCs w:val="1"/>
          <w:color w:val="auto"/>
        </w:rPr>
        <w:t>QUIET ENJOYMENT</w:t>
      </w:r>
      <w:r>
        <w:rPr>
          <w:rFonts w:ascii="Arial" w:cs="Arial" w:eastAsia="Arial" w:hAnsi="Arial"/>
          <w:sz w:val="18"/>
          <w:szCs w:val="18"/>
          <w:color w:val="auto"/>
        </w:rPr>
        <w:t>. Upon the observance and performance of all the covenants, terms and conditions on Tenant’s part to be observed and performed, and subject to the other provisions of this Lease, Tenant</w:t>
      </w:r>
    </w:p>
    <w:p>
      <w:pPr>
        <w:sectPr>
          <w:pgSz w:w="11900" w:h="16838" w:orient="portrait"/>
          <w:cols w:equalWidth="0" w:num="1">
            <w:col w:w="11240"/>
          </w:cols>
          <w:pgMar w:left="320" w:top="147"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shall have the right of quiet enjoyment and use of the Premises for the Term without hindrance or interruption by Landlord or any other person claiming by or through Landlord.</w:t>
      </w:r>
    </w:p>
    <w:p>
      <w:pPr>
        <w:spacing w:after="0" w:line="185" w:lineRule="exact"/>
        <w:rPr>
          <w:sz w:val="20"/>
          <w:szCs w:val="20"/>
          <w:color w:val="auto"/>
        </w:rPr>
      </w:pPr>
    </w:p>
    <w:p>
      <w:pPr>
        <w:jc w:val="both"/>
        <w:ind w:firstLine="479"/>
        <w:spacing w:after="0" w:line="236" w:lineRule="auto"/>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b w:val="1"/>
          <w:bCs w:val="1"/>
          <w:color w:val="auto"/>
        </w:rPr>
        <w:t>SURVIVAL</w:t>
      </w:r>
      <w:r>
        <w:rPr>
          <w:rFonts w:ascii="Arial" w:cs="Arial" w:eastAsia="Arial" w:hAnsi="Arial"/>
          <w:sz w:val="18"/>
          <w:szCs w:val="18"/>
          <w:color w:val="auto"/>
        </w:rPr>
        <w:t>. All covenants of Landlord or Tenant which reasonably would be intended to survive the expiration or sooner termination of this Lease, including without limitation any warranty or indemnity hereunder, shall so survive and continue to be binding upon and inure to the benefit of the respective parties and their successors and assigns.</w:t>
      </w:r>
    </w:p>
    <w:p>
      <w:pPr>
        <w:spacing w:after="0" w:line="19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ARTICLE 21. EXECUTION AND RECORDING</w:t>
      </w:r>
    </w:p>
    <w:p>
      <w:pPr>
        <w:spacing w:after="0" w:line="225" w:lineRule="exact"/>
        <w:rPr>
          <w:sz w:val="20"/>
          <w:szCs w:val="20"/>
          <w:color w:val="auto"/>
        </w:rPr>
      </w:pPr>
    </w:p>
    <w:p>
      <w:pPr>
        <w:jc w:val="both"/>
        <w:ind w:firstLine="479"/>
        <w:spacing w:after="0" w:line="23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COUNTERPARTS; DIGITAL SIGNATURES</w:t>
      </w:r>
      <w:r>
        <w:rPr>
          <w:rFonts w:ascii="Arial" w:cs="Arial" w:eastAsia="Arial" w:hAnsi="Arial"/>
          <w:sz w:val="18"/>
          <w:szCs w:val="18"/>
          <w:color w:val="auto"/>
        </w:rPr>
        <w:t>. This Lease may be executed in one or more counterparts, each of which shall constitute an original and all of which shall be one and the same agreement. The parties agree to accept a digital image (including but not limited to an image in the form of a PDF, JPEG, GIF file, or other e-signature) of this Lease, if applicable, reflecting the execution of one or both of the parties, as a true and correct original.</w:t>
      </w:r>
    </w:p>
    <w:p>
      <w:pPr>
        <w:spacing w:after="0" w:line="199" w:lineRule="exact"/>
        <w:rPr>
          <w:sz w:val="20"/>
          <w:szCs w:val="20"/>
          <w:color w:val="auto"/>
        </w:rPr>
      </w:pPr>
    </w:p>
    <w:p>
      <w:pPr>
        <w:jc w:val="both"/>
        <w:ind w:firstLine="479"/>
        <w:spacing w:after="0" w:line="24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CORPORATE AND PARTNERSHIP AUTHORITY</w:t>
      </w:r>
      <w:r>
        <w:rPr>
          <w:rFonts w:ascii="Arial" w:cs="Arial" w:eastAsia="Arial" w:hAnsi="Arial"/>
          <w:sz w:val="17"/>
          <w:szCs w:val="17"/>
          <w:color w:val="auto"/>
        </w:rPr>
        <w:t>. If Tenant is a corporation, limited liability company or partnership, each individual executing this Lease on behalf of the entity represents and warrants that such individual is duly authorized to execute and deliver this Lease and that this Lease is binding upon the corporation, limited liability company or partnership in accordance with its terms. Tenant shall, at Landlord’s request, deliver a certified copy of its organizational documents or an appropriate certificate authorizing or evidencing the execution of this Lease.</w:t>
      </w:r>
    </w:p>
    <w:p>
      <w:pPr>
        <w:spacing w:after="0" w:line="194" w:lineRule="exact"/>
        <w:rPr>
          <w:sz w:val="20"/>
          <w:szCs w:val="20"/>
          <w:color w:val="auto"/>
        </w:rPr>
      </w:pPr>
    </w:p>
    <w:p>
      <w:pPr>
        <w:jc w:val="both"/>
        <w:ind w:firstLine="479"/>
        <w:spacing w:after="0" w:line="247"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color w:val="auto"/>
        </w:rPr>
        <w:t>EXECUTION OF LEASE; NO OPTION OR OFFER</w:t>
      </w:r>
      <w:r>
        <w:rPr>
          <w:rFonts w:ascii="Arial" w:cs="Arial" w:eastAsia="Arial" w:hAnsi="Arial"/>
          <w:sz w:val="17"/>
          <w:szCs w:val="17"/>
          <w:color w:val="auto"/>
        </w:rPr>
        <w:t>. The submission of this Lease to Tenant shall be for examination purposes only, and shall not constitute an offer to or option for Tenant to lease the Premises. Execution of this Lease by Tenant and its return to Landlord shall not be binding upon Landlord, notwithstanding any time interval, until Landlord has in fact executed and delivered this Lease to Tenant, it being intended that this Lease shall only become effective upon execution by Landlord and delivery of a fully executed counterpart to Tenant.</w:t>
      </w:r>
    </w:p>
    <w:p>
      <w:pPr>
        <w:spacing w:after="0" w:line="194" w:lineRule="exact"/>
        <w:rPr>
          <w:sz w:val="20"/>
          <w:szCs w:val="20"/>
          <w:color w:val="auto"/>
        </w:rPr>
      </w:pPr>
    </w:p>
    <w:p>
      <w:pPr>
        <w:jc w:val="both"/>
        <w:ind w:firstLine="479"/>
        <w:spacing w:after="0" w:line="23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RECORDING</w:t>
      </w:r>
      <w:r>
        <w:rPr>
          <w:rFonts w:ascii="Arial" w:cs="Arial" w:eastAsia="Arial" w:hAnsi="Arial"/>
          <w:sz w:val="18"/>
          <w:szCs w:val="18"/>
          <w:color w:val="auto"/>
        </w:rPr>
        <w:t>. Tenant shall not record this Lease without the prior written consent of Landlord. Tenant, upon the request of Landlord, shall execute and acknowledge a “short form” memorandum of this Lease for recording purposes.</w:t>
      </w:r>
    </w:p>
    <w:p>
      <w:pPr>
        <w:spacing w:after="0" w:line="185" w:lineRule="exact"/>
        <w:rPr>
          <w:sz w:val="20"/>
          <w:szCs w:val="20"/>
          <w:color w:val="auto"/>
        </w:rPr>
      </w:pPr>
    </w:p>
    <w:p>
      <w:pPr>
        <w:jc w:val="both"/>
        <w:ind w:firstLine="479"/>
        <w:spacing w:after="0" w:line="236"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AMENDMENTS</w:t>
      </w:r>
      <w:r>
        <w:rPr>
          <w:rFonts w:ascii="Arial" w:cs="Arial" w:eastAsia="Arial" w:hAnsi="Arial"/>
          <w:sz w:val="18"/>
          <w:szCs w:val="18"/>
          <w:color w:val="auto"/>
        </w:rPr>
        <w:t>. No amendment or mutual termination of this Lease shall be effective unless in writing signed by authorized signatories of Tenant and Landlord, or by their respective successors in interest. No actions, policies, oral or informal arrangements, business dealings or other course of conduct by or between the parties shall be deemed to modify this Lease in any respect.</w:t>
      </w:r>
    </w:p>
    <w:p>
      <w:pPr>
        <w:spacing w:after="0" w:line="199" w:lineRule="exact"/>
        <w:rPr>
          <w:sz w:val="20"/>
          <w:szCs w:val="20"/>
          <w:color w:val="auto"/>
        </w:rPr>
      </w:pPr>
    </w:p>
    <w:p>
      <w:pPr>
        <w:jc w:val="both"/>
        <w:ind w:firstLine="479"/>
        <w:spacing w:after="0" w:line="241"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b w:val="1"/>
          <w:bCs w:val="1"/>
          <w:color w:val="auto"/>
        </w:rPr>
        <w:t>BROKER DISCLOSURE</w:t>
      </w:r>
      <w:r>
        <w:rPr>
          <w:rFonts w:ascii="Arial" w:cs="Arial" w:eastAsia="Arial" w:hAnsi="Arial"/>
          <w:sz w:val="17"/>
          <w:szCs w:val="17"/>
          <w:color w:val="auto"/>
        </w:rPr>
        <w:t>. By the execution of this Lease, each of Landlord and Tenant hereby acknowledge and confirm (a) receipt of a copy of a Disclosure Regarding Real Estate Agency Relationship conforming to the requirements of California Civil Code 2079.16, and (b) the agency relationships specified in Item 10 of the Basic Lease Provisions, which acknowledgement and confirmation is expressly made for the benefit of Tenant’s Broker identified in Item 10 of the Basic Lease Provisions. If there is no Tenant’s Broker so identified in Item 10 of the Basic Lease Provisions, then such acknowledgement and confirmation is expressly made for the benefit of Landlord’s Broker. By the execution of this Lease, Landlord and Tenant are executing the confirmation of the agency relationships set forth in Item 10 of the Basic Lease Provisions.</w:t>
      </w:r>
    </w:p>
    <w:p>
      <w:pPr>
        <w:spacing w:after="0" w:line="19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ARTICLE 22. MISCELLANEOUS</w:t>
      </w:r>
    </w:p>
    <w:p>
      <w:pPr>
        <w:spacing w:after="0" w:line="225"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color w:val="auto"/>
        </w:rPr>
        <w:t>NONDISCLOSURE OF LEASE TERMS</w:t>
      </w:r>
      <w:r>
        <w:rPr>
          <w:rFonts w:ascii="Arial" w:cs="Arial" w:eastAsia="Arial" w:hAnsi="Arial"/>
          <w:sz w:val="16"/>
          <w:szCs w:val="16"/>
          <w:color w:val="auto"/>
        </w:rPr>
        <w:t>. Landlord and Tenant acknowledge that the content of this Lease and any related documents are confidential information. Except to the extent disclosure is required by law, Landlord and Tenant shall each keep such confidential information strictly confidential and shall not disclose such confidential information to any person or entity other than to its respective financial, legal and space-planning consultants, provided, however, that Tenant may disclose the terms to prospective subtenants or assignees under this Lease or pursuant to legal requirement.</w:t>
      </w:r>
    </w:p>
    <w:p>
      <w:pPr>
        <w:sectPr>
          <w:pgSz w:w="11900" w:h="16838" w:orient="portrait"/>
          <w:cols w:equalWidth="0" w:num="1">
            <w:col w:w="11240"/>
          </w:cols>
          <w:pgMar w:left="320" w:top="147"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79"/>
        <w:spacing w:after="0" w:line="26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color w:val="auto"/>
        </w:rPr>
        <w:t>TENANT’S FINANCIAL STATEMENTS</w:t>
      </w:r>
      <w:r>
        <w:rPr>
          <w:rFonts w:ascii="Arial" w:cs="Arial" w:eastAsia="Arial" w:hAnsi="Arial"/>
          <w:sz w:val="16"/>
          <w:szCs w:val="16"/>
          <w:color w:val="auto"/>
        </w:rPr>
        <w:t>. The application, financial statements and tax returns, if any, submitted and certified to by Tenant as an accurate representation of its financial condition have been prepared, certified and submitted to Landlord as an inducement and consideration to Landlord to enter into this Lease. Tenant shall during the Term furnish Landlord with current annual financial statements accurately reflecting Tenant’s financial condition upon written request from Landlord within 10 business days following Landlord’s request; provided, however, that so long as Tenant is a publicly traded corporation on a nationally recognized stock exchange, the foregoing obligation to deliver the statements shall be waived.</w:t>
      </w:r>
    </w:p>
    <w:p>
      <w:pPr>
        <w:spacing w:after="0" w:line="184" w:lineRule="exact"/>
        <w:rPr>
          <w:sz w:val="20"/>
          <w:szCs w:val="20"/>
          <w:color w:val="auto"/>
        </w:rPr>
      </w:pPr>
    </w:p>
    <w:p>
      <w:pPr>
        <w:jc w:val="both"/>
        <w:ind w:firstLine="479"/>
        <w:spacing w:after="0" w:line="226"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MORTGAGEE PROTECTION</w:t>
      </w:r>
      <w:r>
        <w:rPr>
          <w:rFonts w:ascii="Arial" w:cs="Arial" w:eastAsia="Arial" w:hAnsi="Arial"/>
          <w:sz w:val="18"/>
          <w:szCs w:val="18"/>
          <w:color w:val="auto"/>
        </w:rPr>
        <w:t>. No act or failure to act on the part of Landlord which would otherwise entitle Tenant to be relieved of its obligations hereunder or to terminate this Lease shall result in such a release or termination unless (a) Tenant has given notice by registered or certified mail to any Mortgagee of a Mortgage covering the Building whose address has been furnished to Tenant and (b) such Mortgagee is afforded a reasonable opportunity to cure the default by Landlord (which shall in no event be less than 60 days), including, if necessary to effect the cure, time to obtain possession of the Building by power of sale or judicial foreclosure provided that such foreclosure remedy is diligently pursued. Tenant shall comply with any written directions by any Mortgagee to pay Rent due hereunder directly to such Mortgagee without determining whether a default exists under such Mortgagee’s Mortgage.</w:t>
      </w:r>
    </w:p>
    <w:p>
      <w:pPr>
        <w:spacing w:after="0" w:line="202"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b w:val="1"/>
          <w:bCs w:val="1"/>
          <w:color w:val="auto"/>
        </w:rPr>
        <w:t>SDN LIST</w:t>
      </w:r>
      <w:r>
        <w:rPr>
          <w:rFonts w:ascii="Arial" w:cs="Arial" w:eastAsia="Arial" w:hAnsi="Arial"/>
          <w:sz w:val="16"/>
          <w:szCs w:val="16"/>
          <w:color w:val="auto"/>
        </w:rPr>
        <w:t>. Tenant hereby represents and warrants that neither Tenant nor any officer, director, employee, partner, member or other principal of Tenant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is listed as a Specially Designated National and Blocked Person ("</w:t>
      </w:r>
      <w:r>
        <w:rPr>
          <w:rFonts w:ascii="Arial" w:cs="Arial" w:eastAsia="Arial" w:hAnsi="Arial"/>
          <w:sz w:val="16"/>
          <w:szCs w:val="16"/>
          <w:b w:val="1"/>
          <w:bCs w:val="1"/>
          <w:color w:val="auto"/>
        </w:rPr>
        <w:t>SDN</w:t>
      </w:r>
      <w:r>
        <w:rPr>
          <w:rFonts w:ascii="Arial" w:cs="Arial" w:eastAsia="Arial" w:hAnsi="Arial"/>
          <w:sz w:val="16"/>
          <w:szCs w:val="16"/>
          <w:color w:val="auto"/>
        </w:rPr>
        <w:t>") on the list of such persons and entities issued by the U.S.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In the event Tenant or any Tenant Party is or becomes listed as an SDN, Tenant shall be deemed in breach of this Lease and Landlord shall have the right to terminate this Lease immediately upon written notice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47"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Lease as of the day and year first above written.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LANDLORD</w:t>
            </w:r>
          </w:p>
        </w:tc>
        <w:tc>
          <w:tcPr>
            <w:tcW w:w="3740" w:type="dxa"/>
            <w:vAlign w:val="bottom"/>
            <w:gridSpan w:val="4"/>
          </w:tcPr>
          <w:p>
            <w:pPr>
              <w:ind w:left="80"/>
              <w:spacing w:after="0"/>
              <w:rPr>
                <w:sz w:val="20"/>
                <w:szCs w:val="20"/>
                <w:color w:val="auto"/>
              </w:rPr>
            </w:pPr>
            <w:r>
              <w:rPr>
                <w:rFonts w:ascii="Arial" w:cs="Arial" w:eastAsia="Arial" w:hAnsi="Arial"/>
                <w:sz w:val="18"/>
                <w:szCs w:val="18"/>
                <w:b w:val="1"/>
                <w:bCs w:val="1"/>
                <w:color w:val="auto"/>
              </w:rPr>
              <w:t>TENANT</w:t>
            </w:r>
          </w:p>
        </w:tc>
      </w:tr>
      <w:tr>
        <w:trPr>
          <w:trHeight w:val="229"/>
        </w:trPr>
        <w:tc>
          <w:tcPr>
            <w:tcW w:w="4800" w:type="dxa"/>
            <w:vAlign w:val="bottom"/>
            <w:gridSpan w:val="3"/>
          </w:tcPr>
          <w:p>
            <w:pPr>
              <w:spacing w:after="0"/>
              <w:rPr>
                <w:sz w:val="20"/>
                <w:szCs w:val="20"/>
                <w:color w:val="auto"/>
              </w:rPr>
            </w:pPr>
            <w:r>
              <w:rPr>
                <w:rFonts w:ascii="Arial" w:cs="Arial" w:eastAsia="Arial" w:hAnsi="Arial"/>
                <w:sz w:val="18"/>
                <w:szCs w:val="18"/>
                <w:color w:val="auto"/>
              </w:rPr>
              <w:t>ONE DEL MAR LLC,</w:t>
            </w:r>
          </w:p>
        </w:tc>
        <w:tc>
          <w:tcPr>
            <w:tcW w:w="3740" w:type="dxa"/>
            <w:vAlign w:val="bottom"/>
            <w:gridSpan w:val="4"/>
          </w:tcPr>
          <w:p>
            <w:pPr>
              <w:ind w:left="80"/>
              <w:spacing w:after="0"/>
              <w:rPr>
                <w:sz w:val="20"/>
                <w:szCs w:val="20"/>
                <w:color w:val="auto"/>
              </w:rPr>
            </w:pPr>
            <w:r>
              <w:rPr>
                <w:rFonts w:ascii="Arial" w:cs="Arial" w:eastAsia="Arial" w:hAnsi="Arial"/>
                <w:sz w:val="18"/>
                <w:szCs w:val="18"/>
                <w:color w:val="auto"/>
              </w:rPr>
              <w:t>TANDEM DIABETES CARE, INC.,</w:t>
            </w:r>
          </w:p>
        </w:tc>
      </w:tr>
      <w:tr>
        <w:trPr>
          <w:trHeight w:val="230"/>
        </w:trPr>
        <w:tc>
          <w:tcPr>
            <w:tcW w:w="480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3740" w:type="dxa"/>
            <w:vAlign w:val="bottom"/>
            <w:gridSpan w:val="4"/>
          </w:tcPr>
          <w:p>
            <w:pPr>
              <w:ind w:left="80"/>
              <w:spacing w:after="0"/>
              <w:rPr>
                <w:sz w:val="20"/>
                <w:szCs w:val="20"/>
                <w:color w:val="auto"/>
              </w:rPr>
            </w:pPr>
            <w:r>
              <w:rPr>
                <w:rFonts w:ascii="Arial" w:cs="Arial" w:eastAsia="Arial" w:hAnsi="Arial"/>
                <w:sz w:val="18"/>
                <w:szCs w:val="18"/>
                <w:color w:val="auto"/>
              </w:rPr>
              <w:t>a Delaware corporation</w:t>
            </w:r>
          </w:p>
        </w:tc>
      </w:tr>
      <w:tr>
        <w:trPr>
          <w:trHeight w:val="459"/>
        </w:trPr>
        <w:tc>
          <w:tcPr>
            <w:tcW w:w="1360" w:type="dxa"/>
            <w:vAlign w:val="bottom"/>
          </w:tcPr>
          <w:p>
            <w:pPr>
              <w:spacing w:after="0"/>
              <w:rPr>
                <w:sz w:val="20"/>
                <w:szCs w:val="20"/>
                <w:color w:val="auto"/>
              </w:rPr>
            </w:pPr>
            <w:r>
              <w:rPr>
                <w:rFonts w:ascii="Arial" w:cs="Arial" w:eastAsia="Arial" w:hAnsi="Arial"/>
                <w:sz w:val="18"/>
                <w:szCs w:val="18"/>
                <w:color w:val="auto"/>
                <w:w w:val="88"/>
              </w:rPr>
              <w:t>/s/ Steven M. Case</w:t>
            </w:r>
          </w:p>
        </w:tc>
        <w:tc>
          <w:tcPr>
            <w:tcW w:w="3440" w:type="dxa"/>
            <w:vAlign w:val="bottom"/>
            <w:gridSpan w:val="2"/>
          </w:tcPr>
          <w:p>
            <w:pPr>
              <w:spacing w:after="0"/>
              <w:rPr>
                <w:sz w:val="24"/>
                <w:szCs w:val="24"/>
                <w:color w:val="auto"/>
              </w:rPr>
            </w:pPr>
          </w:p>
        </w:tc>
        <w:tc>
          <w:tcPr>
            <w:tcW w:w="3740" w:type="dxa"/>
            <w:vAlign w:val="bottom"/>
            <w:gridSpan w:val="4"/>
          </w:tcPr>
          <w:p>
            <w:pPr>
              <w:ind w:left="80"/>
              <w:spacing w:after="0"/>
              <w:rPr>
                <w:sz w:val="20"/>
                <w:szCs w:val="20"/>
                <w:color w:val="auto"/>
              </w:rPr>
            </w:pPr>
            <w:r>
              <w:rPr>
                <w:rFonts w:ascii="Arial" w:cs="Arial" w:eastAsia="Arial" w:hAnsi="Arial"/>
                <w:sz w:val="18"/>
                <w:szCs w:val="18"/>
                <w:color w:val="auto"/>
              </w:rPr>
              <w:t>/s/ David B. Berger</w:t>
            </w:r>
          </w:p>
        </w:tc>
      </w:tr>
      <w:tr>
        <w:trPr>
          <w:trHeight w:val="20"/>
        </w:trPr>
        <w:tc>
          <w:tcPr>
            <w:tcW w:w="1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4800" w:type="dxa"/>
            <w:vAlign w:val="bottom"/>
            <w:gridSpan w:val="3"/>
          </w:tcPr>
          <w:p>
            <w:pPr>
              <w:spacing w:after="0"/>
              <w:rPr>
                <w:sz w:val="20"/>
                <w:szCs w:val="20"/>
                <w:color w:val="auto"/>
              </w:rPr>
            </w:pPr>
            <w:r>
              <w:rPr>
                <w:rFonts w:ascii="Arial" w:cs="Arial" w:eastAsia="Arial" w:hAnsi="Arial"/>
                <w:sz w:val="18"/>
                <w:szCs w:val="18"/>
                <w:color w:val="auto"/>
                <w:w w:val="93"/>
              </w:rPr>
              <w:t>Executive Vice President, Leasing &amp; Marketing Office Properties</w:t>
            </w:r>
          </w:p>
        </w:tc>
        <w:tc>
          <w:tcPr>
            <w:tcW w:w="3740" w:type="dxa"/>
            <w:vAlign w:val="bottom"/>
            <w:gridSpan w:val="4"/>
          </w:tcPr>
          <w:p>
            <w:pPr>
              <w:ind w:left="80"/>
              <w:spacing w:after="0"/>
              <w:rPr>
                <w:sz w:val="20"/>
                <w:szCs w:val="20"/>
                <w:color w:val="auto"/>
              </w:rPr>
            </w:pPr>
            <w:r>
              <w:rPr>
                <w:rFonts w:ascii="Arial" w:cs="Arial" w:eastAsia="Arial" w:hAnsi="Arial"/>
                <w:sz w:val="18"/>
                <w:szCs w:val="18"/>
                <w:color w:val="auto"/>
                <w:w w:val="89"/>
              </w:rPr>
              <w:t>EVP, Business Operations and Compliance Officer</w:t>
            </w:r>
          </w:p>
        </w:tc>
      </w:tr>
      <w:tr>
        <w:trPr>
          <w:trHeight w:val="459"/>
        </w:trPr>
        <w:tc>
          <w:tcPr>
            <w:tcW w:w="4800" w:type="dxa"/>
            <w:vAlign w:val="bottom"/>
            <w:gridSpan w:val="3"/>
          </w:tcPr>
          <w:p>
            <w:pPr>
              <w:spacing w:after="0"/>
              <w:rPr>
                <w:sz w:val="20"/>
                <w:szCs w:val="20"/>
                <w:color w:val="auto"/>
              </w:rPr>
            </w:pPr>
            <w:r>
              <w:rPr>
                <w:rFonts w:ascii="Arial" w:cs="Arial" w:eastAsia="Arial" w:hAnsi="Arial"/>
                <w:sz w:val="18"/>
                <w:szCs w:val="18"/>
                <w:color w:val="auto"/>
              </w:rPr>
              <w:t>/s/ Kristopher J. Kopensky</w:t>
            </w:r>
          </w:p>
        </w:tc>
        <w:tc>
          <w:tcPr>
            <w:tcW w:w="3740" w:type="dxa"/>
            <w:vAlign w:val="bottom"/>
            <w:gridSpan w:val="4"/>
          </w:tcPr>
          <w:p>
            <w:pPr>
              <w:ind w:left="80"/>
              <w:spacing w:after="0"/>
              <w:rPr>
                <w:sz w:val="20"/>
                <w:szCs w:val="20"/>
                <w:color w:val="auto"/>
              </w:rPr>
            </w:pPr>
            <w:r>
              <w:rPr>
                <w:rFonts w:ascii="Arial" w:cs="Arial" w:eastAsia="Arial" w:hAnsi="Arial"/>
                <w:sz w:val="18"/>
                <w:szCs w:val="18"/>
                <w:color w:val="auto"/>
              </w:rPr>
              <w:t>/s/ Leigh A. Vosseller</w:t>
            </w:r>
          </w:p>
        </w:tc>
      </w:tr>
      <w:tr>
        <w:trPr>
          <w:trHeight w:val="20"/>
        </w:trPr>
        <w:tc>
          <w:tcPr>
            <w:tcW w:w="1920" w:type="dxa"/>
            <w:vAlign w:val="bottom"/>
            <w:gridSpan w:val="2"/>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49"/>
        </w:trPr>
        <w:tc>
          <w:tcPr>
            <w:tcW w:w="4800" w:type="dxa"/>
            <w:vAlign w:val="bottom"/>
            <w:gridSpan w:val="3"/>
          </w:tcPr>
          <w:p>
            <w:pPr>
              <w:spacing w:after="0"/>
              <w:rPr>
                <w:sz w:val="20"/>
                <w:szCs w:val="20"/>
                <w:color w:val="auto"/>
              </w:rPr>
            </w:pPr>
            <w:r>
              <w:rPr>
                <w:rFonts w:ascii="Arial" w:cs="Arial" w:eastAsia="Arial" w:hAnsi="Arial"/>
                <w:sz w:val="18"/>
                <w:szCs w:val="18"/>
                <w:color w:val="auto"/>
              </w:rPr>
              <w:t>Vice President, Operations</w:t>
            </w:r>
          </w:p>
        </w:tc>
        <w:tc>
          <w:tcPr>
            <w:tcW w:w="3740" w:type="dxa"/>
            <w:vAlign w:val="bottom"/>
            <w:gridSpan w:val="4"/>
          </w:tcPr>
          <w:p>
            <w:pPr>
              <w:ind w:left="80"/>
              <w:spacing w:after="0"/>
              <w:rPr>
                <w:sz w:val="20"/>
                <w:szCs w:val="20"/>
                <w:color w:val="auto"/>
              </w:rPr>
            </w:pPr>
            <w:r>
              <w:rPr>
                <w:rFonts w:ascii="Arial" w:cs="Arial" w:eastAsia="Arial" w:hAnsi="Arial"/>
                <w:sz w:val="18"/>
                <w:szCs w:val="18"/>
                <w:color w:val="auto"/>
              </w:rPr>
              <w:t>EVP, Chief Financial Officer</w:t>
            </w:r>
          </w:p>
        </w:tc>
      </w:tr>
      <w:tr>
        <w:trPr>
          <w:trHeight w:val="230"/>
        </w:trPr>
        <w:tc>
          <w:tcPr>
            <w:tcW w:w="4800" w:type="dxa"/>
            <w:vAlign w:val="bottom"/>
            <w:gridSpan w:val="3"/>
          </w:tcPr>
          <w:p>
            <w:pPr>
              <w:spacing w:after="0"/>
              <w:rPr>
                <w:sz w:val="20"/>
                <w:szCs w:val="20"/>
                <w:color w:val="auto"/>
              </w:rPr>
            </w:pPr>
            <w:r>
              <w:rPr>
                <w:rFonts w:ascii="Arial" w:cs="Arial" w:eastAsia="Arial" w:hAnsi="Arial"/>
                <w:sz w:val="18"/>
                <w:szCs w:val="18"/>
                <w:color w:val="auto"/>
              </w:rPr>
              <w:t>Office Properties</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220"/>
          </w:cols>
          <w:pgMar w:left="340" w:top="147"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EXHIBIT A DESCRIPTION OF PREMISES</w:t>
      </w:r>
    </w:p>
    <w:p>
      <w:pPr>
        <w:spacing w:after="0" w:line="37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12544 High Bluff Drive,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5349240" cy="255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5349240" cy="2554605"/>
                    </a:xfrm>
                    <a:prstGeom prst="rect">
                      <a:avLst/>
                    </a:prstGeom>
                    <a:noFill/>
                  </pic:spPr>
                </pic:pic>
              </a:graphicData>
            </a:graphic>
          </wp:anchor>
        </w:drawing>
      </w:r>
    </w:p>
    <w:p>
      <w:pPr>
        <w:sectPr>
          <w:pgSz w:w="11900" w:h="16838" w:orient="portrait"/>
          <w:cols w:equalWidth="0" w:num="1">
            <w:col w:w="10120"/>
          </w:cols>
          <w:pgMar w:left="1440" w:top="147"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2420"/>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left="2420"/>
        <w:spacing w:after="0"/>
        <w:rPr>
          <w:sz w:val="20"/>
          <w:szCs w:val="20"/>
          <w:color w:val="auto"/>
        </w:rPr>
      </w:pPr>
      <w:r>
        <w:rPr>
          <w:rFonts w:ascii="Arial" w:cs="Arial" w:eastAsia="Arial" w:hAnsi="Arial"/>
          <w:sz w:val="18"/>
          <w:szCs w:val="18"/>
          <w:b w:val="1"/>
          <w:bCs w:val="1"/>
          <w:color w:val="auto"/>
        </w:rPr>
        <w:t>OPERATING EXPENSES AND TAXES</w:t>
      </w:r>
    </w:p>
    <w:p>
      <w:pPr>
        <w:spacing w:after="0" w:line="27" w:lineRule="exact"/>
        <w:rPr>
          <w:sz w:val="20"/>
          <w:szCs w:val="20"/>
          <w:color w:val="auto"/>
        </w:rPr>
      </w:pPr>
    </w:p>
    <w:p>
      <w:pPr>
        <w:jc w:val="center"/>
        <w:ind w:left="2420"/>
        <w:spacing w:after="0"/>
        <w:rPr>
          <w:sz w:val="20"/>
          <w:szCs w:val="20"/>
          <w:color w:val="auto"/>
        </w:rPr>
      </w:pPr>
      <w:r>
        <w:rPr>
          <w:rFonts w:ascii="Arial" w:cs="Arial" w:eastAsia="Arial" w:hAnsi="Arial"/>
          <w:sz w:val="18"/>
          <w:szCs w:val="18"/>
          <w:b w:val="1"/>
          <w:bCs w:val="1"/>
          <w:color w:val="auto"/>
        </w:rPr>
        <w:t>(Base Year)</w:t>
      </w:r>
    </w:p>
    <w:p>
      <w:pPr>
        <w:spacing w:after="0" w:line="207" w:lineRule="exact"/>
        <w:rPr>
          <w:sz w:val="20"/>
          <w:szCs w:val="20"/>
          <w:color w:val="auto"/>
        </w:rPr>
      </w:pPr>
    </w:p>
    <w:p>
      <w:pPr>
        <w:ind w:right="60" w:firstLine="8"/>
        <w:spacing w:after="0" w:line="237" w:lineRule="auto"/>
        <w:tabs>
          <w:tab w:leader="none" w:pos="245" w:val="left"/>
        </w:tabs>
        <w:numPr>
          <w:ilvl w:val="0"/>
          <w:numId w:val="99"/>
        </w:numPr>
        <w:rPr>
          <w:rFonts w:ascii="Arial" w:cs="Arial" w:eastAsia="Arial" w:hAnsi="Arial"/>
          <w:sz w:val="17"/>
          <w:szCs w:val="17"/>
          <w:color w:val="auto"/>
        </w:rPr>
      </w:pPr>
      <w:r>
        <w:rPr>
          <w:rFonts w:ascii="Arial" w:cs="Arial" w:eastAsia="Arial" w:hAnsi="Arial"/>
          <w:sz w:val="17"/>
          <w:szCs w:val="17"/>
          <w:color w:val="auto"/>
        </w:rPr>
        <w:t>Tenant shall pay Landlord, as additional rent, for Tenant’s Share of the amount, if any, by which “</w:t>
      </w:r>
      <w:r>
        <w:rPr>
          <w:rFonts w:ascii="Arial" w:cs="Arial" w:eastAsia="Arial" w:hAnsi="Arial"/>
          <w:sz w:val="17"/>
          <w:szCs w:val="17"/>
          <w:b w:val="1"/>
          <w:bCs w:val="1"/>
          <w:color w:val="auto"/>
        </w:rPr>
        <w:t>Project Costs</w:t>
      </w:r>
      <w:r>
        <w:rPr>
          <w:rFonts w:ascii="Arial" w:cs="Arial" w:eastAsia="Arial" w:hAnsi="Arial"/>
          <w:sz w:val="17"/>
          <w:szCs w:val="17"/>
          <w:color w:val="auto"/>
        </w:rPr>
        <w:t>” (defined below) for each Expense Recovery Period during the Term exceed Project Costs for the Project Cost Base and the amount, if any, by which “</w:t>
      </w:r>
      <w:r>
        <w:rPr>
          <w:rFonts w:ascii="Arial" w:cs="Arial" w:eastAsia="Arial" w:hAnsi="Arial"/>
          <w:sz w:val="17"/>
          <w:szCs w:val="17"/>
          <w:b w:val="1"/>
          <w:bCs w:val="1"/>
          <w:color w:val="auto"/>
        </w:rPr>
        <w:t>Property Taxes”</w:t>
      </w:r>
      <w:r>
        <w:rPr>
          <w:rFonts w:ascii="Arial" w:cs="Arial" w:eastAsia="Arial" w:hAnsi="Arial"/>
          <w:sz w:val="17"/>
          <w:szCs w:val="17"/>
          <w:color w:val="auto"/>
        </w:rPr>
        <w:t xml:space="preserve"> (defined below) for each Expense Recovery Period during the Term exceed Property Taxes for the Property Tax Base. Property Taxes and Project Costs are mutually exclusive and may be billed separately or in combination as determined by Landlord. “</w:t>
      </w:r>
      <w:r>
        <w:rPr>
          <w:rFonts w:ascii="Arial" w:cs="Arial" w:eastAsia="Arial" w:hAnsi="Arial"/>
          <w:sz w:val="17"/>
          <w:szCs w:val="17"/>
          <w:b w:val="1"/>
          <w:bCs w:val="1"/>
          <w:color w:val="auto"/>
        </w:rPr>
        <w:t>Tenant’s Share</w:t>
      </w:r>
      <w:r>
        <w:rPr>
          <w:rFonts w:ascii="Arial" w:cs="Arial" w:eastAsia="Arial" w:hAnsi="Arial"/>
          <w:sz w:val="17"/>
          <w:szCs w:val="17"/>
          <w:color w:val="auto"/>
        </w:rPr>
        <w:t>” shall mean that portion of any Operating Expenses determined by multiplying the cost of such item by a fraction, the numerator of which is the Floor Area of Premises and the denominator of which is the total rentable square footage, as determined from time to time by Landlord, of (i) the Floor Area of Building as defined in Item 8 of the Basic Lease Provisions, for expenses determined by Landlord to benefit or relate substantially to the Building rather than the entire Project, or (ii) all or some of the buildings in the Project, for expenses determined by Landlord to benefit or relate substantially to all or some of the buildings in the Project rather than any specific building. Tenant acknowledges Landlord’s rights to make changes or additions to the Building and/or Project from time to time, in which event the total rentable square footage within the Building and/or Project may be adjusted. For convenience of reference, Property Taxes and Project Costs may sometimes be collectively referred to as “</w:t>
      </w:r>
      <w:r>
        <w:rPr>
          <w:rFonts w:ascii="Arial" w:cs="Arial" w:eastAsia="Arial" w:hAnsi="Arial"/>
          <w:sz w:val="17"/>
          <w:szCs w:val="17"/>
          <w:b w:val="1"/>
          <w:bCs w:val="1"/>
          <w:color w:val="auto"/>
        </w:rPr>
        <w:t>Operating Expenses</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ind w:right="40" w:firstLine="8"/>
        <w:spacing w:after="0" w:line="259" w:lineRule="auto"/>
        <w:tabs>
          <w:tab w:leader="none" w:pos="2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Commencing prior to the start of the first full “</w:t>
      </w:r>
      <w:r>
        <w:rPr>
          <w:rFonts w:ascii="Arial" w:cs="Arial" w:eastAsia="Arial" w:hAnsi="Arial"/>
          <w:sz w:val="16"/>
          <w:szCs w:val="16"/>
          <w:b w:val="1"/>
          <w:bCs w:val="1"/>
          <w:color w:val="auto"/>
        </w:rPr>
        <w:t>Expense Recovery Period</w:t>
      </w:r>
      <w:r>
        <w:rPr>
          <w:rFonts w:ascii="Arial" w:cs="Arial" w:eastAsia="Arial" w:hAnsi="Arial"/>
          <w:sz w:val="16"/>
          <w:szCs w:val="16"/>
          <w:color w:val="auto"/>
        </w:rPr>
        <w:t>” of the Lease (as defined in Item 7 of the Basic Lease Provisions) following the Base Year, and prior to the start of each full or partial Expense Recovery Period thereafter, Landlord shall give Tenant a written estimate of the amount of Tenant’s Share of Project Costs and Property Taxes for the Expense Recovery Period or portion thereof. Tenant shall pay the estimated amounts to Landlord in equal monthly installments, in advance, with Basic Rent. Landlord may from time to time change the Expense Recover y Period to reflect a calendar year or a new fiscal year of Landlord, as applicable, in which event Tenant’s Share of Operating Expenses shall be equitably prorated for any partial year. From time to time during an Expense Recovery Period, Landlord may revise the estimate based on increases in any of the Operating Expenses.</w:t>
      </w:r>
    </w:p>
    <w:p>
      <w:pPr>
        <w:spacing w:after="0" w:line="189" w:lineRule="exact"/>
        <w:rPr>
          <w:rFonts w:ascii="Arial" w:cs="Arial" w:eastAsia="Arial" w:hAnsi="Arial"/>
          <w:sz w:val="16"/>
          <w:szCs w:val="16"/>
          <w:color w:val="auto"/>
        </w:rPr>
      </w:pPr>
    </w:p>
    <w:p>
      <w:pPr>
        <w:ind w:right="100" w:firstLine="8"/>
        <w:spacing w:after="0" w:line="256" w:lineRule="auto"/>
        <w:tabs>
          <w:tab w:leader="none" w:pos="245"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Within 180 days after the end of each Expense Recovery Period, Landlord shall furnish to Tenant a statement setting forth the actual or prorated Property Taxes and Project Costs attributable to that period, and the parties shall within 30 days thereafter make any payment or allowance necessary to adjust Tenant’s estimated payments, if any, to Tenant’s actual Tenant’s Share as shown by the annual statement. If actual Property Taxes or Project Costs allocable to Tenant during any Expense Recovery Period are less than the Property Tax Base or the Project Cost Base, respectively, Landlord shall not be required to pay that differential to Tenant, although Landlord shall refund any applicable estimated payments collected from Tenant. Should Tenant fail to object in writing to Landlord’s determination of actual Operating Expenses within 60 days following delivery of Landlord’s expense statement, Landlord’s determination of actual Operating Expenses for the applicable Expense Recovery Period shall be conclusive and binding on Tenant.</w:t>
      </w:r>
    </w:p>
    <w:p>
      <w:pPr>
        <w:spacing w:after="0" w:line="192" w:lineRule="exact"/>
        <w:rPr>
          <w:rFonts w:ascii="Arial" w:cs="Arial" w:eastAsia="Arial" w:hAnsi="Arial"/>
          <w:sz w:val="16"/>
          <w:szCs w:val="16"/>
          <w:color w:val="auto"/>
        </w:rPr>
      </w:pPr>
    </w:p>
    <w:p>
      <w:pPr>
        <w:jc w:val="both"/>
        <w:ind w:right="400" w:firstLine="8"/>
        <w:spacing w:after="0" w:line="276" w:lineRule="auto"/>
        <w:tabs>
          <w:tab w:leader="none" w:pos="2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Even though the Lease has terminated and the Tenant has vacated the Premises, when the final determination is made of Tenant’s share of Property Taxes and Project Costs for the Expense Recovery Period in which the Lease terminates, Tenant shall upon notice pay the entire increase due over the estimated expenses paid; conversely, any overpayment made in the event expenses decrease shall be rebated by Landlord to Tenant.</w:t>
      </w:r>
    </w:p>
    <w:p>
      <w:pPr>
        <w:spacing w:after="0" w:line="171" w:lineRule="exact"/>
        <w:rPr>
          <w:rFonts w:ascii="Arial" w:cs="Arial" w:eastAsia="Arial" w:hAnsi="Arial"/>
          <w:sz w:val="16"/>
          <w:szCs w:val="16"/>
          <w:color w:val="auto"/>
        </w:rPr>
      </w:pPr>
    </w:p>
    <w:p>
      <w:pPr>
        <w:ind w:right="40" w:firstLine="8"/>
        <w:spacing w:after="0" w:line="254" w:lineRule="auto"/>
        <w:tabs>
          <w:tab w:leader="none" w:pos="24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Project Costs</w:t>
      </w:r>
      <w:r>
        <w:rPr>
          <w:rFonts w:ascii="Arial" w:cs="Arial" w:eastAsia="Arial" w:hAnsi="Arial"/>
          <w:sz w:val="16"/>
          <w:szCs w:val="16"/>
          <w:color w:val="auto"/>
        </w:rPr>
        <w:t xml:space="preserve">” shall include all charges and expenses pertaining to the operation, management, maintenance and repair of the Building and the Project, together with all Common Areas (as defined in Section 6.2), and shall include the following charges by way of illustration but not limitation: water and sewer charges; insurance premiums and deductibles and/or reasonable premium equivalents and deductible equivalents should Landlord elect to self-insure any risk that Landlord is authorized to insure hereunder; license, permit, and inspection fees; heat; light; power; janitorial services; the cost of equipping, staffing and operating an on-site and/or off-site management office for the Building and Project; all labor and labor-related costs for personnel applicable to the Building and Project, including both Landlord's personnel and outside personnel; a commercially reasonable Landlord overhead/management fee; reasonable fees for consulting services; access control/security costs, inclusive of the reasonable cost of improvements made to enhance access control systems and procedures; repairs; air conditioning; supplies; materials; equipment; tools; tenant services; programs instituted to comply with transportation management requirements; any expense incurred pursuant to Sections 6.1, 6.2, 7.2, and 10.2 and </w:t>
      </w:r>
      <w:r>
        <w:rPr>
          <w:rFonts w:ascii="Arial" w:cs="Arial" w:eastAsia="Arial" w:hAnsi="Arial"/>
          <w:sz w:val="16"/>
          <w:szCs w:val="16"/>
          <w:b w:val="1"/>
          <w:bCs w:val="1"/>
          <w:color w:val="auto"/>
        </w:rPr>
        <w:t>Exhibits C</w:t>
      </w:r>
      <w:r>
        <w:rPr>
          <w:rFonts w:ascii="Arial" w:cs="Arial" w:eastAsia="Arial" w:hAnsi="Arial"/>
          <w:sz w:val="16"/>
          <w:szCs w:val="16"/>
          <w:color w:val="auto"/>
        </w:rPr>
        <w:t xml:space="preserve"> and </w:t>
      </w:r>
      <w:r>
        <w:rPr>
          <w:rFonts w:ascii="Arial" w:cs="Arial" w:eastAsia="Arial" w:hAnsi="Arial"/>
          <w:sz w:val="16"/>
          <w:szCs w:val="16"/>
          <w:b w:val="1"/>
          <w:bCs w:val="1"/>
          <w:color w:val="auto"/>
        </w:rPr>
        <w:t>F</w:t>
      </w:r>
      <w:r>
        <w:rPr>
          <w:rFonts w:ascii="Arial" w:cs="Arial" w:eastAsia="Arial" w:hAnsi="Arial"/>
          <w:sz w:val="16"/>
          <w:szCs w:val="16"/>
          <w:color w:val="auto"/>
        </w:rPr>
        <w:t xml:space="preserve"> below; costs</w:t>
      </w:r>
    </w:p>
    <w:p>
      <w:pPr>
        <w:sectPr>
          <w:pgSz w:w="11900" w:h="16838" w:orient="portrait"/>
          <w:cols w:equalWidth="0" w:num="1">
            <w:col w:w="11240"/>
          </w:cols>
          <w:pgMar w:left="320" w:top="147"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incurred (capital or otherwise) on a regular recurring basis every 3 or more years for normal maintenance projects (e.g., parking lot slurry coat or replacement of lobby, corridor and elevator cab carpets and coverings); and the amortized cost of capital improvements (as distinguished from replacement parts or components installed in the ordinary course of business) which are intended to reduce other operating costs or increases thereof, or upgrade Building and/or Project security, or which are required to bring the Building and/or Project into compliance with applicable laws and building codes. Landlord shall amortize the cost of capital improvements on a straight-line basis over the lesser of the Payback Period (as defined below) or the useful life of the capital improvement as reasonably determined by Landlord. Any amortized Project Costs item may include, at Landlord's option, an actual or imputed interest rate that Landlord would reasonably be required to pay to finance the cost of the item, applied on the unamortized balance. "</w:t>
      </w:r>
      <w:r>
        <w:rPr>
          <w:rFonts w:ascii="Arial" w:cs="Arial" w:eastAsia="Arial" w:hAnsi="Arial"/>
          <w:sz w:val="16"/>
          <w:szCs w:val="16"/>
          <w:b w:val="1"/>
          <w:bCs w:val="1"/>
          <w:color w:val="auto"/>
        </w:rPr>
        <w:t>Payback</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shall mean the reasonably estimated period of time that it takes for the cost savings, if any, resulting from a capital improvement item to equal the</w:t>
      </w:r>
      <w:r>
        <w:rPr>
          <w:rFonts w:ascii="Arial" w:cs="Arial" w:eastAsia="Arial" w:hAnsi="Arial"/>
          <w:sz w:val="16"/>
          <w:szCs w:val="16"/>
          <w:b w:val="1"/>
          <w:bCs w:val="1"/>
          <w:color w:val="auto"/>
        </w:rPr>
        <w:t xml:space="preserve"> </w:t>
      </w:r>
      <w:r>
        <w:rPr>
          <w:rFonts w:ascii="Arial" w:cs="Arial" w:eastAsia="Arial" w:hAnsi="Arial"/>
          <w:sz w:val="16"/>
          <w:szCs w:val="16"/>
          <w:color w:val="auto"/>
        </w:rPr>
        <w:t>total cost of the capital improvement. It is understood that Project Costs shall include competitive charges for direct services provided by any subsidiary or division of Landlord. If any Project Costs are applicable to one or more buildings or properties in addition to the Building, then that cost shall be equitably prorated and apportioned among the Building and such other buildings or properties. The term “</w:t>
      </w:r>
      <w:r>
        <w:rPr>
          <w:rFonts w:ascii="Arial" w:cs="Arial" w:eastAsia="Arial" w:hAnsi="Arial"/>
          <w:sz w:val="16"/>
          <w:szCs w:val="16"/>
          <w:b w:val="1"/>
          <w:bCs w:val="1"/>
          <w:color w:val="auto"/>
        </w:rPr>
        <w:t>Property Taxes</w:t>
      </w:r>
      <w:r>
        <w:rPr>
          <w:rFonts w:ascii="Arial" w:cs="Arial" w:eastAsia="Arial" w:hAnsi="Arial"/>
          <w:sz w:val="16"/>
          <w:szCs w:val="16"/>
          <w:color w:val="auto"/>
        </w:rPr>
        <w:t>” shall include the following: (i) all real estate taxes or personal property taxes, as such property taxes may be increased from time to time due to a reassessment or otherwise; and (ii) other taxes, charges and assessments which are levied with respect to this Lease or to the Building and/or the Project, and any improvements, fixtures and equipment and other property of Landlord located in the Building and/or the Project, except that general net income and franchise taxes imposed against Landlord shall be excluded; and (iii) any tax, surcharge or assessment which shall be levied in addition to or in lieu of real estate or personal property taxes; and (iv) costs and expenses incurred in contesting the amount or validity of any Property Tax by appropriate proceedings. A copy of Landlord’s unaudited statement of expenses shall be made available to Tenant upon request. The Project Costs, inclusive of those for the Base Year, shall be extrapolated by Landlord to reflect at least 95% occupancy of the rentable area of the Building.</w:t>
      </w:r>
    </w:p>
    <w:p>
      <w:pPr>
        <w:spacing w:after="0" w:line="387" w:lineRule="exact"/>
        <w:rPr>
          <w:sz w:val="20"/>
          <w:szCs w:val="20"/>
          <w:color w:val="auto"/>
        </w:rPr>
      </w:pPr>
    </w:p>
    <w:p>
      <w:pPr>
        <w:ind w:left="240" w:hanging="232"/>
        <w:spacing w:after="0"/>
        <w:tabs>
          <w:tab w:leader="none" w:pos="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Notwithstanding the foregoing, Operating Expenses shall exclude the following:</w:t>
      </w:r>
    </w:p>
    <w:p>
      <w:pPr>
        <w:spacing w:after="0" w:line="225" w:lineRule="exact"/>
        <w:rPr>
          <w:rFonts w:ascii="Arial" w:cs="Arial" w:eastAsia="Arial" w:hAnsi="Arial"/>
          <w:sz w:val="18"/>
          <w:szCs w:val="18"/>
          <w:color w:val="auto"/>
        </w:rPr>
      </w:pPr>
    </w:p>
    <w:p>
      <w:pPr>
        <w:ind w:left="2600" w:hanging="324"/>
        <w:spacing w:after="0"/>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ground lease rental;</w:t>
      </w:r>
    </w:p>
    <w:p>
      <w:pPr>
        <w:spacing w:after="0" w:line="225" w:lineRule="exact"/>
        <w:rPr>
          <w:rFonts w:ascii="Arial" w:cs="Arial" w:eastAsia="Arial" w:hAnsi="Arial"/>
          <w:sz w:val="18"/>
          <w:szCs w:val="18"/>
          <w:color w:val="auto"/>
        </w:rPr>
      </w:pPr>
    </w:p>
    <w:p>
      <w:pPr>
        <w:ind w:left="2600" w:right="320" w:hanging="324"/>
        <w:spacing w:after="0" w:line="235" w:lineRule="auto"/>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Costs incurred by Landlord with respect to goods and services (including utilities sold and supplied to tenants and occupants of the Building) to the extent that Landlord is reimbursed for such costs other than through the Operating Expense pass-through provisions of such tenants' lease;</w:t>
      </w:r>
    </w:p>
    <w:p>
      <w:pPr>
        <w:spacing w:after="0" w:line="201" w:lineRule="exact"/>
        <w:rPr>
          <w:rFonts w:ascii="Arial" w:cs="Arial" w:eastAsia="Arial" w:hAnsi="Arial"/>
          <w:sz w:val="18"/>
          <w:szCs w:val="18"/>
          <w:color w:val="auto"/>
        </w:rPr>
      </w:pPr>
    </w:p>
    <w:p>
      <w:pPr>
        <w:ind w:left="2600" w:right="60" w:hanging="324"/>
        <w:spacing w:after="0" w:line="235" w:lineRule="auto"/>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Costs incurred by Landlord for repairs, replacements and/or restoration to or of the Building to the extent that Landlord is reimbursed by insurance or condemnation proceeds or by tenants (other than through Operating Expense pass-throughs), warrantors or other third persons;</w:t>
      </w:r>
    </w:p>
    <w:p>
      <w:pPr>
        <w:spacing w:after="0" w:line="201" w:lineRule="exact"/>
        <w:rPr>
          <w:rFonts w:ascii="Arial" w:cs="Arial" w:eastAsia="Arial" w:hAnsi="Arial"/>
          <w:sz w:val="18"/>
          <w:szCs w:val="18"/>
          <w:color w:val="auto"/>
        </w:rPr>
      </w:pPr>
    </w:p>
    <w:p>
      <w:pPr>
        <w:ind w:left="2600" w:right="220" w:hanging="324"/>
        <w:spacing w:after="0" w:line="235" w:lineRule="auto"/>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Costs, including permit, license and inspection costs, incurred with respect to the installation of tenant improvements made for other tenants in the Building or incurred in renovating or otherwise improving, decorating, painting or redecorating vacant space for tenants or other occupants of the Building;</w:t>
      </w:r>
    </w:p>
    <w:p>
      <w:pPr>
        <w:spacing w:after="0" w:line="201" w:lineRule="exact"/>
        <w:rPr>
          <w:rFonts w:ascii="Arial" w:cs="Arial" w:eastAsia="Arial" w:hAnsi="Arial"/>
          <w:sz w:val="18"/>
          <w:szCs w:val="18"/>
          <w:color w:val="auto"/>
        </w:rPr>
      </w:pPr>
    </w:p>
    <w:p>
      <w:pPr>
        <w:ind w:left="2600" w:hanging="324"/>
        <w:spacing w:after="0"/>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225" w:lineRule="exact"/>
        <w:rPr>
          <w:rFonts w:ascii="Arial" w:cs="Arial" w:eastAsia="Arial" w:hAnsi="Arial"/>
          <w:sz w:val="18"/>
          <w:szCs w:val="18"/>
          <w:color w:val="auto"/>
        </w:rPr>
      </w:pPr>
    </w:p>
    <w:p>
      <w:pPr>
        <w:ind w:left="2600" w:right="260" w:hanging="324"/>
        <w:spacing w:after="0" w:line="228" w:lineRule="auto"/>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Attorneys' fees and other costs and expenses incurred in connection with negotiations or disputes with present or prospective tenants or other occupants of the Building, except those attorneys' fees and other costs and expenses incurred in connection with negotiations, disputes or claims relating to items of Operating Expenses, enforcement of rules and regulations of the Building and such other matters relating to the maintenance of standards required of Landlord under this Lease;</w:t>
      </w:r>
    </w:p>
    <w:p>
      <w:pPr>
        <w:spacing w:after="0" w:line="204" w:lineRule="exact"/>
        <w:rPr>
          <w:rFonts w:ascii="Arial" w:cs="Arial" w:eastAsia="Arial" w:hAnsi="Arial"/>
          <w:sz w:val="18"/>
          <w:szCs w:val="18"/>
          <w:color w:val="auto"/>
        </w:rPr>
      </w:pPr>
    </w:p>
    <w:p>
      <w:pPr>
        <w:ind w:left="2600" w:right="160" w:hanging="324"/>
        <w:spacing w:after="0" w:line="274" w:lineRule="auto"/>
        <w:tabs>
          <w:tab w:leader="none" w:pos="26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Capital expenditures as determined in accordance with generally accepted accounting principles, consistently applied, and as generally practiced in the real estate industry (“</w:t>
      </w:r>
      <w:r>
        <w:rPr>
          <w:rFonts w:ascii="Arial" w:cs="Arial" w:eastAsia="Arial" w:hAnsi="Arial"/>
          <w:sz w:val="17"/>
          <w:szCs w:val="17"/>
          <w:b w:val="1"/>
          <w:bCs w:val="1"/>
          <w:color w:val="auto"/>
        </w:rPr>
        <w:t>GAAP</w:t>
      </w:r>
      <w:r>
        <w:rPr>
          <w:rFonts w:ascii="Arial" w:cs="Arial" w:eastAsia="Arial" w:hAnsi="Arial"/>
          <w:sz w:val="17"/>
          <w:szCs w:val="17"/>
          <w:color w:val="auto"/>
        </w:rPr>
        <w:t>”), except as otherwise provided above;</w:t>
      </w:r>
    </w:p>
    <w:p>
      <w:pPr>
        <w:sectPr>
          <w:pgSz w:w="11900" w:h="16838" w:orient="portrait"/>
          <w:cols w:equalWidth="0" w:num="1">
            <w:col w:w="11240"/>
          </w:cols>
          <w:pgMar w:left="320" w:top="147"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80" w:right="480" w:hanging="324"/>
        <w:spacing w:after="0" w:line="246"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Brokers commissions, finders' fees, attorneys' fees, entertainment and travel expenses and other costs incurred by Landlord in leasing or attempting to lease space in the Building;</w:t>
      </w:r>
    </w:p>
    <w:p>
      <w:pPr>
        <w:spacing w:after="0" w:line="196" w:lineRule="exact"/>
        <w:rPr>
          <w:rFonts w:ascii="Arial" w:cs="Arial" w:eastAsia="Arial" w:hAnsi="Arial"/>
          <w:sz w:val="18"/>
          <w:szCs w:val="18"/>
          <w:color w:val="auto"/>
        </w:rPr>
      </w:pPr>
    </w:p>
    <w:p>
      <w:pPr>
        <w:ind w:left="1480" w:right="180" w:hanging="324"/>
        <w:spacing w:after="0" w:line="246"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Expenses in connection with services or other benefits which are not offered to Tenant or for which Tenant is charged for directly but which are provided to another tenant or occupant of the Building;</w:t>
      </w:r>
    </w:p>
    <w:p>
      <w:pPr>
        <w:spacing w:after="0" w:line="196" w:lineRule="exact"/>
        <w:rPr>
          <w:rFonts w:ascii="Arial" w:cs="Arial" w:eastAsia="Arial" w:hAnsi="Arial"/>
          <w:sz w:val="18"/>
          <w:szCs w:val="18"/>
          <w:color w:val="auto"/>
        </w:rPr>
      </w:pPr>
    </w:p>
    <w:p>
      <w:pPr>
        <w:ind w:left="1480" w:hanging="324"/>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Costs incurred by Landlord due to the violation by Landlord of any law, code, regulation, or ordinance;</w:t>
      </w:r>
    </w:p>
    <w:p>
      <w:pPr>
        <w:spacing w:after="0" w:line="225" w:lineRule="exact"/>
        <w:rPr>
          <w:rFonts w:ascii="Arial" w:cs="Arial" w:eastAsia="Arial" w:hAnsi="Arial"/>
          <w:sz w:val="18"/>
          <w:szCs w:val="18"/>
          <w:color w:val="auto"/>
        </w:rPr>
      </w:pPr>
    </w:p>
    <w:p>
      <w:pPr>
        <w:ind w:left="1480" w:right="40" w:hanging="324"/>
        <w:spacing w:after="0" w:line="231" w:lineRule="auto"/>
        <w:tabs>
          <w:tab w:leader="none" w:pos="146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Overhead and profit increments paid to subsidiaries or affiliates of Landlord for services provided to the Building to the extent the same exceeds the costs that would generally be charged for such services if rendered on a competitive basis (based upon a standard of similar office buildings in the general market area of the Premises) by unaffiliated third parties capable of providing such service;</w:t>
      </w:r>
    </w:p>
    <w:p>
      <w:pPr>
        <w:spacing w:after="0" w:line="202" w:lineRule="exact"/>
        <w:rPr>
          <w:rFonts w:ascii="Arial" w:cs="Arial" w:eastAsia="Arial" w:hAnsi="Arial"/>
          <w:sz w:val="18"/>
          <w:szCs w:val="18"/>
          <w:color w:val="auto"/>
        </w:rPr>
      </w:pPr>
    </w:p>
    <w:p>
      <w:pPr>
        <w:ind w:left="1480" w:hanging="324"/>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Interest on debt or amortization on any mortgage or mortgages encumbering the Building;</w:t>
      </w:r>
    </w:p>
    <w:p>
      <w:pPr>
        <w:spacing w:after="0" w:line="225" w:lineRule="exact"/>
        <w:rPr>
          <w:rFonts w:ascii="Arial" w:cs="Arial" w:eastAsia="Arial" w:hAnsi="Arial"/>
          <w:sz w:val="18"/>
          <w:szCs w:val="18"/>
          <w:color w:val="auto"/>
        </w:rPr>
      </w:pPr>
    </w:p>
    <w:p>
      <w:pPr>
        <w:ind w:left="1480" w:right="200" w:hanging="324"/>
        <w:spacing w:after="0" w:line="246" w:lineRule="auto"/>
        <w:tabs>
          <w:tab w:leader="none" w:pos="14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Landlord's general corporate overhead, except as it relates to the specific management, operation, repair, replacement and maintenance of the Building or Project;</w:t>
      </w:r>
    </w:p>
    <w:p>
      <w:pPr>
        <w:spacing w:after="0" w:line="196" w:lineRule="exact"/>
        <w:rPr>
          <w:rFonts w:ascii="Arial" w:cs="Arial" w:eastAsia="Arial" w:hAnsi="Arial"/>
          <w:sz w:val="18"/>
          <w:szCs w:val="18"/>
          <w:color w:val="auto"/>
        </w:rPr>
      </w:pPr>
    </w:p>
    <w:p>
      <w:pPr>
        <w:ind w:left="1480" w:right="420" w:hanging="324"/>
        <w:spacing w:after="0" w:line="246" w:lineRule="auto"/>
        <w:tabs>
          <w:tab w:leader="none" w:pos="14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Costs of installing the initial landscaping and the initial sculpture, paintings and objects of art for the Building and Project;</w:t>
      </w:r>
    </w:p>
    <w:p>
      <w:pPr>
        <w:spacing w:after="0" w:line="196" w:lineRule="exact"/>
        <w:rPr>
          <w:rFonts w:ascii="Arial" w:cs="Arial" w:eastAsia="Arial" w:hAnsi="Arial"/>
          <w:sz w:val="18"/>
          <w:szCs w:val="18"/>
          <w:color w:val="auto"/>
        </w:rPr>
      </w:pPr>
    </w:p>
    <w:p>
      <w:pPr>
        <w:ind w:left="1480" w:hanging="324"/>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Advertising expenditures;</w:t>
      </w:r>
    </w:p>
    <w:p>
      <w:pPr>
        <w:spacing w:after="0" w:line="225" w:lineRule="exact"/>
        <w:rPr>
          <w:rFonts w:ascii="Arial" w:cs="Arial" w:eastAsia="Arial" w:hAnsi="Arial"/>
          <w:sz w:val="18"/>
          <w:szCs w:val="18"/>
          <w:color w:val="auto"/>
        </w:rPr>
      </w:pPr>
    </w:p>
    <w:p>
      <w:pPr>
        <w:ind w:left="1480" w:hanging="324"/>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225" w:lineRule="exact"/>
        <w:rPr>
          <w:rFonts w:ascii="Arial" w:cs="Arial" w:eastAsia="Arial" w:hAnsi="Arial"/>
          <w:sz w:val="18"/>
          <w:szCs w:val="18"/>
          <w:color w:val="auto"/>
        </w:rPr>
      </w:pPr>
    </w:p>
    <w:p>
      <w:pPr>
        <w:ind w:left="1480" w:hanging="324"/>
        <w:spacing w:after="0" w:line="258" w:lineRule="auto"/>
        <w:tabs>
          <w:tab w:leader="none" w:pos="14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partnership or entity which constitutes the Landlord, as the same are distinguished from the costs of the operation, management, repair, replacement and maintenance of the Project, including partnership accounting and legal matters, costs of defending any lawsuits with any mortgagee (except as the actions of Tenant may be in issue), costs of selling, syndicating, financing, mortgaging or hypothecating any of Landlord's interest in the Project, and costs incurred in connection with any disputes between Landlord and its employees, between Landlord and Project management, or between Landlord and other tenants or occupants;</w:t>
      </w:r>
    </w:p>
    <w:p>
      <w:pPr>
        <w:spacing w:after="0" w:line="190" w:lineRule="exact"/>
        <w:rPr>
          <w:rFonts w:ascii="Arial" w:cs="Arial" w:eastAsia="Arial" w:hAnsi="Arial"/>
          <w:sz w:val="16"/>
          <w:szCs w:val="16"/>
          <w:color w:val="auto"/>
        </w:rPr>
      </w:pPr>
    </w:p>
    <w:p>
      <w:pPr>
        <w:ind w:left="1480" w:right="60" w:hanging="324"/>
        <w:spacing w:after="0" w:line="266" w:lineRule="auto"/>
        <w:tabs>
          <w:tab w:leader="none" w:pos="14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wages and benefits of any employee who does not devote substantially all of his or her employed time to the Project unless such wages and benefits are prorated to reflect time spent on operating and managing the Project vis-à-vis time spent on matters unrelated to operating and managing the Project; provided that in no event shall Project Costs include wages and/or benefits attributable to personnel above the level of portfolio property manager or chief engineer;</w:t>
      </w:r>
    </w:p>
    <w:p>
      <w:pPr>
        <w:spacing w:after="0" w:line="183" w:lineRule="exact"/>
        <w:rPr>
          <w:rFonts w:ascii="Arial" w:cs="Arial" w:eastAsia="Arial" w:hAnsi="Arial"/>
          <w:sz w:val="16"/>
          <w:szCs w:val="16"/>
          <w:color w:val="auto"/>
        </w:rPr>
      </w:pPr>
    </w:p>
    <w:p>
      <w:pPr>
        <w:ind w:left="1480" w:hanging="324"/>
        <w:spacing w:after="0" w:line="231" w:lineRule="auto"/>
        <w:tabs>
          <w:tab w:leader="none" w:pos="14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Costs incurred by Landlord for improvements or replacements (including structural additions), repairs, equipment and tools which are of a “capital” nature and/or which are considered “capital” improvements or replacements under GAAP, except to the extent included in Project Costs pursuant to the definition above or by other express terms of this Lease; and</w:t>
      </w:r>
    </w:p>
    <w:p>
      <w:pPr>
        <w:sectPr>
          <w:pgSz w:w="11900" w:h="16838" w:orient="portrait"/>
          <w:cols w:equalWidth="0" w:num="1">
            <w:col w:w="10120"/>
          </w:cols>
          <w:pgMar w:left="1440" w:top="14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0" w:right="420" w:hanging="324"/>
        <w:spacing w:after="0" w:line="235" w:lineRule="auto"/>
        <w:tabs>
          <w:tab w:leader="none" w:pos="259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Legal fees and costs, settlements, judgments or awards paid or incurred because of disputes between Landlord and other tenants or prospective occupants or prospective tenants/occupants or providers of goods and services to the Project.</w:t>
      </w:r>
    </w:p>
    <w:p>
      <w:pPr>
        <w:spacing w:after="0" w:line="201" w:lineRule="exact"/>
        <w:rPr>
          <w:rFonts w:ascii="Arial" w:cs="Arial" w:eastAsia="Arial" w:hAnsi="Arial"/>
          <w:sz w:val="18"/>
          <w:szCs w:val="18"/>
          <w:color w:val="auto"/>
        </w:rPr>
      </w:pPr>
    </w:p>
    <w:p>
      <w:pPr>
        <w:ind w:firstLine="8"/>
        <w:spacing w:after="0" w:line="248" w:lineRule="auto"/>
        <w:tabs>
          <w:tab w:leader="none" w:pos="25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Provided Tenant is not then in Default hereunder, Tenant shall have the right to cause a certified public accountant, engaged on a non-contingency fee basis, to audit Operating Expenses by inspecting Landlord's general ledger of expenses not more than once during any Expense Recovery Period. However, to the extent that insurance premiums or any other component of Operating Expenses is determined by Landlord on the basis of an internal allocation of costs utilizing information Landlord in good faith deems proprietary, such expense component shall not be subject to audit so long as it does not exceed the amount per square foot typically imposed by landlords of other first class office projects in San Diego County, California. Tenant shall give notice to Landlord of Tenant's intent to audit within 60 days after Tenant's receipt of Landlord's expense statement which sets forth Landlord's actual Operating Expenses. Such audit shall be conducted at a mutually agreeable time during normal business hours at the office of Landlord or its management agent where such accounts are maintained. If Tenant's audit determines that actual Operating Expenses have been overstated by more than 5%, then subject to Landlord's right to review and/or contest the audit results, Landlord shall reimburse Tenant for the reasonable out-of-pocket costs of such audit. Tenant's rent shall be appropriately adjusted to reflect any overstatement in Operating Expenses. In addition, if any component of Operating Expenses is determined to be either inappropriate or excessive during an Expense Recovery Period, and if the Project Cost Base or Property Tax Base also included such component, then the appropriate Base shall concurrently be adjusted if and to the extent appropriate. In the event of a dispute between Landlord and Tenant regarding such audit, either party may elect to submit the matter for binding arbitration with the American Arbitration Association under its Arbitration Rules for the Real Estate Industry, and judgment on the arbitration award may be entered in any court having jurisdiction thereof. All of the information obtained by Tenant and/or its auditor in connection with such audit, as well as any compromise, settlement, or adjustment reached between Landlord and Tenant as a result thereof, shall be held in strict confidence and, except as may be required pursuant to litigation, shall not be disclosed to any third party, directly or indirectly, by Tenant or its auditor or any of their officers, agents or employees. Landlord may require Tenant's auditor to execute a separate confidentiality agreement affirming the foregoing as a condition precedent to any audit. In the event of a violation of this confidentiality covenant in connection with any audit, then in addition to any other legal or equitable remedy available to Landlord, Tenant shall forfeit its right to any reconciliation or cost reimbursement payment from Landlord due to said audit (and any such payment theretofore made by Landlord shall be promptly returned by Tenant), and Tenant shall have no further audit rights under this Lease. Notwithstanding the foregoing, Tenant shall have no right of audit with respect to any Expense Recovery Period unless the total Operating Expenses per square foot for such Expense Recovery Period, as set forth in Landlord's annual expense reconciliation, exceed the total Operating Expenses per square foot during the Base Year, as increased by the percentage change in the United States Department of Labor, Bureau of Labor Statistics, Consumer Price Index for all Urban Consumers, Los Angeles - Riverside - Orange County Area Average, all items (1982-84 = 100) (the "</w:t>
      </w:r>
      <w:r>
        <w:rPr>
          <w:rFonts w:ascii="Arial" w:cs="Arial" w:eastAsia="Arial" w:hAnsi="Arial"/>
          <w:sz w:val="16"/>
          <w:szCs w:val="16"/>
          <w:b w:val="1"/>
          <w:bCs w:val="1"/>
          <w:color w:val="auto"/>
        </w:rPr>
        <w:t>Index</w:t>
      </w:r>
      <w:r>
        <w:rPr>
          <w:rFonts w:ascii="Arial" w:cs="Arial" w:eastAsia="Arial" w:hAnsi="Arial"/>
          <w:sz w:val="16"/>
          <w:szCs w:val="16"/>
          <w:color w:val="auto"/>
        </w:rPr>
        <w:t>"), which change in the Index shall be measured by comparing the Index published for January of the Base Year with the Index published for January of the applicable Expense Recovery Period.</w:t>
      </w:r>
    </w:p>
    <w:p>
      <w:pPr>
        <w:sectPr>
          <w:pgSz w:w="11900" w:h="16838" w:orient="portrait"/>
          <w:cols w:equalWidth="0" w:num="1">
            <w:col w:w="11240"/>
          </w:cols>
          <w:pgMar w:left="320" w:top="147"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45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UTILITIES AND SERVICES</w:t>
      </w:r>
    </w:p>
    <w:p>
      <w:pPr>
        <w:spacing w:after="0" w:line="337" w:lineRule="exact"/>
        <w:rPr>
          <w:sz w:val="20"/>
          <w:szCs w:val="20"/>
          <w:color w:val="auto"/>
        </w:rPr>
      </w:pPr>
    </w:p>
    <w:p>
      <w:pPr>
        <w:ind w:right="220" w:firstLine="90"/>
        <w:spacing w:after="0" w:line="235" w:lineRule="auto"/>
        <w:rPr>
          <w:sz w:val="20"/>
          <w:szCs w:val="20"/>
          <w:color w:val="auto"/>
        </w:rPr>
      </w:pPr>
      <w:r>
        <w:rPr>
          <w:rFonts w:ascii="Arial" w:cs="Arial" w:eastAsia="Arial" w:hAnsi="Arial"/>
          <w:sz w:val="18"/>
          <w:szCs w:val="18"/>
          <w:color w:val="auto"/>
        </w:rPr>
        <w:t>The following standards for utilities and services shall be in effect at the Building. Landlord reserves the right to adopt nondiscriminatory modifications and additions to these standards. In the case of any conflict between these standards and the Lease, the Lease shall be controlling. Subject to all of the provisions of the Lease, the following shall apply:</w:t>
      </w:r>
    </w:p>
    <w:p>
      <w:pPr>
        <w:spacing w:after="0" w:line="198" w:lineRule="exact"/>
        <w:rPr>
          <w:sz w:val="20"/>
          <w:szCs w:val="20"/>
          <w:color w:val="auto"/>
        </w:rPr>
      </w:pPr>
    </w:p>
    <w:p>
      <w:pPr>
        <w:ind w:left="660" w:right="140" w:hanging="328"/>
        <w:spacing w:after="0" w:line="22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Landlord shall make available to the Premises during the hours of 8:00 a.m. to 6:00 p.m., Monday through Friday ("</w:t>
      </w:r>
      <w:r>
        <w:rPr>
          <w:rFonts w:ascii="Arial" w:cs="Arial" w:eastAsia="Arial" w:hAnsi="Arial"/>
          <w:sz w:val="18"/>
          <w:szCs w:val="18"/>
          <w:b w:val="1"/>
          <w:bCs w:val="1"/>
          <w:color w:val="auto"/>
        </w:rPr>
        <w:t>Building Hours</w:t>
      </w:r>
      <w:r>
        <w:rPr>
          <w:rFonts w:ascii="Arial" w:cs="Arial" w:eastAsia="Arial" w:hAnsi="Arial"/>
          <w:sz w:val="18"/>
          <w:szCs w:val="18"/>
          <w:color w:val="auto"/>
        </w:rPr>
        <w:t>"), generally recognized national holidays excepted, reasonable HVAC services. Subject to the provisions set forth below, Landlord shall also furnish the Building with elevator service (if applicable), reasonable amounts of electric current for normal lighting by Landlord’s standard overhead fluorescent and incandescent fixtures and for the operation of office equipment consistent in type and quantity with that utilized by typical office tenants of the Building and Project, and water for lavatory purposes. Tenant will not, without the prior written consent of Landlord, connect any apparatus, machine or device with water pipes or electric current (except through existing electrical outlets in the Premises) for the purpose of using electric current or water.</w:t>
      </w:r>
    </w:p>
    <w:p>
      <w:pPr>
        <w:spacing w:after="0" w:line="205" w:lineRule="exact"/>
        <w:rPr>
          <w:rFonts w:ascii="Arial" w:cs="Arial" w:eastAsia="Arial" w:hAnsi="Arial"/>
          <w:sz w:val="18"/>
          <w:szCs w:val="18"/>
          <w:color w:val="auto"/>
        </w:rPr>
      </w:pPr>
    </w:p>
    <w:p>
      <w:pPr>
        <w:ind w:left="660" w:right="40" w:hanging="328"/>
        <w:spacing w:after="0" w:line="239"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Upon written request from Tenant delivered to Landlord at least 24 hours prior to the period for which service is requested, but during normal business hours, Landlord will provide any of the foregoing building services to Tenant at such times when such services are not otherwise available. Tenant agrees to pay Landlord for those after-hour services at rates that Landlord may establish from time to time. If Tenant requires electric current in excess of that which Landlord is obligated to furnish under this </w:t>
      </w:r>
      <w:r>
        <w:rPr>
          <w:rFonts w:ascii="Arial" w:cs="Arial" w:eastAsia="Arial" w:hAnsi="Arial"/>
          <w:sz w:val="17"/>
          <w:szCs w:val="17"/>
          <w:b w:val="1"/>
          <w:bCs w:val="1"/>
          <w:color w:val="auto"/>
        </w:rPr>
        <w:t>Exhibit C</w:t>
      </w:r>
      <w:r>
        <w:rPr>
          <w:rFonts w:ascii="Arial" w:cs="Arial" w:eastAsia="Arial" w:hAnsi="Arial"/>
          <w:sz w:val="17"/>
          <w:szCs w:val="17"/>
          <w:color w:val="auto"/>
        </w:rPr>
        <w:t>, Tenant shall first obtain the consent of Landlord, and Landlord may cause an electric current meter to be installed in the Premises to measure the amount of electric current consumed. The cost of installation, maintenance and repair of the meter shall be paid for by Tenant, and Tenant shall reimburse Landlord promptly upon demand for all electric current consumed for any special power use as shown by the meter.</w:t>
      </w:r>
    </w:p>
    <w:p>
      <w:pPr>
        <w:spacing w:after="0" w:line="203" w:lineRule="exact"/>
        <w:rPr>
          <w:rFonts w:ascii="Arial" w:cs="Arial" w:eastAsia="Arial" w:hAnsi="Arial"/>
          <w:sz w:val="17"/>
          <w:szCs w:val="17"/>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Landlord shall furnish water for drinking, personal hygiene and lavatory purposes only.</w:t>
      </w:r>
    </w:p>
    <w:p>
      <w:pPr>
        <w:spacing w:after="0" w:line="225" w:lineRule="exact"/>
        <w:rPr>
          <w:rFonts w:ascii="Arial" w:cs="Arial" w:eastAsia="Arial" w:hAnsi="Arial"/>
          <w:sz w:val="18"/>
          <w:szCs w:val="18"/>
          <w:color w:val="auto"/>
        </w:rPr>
      </w:pPr>
    </w:p>
    <w:p>
      <w:pPr>
        <w:jc w:val="both"/>
        <w:ind w:left="660" w:right="100" w:hanging="328"/>
        <w:spacing w:after="0" w:line="235"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that any utility service to the Premises is separately metered or billed to Tenant, Tenant shall pay all charges for that utility service to the Premises and the cost of furnishing the utility to tenant suites shall be excluded from the Operating Expenses as to which reimbursement from Tenant is required in the Lease.</w:t>
      </w:r>
    </w:p>
    <w:p>
      <w:pPr>
        <w:spacing w:after="0" w:line="201" w:lineRule="exact"/>
        <w:rPr>
          <w:rFonts w:ascii="Arial" w:cs="Arial" w:eastAsia="Arial" w:hAnsi="Arial"/>
          <w:sz w:val="18"/>
          <w:szCs w:val="18"/>
          <w:color w:val="auto"/>
        </w:rPr>
      </w:pPr>
    </w:p>
    <w:p>
      <w:pPr>
        <w:ind w:left="660" w:right="760" w:hanging="328"/>
        <w:spacing w:after="0" w:line="24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Landlord shall provide janitorial services 5 days per week, equivalent to that furnished in comparable buildings, and window washing as reasonably required; provided, however, that Tenant shall pay for any additional or unusual janitorial services.</w:t>
      </w:r>
    </w:p>
    <w:p>
      <w:pPr>
        <w:spacing w:after="0" w:line="196" w:lineRule="exact"/>
        <w:rPr>
          <w:rFonts w:ascii="Arial" w:cs="Arial" w:eastAsia="Arial" w:hAnsi="Arial"/>
          <w:sz w:val="18"/>
          <w:szCs w:val="18"/>
          <w:color w:val="auto"/>
        </w:rPr>
      </w:pPr>
    </w:p>
    <w:p>
      <w:pPr>
        <w:ind w:left="660" w:right="160" w:hanging="328"/>
        <w:spacing w:after="0" w:line="307"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Tenant shall have access to the Building 24 hours per day, 7 days per week, 52 weeks per year; provided that Landlord may install access control systems as it deems advisable for the Building. Landlord may impose a reasonable charge for access control cards and/or keys issued to Tenant.</w:t>
      </w:r>
    </w:p>
    <w:p>
      <w:pPr>
        <w:spacing w:after="0" w:line="150" w:lineRule="exact"/>
        <w:rPr>
          <w:rFonts w:ascii="Arial" w:cs="Arial" w:eastAsia="Arial" w:hAnsi="Arial"/>
          <w:sz w:val="16"/>
          <w:szCs w:val="16"/>
          <w:color w:val="auto"/>
        </w:rPr>
      </w:pPr>
    </w:p>
    <w:p>
      <w:pPr>
        <w:ind w:left="660" w:right="140" w:hanging="328"/>
        <w:spacing w:after="0" w:line="231"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costs of operating, maintaining and repairing any supplemental air conditioning unit serving only the Premises shall be borne solely by Tenant. Such installation shall be subject to Landlord’s prior written approval, at Tenant's sole expense and shall include installation of a separate meter for the operation of the unit. Landlord may require Tenant to remove at Lease expiration any such unit installed by or for Tenant and to repair any resulting damage to the Premises or Building.</w:t>
      </w:r>
    </w:p>
    <w:p>
      <w:pPr>
        <w:sectPr>
          <w:pgSz w:w="11900" w:h="16838" w:orient="portrait"/>
          <w:cols w:equalWidth="0" w:num="1">
            <w:col w:w="11240"/>
          </w:cols>
          <w:pgMar w:left="320" w:top="147"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450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TENANT’S INSURANCE</w:t>
      </w:r>
    </w:p>
    <w:p>
      <w:pPr>
        <w:spacing w:after="0" w:line="337" w:lineRule="exact"/>
        <w:rPr>
          <w:sz w:val="20"/>
          <w:szCs w:val="20"/>
          <w:color w:val="auto"/>
        </w:rPr>
      </w:pPr>
    </w:p>
    <w:p>
      <w:pPr>
        <w:ind w:right="180" w:firstLine="738"/>
        <w:spacing w:after="0" w:line="307" w:lineRule="auto"/>
        <w:rPr>
          <w:sz w:val="20"/>
          <w:szCs w:val="20"/>
          <w:color w:val="auto"/>
        </w:rPr>
      </w:pPr>
      <w:r>
        <w:rPr>
          <w:rFonts w:ascii="Arial" w:cs="Arial" w:eastAsia="Arial" w:hAnsi="Arial"/>
          <w:sz w:val="16"/>
          <w:szCs w:val="16"/>
          <w:color w:val="auto"/>
        </w:rPr>
        <w:t>The following requirements for Tenant’s insurance shall be in effect during the Term, and Tenant shall also cause any subtenant to comply with the requirements. Landlord reserves the right to adopt reasonable nondiscriminatory modifications and additions to these requirements.</w:t>
      </w:r>
    </w:p>
    <w:p>
      <w:pPr>
        <w:spacing w:after="0" w:line="150" w:lineRule="exact"/>
        <w:rPr>
          <w:sz w:val="20"/>
          <w:szCs w:val="20"/>
          <w:color w:val="auto"/>
        </w:rPr>
      </w:pPr>
    </w:p>
    <w:p>
      <w:pPr>
        <w:ind w:left="660" w:right="60" w:hanging="328"/>
        <w:spacing w:after="0" w:line="236"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Tenant shall maintain, at its sole cost and expense, during the entire Term: (i) commercial general liability insurance with respect to the Premises and the operations of Tenant in, on or about the Premises, on a policy form that is at least as broad as Insurance Service Office (ISO) CGL 00 01 (if alcoholic beverages are sold on the Premises, liquor liability shall be explicitly covered), which policy(ies) shall be written on an “occurrence” basis and for not less than $2,000,000 combined single limit per occurrence for bodily injury, death, and property damage liability; (ii) workers’ compensation insurance coverage as required by law, together with employers’ liability insurance coverage of at least $1,000,000 each accident and each disease; (iii) with respect to Alterations constructed by Tenant under this Lease, builder’s risk insurance, in an amount equal to the replacement cost of the work; and (iv) insurance against fire, vandalism, malicious mischief and such other additional perils as may be included in a standard “special form” policy, insuring all Alterations, trade fixtures, furnishings, equipment and items of personal property in the Premises, in an amount equal to not less than 90% of their replacement cost (with replacement cost endorsement), which policy shall also include business interruption coverage in an amount sufficient to cover 1 year of loss. In no event shall the limits of any policy be considered as limiting the liability of Tenant under this Lease.</w:t>
      </w:r>
    </w:p>
    <w:p>
      <w:pPr>
        <w:spacing w:after="0" w:line="203" w:lineRule="exact"/>
        <w:rPr>
          <w:rFonts w:ascii="Arial" w:cs="Arial" w:eastAsia="Arial" w:hAnsi="Arial"/>
          <w:sz w:val="17"/>
          <w:szCs w:val="17"/>
          <w:color w:val="auto"/>
        </w:rPr>
      </w:pPr>
    </w:p>
    <w:p>
      <w:pPr>
        <w:ind w:left="660" w:right="80" w:hanging="328"/>
        <w:spacing w:after="0" w:line="237"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All policies of insurance required to be carried by Tenant pursuant to this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shall be written by insurance companies authorized to do business in the State of California and with a general policyholder rating of not less than “A-” and financial rating of not less than “VIII” in the most current Best’s Insurance Report. The deductible or other retained limit under any policy carried by Tenant shall be commercially reasonable, and Tenant shall be responsible for payment of such deductible or retained limit with waiver of subrogation in favor of Landlord. Any insurance required of Tenant may be furnished by Tenant under any blanket policy carried by it or under a separate policy. A certificate of insurance, certifying that the policy has been issued, provides the coverage required by this Exhibit and contains the required provisions, together with endorsements acceptable to Landlord evidencing the waiver of subrogation and additional insured provisions required below, shall be delivered to Landlord prior to the date Tenant is given the right of possession of the Premises. Proper evidence of the renewal of any insurance coverage shall also be delivered to Landlord not less than thirty (30) days prior to the expiration of the coverage. In the event of a loss covered by any policy under which Landlord is an additional insured, Landlord shall be entitled to review a copy of such policy.</w:t>
      </w:r>
    </w:p>
    <w:p>
      <w:pPr>
        <w:spacing w:after="0" w:line="206" w:lineRule="exact"/>
        <w:rPr>
          <w:rFonts w:ascii="Arial" w:cs="Arial" w:eastAsia="Arial" w:hAnsi="Arial"/>
          <w:sz w:val="17"/>
          <w:szCs w:val="17"/>
          <w:color w:val="auto"/>
        </w:rPr>
      </w:pPr>
    </w:p>
    <w:p>
      <w:pPr>
        <w:ind w:left="660" w:right="40" w:hanging="328"/>
        <w:spacing w:after="0" w:line="239"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Tenant’s commercial general liability insurance shall contain a provision that the policy shall be primary to and noncontributory with any policies carried by Landlord, together with a provision including Landlord and any other parties in interest designated by Landlord as additional insureds. Tenant’s policies described in Subsections 1(ii), (iii) and (iv) above shall each contain a waiver by the insurer of any right to subrogation against Landlord, its agents, employees, contractors and representatives. Tenant also waives its right of recovery for any deductible or retained limit under same policies enumerated above. All of Tenant’s policies shall contain a provision that the insurer will not cancel or change the coverage provided by the policy without first giving Landlord 30 days prior written notice. Tenant shall also name Landlord as an additional insured on any excess or umbrella liability insurance policy carried by Tenant.</w:t>
      </w:r>
    </w:p>
    <w:p>
      <w:pPr>
        <w:spacing w:after="0" w:line="200" w:lineRule="exact"/>
        <w:rPr>
          <w:sz w:val="20"/>
          <w:szCs w:val="20"/>
          <w:color w:val="auto"/>
        </w:rPr>
      </w:pPr>
    </w:p>
    <w:p>
      <w:pPr>
        <w:spacing w:after="0" w:line="283" w:lineRule="exact"/>
        <w:rPr>
          <w:sz w:val="20"/>
          <w:szCs w:val="20"/>
          <w:color w:val="auto"/>
        </w:rPr>
      </w:pPr>
    </w:p>
    <w:p>
      <w:pPr>
        <w:ind w:firstLine="90"/>
        <w:spacing w:after="0" w:line="297" w:lineRule="auto"/>
        <w:rPr>
          <w:sz w:val="20"/>
          <w:szCs w:val="20"/>
          <w:color w:val="auto"/>
        </w:rPr>
      </w:pPr>
      <w:r>
        <w:rPr>
          <w:rFonts w:ascii="Arial" w:cs="Arial" w:eastAsia="Arial" w:hAnsi="Arial"/>
          <w:sz w:val="18"/>
          <w:szCs w:val="18"/>
          <w:b w:val="1"/>
          <w:bCs w:val="1"/>
          <w:color w:val="auto"/>
        </w:rPr>
        <w:t>NOTICE TO TENANT: IN ACCORDANCE WITH THE TERMS OF THIS LEASE, TENANT MUST PROVIDE EVIDENCE OF THE REQUIRED INSURANCE TO LANDLORD’S MANAGEMENT AGENT PRIOR TO BEING AFFORDED ACCESS TO THE PREMISES.</w:t>
      </w:r>
    </w:p>
    <w:p>
      <w:pPr>
        <w:sectPr>
          <w:pgSz w:w="11900" w:h="16838" w:orient="portrait"/>
          <w:cols w:equalWidth="0" w:num="1">
            <w:col w:w="11240"/>
          </w:cols>
          <w:pgMar w:left="320" w:top="147"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2420"/>
        <w:spacing w:after="0"/>
        <w:rPr>
          <w:sz w:val="20"/>
          <w:szCs w:val="20"/>
          <w:color w:val="auto"/>
        </w:rPr>
      </w:pPr>
      <w:r>
        <w:rPr>
          <w:rFonts w:ascii="Arial" w:cs="Arial" w:eastAsia="Arial" w:hAnsi="Arial"/>
          <w:sz w:val="18"/>
          <w:szCs w:val="18"/>
          <w:b w:val="1"/>
          <w:bCs w:val="1"/>
          <w:color w:val="auto"/>
        </w:rPr>
        <w:t>EXHIBIT 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RULES AND REGULATIONS</w:t>
      </w:r>
    </w:p>
    <w:p>
      <w:pPr>
        <w:spacing w:after="0" w:line="200" w:lineRule="exact"/>
        <w:rPr>
          <w:sz w:val="20"/>
          <w:szCs w:val="20"/>
          <w:color w:val="auto"/>
        </w:rPr>
      </w:pPr>
    </w:p>
    <w:p>
      <w:pPr>
        <w:spacing w:after="0" w:line="272" w:lineRule="exact"/>
        <w:rPr>
          <w:sz w:val="20"/>
          <w:szCs w:val="20"/>
          <w:color w:val="auto"/>
        </w:rPr>
      </w:pPr>
    </w:p>
    <w:p>
      <w:pPr>
        <w:ind w:right="620" w:firstLine="738"/>
        <w:spacing w:after="0" w:line="307" w:lineRule="auto"/>
        <w:rPr>
          <w:sz w:val="20"/>
          <w:szCs w:val="20"/>
          <w:color w:val="auto"/>
        </w:rPr>
      </w:pPr>
      <w:r>
        <w:rPr>
          <w:rFonts w:ascii="Arial" w:cs="Arial" w:eastAsia="Arial" w:hAnsi="Arial"/>
          <w:sz w:val="16"/>
          <w:szCs w:val="16"/>
          <w:color w:val="auto"/>
        </w:rPr>
        <w:t>The following Rules and Regulations shall be in effect at the Building. Landlord reserves the right to adopt reasonable nondiscriminatory modifications and additions at any time. In the case of any conflict between these regulations and the Lease, the Lease shall be controlling.</w:t>
      </w:r>
    </w:p>
    <w:p>
      <w:pPr>
        <w:spacing w:after="0" w:line="150" w:lineRule="exact"/>
        <w:rPr>
          <w:sz w:val="20"/>
          <w:szCs w:val="20"/>
          <w:color w:val="auto"/>
        </w:rPr>
      </w:pPr>
    </w:p>
    <w:p>
      <w:pPr>
        <w:ind w:left="660" w:right="340" w:hanging="328"/>
        <w:spacing w:after="0" w:line="276"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sidewalks, halls, passages, elevators, stairways, and other common areas shall not be obstructed by Tenant or used by it for storage, for depositing items, or for any purpose other than for ingress to and egress from the Premises. Should Tenant have access to any balcony or patio area, Tenant shall not place any furniture other personal property in such area without the prior written approval of Landlord.</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Neither Tenant nor any employee or contractor of Tenant shall go upon the roof of the Building without the prior written consent of Landlord.</w:t>
      </w:r>
    </w:p>
    <w:p>
      <w:pPr>
        <w:spacing w:after="0" w:line="236" w:lineRule="exact"/>
        <w:rPr>
          <w:rFonts w:ascii="Arial" w:cs="Arial" w:eastAsia="Arial" w:hAnsi="Arial"/>
          <w:sz w:val="17"/>
          <w:szCs w:val="17"/>
          <w:color w:val="auto"/>
        </w:rPr>
      </w:pPr>
    </w:p>
    <w:p>
      <w:pPr>
        <w:ind w:left="660" w:right="460" w:hanging="328"/>
        <w:spacing w:after="0" w:line="24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 shall, at its expense, be required to utilize the third party contractor designated by Landlord for the Building to provide any telephone wiring services from the minimum point of entry of the telephone cable in the Building to the Premises.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antenna or satellite dish shall be installed by Tenant without the prior written agreement of Landlord.</w:t>
      </w:r>
    </w:p>
    <w:p>
      <w:pPr>
        <w:spacing w:after="0" w:line="225" w:lineRule="exact"/>
        <w:rPr>
          <w:rFonts w:ascii="Arial" w:cs="Arial" w:eastAsia="Arial" w:hAnsi="Arial"/>
          <w:sz w:val="18"/>
          <w:szCs w:val="18"/>
          <w:color w:val="auto"/>
        </w:rPr>
      </w:pPr>
    </w:p>
    <w:p>
      <w:pPr>
        <w:ind w:left="660" w:right="20" w:hanging="328"/>
        <w:spacing w:after="0" w:line="239"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sashes, sash doors, windows, glass lights, solar film and/or screen, and any lights or skylights that reflect or admit light into the halls or other places of the Building shall not be covered or obstructed. If Landlord, by a notice in writing to Tenant, shall object to any curtain, blind, tinting, shade or screen attached to, or hung in, or used in connectio n with, any window or door of the Premises, the use of that curtain, blind, tinting, shade or screen shall be immediately discontinued and removed by Tenant. Interior of the Premises visible from the exterior must be maintained in a visually professional manner and consistent with a first class office building. Tenant shall not place any unsightly items (as determined by Landlord in its reasonable discretion) along the exterior glass line of the Premises including, but not limited to, boxes, and electrical and data cords. No awnings shall be permitted on any part of the Premises.</w:t>
      </w:r>
    </w:p>
    <w:p>
      <w:pPr>
        <w:spacing w:after="0" w:line="203" w:lineRule="exact"/>
        <w:rPr>
          <w:rFonts w:ascii="Arial" w:cs="Arial" w:eastAsia="Arial" w:hAnsi="Arial"/>
          <w:sz w:val="17"/>
          <w:szCs w:val="17"/>
          <w:color w:val="auto"/>
        </w:rPr>
      </w:pPr>
    </w:p>
    <w:p>
      <w:pPr>
        <w:ind w:left="660" w:hanging="328"/>
        <w:spacing w:after="0" w:line="22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installation and location of any unusually heavy equipment in the Premises, including without limitation file storage units, safes and electronic data processing equipment, shall require the prior written approval of Landlord. The moving of large or heavy objects shall occur only between those hours as may be designated by, and only upon previous notice to, Landlord. No freight, furniture or bulky matter of any description shall be received into or moved out of the lobby of the Building or carried in any elevator other than the freight elevator (if available) designated by Landlord unless approved in writing by Landlord.</w:t>
      </w:r>
    </w:p>
    <w:p>
      <w:pPr>
        <w:spacing w:after="0" w:line="204"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pipes or tubing used by Tenant to transmit water to an appliance or device in the Premises must be made of copper or stainless steel, and in no event shall plastic tubing be used for that purpose.</w:t>
      </w:r>
    </w:p>
    <w:p>
      <w:pPr>
        <w:spacing w:after="0" w:line="196" w:lineRule="exact"/>
        <w:rPr>
          <w:rFonts w:ascii="Arial" w:cs="Arial" w:eastAsia="Arial" w:hAnsi="Arial"/>
          <w:sz w:val="18"/>
          <w:szCs w:val="18"/>
          <w:color w:val="auto"/>
        </w:rPr>
      </w:pPr>
    </w:p>
    <w:p>
      <w:pPr>
        <w:ind w:left="660" w:right="60" w:hanging="328"/>
        <w:spacing w:after="0" w:line="235"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 shall not place any lock(s) on any door in the Premises or Building without Landlord’s prior written consent, which consent shall not be unreasonably withheld. Upon the termination of its tenancy, Tenant shall deliver to Landlord all the keys to offices, rooms and toilet rooms and all access cards which shall have been furnished to Tenant or which Tenant shall have had made.</w:t>
      </w:r>
    </w:p>
    <w:p>
      <w:pPr>
        <w:spacing w:after="0" w:line="201" w:lineRule="exact"/>
        <w:rPr>
          <w:rFonts w:ascii="Arial" w:cs="Arial" w:eastAsia="Arial" w:hAnsi="Arial"/>
          <w:sz w:val="18"/>
          <w:szCs w:val="18"/>
          <w:color w:val="auto"/>
        </w:rPr>
      </w:pPr>
    </w:p>
    <w:p>
      <w:pPr>
        <w:ind w:left="660" w:right="400" w:hanging="328"/>
        <w:spacing w:after="0" w:line="24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 shall not install equipment requiring electrical or air conditioning service in excess of that to be provided by Landlord under the Lease without prior written approval from Landlord.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 shall not use space heaters within the Premises.</w:t>
      </w:r>
    </w:p>
    <w:p>
      <w:pPr>
        <w:spacing w:after="0" w:line="225" w:lineRule="exact"/>
        <w:rPr>
          <w:rFonts w:ascii="Arial" w:cs="Arial" w:eastAsia="Arial" w:hAnsi="Arial"/>
          <w:sz w:val="18"/>
          <w:szCs w:val="18"/>
          <w:color w:val="auto"/>
        </w:rPr>
      </w:pPr>
    </w:p>
    <w:p>
      <w:pPr>
        <w:ind w:left="660" w:right="180" w:hanging="328"/>
        <w:spacing w:after="0" w:line="235" w:lineRule="auto"/>
        <w:tabs>
          <w:tab w:leader="none" w:pos="6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 shall not do or permit anything to be done in the Premises, or bring or keep anything in the Premises, which shall in any way increase the insurance on the Building, or on the property kept in the Building, or interfere with the rights of other tenants, or conflict with any government rule or regulation.</w:t>
      </w:r>
    </w:p>
    <w:p>
      <w:pPr>
        <w:sectPr>
          <w:pgSz w:w="11900" w:h="16838" w:orient="portrait"/>
          <w:cols w:equalWidth="0" w:num="1">
            <w:col w:w="11240"/>
          </w:cols>
          <w:pgMar w:left="320" w:top="147"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8" w:hanging="328"/>
        <w:spacing w:after="0"/>
        <w:tabs>
          <w:tab w:leader="none" w:pos="3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Tenant shall not use or keep any foul or noxious gas or substance in the Premises.</w:t>
      </w:r>
    </w:p>
    <w:p>
      <w:pPr>
        <w:spacing w:after="0" w:line="225" w:lineRule="exact"/>
        <w:rPr>
          <w:rFonts w:ascii="Arial" w:cs="Arial" w:eastAsia="Arial" w:hAnsi="Arial"/>
          <w:sz w:val="18"/>
          <w:szCs w:val="18"/>
          <w:color w:val="auto"/>
        </w:rPr>
      </w:pPr>
    </w:p>
    <w:p>
      <w:pPr>
        <w:ind w:left="328" w:right="100" w:hanging="328"/>
        <w:spacing w:after="0" w:line="274" w:lineRule="auto"/>
        <w:tabs>
          <w:tab w:leader="none" w:pos="32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Tenant shall not permit the Premises to be occupied or used in a manner offensive or objectionable to Landlord or other occupants of the Building by reason of noise, odors and/or vibrations, or interfere in any way with other tenants or those having business with other tenants.</w:t>
      </w:r>
    </w:p>
    <w:p>
      <w:pPr>
        <w:spacing w:after="0" w:line="174" w:lineRule="exact"/>
        <w:rPr>
          <w:rFonts w:ascii="Arial" w:cs="Arial" w:eastAsia="Arial" w:hAnsi="Arial"/>
          <w:sz w:val="17"/>
          <w:szCs w:val="17"/>
          <w:color w:val="auto"/>
        </w:rPr>
      </w:pPr>
    </w:p>
    <w:p>
      <w:pPr>
        <w:ind w:left="328" w:right="280" w:hanging="328"/>
        <w:spacing w:after="0" w:line="307" w:lineRule="auto"/>
        <w:tabs>
          <w:tab w:leader="none" w:pos="32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Tenant shall not permit any pets or animals in or about the Building. Bona fide service animals are permitted provided such service animals are pre-approved by Landlord, remain under the direct control of the individual they serve at all times, and do not disturb or threaten others.</w:t>
      </w:r>
    </w:p>
    <w:p>
      <w:pPr>
        <w:spacing w:after="0" w:line="150" w:lineRule="exact"/>
        <w:rPr>
          <w:rFonts w:ascii="Arial" w:cs="Arial" w:eastAsia="Arial" w:hAnsi="Arial"/>
          <w:sz w:val="16"/>
          <w:szCs w:val="16"/>
          <w:color w:val="auto"/>
        </w:rPr>
      </w:pPr>
    </w:p>
    <w:p>
      <w:pPr>
        <w:ind w:left="328" w:right="80" w:hanging="328"/>
        <w:spacing w:after="0" w:line="246" w:lineRule="auto"/>
        <w:tabs>
          <w:tab w:leader="none" w:pos="3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Neither Tenant nor its employees, agents, contractors, invitees or licensees shall bring any firearm, whether loaded or unloaded, into the Project at any time.</w:t>
      </w:r>
    </w:p>
    <w:p>
      <w:pPr>
        <w:spacing w:after="0" w:line="196" w:lineRule="exact"/>
        <w:rPr>
          <w:rFonts w:ascii="Arial" w:cs="Arial" w:eastAsia="Arial" w:hAnsi="Arial"/>
          <w:sz w:val="18"/>
          <w:szCs w:val="18"/>
          <w:color w:val="auto"/>
        </w:rPr>
      </w:pPr>
    </w:p>
    <w:p>
      <w:pPr>
        <w:ind w:left="328" w:right="320" w:hanging="328"/>
        <w:spacing w:after="0" w:line="231" w:lineRule="auto"/>
        <w:tabs>
          <w:tab w:leader="none" w:pos="3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Smoking tobacco, including via personal vaporizers or other electronic cigarettes, anywhere within the Premises, Building or Project is strictly prohibited except that smoking tobacco may be permitted outside the Building and within the Project only in areas designated by Landlord. Smoking, vaping, distributing, growing or manufacturing marijuana or any marijuana derivative anywhere within the Premises, Building or Project is strictly prohibited.</w:t>
      </w:r>
    </w:p>
    <w:p>
      <w:pPr>
        <w:spacing w:after="0" w:line="202" w:lineRule="exact"/>
        <w:rPr>
          <w:rFonts w:ascii="Arial" w:cs="Arial" w:eastAsia="Arial" w:hAnsi="Arial"/>
          <w:sz w:val="18"/>
          <w:szCs w:val="18"/>
          <w:color w:val="auto"/>
        </w:rPr>
      </w:pPr>
    </w:p>
    <w:p>
      <w:pPr>
        <w:ind w:left="328" w:hanging="328"/>
        <w:spacing w:after="0"/>
        <w:tabs>
          <w:tab w:leader="none" w:pos="3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Tenant shall not install an aquarium of any size in the Premises unless otherwise approved by Landlord.</w:t>
      </w:r>
    </w:p>
    <w:p>
      <w:pPr>
        <w:spacing w:after="0" w:line="225" w:lineRule="exact"/>
        <w:rPr>
          <w:rFonts w:ascii="Arial" w:cs="Arial" w:eastAsia="Arial" w:hAnsi="Arial"/>
          <w:sz w:val="18"/>
          <w:szCs w:val="18"/>
          <w:color w:val="auto"/>
        </w:rPr>
      </w:pPr>
    </w:p>
    <w:p>
      <w:pPr>
        <w:ind w:left="328" w:right="100" w:hanging="328"/>
        <w:spacing w:after="0" w:line="235" w:lineRule="auto"/>
        <w:tabs>
          <w:tab w:leader="none" w:pos="3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Tenant shall not utilize any name selected by Landlord from time to time for the Building and/or the Project as any part of Tenant’s corporate or trade name. Landlord shall have the right to change the name, number or designation of the Building or Project without liability to Tenant. Tenant shall not use any picture of the Building in its advertising, stationery or in any other manner.</w:t>
      </w:r>
    </w:p>
    <w:p>
      <w:pPr>
        <w:spacing w:after="0" w:line="201" w:lineRule="exact"/>
        <w:rPr>
          <w:rFonts w:ascii="Arial" w:cs="Arial" w:eastAsia="Arial" w:hAnsi="Arial"/>
          <w:sz w:val="18"/>
          <w:szCs w:val="18"/>
          <w:color w:val="auto"/>
        </w:rPr>
      </w:pPr>
    </w:p>
    <w:p>
      <w:pPr>
        <w:ind w:left="328" w:hanging="328"/>
        <w:spacing w:after="0" w:line="246" w:lineRule="auto"/>
        <w:tabs>
          <w:tab w:leader="none" w:pos="3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Tenant shall, upon request by Landlord, supply Landlord with the names and telephone numbers of personnel designated by Tenant to be contacted on an after-hours basis should circumstances warrant.</w:t>
      </w:r>
    </w:p>
    <w:p>
      <w:pPr>
        <w:spacing w:after="0" w:line="196" w:lineRule="exact"/>
        <w:rPr>
          <w:rFonts w:ascii="Arial" w:cs="Arial" w:eastAsia="Arial" w:hAnsi="Arial"/>
          <w:sz w:val="18"/>
          <w:szCs w:val="18"/>
          <w:color w:val="auto"/>
        </w:rPr>
      </w:pPr>
    </w:p>
    <w:p>
      <w:pPr>
        <w:ind w:left="328" w:right="280" w:hanging="328"/>
        <w:spacing w:after="0" w:line="246" w:lineRule="auto"/>
        <w:tabs>
          <w:tab w:leader="none" w:pos="3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Landlord may from time to time grant tenants individual and temporary variances from these Rules, provided that any variance does not have a material adverse effect on the use and enjoyment of the Premises by Tenant.</w:t>
      </w:r>
    </w:p>
    <w:p>
      <w:pPr>
        <w:spacing w:after="0" w:line="196" w:lineRule="exact"/>
        <w:rPr>
          <w:rFonts w:ascii="Arial" w:cs="Arial" w:eastAsia="Arial" w:hAnsi="Arial"/>
          <w:sz w:val="18"/>
          <w:szCs w:val="18"/>
          <w:color w:val="auto"/>
        </w:rPr>
      </w:pPr>
    </w:p>
    <w:p>
      <w:pPr>
        <w:ind w:left="328" w:right="500" w:hanging="328"/>
        <w:spacing w:after="0" w:line="274" w:lineRule="auto"/>
        <w:tabs>
          <w:tab w:leader="none" w:pos="323"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Fitness Center Rules</w:t>
      </w:r>
      <w:r>
        <w:rPr>
          <w:rFonts w:ascii="Arial" w:cs="Arial" w:eastAsia="Arial" w:hAnsi="Arial"/>
          <w:sz w:val="17"/>
          <w:szCs w:val="17"/>
          <w:color w:val="auto"/>
        </w:rPr>
        <w:t>. Tenant shall cause its employees (whether members or prospective members of the Fitness Center) to comply with the following Fitness Center rules and regulations (subject to change from time to time as Landlord may solely determine):</w:t>
      </w:r>
    </w:p>
    <w:p>
      <w:pPr>
        <w:spacing w:after="0" w:line="174" w:lineRule="exact"/>
        <w:rPr>
          <w:rFonts w:ascii="Arial" w:cs="Arial" w:eastAsia="Arial" w:hAnsi="Arial"/>
          <w:sz w:val="17"/>
          <w:szCs w:val="17"/>
          <w:color w:val="auto"/>
        </w:rPr>
      </w:pPr>
    </w:p>
    <w:p>
      <w:pPr>
        <w:ind w:left="968" w:right="240" w:hanging="320"/>
        <w:spacing w:after="0" w:line="246" w:lineRule="auto"/>
        <w:tabs>
          <w:tab w:leader="none" w:pos="95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Membership in the Fitness Center is open to the tenants of Landlord or its affiliates only. No guests will be permitted to use the Fitness Center without the prior written approval of Landlord or Landlord’s representative.</w:t>
      </w:r>
    </w:p>
    <w:p>
      <w:pPr>
        <w:spacing w:after="0" w:line="196" w:lineRule="exact"/>
        <w:rPr>
          <w:rFonts w:ascii="Arial" w:cs="Arial" w:eastAsia="Arial" w:hAnsi="Arial"/>
          <w:sz w:val="18"/>
          <w:szCs w:val="18"/>
          <w:color w:val="auto"/>
        </w:rPr>
      </w:pPr>
    </w:p>
    <w:p>
      <w:pPr>
        <w:ind w:left="968" w:right="120" w:hanging="320"/>
        <w:spacing w:after="0" w:line="246" w:lineRule="auto"/>
        <w:tabs>
          <w:tab w:leader="none" w:pos="96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Fitness Center users are not allowed to be in the Fitness Center other than the hours designated by Landlord from time to time. Landlord shall have the right to alter the hours of use of the Fitness Center, at Landlord’s sole discretion.</w:t>
      </w:r>
    </w:p>
    <w:p>
      <w:pPr>
        <w:spacing w:after="0" w:line="196" w:lineRule="exact"/>
        <w:rPr>
          <w:rFonts w:ascii="Arial" w:cs="Arial" w:eastAsia="Arial" w:hAnsi="Arial"/>
          <w:sz w:val="18"/>
          <w:szCs w:val="18"/>
          <w:color w:val="auto"/>
        </w:rPr>
      </w:pPr>
    </w:p>
    <w:p>
      <w:pPr>
        <w:ind w:left="968" w:right="680" w:hanging="320"/>
        <w:spacing w:after="0" w:line="246" w:lineRule="auto"/>
        <w:tabs>
          <w:tab w:leader="none" w:pos="95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Fitness Center users must execute Landlord’s Waiver of Liability prior to use of the Fitness Center and agree to all terms and conditions outlined therein.</w:t>
      </w:r>
    </w:p>
    <w:p>
      <w:pPr>
        <w:spacing w:after="0" w:line="196" w:lineRule="exact"/>
        <w:rPr>
          <w:rFonts w:ascii="Arial" w:cs="Arial" w:eastAsia="Arial" w:hAnsi="Arial"/>
          <w:sz w:val="18"/>
          <w:szCs w:val="18"/>
          <w:color w:val="auto"/>
        </w:rPr>
      </w:pPr>
    </w:p>
    <w:p>
      <w:pPr>
        <w:ind w:left="968" w:right="200" w:hanging="320"/>
        <w:spacing w:after="0" w:line="235" w:lineRule="auto"/>
        <w:tabs>
          <w:tab w:leader="none" w:pos="96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Individual membership and guest keycards to the Fitness Center shall not be shared and shall only be used by the individual to whom such keycard was issued. Failure to abide by this rule may result in immediate termination of such Fitness Center user’s right to use the Fitness Center.</w:t>
      </w:r>
    </w:p>
    <w:p>
      <w:pPr>
        <w:spacing w:after="0" w:line="201" w:lineRule="exact"/>
        <w:rPr>
          <w:rFonts w:ascii="Arial" w:cs="Arial" w:eastAsia="Arial" w:hAnsi="Arial"/>
          <w:sz w:val="18"/>
          <w:szCs w:val="18"/>
          <w:color w:val="auto"/>
        </w:rPr>
      </w:pPr>
    </w:p>
    <w:p>
      <w:pPr>
        <w:ind w:left="968" w:right="240" w:hanging="320"/>
        <w:spacing w:after="0" w:line="235" w:lineRule="auto"/>
        <w:tabs>
          <w:tab w:leader="none" w:pos="95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Fitness Center users and approved guests must have a pre-authorized keycard to enter the Fitness Center. A pre-authorized keycard shall not be issued to a prospective Fitness Center user until receipt by Landlord of Landlord’s initial fee, if any, for use of the Fitness Center by such Fitness Center user(s).</w:t>
      </w:r>
    </w:p>
    <w:p>
      <w:pPr>
        <w:sectPr>
          <w:pgSz w:w="11900" w:h="16838" w:orient="portrait"/>
          <w:cols w:equalWidth="0" w:num="1">
            <w:col w:w="10908"/>
          </w:cols>
          <w:pgMar w:left="652" w:top="147"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right="20" w:hanging="320"/>
        <w:spacing w:after="0" w:line="246" w:lineRule="auto"/>
        <w:tabs>
          <w:tab w:leader="none" w:pos="3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Use of the Fitness Center is a privilege and not a right. Failure to follow gym rules or to act inappropriately while using the facilities shall result in termination of Tenant’s Fitness Center privileges.</w:t>
      </w:r>
    </w:p>
    <w:p>
      <w:pPr>
        <w:sectPr>
          <w:pgSz w:w="11900" w:h="16838" w:orient="portrait"/>
          <w:cols w:equalWidth="0" w:num="1">
            <w:col w:w="10260"/>
          </w:cols>
          <w:pgMar w:left="1300" w:top="147"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EXHIBIT F</w:t>
      </w:r>
    </w:p>
    <w:p>
      <w:pPr>
        <w:spacing w:after="0" w:line="7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PARKING</w:t>
      </w:r>
    </w:p>
    <w:p>
      <w:pPr>
        <w:spacing w:after="0" w:line="243" w:lineRule="exact"/>
        <w:rPr>
          <w:sz w:val="20"/>
          <w:szCs w:val="20"/>
          <w:color w:val="auto"/>
        </w:rPr>
      </w:pPr>
    </w:p>
    <w:p>
      <w:pPr>
        <w:ind w:right="100" w:firstLine="90"/>
        <w:spacing w:after="0" w:line="246" w:lineRule="auto"/>
        <w:rPr>
          <w:sz w:val="20"/>
          <w:szCs w:val="20"/>
          <w:color w:val="auto"/>
        </w:rPr>
      </w:pPr>
      <w:r>
        <w:rPr>
          <w:rFonts w:ascii="Arial" w:cs="Arial" w:eastAsia="Arial" w:hAnsi="Arial"/>
          <w:sz w:val="18"/>
          <w:szCs w:val="18"/>
          <w:color w:val="auto"/>
        </w:rPr>
        <w:t>The following parking regulations shall be in effect at the Building In the case of any conflict between these regulations and the Lease, the Lease shall be controlling.</w:t>
      </w:r>
    </w:p>
    <w:p>
      <w:pPr>
        <w:spacing w:after="0" w:line="193" w:lineRule="exact"/>
        <w:rPr>
          <w:sz w:val="20"/>
          <w:szCs w:val="20"/>
          <w:color w:val="auto"/>
        </w:rPr>
      </w:pPr>
    </w:p>
    <w:p>
      <w:pPr>
        <w:jc w:val="both"/>
        <w:ind w:left="660" w:hanging="328"/>
        <w:spacing w:after="0" w:line="23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Landlord agrees to maintain, or cause to be maintained, an automobile parking area (“</w:t>
      </w:r>
      <w:r>
        <w:rPr>
          <w:rFonts w:ascii="Arial" w:cs="Arial" w:eastAsia="Arial" w:hAnsi="Arial"/>
          <w:sz w:val="17"/>
          <w:szCs w:val="17"/>
          <w:b w:val="1"/>
          <w:bCs w:val="1"/>
          <w:color w:val="auto"/>
        </w:rPr>
        <w:t>Parking Area</w:t>
      </w:r>
      <w:r>
        <w:rPr>
          <w:rFonts w:ascii="Arial" w:cs="Arial" w:eastAsia="Arial" w:hAnsi="Arial"/>
          <w:sz w:val="17"/>
          <w:szCs w:val="17"/>
          <w:color w:val="auto"/>
        </w:rPr>
        <w:t>”) in reasonable proximity to the Building (i.e. the surface parking lots in the area adjacent to the Building) for the benefit and use of the visitors and patrons and, except as otherwise provided, employees of Tenant, and other tenants and occupants of the Building. Landlord shall have the right to determine the nature and extent of the automobile Parking Area, and of making such changes to the Parking Area from time to time which in its opinion are desirable. Landlord shall not be liable for any damage to motor vehicles of visitors or employees, for any loss of property from within those motor vehicles, or for any injury to Tenant, its visitors or employees, unless ultimately determined to be caused by the sole active negligence or willful misconduct of Landlord. Landlord shall also have the right to establish, and from time to time amend, and to enforce against all users of the Parking Area all reasonable rules and regulations (including the designation of areas for employee parking) as Landlord may deem necessary and advisable for the proper and efficient operation and maintenance of the Parking Area.</w:t>
      </w:r>
    </w:p>
    <w:p>
      <w:pPr>
        <w:spacing w:after="0" w:line="203" w:lineRule="exact"/>
        <w:rPr>
          <w:rFonts w:ascii="Arial" w:cs="Arial" w:eastAsia="Arial" w:hAnsi="Arial"/>
          <w:sz w:val="17"/>
          <w:szCs w:val="17"/>
          <w:color w:val="auto"/>
        </w:rPr>
      </w:pPr>
    </w:p>
    <w:p>
      <w:pPr>
        <w:jc w:val="both"/>
        <w:ind w:left="660" w:hanging="328"/>
        <w:spacing w:after="0" w:line="239"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Landlord may, if it deems advisable in its sole discretion, charge for parking and may establish for the Parking Area a system or systems of permit parking for Tenant, its employees and its visitors. In no event shall Tenant or its employees park in reserved stalls leased to other tenants or in stalls within designated visitor parking zones, nor shall Tenant or its employees utilize more than the number of Parking Passes (defined below) allotted in this Lease to Tenant. Tenant shall, upon request of Landlord from time to time, furnish Landlord with a list of its employees’ names and of Tenant’s and its employees’ vehicle license numbers. Parking access devices, if applicable, shall not be transferable. Landlord may impose a reasonable fee for access devices and a replacement charge for devices which are lost or stolen. Each access device shall be returned to Landlord promptly following the Expiration Date or sooner termination of this Lease.</w:t>
      </w:r>
    </w:p>
    <w:p>
      <w:pPr>
        <w:spacing w:after="0" w:line="203" w:lineRule="exact"/>
        <w:rPr>
          <w:rFonts w:ascii="Arial" w:cs="Arial" w:eastAsia="Arial" w:hAnsi="Arial"/>
          <w:sz w:val="17"/>
          <w:szCs w:val="17"/>
          <w:color w:val="auto"/>
        </w:rPr>
      </w:pPr>
    </w:p>
    <w:p>
      <w:pPr>
        <w:ind w:left="660" w:hanging="328"/>
        <w:spacing w:after="0" w:line="246"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Washing, waxing, cleaning or servicing of vehicles, or the parking of any vehicle on an overnight basis, in the Parking Area (other than emergency services) by any parker or his or her agents or employees is prohibited unless otherwise authorized by Landlord.</w:t>
      </w:r>
    </w:p>
    <w:p>
      <w:pPr>
        <w:spacing w:after="0" w:line="196" w:lineRule="exact"/>
        <w:rPr>
          <w:rFonts w:ascii="Arial" w:cs="Arial" w:eastAsia="Arial" w:hAnsi="Arial"/>
          <w:sz w:val="18"/>
          <w:szCs w:val="18"/>
          <w:color w:val="auto"/>
        </w:rPr>
      </w:pPr>
    </w:p>
    <w:p>
      <w:pPr>
        <w:jc w:val="both"/>
        <w:ind w:left="660" w:hanging="328"/>
        <w:spacing w:after="0" w:line="225"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is understood that the employees of Tenant and the other tenants of Landlord within the Building and Project shall not be permitted to park their automobiles in the portions of the Parking Area which may from time to time be designated for patrons of the Building and/or Project. Tenant shall be obligated to purchase from Landlord for the Term of this Lease, the total number of parking passes set forth in Item 11 of the Basic Lease Provisions (the "</w:t>
      </w:r>
      <w:r>
        <w:rPr>
          <w:rFonts w:ascii="Arial" w:cs="Arial" w:eastAsia="Arial" w:hAnsi="Arial"/>
          <w:sz w:val="18"/>
          <w:szCs w:val="18"/>
          <w:b w:val="1"/>
          <w:bCs w:val="1"/>
          <w:color w:val="auto"/>
        </w:rPr>
        <w:t>Parking Passes</w:t>
      </w:r>
      <w:r>
        <w:rPr>
          <w:rFonts w:ascii="Arial" w:cs="Arial" w:eastAsia="Arial" w:hAnsi="Arial"/>
          <w:sz w:val="18"/>
          <w:szCs w:val="18"/>
          <w:color w:val="auto"/>
        </w:rPr>
        <w:t>") for unreserved parking, at no charge during the initial 24 month Term. After the initial Term, Tenant shall pay the monthly amounts as Landlord shall from time to time determine. Should any monthly parking charge not be paid within 5 days following the date due, then a late charge shall be payable by Tenant equal to the greater of (i) 5% of the delinquent installment or (ii) $100.00, which late charge shall be separate and in addition to any late charge that may be assessed pursuant to Section 14.3 of the Lease for other than delinquent monthly parking charges.</w:t>
      </w:r>
    </w:p>
    <w:p>
      <w:pPr>
        <w:spacing w:after="0" w:line="202"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Landlord shall be entitled to pass on to Tenant its proportionate share of any charges or parking surcharge or transportation management costs levied by any governmental agency and Tenant shall cooperate in any voluntary or mandated transportation management programs.</w:t>
      </w:r>
    </w:p>
    <w:p>
      <w:pPr>
        <w:spacing w:after="0" w:line="174" w:lineRule="exact"/>
        <w:rPr>
          <w:rFonts w:ascii="Arial" w:cs="Arial" w:eastAsia="Arial" w:hAnsi="Arial"/>
          <w:sz w:val="17"/>
          <w:szCs w:val="17"/>
          <w:color w:val="auto"/>
        </w:rPr>
      </w:pPr>
    </w:p>
    <w:p>
      <w:pPr>
        <w:ind w:left="660" w:hanging="328"/>
        <w:spacing w:after="0" w:line="246"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Tenant shall not assign or sublet any of the Parking Passes, either voluntarily or by operation of law, without the prior written consent of Landlord, except in connection with an authorized assignment of this Lease or subletting of the Premises.</w:t>
      </w:r>
    </w:p>
    <w:p>
      <w:pPr>
        <w:sectPr>
          <w:pgSz w:w="11900" w:h="16838" w:orient="portrait"/>
          <w:cols w:equalWidth="0" w:num="1">
            <w:col w:w="11240"/>
          </w:cols>
          <w:pgMar w:left="320" w:top="147"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4480"/>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ADDITIONAL PROVISIONS</w:t>
      </w:r>
    </w:p>
    <w:p>
      <w:pPr>
        <w:spacing w:after="0" w:line="333" w:lineRule="exact"/>
        <w:rPr>
          <w:sz w:val="20"/>
          <w:szCs w:val="20"/>
          <w:color w:val="auto"/>
        </w:rPr>
      </w:pPr>
    </w:p>
    <w:p>
      <w:pPr>
        <w:ind w:left="660" w:right="20" w:hanging="328"/>
        <w:spacing w:after="0" w:line="249"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FITNESS CENTER</w:t>
      </w:r>
      <w:r>
        <w:rPr>
          <w:rFonts w:ascii="Arial" w:cs="Arial" w:eastAsia="Arial" w:hAnsi="Arial"/>
          <w:sz w:val="16"/>
          <w:szCs w:val="16"/>
          <w:color w:val="auto"/>
        </w:rPr>
        <w:t>. Subject to the provisions of this Section, so long as Tenant is not in Default under this Lease, and provided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execute Landlord’s standard waiver of liability form and pay the applicable one time or monthly fee, if any, then Tenant’s employees (the “</w:t>
      </w:r>
      <w:r>
        <w:rPr>
          <w:rFonts w:ascii="Arial" w:cs="Arial" w:eastAsia="Arial" w:hAnsi="Arial"/>
          <w:sz w:val="16"/>
          <w:szCs w:val="16"/>
          <w:b w:val="1"/>
          <w:bCs w:val="1"/>
          <w:color w:val="auto"/>
        </w:rPr>
        <w:t>Fitness Center Users</w:t>
      </w:r>
      <w:r>
        <w:rPr>
          <w:rFonts w:ascii="Arial" w:cs="Arial" w:eastAsia="Arial" w:hAnsi="Arial"/>
          <w:sz w:val="16"/>
          <w:szCs w:val="16"/>
          <w:color w:val="auto"/>
        </w:rPr>
        <w:t>”) shall be entitled to use the fitness center and the shower facility located at the Project (collectively, the “</w:t>
      </w:r>
      <w:r>
        <w:rPr>
          <w:rFonts w:ascii="Arial" w:cs="Arial" w:eastAsia="Arial" w:hAnsi="Arial"/>
          <w:sz w:val="16"/>
          <w:szCs w:val="16"/>
          <w:b w:val="1"/>
          <w:bCs w:val="1"/>
          <w:color w:val="auto"/>
        </w:rPr>
        <w:t>Fitness</w:t>
      </w:r>
      <w:r>
        <w:rPr>
          <w:rFonts w:ascii="Arial" w:cs="Arial" w:eastAsia="Arial" w:hAnsi="Arial"/>
          <w:sz w:val="16"/>
          <w:szCs w:val="16"/>
          <w:color w:val="auto"/>
        </w:rPr>
        <w:t xml:space="preserve"> </w:t>
      </w:r>
      <w:r>
        <w:rPr>
          <w:rFonts w:ascii="Arial" w:cs="Arial" w:eastAsia="Arial" w:hAnsi="Arial"/>
          <w:sz w:val="16"/>
          <w:szCs w:val="16"/>
          <w:b w:val="1"/>
          <w:bCs w:val="1"/>
          <w:color w:val="auto"/>
        </w:rPr>
        <w:t>Center</w:t>
      </w:r>
      <w:r>
        <w:rPr>
          <w:rFonts w:ascii="Arial" w:cs="Arial" w:eastAsia="Arial" w:hAnsi="Arial"/>
          <w:sz w:val="16"/>
          <w:szCs w:val="16"/>
          <w:color w:val="auto"/>
        </w:rPr>
        <w:t>”). Notwithstanding the foregoing, Tenant shall not be obligated to pay a monthly fee during the initial 24-month Term and, if exercised,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extension term set forth in Section 2 below. No separate charges shall be assessed to Fitness Center Users for the use of the Fitness Center (with the exception of towel/laundry fees, if any) during the initial Term of this Lease, provided, however, that the costs of operating, maintaining and repairing the Fitness Center shall be included as part of Operating Expenses. The use of the Fitness Center shall be subject to the reasonable rules and regulations (including rules regarding hours of use) established from time to time by Landlord. Landlord and Tenant acknowledge that the use of the Fitness Center by the Fitness Center Users shall be at their own risk and that the terms and provisions of Section 10.3 of this Lease shall apply to Tenant and the Fitness Center User’s use of the Fitness Center. Tenant acknowledges that the provisions of this Section shall not be deemed to be a representation by Landlord that Landlord shall continuously maintain the Fitness Center (or any other fitness facility) throughout the Term of this Lease, and Landlord shall have the right, at Landlord’s sole discretion, to expand, contract, eliminate or otherwise modify the Fitness Center. No expansion, contraction, elimination or modification of the Fitness Center, and no termination of Tenant’s or the Fitness Center Users’ rights to the Fitness Center shall entitle Tenant to an abatement or reduction in Basic Rent constitute a constructive eviction, or result in an event of default by Landlord under this Lease. Landlord reserves the right to reasonably limit, restrain, or condition the use of the Fitness Center by tenants of the Building (including Tenant’s Fitness Center Users) if Landlord reasonably determines that their use of the Fitness Center has a disproportionate and/or inequitable impact on the ability of other tenants to use the Fitness Center. Tenant hereby voluntarily releases, discharges, waives and relinquishes any and all actions or causes of action for personal injury or property damage occurring to Tenant or its employees or agents arising as a result of the use of the Fitness Center, or any activities incidental thereto, wherever or however the same may occur, and further agrees that Tenant will not prosecute any claim for personal injury or property damage against Landlord or any of its officers, agents, servants or employees for any said causes of action. It is the intention of Tenant with respect to the Fitness Center to exempt and relieve Landlord from liability for personal injury or property damage caused by negligence. Tenant’s right to use the Fitness Center shall belong solely to Tenant and the Fitness Center Users and may not be transferred or assigned without Landlord’s prior written consent, which may be withheld by Landlord in Landlord’s sole discretion.</w:t>
      </w:r>
    </w:p>
    <w:p>
      <w:pPr>
        <w:spacing w:after="0" w:line="388" w:lineRule="exact"/>
        <w:rPr>
          <w:rFonts w:ascii="Arial" w:cs="Arial" w:eastAsia="Arial" w:hAnsi="Arial"/>
          <w:sz w:val="16"/>
          <w:szCs w:val="16"/>
          <w:color w:val="auto"/>
        </w:rPr>
      </w:pPr>
    </w:p>
    <w:p>
      <w:pPr>
        <w:ind w:left="660" w:right="40" w:hanging="328"/>
        <w:spacing w:after="0" w:line="22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RIGHT TO EXTEND</w:t>
      </w:r>
      <w:r>
        <w:rPr>
          <w:rFonts w:ascii="Arial" w:cs="Arial" w:eastAsia="Arial" w:hAnsi="Arial"/>
          <w:sz w:val="18"/>
          <w:szCs w:val="18"/>
          <w:color w:val="auto"/>
        </w:rPr>
        <w:t>. Provided that Tenant is not in Default under any provision of this Lease at the time of exercise of the extension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herein, and provided further that Tenant is occupying the entire Premises and has not assigned or sublet any of its interest in this Lease (except in connection with a Permitted Transfer of this Lease to an Affiliate as described in Section 9.1(e) hereof), Tenant may extend the Term of this Lease for one period of 24 months. Tenant shall exercise its right to extend the Term by and only by delivering to Landlord, not less than 9 months nor more than 12 months prior to the expiration date of the Term, Tenant’s written notice of its irrevocable commitment to extend (the “</w:t>
      </w:r>
      <w:r>
        <w:rPr>
          <w:rFonts w:ascii="Arial" w:cs="Arial" w:eastAsia="Arial" w:hAnsi="Arial"/>
          <w:sz w:val="18"/>
          <w:szCs w:val="18"/>
          <w:b w:val="1"/>
          <w:bCs w:val="1"/>
          <w:color w:val="auto"/>
        </w:rPr>
        <w:t>Commitment Notice</w:t>
      </w:r>
      <w:r>
        <w:rPr>
          <w:rFonts w:ascii="Arial" w:cs="Arial" w:eastAsia="Arial" w:hAnsi="Arial"/>
          <w:sz w:val="18"/>
          <w:szCs w:val="18"/>
          <w:color w:val="auto"/>
        </w:rPr>
        <w:t>”). Should Tenant fail timely to deliver the Commitment Notice, then this extension right shall thereupon lapse and be of no further force or effect.</w:t>
      </w:r>
    </w:p>
    <w:p>
      <w:pPr>
        <w:spacing w:after="0" w:line="206" w:lineRule="exact"/>
        <w:rPr>
          <w:sz w:val="20"/>
          <w:szCs w:val="20"/>
          <w:color w:val="auto"/>
        </w:rPr>
      </w:pPr>
    </w:p>
    <w:p>
      <w:pPr>
        <w:ind w:right="140" w:firstLine="738"/>
        <w:spacing w:after="0" w:line="246" w:lineRule="auto"/>
        <w:rPr>
          <w:sz w:val="20"/>
          <w:szCs w:val="20"/>
          <w:color w:val="auto"/>
        </w:rPr>
      </w:pPr>
      <w:r>
        <w:rPr>
          <w:rFonts w:ascii="Arial" w:cs="Arial" w:eastAsia="Arial" w:hAnsi="Arial"/>
          <w:sz w:val="17"/>
          <w:szCs w:val="17"/>
          <w:color w:val="auto"/>
        </w:rPr>
        <w:t>The Basic Rent payable under the Lease during the extension of the Term shall be at the prevailing market rental rate (including periodic adjustments) for comparable and similarly improved office space in the Building as of the commencement of the extension period, as determined by Landlord, based on a reasonable extrapolation of Landlord’s then-current leasing rates. In no event shall the monthly Basic Rent payable for the extension period be less than the Basic Rent payable during the month immediately preceding the commencement of such extension period.</w:t>
      </w:r>
    </w:p>
    <w:p>
      <w:pPr>
        <w:sectPr>
          <w:pgSz w:w="11900" w:h="16838" w:orient="portrait"/>
          <w:cols w:equalWidth="0" w:num="1">
            <w:col w:w="11240"/>
          </w:cols>
          <w:pgMar w:left="320" w:top="147"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738"/>
        <w:spacing w:after="0" w:line="261" w:lineRule="auto"/>
        <w:rPr>
          <w:sz w:val="20"/>
          <w:szCs w:val="20"/>
          <w:color w:val="auto"/>
        </w:rPr>
      </w:pPr>
      <w:r>
        <w:rPr>
          <w:rFonts w:ascii="Arial" w:cs="Arial" w:eastAsia="Arial" w:hAnsi="Arial"/>
          <w:sz w:val="16"/>
          <w:szCs w:val="16"/>
          <w:color w:val="auto"/>
        </w:rPr>
        <w:t>Promptly following receipt of the Commitment Notice, Landlord shall prepare an appropriate amendment to the Lease memorializing the extension of the Term in accordance with the foregoing, and Tenant shall duly execute and return same to Landlord within 15 days. If Tenant fails timely to do so, then Landlord, at its sole discretion, may either enforce its rights under this Section or, upon written notice to Tenant, elect to cause Tenant’s right to extend to be extinguished, in which event this Lease shall terminate as of the originally scheduled date of expiration. Should Landlord elect the latter, then this Lease shall terminate upon the scheduled date of expiration and Tenant’s rights under this paragraph shall be of no further force or effect.</w:t>
      </w:r>
    </w:p>
    <w:p>
      <w:pPr>
        <w:spacing w:after="0" w:line="188" w:lineRule="exact"/>
        <w:rPr>
          <w:sz w:val="20"/>
          <w:szCs w:val="20"/>
          <w:color w:val="auto"/>
        </w:rPr>
      </w:pPr>
    </w:p>
    <w:p>
      <w:pPr>
        <w:ind w:right="80" w:firstLine="738"/>
        <w:spacing w:after="0"/>
        <w:rPr>
          <w:sz w:val="20"/>
          <w:szCs w:val="20"/>
          <w:color w:val="auto"/>
        </w:rPr>
      </w:pPr>
      <w:r>
        <w:rPr>
          <w:rFonts w:ascii="Arial" w:cs="Arial" w:eastAsia="Arial" w:hAnsi="Arial"/>
          <w:sz w:val="17"/>
          <w:szCs w:val="17"/>
          <w:color w:val="auto"/>
        </w:rPr>
        <w:t>Any attempt to assign or transfer any right or interest created by this paragraph to other than an Affiliate shall be void from its inception. Tenant shall have no other right to extend the Term beyond the single 24 month extension created by this paragraph. Unless agreed to in a writing signed by Landlord and Tenant, any extension of the Term, whether created by an amendment to this Lease or by a holdover of the Premises by Tenant, or otherwise, shall be deemed a part of, and not in addition to, any duly exercised extension period permitted by this Section. Tenant’s Right to Extend is subject and subordinate to the expansion rights (whether such rights are designated as a right of first offer, right of first refusal, expansion option or otherwise) of any tenant of the Building existing on the date hereof. Time is specifically made of the essence of this Section.</w:t>
      </w:r>
    </w:p>
    <w:p>
      <w:pPr>
        <w:sectPr>
          <w:pgSz w:w="11900" w:h="16838" w:orient="portrait"/>
          <w:cols w:equalWidth="0" w:num="1">
            <w:col w:w="11240"/>
          </w:cols>
          <w:pgMar w:left="320" w:top="147"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60" w:type="dxa"/>
            <w:vAlign w:val="bottom"/>
            <w:gridSpan w:val="2"/>
          </w:tcPr>
          <w:p>
            <w:pPr>
              <w:ind w:left="540"/>
              <w:spacing w:after="0"/>
              <w:rPr>
                <w:sz w:val="20"/>
                <w:szCs w:val="20"/>
                <w:color w:val="auto"/>
              </w:rPr>
            </w:pPr>
            <w:r>
              <w:rPr>
                <w:rFonts w:ascii="Arial" w:cs="Arial" w:eastAsia="Arial" w:hAnsi="Arial"/>
                <w:sz w:val="22"/>
                <w:szCs w:val="22"/>
                <w:b w:val="1"/>
                <w:bCs w:val="1"/>
                <w:color w:val="auto"/>
              </w:rPr>
              <w:t>SUBSIDIARIES OF THE REGISTRANT</w:t>
            </w:r>
          </w:p>
        </w:tc>
      </w:tr>
      <w:tr>
        <w:trPr>
          <w:trHeight w:val="692"/>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Name of Entity</w:t>
            </w: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State/Country of Organization</w:t>
            </w:r>
          </w:p>
        </w:tc>
      </w:tr>
      <w:tr>
        <w:trPr>
          <w:trHeight w:val="249"/>
        </w:trPr>
        <w:tc>
          <w:tcPr>
            <w:tcW w:w="3120" w:type="dxa"/>
            <w:vAlign w:val="bottom"/>
            <w:gridSpan w:val="2"/>
          </w:tcPr>
          <w:p>
            <w:pPr>
              <w:spacing w:after="0"/>
              <w:rPr>
                <w:sz w:val="20"/>
                <w:szCs w:val="20"/>
                <w:color w:val="auto"/>
              </w:rPr>
            </w:pPr>
            <w:r>
              <w:rPr>
                <w:rFonts w:ascii="Arial" w:cs="Arial" w:eastAsia="Arial" w:hAnsi="Arial"/>
                <w:sz w:val="18"/>
                <w:szCs w:val="18"/>
                <w:color w:val="auto"/>
              </w:rPr>
              <w:t>Tandem Diabetes Care Canada, Inc.</w:t>
            </w:r>
          </w:p>
        </w:tc>
        <w:tc>
          <w:tcPr>
            <w:tcW w:w="250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Canada</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Sugarmate Inc.</w:t>
            </w:r>
          </w:p>
        </w:tc>
        <w:tc>
          <w:tcPr>
            <w:tcW w:w="25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1220"/>
          </w:cols>
          <w:pgMar w:left="340" w:top="132"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60" w:firstLine="2858"/>
        <w:spacing w:after="0" w:line="522"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spacing w:after="0" w:line="1"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S-3 No. 333-222143) of Tandem Diabetes Care, Inc.,</w:t>
      </w:r>
    </w:p>
    <w:p>
      <w:pPr>
        <w:spacing w:after="0" w:line="111" w:lineRule="exact"/>
        <w:rPr>
          <w:rFonts w:ascii="Arial" w:cs="Arial" w:eastAsia="Arial" w:hAnsi="Arial"/>
          <w:sz w:val="22"/>
          <w:szCs w:val="22"/>
          <w:color w:val="auto"/>
        </w:rPr>
      </w:pPr>
    </w:p>
    <w:p>
      <w:pPr>
        <w:ind w:right="420" w:firstLine="8"/>
        <w:spacing w:after="0" w:line="263"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333-232944) pertaining to the 2013 Stock Incentive Plan of Tandem Diabetes Care Inc.,</w:t>
      </w:r>
    </w:p>
    <w:p>
      <w:pPr>
        <w:spacing w:after="0" w:line="66" w:lineRule="exact"/>
        <w:rPr>
          <w:rFonts w:ascii="Arial" w:cs="Arial" w:eastAsia="Arial" w:hAnsi="Arial"/>
          <w:sz w:val="22"/>
          <w:szCs w:val="22"/>
          <w:color w:val="auto"/>
        </w:rPr>
      </w:pPr>
    </w:p>
    <w:p>
      <w:pPr>
        <w:ind w:right="280" w:firstLine="8"/>
        <w:spacing w:after="0" w:line="263"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333-226915) pertaining to the 2013 Stock Incentive Plan, and 2013 Employee Stock Purchase Plan of Tandem Diabetes Care Inc.,</w:t>
      </w:r>
    </w:p>
    <w:p>
      <w:pPr>
        <w:spacing w:after="0" w:line="66" w:lineRule="exact"/>
        <w:rPr>
          <w:rFonts w:ascii="Arial" w:cs="Arial" w:eastAsia="Arial" w:hAnsi="Arial"/>
          <w:sz w:val="22"/>
          <w:szCs w:val="22"/>
          <w:color w:val="auto"/>
        </w:rPr>
      </w:pPr>
    </w:p>
    <w:p>
      <w:pPr>
        <w:ind w:right="220" w:firstLine="8"/>
        <w:spacing w:after="0" w:line="263"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333-192406) pertaining to the 2006 Stock Incentive Plan, 2013 Stock Incentive Plan, and 2013 Employee Stock Purchase Plan of Tandem Diabetes Care Inc.,</w:t>
      </w:r>
    </w:p>
    <w:p>
      <w:pPr>
        <w:spacing w:after="0" w:line="66"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333-202254) pertaining to the 2013 Stock Incentive Plan and 2013 Employee Stock Purchase Plan of Tandem Diabetes Care, Inc.,</w:t>
      </w:r>
    </w:p>
    <w:p>
      <w:pPr>
        <w:spacing w:after="0" w:line="66"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333-209685) pertaining to the 2013 Stock Incentive Plan and 2013 Employee Stock Purchase Plan of Tandem Diabetes Care, Inc.,</w:t>
      </w:r>
    </w:p>
    <w:p>
      <w:pPr>
        <w:spacing w:after="0" w:line="66"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333-223377) pertaining to the 2013 Stock Incentive Plan and 2013 Employee Stock Purchase Plan of Tandem Diabetes Care, Inc., and</w:t>
      </w:r>
    </w:p>
    <w:p>
      <w:pPr>
        <w:spacing w:after="0" w:line="66"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Registration Statement (Form S-8 No. 333-216529) pertaining to the 2013 Stock Incentive Plan and 2013 Employee Stock Purchase Plan of Tandem Diabetes Care, Inc;</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of our reports dated February 22, 2022, with respect to the consolidated financial statements of Tandem Diabetes Care, Inc. and the effectiveness of internal control over financial reporting of Tandem Diabetes Care, Inc., included in this Annual Report (Form 10-K) of Tandem Diabetes Care, Inc. for the year ended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/s/Ernst &amp; Young LLP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February 22, 2022</w:t>
      </w:r>
    </w:p>
    <w:p>
      <w:pPr>
        <w:sectPr>
          <w:pgSz w:w="11900" w:h="16838" w:orient="portrait"/>
          <w:cols w:equalWidth="0" w:num="1">
            <w:col w:w="11240"/>
          </w:cols>
          <w:pgMar w:left="320" w:top="126"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360"/>
        <w:spacing w:after="0"/>
        <w:tabs>
          <w:tab w:leader="none" w:pos="68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F. Sheridan</w:t>
      </w:r>
    </w:p>
    <w:p>
      <w:pPr>
        <w:ind w:left="6840"/>
        <w:spacing w:after="0"/>
        <w:rPr>
          <w:sz w:val="20"/>
          <w:szCs w:val="20"/>
          <w:color w:val="auto"/>
        </w:rPr>
      </w:pPr>
      <w:r>
        <w:rPr>
          <w:rFonts w:ascii="Arial" w:cs="Arial" w:eastAsia="Arial" w:hAnsi="Arial"/>
          <w:sz w:val="18"/>
          <w:szCs w:val="18"/>
          <w:color w:val="auto"/>
        </w:rPr>
        <w:t>President, Chief Executive Officer and Director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22, 2022</w:t>
      </w:r>
    </w:p>
    <w:p>
      <w:pPr>
        <w:sectPr>
          <w:pgSz w:w="11900" w:h="16838" w:orient="portrait"/>
          <w:cols w:equalWidth="0" w:num="1">
            <w:col w:w="11240"/>
          </w:cols>
          <w:pgMar w:left="320" w:top="891"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Tandem Diabetes Care, Inc.</w:t>
      </w:r>
    </w:p>
    <w:p>
      <w:pPr>
        <w:spacing w:after="0" w:line="23" w:lineRule="exact"/>
        <w:rPr>
          <w:sz w:val="20"/>
          <w:szCs w:val="20"/>
          <w:color w:val="auto"/>
        </w:rPr>
      </w:pPr>
    </w:p>
    <w:p>
      <w:pPr>
        <w:ind w:left="6380"/>
        <w:spacing w:after="0"/>
        <w:tabs>
          <w:tab w:leader="none" w:pos="68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Leigh A. Vosseller</w:t>
      </w:r>
    </w:p>
    <w:p>
      <w:pPr>
        <w:ind w:left="6840"/>
        <w:spacing w:after="0" w:line="203" w:lineRule="auto"/>
        <w:rPr>
          <w:sz w:val="20"/>
          <w:szCs w:val="20"/>
          <w:color w:val="auto"/>
        </w:rPr>
      </w:pPr>
      <w:r>
        <w:rPr>
          <w:rFonts w:ascii="Arial" w:cs="Arial" w:eastAsia="Arial" w:hAnsi="Arial"/>
          <w:sz w:val="18"/>
          <w:szCs w:val="18"/>
          <w:color w:val="auto"/>
        </w:rPr>
        <w:t>Executive Vice President, Chief Financial Officer and</w:t>
      </w:r>
    </w:p>
    <w:p>
      <w:pPr>
        <w:ind w:left="6840"/>
        <w:spacing w:after="0"/>
        <w:rPr>
          <w:sz w:val="20"/>
          <w:szCs w:val="20"/>
          <w:color w:val="auto"/>
        </w:rPr>
      </w:pPr>
      <w:r>
        <w:rPr>
          <w:rFonts w:ascii="Arial" w:cs="Arial" w:eastAsia="Arial" w:hAnsi="Arial"/>
          <w:sz w:val="18"/>
          <w:szCs w:val="18"/>
          <w:color w:val="auto"/>
        </w:rPr>
        <w:t>Treasurer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22, 2022</w:t>
      </w:r>
    </w:p>
    <w:p>
      <w:pPr>
        <w:sectPr>
          <w:pgSz w:w="11900" w:h="16838" w:orient="portrait"/>
          <w:cols w:equalWidth="0" w:num="1">
            <w:col w:w="11240"/>
          </w:cols>
          <w:pgMar w:left="320" w:top="89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jc w:val="both"/>
        <w:ind w:right="40" w:firstLine="810"/>
        <w:spacing w:after="0" w:line="311" w:lineRule="auto"/>
        <w:rPr>
          <w:sz w:val="20"/>
          <w:szCs w:val="20"/>
          <w:color w:val="auto"/>
        </w:rPr>
      </w:pPr>
      <w:r>
        <w:rPr>
          <w:rFonts w:ascii="Arial" w:cs="Arial" w:eastAsia="Arial" w:hAnsi="Arial"/>
          <w:sz w:val="16"/>
          <w:szCs w:val="16"/>
          <w:color w:val="auto"/>
        </w:rPr>
        <w:t>In connection with the Annual Report on Form 10-K of Tandem Diabetes Care, Inc. (the “Company”) for the year ended December 31, 2021,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February 22, 2022</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F. Sheridan</w:t>
      </w:r>
    </w:p>
    <w:p>
      <w:pPr>
        <w:ind w:left="6860"/>
        <w:spacing w:after="0"/>
        <w:rPr>
          <w:sz w:val="20"/>
          <w:szCs w:val="20"/>
          <w:color w:val="auto"/>
        </w:rPr>
      </w:pPr>
      <w:r>
        <w:rPr>
          <w:rFonts w:ascii="Arial" w:cs="Arial" w:eastAsia="Arial" w:hAnsi="Arial"/>
          <w:sz w:val="18"/>
          <w:szCs w:val="18"/>
          <w:color w:val="auto"/>
        </w:rPr>
        <w:t>President, Chief Executive Officer and Director</w:t>
      </w:r>
    </w:p>
    <w:p>
      <w:pPr>
        <w:spacing w:after="0" w:line="263"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ind w:right="40" w:firstLine="810"/>
        <w:spacing w:after="0" w:line="311" w:lineRule="auto"/>
        <w:rPr>
          <w:sz w:val="20"/>
          <w:szCs w:val="20"/>
          <w:color w:val="auto"/>
        </w:rPr>
      </w:pPr>
      <w:r>
        <w:rPr>
          <w:rFonts w:ascii="Arial" w:cs="Arial" w:eastAsia="Arial" w:hAnsi="Arial"/>
          <w:sz w:val="16"/>
          <w:szCs w:val="16"/>
          <w:color w:val="auto"/>
        </w:rPr>
        <w:t>In connection with the Annual Report on Form 10-K of Tandem Diabetes Care, Inc. (the “Company”) for the year ended December 31, 2021,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February 22, 2022</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Leigh A. Vosseller</w:t>
      </w:r>
    </w:p>
    <w:p>
      <w:pPr>
        <w:ind w:left="6860"/>
        <w:spacing w:after="0" w:line="203" w:lineRule="auto"/>
        <w:rPr>
          <w:sz w:val="20"/>
          <w:szCs w:val="20"/>
          <w:color w:val="auto"/>
        </w:rPr>
      </w:pPr>
      <w:r>
        <w:rPr>
          <w:rFonts w:ascii="Arial" w:cs="Arial" w:eastAsia="Arial" w:hAnsi="Arial"/>
          <w:sz w:val="18"/>
          <w:szCs w:val="18"/>
          <w:color w:val="auto"/>
        </w:rPr>
        <w:t>Executive Vice President, Chief Financial Officer and</w:t>
      </w:r>
    </w:p>
    <w:p>
      <w:pPr>
        <w:ind w:left="6860"/>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lvl w:ilvl="1">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1."/>
      <w:numFmt w:val="decimal"/>
      <w:start w:val="1"/>
    </w:lvl>
  </w:abstractNum>
  <w:abstractNum w:abstractNumId="14">
    <w:nsid w:val="2F305DEF"/>
    <w:multiLevelType w:val="hybridMultilevel"/>
    <w:lvl w:ilvl="0">
      <w:lvlJc w:val="left"/>
      <w:lvlText w:val="%1."/>
      <w:numFmt w:val="decimal"/>
      <w:start w:val="2"/>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1."/>
      <w:numFmt w:val="decimal"/>
      <w:start w:val="2"/>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1."/>
      <w:numFmt w:val="decimal"/>
      <w:start w:val="1"/>
    </w:lvl>
  </w:abstractNum>
  <w:abstractNum w:abstractNumId="69">
    <w:nsid w:val="57FC4FBB"/>
    <w:multiLevelType w:val="hybridMultilevel"/>
    <w:lvl w:ilvl="0">
      <w:lvlJc w:val="left"/>
      <w:lvlText w:val="%1."/>
      <w:numFmt w:val="lowerLetter"/>
      <w:start w:val="1"/>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6"/>
    </w:lvl>
  </w:abstractNum>
  <w:abstractNum w:abstractNumId="72">
    <w:nsid w:val="60EF0119"/>
    <w:multiLevelType w:val="hybridMultilevel"/>
    <w:lvl w:ilvl="0">
      <w:lvlJc w:val="left"/>
      <w:lvlText w:val="%1."/>
      <w:numFmt w:val="lowerLetter"/>
      <w:start w:val="7"/>
    </w:lvl>
  </w:abstractNum>
  <w:abstractNum w:abstractNumId="73">
    <w:nsid w:val="26F324BA"/>
    <w:multiLevelType w:val="hybridMultilevel"/>
    <w:lvl w:ilvl="0">
      <w:lvlJc w:val="left"/>
      <w:lvlText w:val="%1."/>
      <w:numFmt w:val="lowerLetter"/>
      <w:start w:val="12"/>
    </w:lvl>
  </w:abstractNum>
  <w:abstractNum w:abstractNumId="74">
    <w:nsid w:val="7F01579B"/>
    <w:multiLevelType w:val="hybridMultilevel"/>
    <w:lvl w:ilvl="0">
      <w:lvlJc w:val="left"/>
      <w:lvlText w:val="%1."/>
      <w:numFmt w:val="lowerLetter"/>
      <w:start w:val="1"/>
    </w:lvl>
  </w:abstractNum>
  <w:abstractNum w:abstractNumId="75">
    <w:nsid w:val="49DA307D"/>
    <w:multiLevelType w:val="hybridMultilevel"/>
    <w:lvl w:ilvl="0">
      <w:lvlJc w:val="left"/>
      <w:lvlText w:val="%1."/>
      <w:numFmt w:val="lowerLetter"/>
      <w:start w:val="4"/>
    </w:lvl>
  </w:abstractNum>
  <w:abstractNum w:abstractNumId="76">
    <w:nsid w:val="7055A5F5"/>
    <w:multiLevelType w:val="hybridMultilevel"/>
    <w:lvl w:ilvl="0">
      <w:lvlJc w:val="left"/>
      <w:lvlText w:val="%1."/>
      <w:numFmt w:val="lowerLetter"/>
      <w:start w:val="5"/>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1"/>
    </w:lvl>
    <w:lvl w:ilvl="1">
      <w:lvlJc w:val="left"/>
      <w:lvlText w:val="%2."/>
      <w:numFmt w:val="decimal"/>
      <w:start w:val="1"/>
    </w:lvl>
  </w:abstractNum>
  <w:abstractNum w:abstractNumId="79">
    <w:nsid w:val="488AC1A"/>
    <w:multiLevelType w:val="hybridMultilevel"/>
    <w:lvl w:ilvl="0">
      <w:lvlJc w:val="left"/>
      <w:lvlText w:val="%1"/>
      <w:numFmt w:val="decimal"/>
      <w:start w:val="1"/>
    </w:lvl>
    <w:lvl w:ilvl="1">
      <w:lvlJc w:val="left"/>
      <w:lvlText w:val="%2."/>
      <w:numFmt w:val="decimal"/>
      <w:start w:val="2"/>
    </w:lvl>
  </w:abstractNum>
  <w:abstractNum w:abstractNumId="80">
    <w:nsid w:val="5FB8011C"/>
    <w:multiLevelType w:val="hybridMultilevel"/>
    <w:lvl w:ilvl="0">
      <w:lvlJc w:val="left"/>
      <w:lvlText w:val="%1."/>
      <w:numFmt w:val="decimal"/>
      <w:start w:val="4"/>
    </w:lvl>
    <w:lvl w:ilvl="1">
      <w:lvlJc w:val="left"/>
      <w:lvlText w:val="%2"/>
      <w:numFmt w:val="decimal"/>
      <w:start w:val="1"/>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1"/>
      <w:numFmt w:val="decimal"/>
      <w:start w:val="1"/>
    </w:lvl>
    <w:lvl w:ilvl="1">
      <w:lvlJc w:val="left"/>
      <w:lvlText w:val="%2."/>
      <w:numFmt w:val="lowerLetter"/>
      <w:start w:val="3"/>
    </w:lvl>
  </w:abstractNum>
  <w:abstractNum w:abstractNumId="84">
    <w:nsid w:val="6A5F7029"/>
    <w:multiLevelType w:val="hybridMultilevel"/>
    <w:lvl w:ilvl="0">
      <w:lvlJc w:val="left"/>
      <w:lvlText w:val="%1."/>
      <w:numFmt w:val="decimal"/>
      <w:start w:val="9"/>
    </w:lvl>
    <w:lvl w:ilvl="1">
      <w:lvlJc w:val="left"/>
      <w:lvlText w:val="%2"/>
      <w:numFmt w:val="lowerLetter"/>
      <w:start w:val="1"/>
    </w:lvl>
  </w:abstractNum>
  <w:abstractNum w:abstractNumId="85">
    <w:nsid w:val="7D5E18F8"/>
    <w:multiLevelType w:val="hybridMultilevel"/>
    <w:lvl w:ilvl="0">
      <w:lvlJc w:val="left"/>
      <w:lvlText w:val="%1."/>
      <w:numFmt w:val="lowerLetter"/>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decimal"/>
      <w:start w:val="1"/>
    </w:lvl>
  </w:abstractNum>
  <w:abstractNum w:abstractNumId="88">
    <w:nsid w:val="7DE67713"/>
    <w:multiLevelType w:val="hybridMultilevel"/>
    <w:lvl w:ilvl="0">
      <w:lvlJc w:val="left"/>
      <w:lvlText w:val="%1."/>
      <w:numFmt w:val="decimal"/>
      <w:start w:val="7"/>
    </w:lvl>
  </w:abstractNum>
  <w:abstractNum w:abstractNumId="89">
    <w:nsid w:val="555C55B5"/>
    <w:multiLevelType w:val="hybridMultilevel"/>
    <w:lvl w:ilvl="0">
      <w:lvlJc w:val="left"/>
      <w:lvlText w:val="%1."/>
      <w:numFmt w:val="decimal"/>
      <w:start w:val="8"/>
    </w:lvl>
  </w:abstractNum>
  <w:abstractNum w:abstractNumId="90">
    <w:nsid w:val="3FA62ACA"/>
    <w:multiLevelType w:val="hybridMultilevel"/>
    <w:lvl w:ilvl="0">
      <w:lvlJc w:val="left"/>
      <w:lvlText w:val="%1."/>
      <w:numFmt w:val="decimal"/>
      <w:start w:val="10"/>
    </w:lvl>
  </w:abstractNum>
  <w:abstractNum w:abstractNumId="91">
    <w:nsid w:val="14FCE74E"/>
    <w:multiLevelType w:val="hybridMultilevel"/>
    <w:lvl w:ilvl="0">
      <w:lvlJc w:val="left"/>
      <w:lvlText w:val="%1."/>
      <w:numFmt w:val="decimal"/>
      <w:start w:val="13"/>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4"/>
    </w:lvl>
  </w:abstractNum>
  <w:abstractNum w:abstractNumId="94">
    <w:nsid w:val="9DAF632"/>
    <w:multiLevelType w:val="hybridMultilevel"/>
    <w:lvl w:ilvl="0">
      <w:lvlJc w:val="left"/>
      <w:lvlText w:val="%1."/>
      <w:numFmt w:val="lowerLetter"/>
      <w:start w:val="1"/>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7">
    <w:nsid w:val="5092CA79"/>
    <w:multiLevelType w:val="hybridMultilevel"/>
    <w:lvl w:ilvl="0">
      <w:lvlJc w:val="left"/>
      <w:lvlText w:val="%1."/>
      <w:numFmt w:val="lowerLetter"/>
      <w:start w:val="2"/>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6"/>
    </w:lvl>
    <w:lvl w:ilvl="1">
      <w:lvlJc w:val="left"/>
      <w:lvlText w:val="%2."/>
      <w:numFmt w:val="decimal"/>
      <w:start w:val="1"/>
    </w:lvl>
  </w:abstractNum>
  <w:abstractNum w:abstractNumId="100">
    <w:nsid w:val="288F1A34"/>
    <w:multiLevelType w:val="hybridMultilevel"/>
    <w:lvl w:ilvl="0">
      <w:lvlJc w:val="left"/>
      <w:lvlText w:val="%1."/>
      <w:numFmt w:val="decimal"/>
      <w:start w:val="8"/>
    </w:lvl>
  </w:abstractNum>
  <w:abstractNum w:abstractNumId="101">
    <w:nsid w:val="2A155DBC"/>
    <w:multiLevelType w:val="hybridMultilevel"/>
    <w:lvl w:ilvl="0">
      <w:lvlJc w:val="left"/>
      <w:lvlText w:val="%1"/>
      <w:numFmt w:val="lowerLetter"/>
      <w:start w:val="1"/>
    </w:lvl>
    <w:lvl w:ilvl="1">
      <w:lvlJc w:val="left"/>
      <w:lvlText w:val="%2."/>
      <w:numFmt w:val="decimal"/>
      <w:start w:val="20"/>
    </w:lvl>
  </w:abstractNum>
  <w:abstractNum w:abstractNumId="102">
    <w:nsid w:val="1D9F6E5F"/>
    <w:multiLevelType w:val="hybridMultilevel"/>
    <w:lvl w:ilvl="0">
      <w:lvlJc w:val="left"/>
      <w:lvlText w:val="(%1)"/>
      <w:numFmt w:val="lowerLetter"/>
      <w:start w:val="7"/>
    </w:lvl>
    <w:lvl w:ilvl="1">
      <w:lvlJc w:val="left"/>
      <w:lvlText w:val="%2"/>
      <w:numFmt w:val="decimal"/>
      <w:start w:val="1"/>
    </w:lvl>
  </w:abstractNum>
  <w:abstractNum w:abstractNumId="103">
    <w:nsid w:val="97E1B4E"/>
    <w:multiLevelType w:val="hybridMultilevel"/>
    <w:lvl w:ilvl="0">
      <w:lvlJc w:val="left"/>
      <w:lvlText w:val="%1."/>
      <w:numFmt w:val="decimal"/>
      <w:start w:val="1"/>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decimal"/>
      <w:start w:val="12"/>
    </w:lvl>
    <w:lvl w:ilvl="1">
      <w:lvlJc w:val="left"/>
      <w:lvlText w:val="%2."/>
      <w:numFmt w:val="lowerLetter"/>
      <w:start w:val="1"/>
    </w:lvl>
  </w:abstractNum>
  <w:abstractNum w:abstractNumId="107">
    <w:nsid w:val="415E286C"/>
    <w:multiLevelType w:val="hybridMultilevel"/>
    <w:lvl w:ilvl="0">
      <w:lvlJc w:val="left"/>
      <w:lvlText w:val="%1."/>
      <w:numFmt w:val="lowerLetter"/>
      <w:start w:val="6"/>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jpe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153" Type="http://schemas.openxmlformats.org/officeDocument/2006/relationships/hyperlink" Target="http://www.sec.gov/Archives/edgar/data/1438133/000156459018026264/tndm-ex31_14.htm" TargetMode="External"/><Relationship Id="rId154" Type="http://schemas.openxmlformats.org/officeDocument/2006/relationships/hyperlink" Target="https://www.sec.gov/Archives/edgar/data/1438133/000143813321000015/ex32bylaws-10xkexfebruary2.htm" TargetMode="External"/><Relationship Id="rId155" Type="http://schemas.openxmlformats.org/officeDocument/2006/relationships/hyperlink" Target="https://www.sec.gov/Archives/edgar/data/1438133/000143813320000014/tndm-20191231xex47.htm" TargetMode="External"/><Relationship Id="rId156" Type="http://schemas.openxmlformats.org/officeDocument/2006/relationships/hyperlink" Target="http://www.sec.gov/Archives/edgar/data/1438133/000119312513423605/d576419dex41.htm" TargetMode="External"/><Relationship Id="rId157" Type="http://schemas.openxmlformats.org/officeDocument/2006/relationships/hyperlink" Target="http://www.sec.gov/Archives/edgar/data/1438133/000119312513392967/d576419dex42.htm" TargetMode="External"/><Relationship Id="rId158" Type="http://schemas.openxmlformats.org/officeDocument/2006/relationships/hyperlink" Target="http://www.sec.gov/Archives/edgar/data/1438133/000119312517074757/d355394dex43.htm" TargetMode="External"/><Relationship Id="rId159" Type="http://schemas.openxmlformats.org/officeDocument/2006/relationships/hyperlink" Target="http://www.sec.gov/Archives/edgar/data/1438133/000119312513392967/d576419dex44.htm" TargetMode="External"/><Relationship Id="rId160" Type="http://schemas.openxmlformats.org/officeDocument/2006/relationships/hyperlink" Target="http://www.sec.gov/Archives/edgar/data/1438133/000156459017019483/tndm-ex41_89.htm" TargetMode="External"/><Relationship Id="rId161" Type="http://schemas.openxmlformats.org/officeDocument/2006/relationships/hyperlink" Target="https://www.sec.gov/Archives/edgar/data/1438133/000143813320000054/ex41indenture.htm" TargetMode="External"/><Relationship Id="rId162" Type="http://schemas.openxmlformats.org/officeDocument/2006/relationships/hyperlink" Target="http://www.sec.gov/Archives/edgar/data/1438133/000119312513392967/d576419dex103.htm" TargetMode="External"/><Relationship Id="rId163" Type="http://schemas.openxmlformats.org/officeDocument/2006/relationships/hyperlink" Target="http://www.sec.gov/Archives/edgar/data/1438133/000119312513392967/d576419dex104.htm" TargetMode="External"/><Relationship Id="rId166" Type="http://schemas.openxmlformats.org/officeDocument/2006/relationships/hyperlink" Target="http://www.sec.gov/Archives/edgar/data/1438133/000119312513392967/d576419dex105.htm" TargetMode="External"/><Relationship Id="rId167" Type="http://schemas.openxmlformats.org/officeDocument/2006/relationships/hyperlink" Target="https://www.sec.gov/Archives/edgar/data/1438133/000156459018009319/tndm-def14a_20180614.htm" TargetMode="External"/><Relationship Id="rId168" Type="http://schemas.openxmlformats.org/officeDocument/2006/relationships/hyperlink" Target="https://www.sec.gov/Archives/edgar/data/1438133/000143813320000114/ex102amended2013stockp.htm" TargetMode="External"/><Relationship Id="rId169" Type="http://schemas.openxmlformats.org/officeDocument/2006/relationships/hyperlink" Target="https://www.sec.gov/Archives/edgar/data/1438133/000143813320000114/ex101formofagreementrsu.htm" TargetMode="External"/><Relationship Id="rId170" Type="http://schemas.openxmlformats.org/officeDocument/2006/relationships/hyperlink" Target="http://www.sec.gov/Archives/edgar/data/1438133/000119312513423605/d576419dex107.htm" TargetMode="External"/><Relationship Id="rId171" Type="http://schemas.openxmlformats.org/officeDocument/2006/relationships/hyperlink" Target="http://www.sec.gov/Archives/edgar/data/1438133/000119312513423605/d576419dex108.htm" TargetMode="External"/><Relationship Id="rId172" Type="http://schemas.openxmlformats.org/officeDocument/2006/relationships/hyperlink" Target="http://www.sec.gov/Archives/edgar/data/1438133/000156459018009319/tndm-def14a_20180614.htm#APPENDIX_C" TargetMode="External"/><Relationship Id="rId173" Type="http://schemas.openxmlformats.org/officeDocument/2006/relationships/hyperlink" Target="https://www.sec.gov/Archives/edgar/data/1438133/000143813321000033/exhibit102-cashbonusplan.htm" TargetMode="External"/><Relationship Id="rId174" Type="http://schemas.openxmlformats.org/officeDocument/2006/relationships/hyperlink" Target="http://www.sec.gov/Archives/edgar/data/1438133/000119312513392967/d576419dex1012.htm" TargetMode="External"/><Relationship Id="rId175" Type="http://schemas.openxmlformats.org/officeDocument/2006/relationships/hyperlink" Target="http://www.sec.gov/Archives/edgar/data/1438133/000119312513392967/d576419dex1013.htm" TargetMode="External"/><Relationship Id="rId176" Type="http://schemas.openxmlformats.org/officeDocument/2006/relationships/hyperlink" Target="http://www.sec.gov/Archives/edgar/data/1438133/000156459016012160/tndm-ex101_6.htm" TargetMode="External"/><Relationship Id="rId177" Type="http://schemas.openxmlformats.org/officeDocument/2006/relationships/hyperlink" Target="http://www.sec.gov/Archives/edgar/data/1438133/000156459016012160/tndm-ex102_29.htm" TargetMode="External"/><Relationship Id="rId178" Type="http://schemas.openxmlformats.org/officeDocument/2006/relationships/hyperlink" Target="https://www.sec.gov/Archives/edgar/data/1438133/000119312513435460/d576419dex1017.htm" TargetMode="External"/><Relationship Id="rId179" Type="http://schemas.openxmlformats.org/officeDocument/2006/relationships/hyperlink" Target="http://www.sec.gov/Archives/edgar/data/1438133/000119312513435460/d576419dex1018.htm" TargetMode="External"/><Relationship Id="rId180" Type="http://schemas.openxmlformats.org/officeDocument/2006/relationships/hyperlink" Target="http://www.sec.gov/Archives/edgar/data/1438133/000119312513435460/d576419dex1019.htm" TargetMode="External"/><Relationship Id="rId181" Type="http://schemas.openxmlformats.org/officeDocument/2006/relationships/hyperlink" Target="http://www.sec.gov/Archives/edgar/data/1438133/000095012318000216/tndm-ex1025_89.htm" TargetMode="External"/><Relationship Id="rId182" Type="http://schemas.openxmlformats.org/officeDocument/2006/relationships/hyperlink" Target="http://www.sec.gov/Archives/edgar/data/1438133/000119312513392967/d576419dex1011.htm" TargetMode="External"/><Relationship Id="rId185" Type="http://schemas.openxmlformats.org/officeDocument/2006/relationships/hyperlink" Target="http://www.sec.gov/Archives/edgar/data/1438133/000119312513435460/d576419dex1020.htm" TargetMode="External"/><Relationship Id="rId186" Type="http://schemas.openxmlformats.org/officeDocument/2006/relationships/hyperlink" Target="http://www.sec.gov/Archives/edgar/data/1438133/000156459015008876/tndm-ex101_37.htm" TargetMode="External"/><Relationship Id="rId187" Type="http://schemas.openxmlformats.org/officeDocument/2006/relationships/hyperlink" Target="http://www.sec.gov/Archives/edgar/data/1438133/000156459015008876/tndm-ex102_49.htm" TargetMode="External"/><Relationship Id="rId188" Type="http://schemas.openxmlformats.org/officeDocument/2006/relationships/hyperlink" Target="http://www.sec.gov/Archives/edgar/data/1438133/000156459018028978/tndm-ex105_14.htm" TargetMode="External"/><Relationship Id="rId189" Type="http://schemas.openxmlformats.org/officeDocument/2006/relationships/hyperlink" Target="https://www.sec.gov/Archives/edgar/data/1438133/000143813321000015/ex1024dexcom-tandemxdevelo.htm" TargetMode="External"/><Relationship Id="rId190" Type="http://schemas.openxmlformats.org/officeDocument/2006/relationships/hyperlink" Target="https://www.sec.gov/Archives/edgar/data/1438133/000143813321000015/ex1025dexcom-tandemxcommer.htm" TargetMode="External"/><Relationship Id="rId191" Type="http://schemas.openxmlformats.org/officeDocument/2006/relationships/hyperlink" Target="http://www.sec.gov/Archives/edgar/data/1438133/000119312513435460/d576419dex101.htm" TargetMode="External"/><Relationship Id="rId192" Type="http://schemas.openxmlformats.org/officeDocument/2006/relationships/hyperlink" Target="http://www.sec.gov/Archives/edgar/data/1438133/000156459018000052/tndm-ex102_7.htm" TargetMode="External"/><Relationship Id="rId193" Type="http://schemas.openxmlformats.org/officeDocument/2006/relationships/hyperlink" Target="http://www.sec.gov/Archives/edgar/data/1438133/000119312513435460/d576419dex1021.htm" TargetMode="External"/><Relationship Id="rId194" Type="http://schemas.openxmlformats.org/officeDocument/2006/relationships/hyperlink" Target="http://www.sec.gov/Archives/edgar/data/1438133/000156459018000052/tndm-ex101_8.htm" TargetMode="External"/><Relationship Id="rId195" Type="http://schemas.openxmlformats.org/officeDocument/2006/relationships/hyperlink" Target="http://www.sec.gov/Archives/edgar/data/1438133/000156459016021703/tndm-ex103_36.htm" TargetMode="External"/><Relationship Id="rId196" Type="http://schemas.openxmlformats.org/officeDocument/2006/relationships/hyperlink" Target="https://www.sec.gov/Archives/edgar/data/1438133/000143813320000014/tndm-20191231xex1036.htm" TargetMode="External"/><Relationship Id="rId197" Type="http://schemas.openxmlformats.org/officeDocument/2006/relationships/hyperlink" Target="https://www.sec.gov/Archives/edgar/data/1438133/000143813320000155/exhibit101-leaseamendm.htm" TargetMode="External"/><Relationship Id="rId200" Type="http://schemas.openxmlformats.org/officeDocument/2006/relationships/hyperlink" Target="https://www.sec.gov/Archives/edgar/data/1438133/000143813320000155/exhibit102-leaseamendm.htm" TargetMode="External"/><Relationship Id="rId201" Type="http://schemas.openxmlformats.org/officeDocument/2006/relationships/hyperlink" Target="https://www.sec.gov/Archives/edgar/data/1438133/000143813320000040/tndm-dxcmagmtx20200331.htm" TargetMode="External"/><Relationship Id="rId202" Type="http://schemas.openxmlformats.org/officeDocument/2006/relationships/hyperlink" Target="https://www.sec.gov/Archives/edgar/data/1438133/000143813321000033/exhibit101-leaseagreementx.htm" TargetMode="External"/><Relationship Id="rId203" Type="http://schemas.openxmlformats.org/officeDocument/2006/relationships/hyperlink" Target="https://www.sec.gov/Archives/edgar/data/1438133/000143813321000195/exhibit101-highbluffleas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2022-02-22T15:18:48Z</dcterms:created>
  <dcterms:modified xsi:type="dcterms:W3CDTF">2022-02-22T15:18:48Z</dcterms:modified>
</cp:coreProperties>
</file>