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5"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15" w:lineRule="exact"/>
        <w:rPr>
          <w:sz w:val="24"/>
          <w:szCs w:val="24"/>
          <w:color w:val="auto"/>
        </w:rPr>
      </w:pPr>
    </w:p>
    <w:p>
      <w:pPr>
        <w:ind w:left="600" w:hanging="457"/>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3" w:lineRule="exact"/>
        <w:rPr>
          <w:sz w:val="24"/>
          <w:szCs w:val="24"/>
          <w:color w:val="auto"/>
        </w:rPr>
      </w:pPr>
    </w:p>
    <w:p>
      <w:pPr>
        <w:ind w:left="580" w:hanging="437"/>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ind w:left="56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5"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12"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604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760" w:type="dxa"/>
            <w:vAlign w:val="bottom"/>
          </w:tcPr>
          <w:p>
            <w:pPr>
              <w:jc w:val="right"/>
              <w:ind w:right="61"/>
              <w:spacing w:after="0"/>
              <w:rPr>
                <w:sz w:val="20"/>
                <w:szCs w:val="20"/>
                <w:color w:val="auto"/>
              </w:rPr>
            </w:pPr>
            <w:r>
              <w:rPr>
                <w:rFonts w:ascii="Arial" w:cs="Arial" w:eastAsia="Arial" w:hAnsi="Arial"/>
                <w:sz w:val="18"/>
                <w:szCs w:val="18"/>
                <w:b w:val="1"/>
                <w:bCs w:val="1"/>
                <w:color w:val="auto"/>
              </w:rPr>
              <w:t>20-4327508</w:t>
            </w:r>
          </w:p>
        </w:tc>
      </w:tr>
      <w:tr>
        <w:trPr>
          <w:trHeight w:val="144"/>
        </w:trPr>
        <w:tc>
          <w:tcPr>
            <w:tcW w:w="6040" w:type="dxa"/>
            <w:vAlign w:val="bottom"/>
          </w:tcPr>
          <w:p>
            <w:pPr>
              <w:jc w:val="center"/>
              <w:ind w:right="355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760" w:type="dxa"/>
            <w:vAlign w:val="bottom"/>
          </w:tcPr>
          <w:p>
            <w:pPr>
              <w:jc w:val="center"/>
              <w:ind w:left="5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6040" w:type="dxa"/>
            <w:vAlign w:val="bottom"/>
          </w:tcPr>
          <w:p>
            <w:pPr>
              <w:jc w:val="center"/>
              <w:ind w:right="3559"/>
              <w:spacing w:after="0"/>
              <w:rPr>
                <w:sz w:val="20"/>
                <w:szCs w:val="20"/>
                <w:color w:val="auto"/>
              </w:rPr>
            </w:pPr>
            <w:r>
              <w:rPr>
                <w:rFonts w:ascii="Arial" w:cs="Arial" w:eastAsia="Arial" w:hAnsi="Arial"/>
                <w:sz w:val="14"/>
                <w:szCs w:val="14"/>
                <w:b w:val="1"/>
                <w:bCs w:val="1"/>
                <w:color w:val="auto"/>
                <w:w w:val="94"/>
              </w:rPr>
              <w:t>incorporation or organization)</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6"/>
              </w:rPr>
              <w:t>Identification No.)</w:t>
            </w:r>
          </w:p>
        </w:tc>
      </w:tr>
      <w:tr>
        <w:trPr>
          <w:trHeight w:val="225"/>
        </w:trPr>
        <w:tc>
          <w:tcPr>
            <w:tcW w:w="6040" w:type="dxa"/>
            <w:vAlign w:val="bottom"/>
          </w:tcPr>
          <w:p>
            <w:pPr>
              <w:jc w:val="center"/>
              <w:ind w:right="3579"/>
              <w:spacing w:after="0"/>
              <w:rPr>
                <w:sz w:val="20"/>
                <w:szCs w:val="20"/>
                <w:color w:val="auto"/>
              </w:rPr>
            </w:pPr>
            <w:r>
              <w:rPr>
                <w:rFonts w:ascii="Arial" w:cs="Arial" w:eastAsia="Arial" w:hAnsi="Arial"/>
                <w:sz w:val="18"/>
                <w:szCs w:val="18"/>
                <w:b w:val="1"/>
                <w:bCs w:val="1"/>
                <w:color w:val="auto"/>
                <w:w w:val="87"/>
              </w:rPr>
              <w:t>11075 Roselle Street</w:t>
            </w:r>
          </w:p>
        </w:tc>
        <w:tc>
          <w:tcPr>
            <w:tcW w:w="176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230"/>
        </w:trPr>
        <w:tc>
          <w:tcPr>
            <w:tcW w:w="6040" w:type="dxa"/>
            <w:vAlign w:val="bottom"/>
          </w:tcPr>
          <w:p>
            <w:pPr>
              <w:ind w:left="420"/>
              <w:spacing w:after="0"/>
              <w:rPr>
                <w:sz w:val="20"/>
                <w:szCs w:val="20"/>
                <w:color w:val="auto"/>
              </w:rPr>
            </w:pPr>
            <w:r>
              <w:rPr>
                <w:rFonts w:ascii="Arial" w:cs="Arial" w:eastAsia="Arial" w:hAnsi="Arial"/>
                <w:sz w:val="18"/>
                <w:szCs w:val="18"/>
                <w:b w:val="1"/>
                <w:bCs w:val="1"/>
                <w:color w:val="auto"/>
              </w:rPr>
              <w:t>San Diego, California</w:t>
            </w:r>
          </w:p>
        </w:tc>
        <w:tc>
          <w:tcPr>
            <w:tcW w:w="1760" w:type="dxa"/>
            <w:vAlign w:val="bottom"/>
          </w:tcPr>
          <w:p>
            <w:pPr>
              <w:jc w:val="center"/>
              <w:ind w:left="541"/>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040" w:type="dxa"/>
            <w:vAlign w:val="bottom"/>
          </w:tcPr>
          <w:p>
            <w:pPr>
              <w:jc w:val="center"/>
              <w:ind w:right="3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60" w:type="dxa"/>
            <w:vAlign w:val="bottom"/>
          </w:tcPr>
          <w:p>
            <w:pPr>
              <w:spacing w:after="0"/>
              <w:rPr>
                <w:sz w:val="16"/>
                <w:szCs w:val="16"/>
                <w:color w:val="auto"/>
              </w:rPr>
            </w:pPr>
          </w:p>
        </w:tc>
      </w:tr>
      <w:tr>
        <w:trPr>
          <w:trHeight w:val="300"/>
        </w:trPr>
        <w:tc>
          <w:tcPr>
            <w:tcW w:w="6040" w:type="dxa"/>
            <w:vAlign w:val="bottom"/>
          </w:tcPr>
          <w:p>
            <w:pPr>
              <w:jc w:val="right"/>
              <w:ind w:right="1619"/>
              <w:spacing w:after="0"/>
              <w:rPr>
                <w:sz w:val="20"/>
                <w:szCs w:val="20"/>
                <w:color w:val="auto"/>
              </w:rPr>
            </w:pPr>
            <w:r>
              <w:rPr>
                <w:rFonts w:ascii="Arial" w:cs="Arial" w:eastAsia="Arial" w:hAnsi="Arial"/>
                <w:sz w:val="18"/>
                <w:szCs w:val="18"/>
                <w:b w:val="1"/>
                <w:bCs w:val="1"/>
                <w:color w:val="auto"/>
              </w:rPr>
              <w:t>(858) 366-6900</w:t>
            </w:r>
          </w:p>
        </w:tc>
        <w:tc>
          <w:tcPr>
            <w:tcW w:w="1760" w:type="dxa"/>
            <w:vAlign w:val="bottom"/>
          </w:tcPr>
          <w:p>
            <w:pPr>
              <w:spacing w:after="0"/>
              <w:rPr>
                <w:sz w:val="24"/>
                <w:szCs w:val="24"/>
                <w:color w:val="auto"/>
              </w:rPr>
            </w:pPr>
          </w:p>
        </w:tc>
      </w:tr>
      <w:tr>
        <w:trPr>
          <w:trHeight w:val="186"/>
        </w:trPr>
        <w:tc>
          <w:tcPr>
            <w:tcW w:w="6040" w:type="dxa"/>
            <w:vAlign w:val="bottom"/>
          </w:tcPr>
          <w:p>
            <w:pPr>
              <w:jc w:val="center"/>
              <w:ind w:left="14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60" w:type="dxa"/>
            <w:vAlign w:val="bottom"/>
          </w:tcPr>
          <w:p>
            <w:pPr>
              <w:spacing w:after="0"/>
              <w:rPr>
                <w:sz w:val="16"/>
                <w:szCs w:val="16"/>
                <w:color w:val="auto"/>
              </w:rPr>
            </w:pPr>
          </w:p>
        </w:tc>
      </w:tr>
    </w:tbl>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6" w:lineRule="exact"/>
        <w:rPr>
          <w:sz w:val="24"/>
          <w:szCs w:val="24"/>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Trading Symbol(s)</w:t>
            </w:r>
          </w:p>
        </w:tc>
        <w:tc>
          <w:tcPr>
            <w:tcW w:w="328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420" w:type="dxa"/>
            <w:vAlign w:val="bottom"/>
          </w:tcPr>
          <w:p>
            <w:pPr>
              <w:spacing w:after="0"/>
              <w:rPr>
                <w:sz w:val="21"/>
                <w:szCs w:val="21"/>
                <w:color w:val="auto"/>
              </w:rPr>
            </w:pPr>
          </w:p>
        </w:tc>
        <w:tc>
          <w:tcPr>
            <w:tcW w:w="19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TNDM</w:t>
            </w:r>
          </w:p>
        </w:tc>
        <w:tc>
          <w:tcPr>
            <w:tcW w:w="80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67"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00" w:type="dxa"/>
            <w:vAlign w:val="bottom"/>
          </w:tcPr>
          <w:p>
            <w:pPr>
              <w:ind w:left="1340"/>
              <w:spacing w:after="0"/>
              <w:rPr>
                <w:sz w:val="20"/>
                <w:szCs w:val="20"/>
                <w:color w:val="auto"/>
              </w:rPr>
            </w:pPr>
            <w:r>
              <w:rPr>
                <w:rFonts w:ascii="Arial" w:cs="Arial" w:eastAsia="Arial" w:hAnsi="Arial"/>
                <w:sz w:val="14"/>
                <w:szCs w:val="14"/>
                <w:color w:val="auto"/>
              </w:rPr>
              <w:t>x</w:t>
            </w:r>
          </w:p>
        </w:tc>
        <w:tc>
          <w:tcPr>
            <w:tcW w:w="4020" w:type="dxa"/>
            <w:vAlign w:val="bottom"/>
          </w:tcPr>
          <w:p>
            <w:pPr>
              <w:ind w:left="124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700" w:type="dxa"/>
            <w:vAlign w:val="bottom"/>
          </w:tcPr>
          <w:p>
            <w:pPr>
              <w:ind w:left="13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124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6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20" w:type="dxa"/>
            <w:vAlign w:val="bottom"/>
          </w:tcPr>
          <w:p>
            <w:pPr>
              <w:ind w:left="124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jc w:val="both"/>
        <w:ind w:right="54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820"/>
        <w:spacing w:after="0"/>
        <w:rPr>
          <w:sz w:val="20"/>
          <w:szCs w:val="20"/>
          <w:color w:val="auto"/>
        </w:rPr>
      </w:pPr>
      <w:r>
        <w:rPr>
          <w:rFonts w:ascii="Arial" w:cs="Arial" w:eastAsia="Arial" w:hAnsi="Arial"/>
          <w:sz w:val="14"/>
          <w:szCs w:val="14"/>
          <w:color w:val="auto"/>
        </w:rPr>
        <w:t>As of April 29, 2022, there were 63,962,732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9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Financial Information</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Financial Statements</w:t>
            </w:r>
          </w:p>
        </w:tc>
        <w:tc>
          <w:tcPr>
            <w:tcW w:w="180" w:type="dxa"/>
            <w:vAlign w:val="bottom"/>
            <w:gridSpan w:val="3"/>
          </w:tcPr>
          <w:p>
            <w:pPr>
              <w:jc w:val="cente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Balance Sheets at March 31, 2022 (Unaudited) and December 31, 2021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9900" w:type="dxa"/>
            <w:vAlign w:val="bottom"/>
          </w:tcPr>
          <w:p>
            <w:pPr>
              <w:ind w:left="140"/>
              <w:spacing w:after="0" w:line="176" w:lineRule="exact"/>
              <w:rPr>
                <w:sz w:val="20"/>
                <w:szCs w:val="20"/>
                <w:color w:val="auto"/>
              </w:rPr>
            </w:pPr>
            <w:r>
              <w:rPr>
                <w:rFonts w:ascii="Arial" w:cs="Arial" w:eastAsia="Arial" w:hAnsi="Arial"/>
                <w:sz w:val="18"/>
                <w:szCs w:val="18"/>
                <w:color w:val="auto"/>
                <w:w w:val="91"/>
              </w:rPr>
              <w:t>Condensed Consolidated Statements of Operations and Comprehensive Loss for the Three Months Ended March 31, 2022 and 2021</w:t>
            </w:r>
          </w:p>
        </w:tc>
        <w:tc>
          <w:tcPr>
            <w:tcW w:w="180" w:type="dxa"/>
            <w:vAlign w:val="bottom"/>
            <w:gridSpan w:val="3"/>
            <w:vMerge w:val="restart"/>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(Unaudited)</w:t>
            </w:r>
          </w:p>
        </w:tc>
        <w:tc>
          <w:tcPr>
            <w:tcW w:w="1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w w:val="95"/>
              </w:rPr>
              <w:t>Condensed Consolidated Statements of Stockholders’ Equity for the Three Months Ended March 31, 2022 and 2021 (Unaudited)</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for the Three Months Ended March 31, 2022 and 2021 (Unaudited)</w:t>
            </w:r>
          </w:p>
        </w:tc>
        <w:tc>
          <w:tcPr>
            <w:tcW w:w="180" w:type="dxa"/>
            <w:vAlign w:val="bottom"/>
            <w:gridSpan w:val="3"/>
          </w:tcPr>
          <w:p>
            <w:pPr>
              <w:jc w:val="cente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Borders>
              <w:bottom w:val="single" w:sz="8" w:color="CCEEFF"/>
            </w:tcBorders>
            <w:shd w:val="clear" w:color="auto" w:fill="CCEEFF"/>
          </w:tcPr>
          <w:p>
            <w:pPr>
              <w:spacing w:after="0"/>
              <w:rPr>
                <w:sz w:val="18"/>
                <w:szCs w:val="18"/>
                <w:color w:val="auto"/>
              </w:rPr>
            </w:pP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Unaudited Condensed Consolidated Financial Statements</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9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Other Information</w:t>
            </w:r>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900" w:type="dxa"/>
            <w:vAlign w:val="bottom"/>
          </w:tcPr>
          <w:p>
            <w:pPr>
              <w:ind w:left="140"/>
              <w:spacing w:after="0" w:line="189" w:lineRule="exact"/>
              <w:rPr>
                <w:sz w:val="20"/>
                <w:szCs w:val="20"/>
                <w:color w:val="auto"/>
              </w:rPr>
            </w:pPr>
            <w:r>
              <w:rPr>
                <w:rFonts w:ascii="Arial" w:cs="Arial" w:eastAsia="Arial" w:hAnsi="Arial"/>
                <w:sz w:val="18"/>
                <w:szCs w:val="18"/>
                <w:color w:val="auto"/>
              </w:rPr>
              <w:t>Risk Factors</w:t>
            </w:r>
          </w:p>
        </w:tc>
        <w:tc>
          <w:tcPr>
            <w:tcW w:w="360" w:type="dxa"/>
            <w:vAlign w:val="bottom"/>
            <w:gridSpan w:val="4"/>
          </w:tcPr>
          <w:p>
            <w:pPr>
              <w:jc w:val="center"/>
              <w:ind w:right="180"/>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9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Exhibits</w:t>
            </w:r>
          </w:p>
        </w:tc>
        <w:tc>
          <w:tcPr>
            <w:tcW w:w="360" w:type="dxa"/>
            <w:vAlign w:val="bottom"/>
            <w:gridSpan w:val="4"/>
            <w:shd w:val="clear" w:color="auto" w:fill="CCEEFF"/>
          </w:tcPr>
          <w:p>
            <w:pPr>
              <w:jc w:val="center"/>
              <w:ind w:right="18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77</w:t>
              </w:r>
            </w:hyperlink>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9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00" w:type="dxa"/>
            <w:vAlign w:val="bottom"/>
          </w:tcPr>
          <w:p>
            <w:pPr>
              <w:jc w:val="center"/>
              <w:ind w:left="241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7400" w:type="dxa"/>
            <w:vAlign w:val="bottom"/>
          </w:tcPr>
          <w:p>
            <w:pPr>
              <w:jc w:val="center"/>
              <w:ind w:left="2390"/>
              <w:spacing w:after="0"/>
              <w:rPr>
                <w:sz w:val="20"/>
                <w:szCs w:val="20"/>
                <w:color w:val="auto"/>
              </w:rPr>
            </w:pPr>
            <w:r>
              <w:rPr>
                <w:rFonts w:ascii="Arial" w:cs="Arial" w:eastAsia="Arial" w:hAnsi="Arial"/>
                <w:sz w:val="18"/>
                <w:szCs w:val="18"/>
                <w:b w:val="1"/>
                <w:bCs w:val="1"/>
                <w:color w:val="auto"/>
              </w:rPr>
              <w:t>TANDEM DIABETES CARE, INC.</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40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7400" w:type="dxa"/>
            <w:vAlign w:val="bottom"/>
          </w:tcPr>
          <w:p>
            <w:pPr>
              <w:jc w:val="center"/>
              <w:ind w:left="2410"/>
              <w:spacing w:after="0"/>
              <w:rPr>
                <w:sz w:val="20"/>
                <w:szCs w:val="20"/>
                <w:color w:val="auto"/>
              </w:rPr>
            </w:pPr>
            <w:r>
              <w:rPr>
                <w:rFonts w:ascii="Arial" w:cs="Arial" w:eastAsia="Arial" w:hAnsi="Arial"/>
                <w:sz w:val="18"/>
                <w:szCs w:val="18"/>
                <w:b w:val="1"/>
                <w:bCs w:val="1"/>
                <w:color w:val="auto"/>
                <w:w w:val="89"/>
              </w:rPr>
              <w:t>(In thousands, except par value)</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6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5"/>
        </w:trPr>
        <w:tc>
          <w:tcPr>
            <w:tcW w:w="6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5"/>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7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32"/>
              <w:spacing w:after="0"/>
              <w:rPr>
                <w:sz w:val="20"/>
                <w:szCs w:val="20"/>
                <w:color w:val="auto"/>
              </w:rPr>
            </w:pPr>
            <w:r>
              <w:rPr>
                <w:rFonts w:ascii="Arial" w:cs="Arial" w:eastAsia="Arial" w:hAnsi="Arial"/>
                <w:sz w:val="14"/>
                <w:szCs w:val="14"/>
                <w:b w:val="1"/>
                <w:bCs w:val="1"/>
                <w:color w:val="auto"/>
                <w:w w:val="92"/>
              </w:rPr>
              <w:t>(Note 1)</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552,630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79,987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68,551</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818,464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811,520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50,386</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131,058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Employee-related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23,388</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131,856</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Convertible senior notes, net - long-term</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281,467</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Deferred revenue - long-term</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16,940</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577,895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472,025</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Common stock, $0.001 par value; 200,000 shares authorized, 63,941 and 63,833 shares issued and</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March 31, 2022 and December 31, 2021, respectively.</w:t>
            </w:r>
          </w:p>
        </w:tc>
        <w:tc>
          <w:tcPr>
            <w:tcW w:w="2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1,089,689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1,068,259</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(634,595)</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437,382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433,112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141,037</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58,563</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76,524</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Interest income and other,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Unrealized loss on 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3"/>
        </w:trPr>
        <w:tc>
          <w:tcPr>
            <w:tcW w:w="8180" w:type="dxa"/>
            <w:vAlign w:val="bottom"/>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13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160" w:type="dxa"/>
            <w:vAlign w:val="bottom"/>
            <w:vMerge w:val="restart"/>
          </w:tcPr>
          <w:p>
            <w:pPr>
              <w:jc w:val="center"/>
              <w:ind w:right="128"/>
              <w:spacing w:after="0" w:line="12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382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63,833</w:t>
            </w:r>
          </w:p>
        </w:tc>
        <w:tc>
          <w:tcPr>
            <w:tcW w:w="100" w:type="dxa"/>
            <w:vAlign w:val="bottom"/>
            <w:tcBorders>
              <w:top w:val="single" w:sz="8" w:color="CFF0FC"/>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1,068,259</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(634,595)</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433,112</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38"/>
        </w:trPr>
        <w:tc>
          <w:tcPr>
            <w:tcW w:w="3820" w:type="dxa"/>
            <w:vAlign w:val="bottom"/>
            <w:shd w:val="clear" w:color="auto" w:fill="CFF0FC"/>
          </w:tcPr>
          <w:p>
            <w:pPr>
              <w:ind w:left="180"/>
              <w:spacing w:after="0" w:line="139" w:lineRule="exact"/>
              <w:rPr>
                <w:sz w:val="20"/>
                <w:szCs w:val="20"/>
                <w:color w:val="auto"/>
              </w:rPr>
            </w:pPr>
            <w:r>
              <w:rPr>
                <w:rFonts w:ascii="Arial" w:cs="Arial" w:eastAsia="Arial" w:hAnsi="Arial"/>
                <w:sz w:val="14"/>
                <w:szCs w:val="14"/>
                <w:color w:val="auto"/>
              </w:rPr>
              <w:t>Vesting of restricted stock units, net of shares withheld for</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taxes</w:t>
            </w: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ind w:left="10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17,931</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ind w:left="108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(14,715)</w:t>
            </w:r>
          </w:p>
        </w:tc>
        <w:tc>
          <w:tcPr>
            <w:tcW w:w="0" w:type="dxa"/>
            <w:vAlign w:val="bottom"/>
          </w:tcPr>
          <w:p>
            <w:pPr>
              <w:spacing w:after="0"/>
              <w:rPr>
                <w:sz w:val="1"/>
                <w:szCs w:val="1"/>
                <w:color w:val="auto"/>
              </w:rPr>
            </w:pPr>
          </w:p>
        </w:tc>
      </w:tr>
      <w:tr>
        <w:trPr>
          <w:trHeight w:val="211"/>
        </w:trPr>
        <w:tc>
          <w:tcPr>
            <w:tcW w:w="3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63,941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1,089,689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(3,061)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(649,310)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437,382</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March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2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2"/>
                <w:szCs w:val="2"/>
                <w:color w:val="auto"/>
              </w:rPr>
            </w:pPr>
          </w:p>
        </w:tc>
        <w:tc>
          <w:tcPr>
            <w:tcW w:w="136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
                <w:szCs w:val="2"/>
                <w:color w:val="auto"/>
              </w:rPr>
            </w:pPr>
          </w:p>
        </w:tc>
        <w:tc>
          <w:tcPr>
            <w:tcW w:w="11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
                <w:szCs w:val="2"/>
                <w:color w:val="auto"/>
              </w:rPr>
            </w:pPr>
          </w:p>
        </w:tc>
        <w:tc>
          <w:tcPr>
            <w:tcW w:w="1160" w:type="dxa"/>
            <w:vAlign w:val="bottom"/>
            <w:vMerge w:val="restart"/>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8"/>
        </w:trPr>
        <w:tc>
          <w:tcPr>
            <w:tcW w:w="3820" w:type="dxa"/>
            <w:vAlign w:val="bottom"/>
          </w:tcPr>
          <w:p>
            <w:pPr>
              <w:spacing w:after="0"/>
              <w:rPr>
                <w:sz w:val="7"/>
                <w:szCs w:val="7"/>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62,335</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62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1,025,233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(659,210)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366,305</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line="189" w:lineRule="exact"/>
              <w:rPr>
                <w:sz w:val="20"/>
                <w:szCs w:val="20"/>
                <w:color w:val="auto"/>
              </w:rPr>
            </w:pPr>
            <w:r>
              <w:rPr>
                <w:rFonts w:ascii="Arial" w:cs="Arial" w:eastAsia="Arial" w:hAnsi="Arial"/>
                <w:sz w:val="14"/>
                <w:szCs w:val="14"/>
                <w:color w:val="auto"/>
                <w:w w:val="95"/>
              </w:rPr>
              <w:t xml:space="preserve">Effect of change in accounting for convertible senior notes </w:t>
            </w:r>
            <w:r>
              <w:rPr>
                <w:rFonts w:ascii="Arial" w:cs="Arial" w:eastAsia="Arial" w:hAnsi="Arial"/>
                <w:sz w:val="18"/>
                <w:szCs w:val="18"/>
                <w:color w:val="auto"/>
                <w:w w:val="95"/>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(76,754)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of common stock warrants at time of exercise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12,434</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13,014</w:t>
            </w:r>
          </w:p>
        </w:tc>
        <w:tc>
          <w:tcPr>
            <w:tcW w:w="0" w:type="dxa"/>
            <w:vAlign w:val="bottom"/>
          </w:tcPr>
          <w:p>
            <w:pPr>
              <w:spacing w:after="0"/>
              <w:rPr>
                <w:sz w:val="1"/>
                <w:szCs w:val="1"/>
                <w:color w:val="auto"/>
              </w:rPr>
            </w:pPr>
          </w:p>
        </w:tc>
      </w:tr>
      <w:tr>
        <w:trPr>
          <w:trHeight w:val="192"/>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 on short-term investments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6"/>
        </w:trPr>
        <w:tc>
          <w:tcPr>
            <w:tcW w:w="38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w:t>
            </w:r>
          </w:p>
        </w:tc>
        <w:tc>
          <w:tcPr>
            <w:tcW w:w="0" w:type="dxa"/>
            <w:vAlign w:val="bottom"/>
          </w:tcPr>
          <w:p>
            <w:pPr>
              <w:spacing w:after="0"/>
              <w:rPr>
                <w:sz w:val="1"/>
                <w:szCs w:val="1"/>
                <w:color w:val="auto"/>
              </w:rPr>
            </w:pP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62,571</w:t>
            </w:r>
          </w:p>
        </w:tc>
        <w:tc>
          <w:tcPr>
            <w:tcW w:w="1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63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968,450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(655,205)</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313,414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60" w:firstLine="8"/>
        <w:spacing w:after="0" w:line="275"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adopted ASU No. 2020-06, Accounting for Convertible Instruments and Contracts in an Entity’s Own Equity effective January 1, 2021 (see Note 2, “Summary of Significant Accounting Policies”).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9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Pr>
          <w:p>
            <w:pPr>
              <w:spacing w:after="0"/>
              <w:rPr>
                <w:sz w:val="16"/>
                <w:szCs w:val="16"/>
                <w:color w:val="auto"/>
              </w:rPr>
            </w:pPr>
          </w:p>
        </w:tc>
      </w:tr>
      <w:tr>
        <w:trPr>
          <w:trHeight w:val="26"/>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4"/>
        </w:trPr>
        <w:tc>
          <w:tcPr>
            <w:tcW w:w="76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r>
      <w:tr>
        <w:trPr>
          <w:trHeight w:val="26"/>
        </w:trPr>
        <w:tc>
          <w:tcPr>
            <w:tcW w:w="7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7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(14,715)</w:t>
            </w:r>
          </w:p>
        </w:tc>
        <w:tc>
          <w:tcPr>
            <w:tcW w:w="120" w:type="dxa"/>
            <w:vAlign w:val="bottom"/>
          </w:tcPr>
          <w:p>
            <w:pPr>
              <w:spacing w:after="0"/>
              <w:rPr>
                <w:sz w:val="16"/>
                <w:szCs w:val="16"/>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(5,044)</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91"/>
        </w:trPr>
        <w:tc>
          <w:tcPr>
            <w:tcW w:w="760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3,628</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3,485</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debt issuance costs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w:t>
            </w: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Provision for inventory obsolescence</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Change in fair value of common stock warrants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premium on short-term investments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191"/>
        </w:trPr>
        <w:tc>
          <w:tcPr>
            <w:tcW w:w="76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18,110</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12,947</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90"/>
        </w:trPr>
        <w:tc>
          <w:tcPr>
            <w:tcW w:w="760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15,729</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8,389</w:t>
            </w: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Inventories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(11,963)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(3,084)</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and other current assets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Other long-term assets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 &amp; accrued expenses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13,732</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10,815</w:t>
            </w: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Employee-related liabilities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(13,299)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(1,448)</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1,871</w:t>
            </w:r>
          </w:p>
        </w:tc>
      </w:tr>
      <w:tr>
        <w:trPr>
          <w:trHeight w:val="190"/>
        </w:trPr>
        <w:tc>
          <w:tcPr>
            <w:tcW w:w="7600" w:type="dxa"/>
            <w:vAlign w:val="bottom"/>
          </w:tcPr>
          <w:p>
            <w:pPr>
              <w:ind w:left="360"/>
              <w:spacing w:after="0"/>
              <w:rPr>
                <w:sz w:val="20"/>
                <w:szCs w:val="20"/>
                <w:color w:val="auto"/>
              </w:rPr>
            </w:pPr>
            <w:r>
              <w:rPr>
                <w:rFonts w:ascii="Arial" w:cs="Arial" w:eastAsia="Arial" w:hAnsi="Arial"/>
                <w:sz w:val="14"/>
                <w:szCs w:val="14"/>
                <w:color w:val="auto"/>
              </w:rPr>
              <w:t>Operating leases and other current liabilities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(1,106)</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1,094</w:t>
            </w:r>
          </w:p>
        </w:tc>
      </w:tr>
      <w:tr>
        <w:trPr>
          <w:trHeight w:val="26"/>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 long-term liabilities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13,800</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28,685</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91"/>
        </w:trPr>
        <w:tc>
          <w:tcPr>
            <w:tcW w:w="7600" w:type="dxa"/>
            <w:vAlign w:val="bottom"/>
          </w:tcPr>
          <w:p>
            <w:pPr>
              <w:ind w:left="20"/>
              <w:spacing w:after="0"/>
              <w:rPr>
                <w:sz w:val="20"/>
                <w:szCs w:val="20"/>
                <w:color w:val="auto"/>
              </w:rPr>
            </w:pPr>
            <w:r>
              <w:rPr>
                <w:rFonts w:ascii="Arial" w:cs="Arial" w:eastAsia="Arial" w:hAnsi="Arial"/>
                <w:sz w:val="14"/>
                <w:szCs w:val="14"/>
                <w:color w:val="auto"/>
              </w:rPr>
              <w:t>Purchases of short-term investments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(110,719)</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(154,300)</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short-term investments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111,559</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140,200</w:t>
            </w: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sales of short-term investments</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11,530</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(2,643)</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(3,524)</w:t>
            </w: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5,197</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(6,094)</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3,484</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3,500</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3,573</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22,500</w:t>
            </w: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26,178</w:t>
            </w:r>
          </w:p>
        </w:tc>
      </w:tr>
      <w:tr>
        <w:trPr>
          <w:trHeight w:val="25"/>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71,181</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94,613</w:t>
            </w:r>
          </w:p>
        </w:tc>
      </w:tr>
      <w:tr>
        <w:trPr>
          <w:trHeight w:val="184"/>
        </w:trPr>
        <w:tc>
          <w:tcPr>
            <w:tcW w:w="76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93,681</w:t>
            </w:r>
          </w:p>
        </w:tc>
        <w:tc>
          <w:tcPr>
            <w:tcW w:w="120" w:type="dxa"/>
            <w:vAlign w:val="bottom"/>
          </w:tcPr>
          <w:p>
            <w:pPr>
              <w:spacing w:after="0"/>
              <w:rPr>
                <w:sz w:val="16"/>
                <w:szCs w:val="16"/>
                <w:color w:val="auto"/>
              </w:rPr>
            </w:pPr>
          </w:p>
        </w:tc>
        <w:tc>
          <w:tcPr>
            <w:tcW w:w="110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120,791</w:t>
            </w:r>
          </w:p>
        </w:tc>
      </w:tr>
      <w:tr>
        <w:trPr>
          <w:trHeight w:val="25"/>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3"/>
        </w:trPr>
        <w:tc>
          <w:tcPr>
            <w:tcW w:w="76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1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107,478</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included in accounts payable</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7600" w:type="dxa"/>
            <w:vAlign w:val="bottom"/>
          </w:tcPr>
          <w:p>
            <w:pPr>
              <w:ind w:left="20"/>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4"/>
                <w:szCs w:val="14"/>
                <w:color w:val="auto"/>
              </w:rPr>
            </w:pPr>
          </w:p>
        </w:tc>
        <w:tc>
          <w:tcPr>
            <w:tcW w:w="1100" w:type="dxa"/>
            <w:vAlign w:val="bottom"/>
          </w:tcPr>
          <w:p>
            <w:pPr>
              <w:jc w:val="right"/>
              <w:ind w:right="9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2,244</w:t>
            </w:r>
          </w:p>
        </w:tc>
      </w:tr>
      <w:tr>
        <w:trPr>
          <w:trHeight w:val="25"/>
        </w:trPr>
        <w:tc>
          <w:tcPr>
            <w:tcW w:w="7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right="220" w:firstLine="810"/>
        <w:spacing w:after="0" w:line="311" w:lineRule="auto"/>
        <w:rPr>
          <w:sz w:val="20"/>
          <w:szCs w:val="20"/>
          <w:color w:val="auto"/>
        </w:rPr>
      </w:pPr>
      <w:r>
        <w:rPr>
          <w:rFonts w:ascii="Arial" w:cs="Arial" w:eastAsia="Arial" w:hAnsi="Arial"/>
          <w:sz w:val="16"/>
          <w:szCs w:val="16"/>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 in the U.S., Canada and the Netherlands.</w:t>
      </w:r>
    </w:p>
    <w:p>
      <w:pPr>
        <w:spacing w:after="0" w:line="149"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software updates and is designed to display continuous glucose monitoring (CGM) sensor information directly on the pump home screen. The Company’s insulin pump products are compatible with other complementary digital health offerings, such as the t:connect cloud-based diabetes management application (t:connect) and the Tandem Device Updater, a Mac and PC-compatible tool which offers and supports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 as well as other accessories for enhanced usability.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2021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76"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other comprehensive loss, and in accumulated other comprehensive income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Starting with the first quarter of 2022, the Company included the liability related to common stock warrants (see Note 5, “Fair Value Measurements”) as a component of other current liabilities on the Company’s condensed consolidated balance sheet. In addition, deferred revenue long-term, which was previously reported as a component of other long-term liabilities, is now separately reported on the condensed consolidated balance sheet. The corresponding balances at December 31, 2021,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during the three months ended March 31, 2022, as compared to those disclosed in the Company’s 2021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coronavirus pandemic (COVID-19 global pandemic). Uncollectible accounts are written off against the allowance after appropriate collection efforts have been exhausted and when it is deemed that a balance is uncollectible.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carrying value and estimated fair value of certain of the Company’s common stock warrants was determined using the Black-Scholes pricing model as of March 31, 2022 and December 31, 2021 (see Note 5, “Fair Value Measurements”).</w:t>
      </w:r>
    </w:p>
    <w:p>
      <w:pPr>
        <w:spacing w:after="0" w:line="146" w:lineRule="exact"/>
        <w:rPr>
          <w:sz w:val="20"/>
          <w:szCs w:val="20"/>
          <w:color w:val="auto"/>
        </w:rPr>
      </w:pPr>
    </w:p>
    <w:p>
      <w:pPr>
        <w:ind w:right="200" w:firstLine="810"/>
        <w:spacing w:after="0" w:line="263" w:lineRule="auto"/>
        <w:rPr>
          <w:sz w:val="20"/>
          <w:szCs w:val="20"/>
          <w:color w:val="auto"/>
        </w:rPr>
      </w:pPr>
      <w:r>
        <w:rPr>
          <w:rFonts w:ascii="Arial" w:cs="Arial" w:eastAsia="Arial" w:hAnsi="Arial"/>
          <w:sz w:val="18"/>
          <w:szCs w:val="18"/>
          <w:color w:val="auto"/>
        </w:rPr>
        <w:t>The Company’s convertible senior notes are carried at amortized cost on the condensed consolidated balance sheets (see Note 7, “Debt”). The Company determined the fair value of its convertible senior notes to be $363.3 million and $430.0 million at March 31, 2022 and December 31, 2021, respectively, based on Level 2 quoted market prices as of those 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Right-of-Use Assets and Liabilities</w:t>
      </w:r>
    </w:p>
    <w:p>
      <w:pPr>
        <w:spacing w:after="0" w:line="198"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 xml:space="preserve">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Basis Equity Investment</w:t>
      </w:r>
    </w:p>
    <w:p>
      <w:pPr>
        <w:spacing w:after="0" w:line="239" w:lineRule="exact"/>
        <w:rPr>
          <w:sz w:val="20"/>
          <w:szCs w:val="20"/>
          <w:color w:val="auto"/>
        </w:rPr>
      </w:pPr>
    </w:p>
    <w:p>
      <w:pPr>
        <w:jc w:val="both"/>
        <w:ind w:right="140" w:firstLine="810"/>
        <w:spacing w:after="0" w:line="266" w:lineRule="auto"/>
        <w:rPr>
          <w:sz w:val="20"/>
          <w:szCs w:val="20"/>
          <w:color w:val="auto"/>
        </w:rPr>
      </w:pPr>
      <w:r>
        <w:rPr>
          <w:rFonts w:ascii="Arial" w:cs="Arial" w:eastAsia="Arial" w:hAnsi="Arial"/>
          <w:sz w:val="16"/>
          <w:szCs w:val="16"/>
          <w:color w:val="auto"/>
        </w:rPr>
        <w:t>The Company made an $8.1 million equity investment in a private company in 2021, which represented less than 5% of the outstanding equity of that company. The investment is recorded using the cost minus impairment adjusted for changes in observable prices and is included as a component of other long-term assets on the consolidated balance sheets. The Company monitors this investment to evaluate whether any increase or decline in its value has occurred, based on the implied value of recent company financings, public market prices of comparable companies and general market conditions.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198"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Finite-lived intangible assets are recorded at cost, net of accumulated amortization and, if applicable, impairment charges. Amortization of finite-lived intangible assets is recognized over their estimated useful lives on a straight-line basis. The Company reviews its finite-lived intangible assets for impairment whenever events or changes in circumstances indicate that the carrying amount of an asset may not be recoverable. The Company did not recognize any impairment losses during the three months ended March 31, 2022 and 2021.</w:t>
      </w:r>
    </w:p>
    <w:p>
      <w:pPr>
        <w:spacing w:after="0" w:line="146" w:lineRule="exact"/>
        <w:rPr>
          <w:sz w:val="20"/>
          <w:szCs w:val="20"/>
          <w:color w:val="auto"/>
        </w:rPr>
      </w:pPr>
    </w:p>
    <w:p>
      <w:pPr>
        <w:jc w:val="both"/>
        <w:ind w:right="140" w:firstLine="810"/>
        <w:spacing w:after="0" w:line="259" w:lineRule="auto"/>
        <w:rPr>
          <w:sz w:val="20"/>
          <w:szCs w:val="20"/>
          <w:color w:val="auto"/>
        </w:rPr>
      </w:pPr>
      <w:r>
        <w:rPr>
          <w:rFonts w:ascii="Arial" w:cs="Arial" w:eastAsia="Arial" w:hAnsi="Arial"/>
          <w:sz w:val="18"/>
          <w:szCs w:val="18"/>
          <w:color w:val="auto"/>
        </w:rPr>
        <w:t>In 2020, the Company acquired Sugarmate, Inc. (Sugarmate), the developer of a mobile app designed to help people visualize diabetes therapy data in innovative ways. The Sugarmate acquisition was accounted for as an acquisition of assets. Substantially all of the fair value was concentrated in a single identifiable asset, a technology-based intangible asset. The purchased intangible asset is amortized on a straight-line basis over an estimated useful life of five years.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Performance Obligations</w:t>
      </w:r>
    </w:p>
    <w:p>
      <w:pPr>
        <w:spacing w:after="0" w:line="185"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85"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 xml:space="preserve">The Company generally provides a four-year warranty on its insulin pumps to end 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utilizing historical experience. Insulin pumps returned to the Company may be refurbished and redeployed. </w:t>
      </w:r>
      <w:r>
        <w:rPr>
          <w:rFonts w:ascii="Arial" w:cs="Arial" w:eastAsia="Arial" w:hAnsi="Arial"/>
          <w:sz w:val="18"/>
          <w:szCs w:val="18"/>
          <w:color w:val="212529"/>
        </w:rPr>
        <w:t>Experience has</w:t>
      </w:r>
      <w:r>
        <w:rPr>
          <w:rFonts w:ascii="Arial" w:cs="Arial" w:eastAsia="Arial" w:hAnsi="Arial"/>
          <w:sz w:val="18"/>
          <w:szCs w:val="18"/>
          <w:color w:val="auto"/>
        </w:rPr>
        <w:t xml:space="preserve"> </w:t>
      </w:r>
      <w:r>
        <w:rPr>
          <w:rFonts w:ascii="Arial" w:cs="Arial" w:eastAsia="Arial" w:hAnsi="Arial"/>
          <w:sz w:val="18"/>
          <w:szCs w:val="18"/>
          <w:color w:val="212529"/>
        </w:rPr>
        <w:t xml:space="preserve">shown that initial data for any given pump version may be insufficient; therefore, the Company’s process relies on long-term historical averages until sufficient data are available. As actual experience becomes available, the Company uses the data to update the historical averages. </w:t>
      </w:r>
      <w:r>
        <w:rPr>
          <w:rFonts w:ascii="Arial" w:cs="Arial" w:eastAsia="Arial" w:hAnsi="Arial"/>
          <w:sz w:val="18"/>
          <w:szCs w:val="18"/>
          <w:color w:val="000000"/>
        </w:rPr>
        <w:t>The Company may make</w:t>
      </w:r>
      <w:r>
        <w:rPr>
          <w:rFonts w:ascii="Arial" w:cs="Arial" w:eastAsia="Arial" w:hAnsi="Arial"/>
          <w:sz w:val="18"/>
          <w:szCs w:val="18"/>
          <w:color w:val="212529"/>
        </w:rPr>
        <w:t xml:space="preserve"> </w:t>
      </w:r>
      <w:r>
        <w:rPr>
          <w:rFonts w:ascii="Arial" w:cs="Arial" w:eastAsia="Arial" w:hAnsi="Arial"/>
          <w:sz w:val="18"/>
          <w:szCs w:val="18"/>
          <w:color w:val="000000"/>
        </w:rPr>
        <w:t>further adjustments to the 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ind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three months ended March 31, 2022 and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warranty estimates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the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00" w:firstLine="810"/>
        <w:spacing w:after="0" w:line="277" w:lineRule="auto"/>
        <w:rPr>
          <w:sz w:val="20"/>
          <w:szCs w:val="20"/>
          <w:color w:val="auto"/>
        </w:rPr>
      </w:pPr>
      <w:r>
        <w:rPr>
          <w:rFonts w:ascii="Arial" w:cs="Arial" w:eastAsia="Arial" w:hAnsi="Arial"/>
          <w:sz w:val="18"/>
          <w:szCs w:val="18"/>
          <w:color w:val="auto"/>
        </w:rPr>
        <w:t>As of March 31, 2022 and December 31, 2021, total product warranty reserves were included in the following consolidated balance sheet accounts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r>
      <w:tr>
        <w:trPr>
          <w:trHeight w:val="248"/>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Company’s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is estimated based on the fair market value of the underlying stock on the date of grant and the probability that the specified performance criteria will be met, subject to the awardee’s continuing service through the measurement date. At each reporting period, the Company reassesses the probability of the achievement of such performance metrics. Any expense change resulting from an adjustment in the estimated shares to be released is recorded in the period of adjustment.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98"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outstanding for the period, without consideration for common stock equivalents. Diluted net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For common stock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18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For the three months ended March 31, 2022 and 2021, there was no difference in the weighted average number of shares used to calculate basic and diluted net loss per share due to the Company’s net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0" w:name="page11"/>
    <w:bookmarkEnd w:id="10"/>
    <w:p>
      <w:pPr>
        <w:ind w:right="420" w:firstLine="810"/>
        <w:spacing w:after="0" w:line="261" w:lineRule="auto"/>
        <w:rPr>
          <w:sz w:val="20"/>
          <w:szCs w:val="20"/>
          <w:color w:val="auto"/>
        </w:rPr>
      </w:pPr>
      <w:r>
        <w:rPr>
          <w:rFonts w:ascii="Arial" w:cs="Arial" w:eastAsia="Arial" w:hAnsi="Arial"/>
          <w:sz w:val="18"/>
          <w:szCs w:val="18"/>
          <w:color w:val="auto"/>
        </w:rPr>
        <w:t>Potentially dilutive securities outstanding and not included in the calculation of diluted net loss per share (because inclusion would be anti-dilutive) are as follows (in thousands, in common stock equivalent shares):</w:t>
      </w:r>
    </w:p>
    <w:p>
      <w:pPr>
        <w:spacing w:after="0" w:line="86"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Three Months Ended</w:t>
      </w:r>
    </w:p>
    <w:p>
      <w:pPr>
        <w:jc w:val="center"/>
        <w:ind w:left="808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r>
      <w:tr>
        <w:trPr>
          <w:trHeight w:val="22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Awards granted under the ESPP</w:t>
            </w: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23"/>
        </w:trPr>
        <w:tc>
          <w:tcPr>
            <w:tcW w:w="8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w:t>
            </w: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In June 2020, the FASB issued ASU No. 2020-06, </w:t>
      </w:r>
      <w:r>
        <w:rPr>
          <w:rFonts w:ascii="Arial" w:cs="Arial" w:eastAsia="Arial" w:hAnsi="Arial"/>
          <w:sz w:val="18"/>
          <w:szCs w:val="18"/>
          <w:i w:val="1"/>
          <w:iCs w:val="1"/>
          <w:color w:val="auto"/>
        </w:rPr>
        <w:t>Accounting for Convertible Instruments and Contracts in</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an Entity’s Own Equity</w:t>
      </w:r>
      <w:r>
        <w:rPr>
          <w:rFonts w:ascii="Arial" w:cs="Arial" w:eastAsia="Arial" w:hAnsi="Arial"/>
          <w:sz w:val="16"/>
          <w:szCs w:val="16"/>
          <w:color w:val="auto"/>
        </w:rPr>
        <w:t>, which is intended to simplify the accounting for convertible instruments. This new guidance eliminated certain models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accounting for embedded conversion features, and eliminated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could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 within those fiscal years. The Company elected to early adopt the new standard on January 1, 2021 using the modified retrospective method and, accordingly, recorded a net reduction to accumulated deficit of $9.0 million, a decrease to additional paid-in capital of $85.8 million, and an increase to convertible senior notes, net - long-term of $76.8 million to reflect the impact of the accounting change (see Note 7, “Debt”).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02"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March 31, 2022 and December 31, 2021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March 31, 2022</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296,072</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293,685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222,206</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contractual maturities of available-for-sale debt securities as of March 31, 2022, were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4"/>
          </w:tcPr>
          <w:p>
            <w:pPr>
              <w:jc w:val="right"/>
              <w:ind w:right="1273"/>
              <w:spacing w:after="0"/>
              <w:rPr>
                <w:sz w:val="20"/>
                <w:szCs w:val="20"/>
                <w:color w:val="auto"/>
              </w:rPr>
            </w:pPr>
            <w:r>
              <w:rPr>
                <w:rFonts w:ascii="Arial" w:cs="Arial" w:eastAsia="Arial" w:hAnsi="Arial"/>
                <w:sz w:val="14"/>
                <w:szCs w:val="14"/>
                <w:b w:val="1"/>
                <w:bCs w:val="1"/>
                <w:color w:val="auto"/>
              </w:rPr>
              <w:t>Years to Maturity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At March 31, 2022</w:t>
            </w:r>
          </w:p>
        </w:tc>
        <w:tc>
          <w:tcPr>
            <w:tcW w:w="26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Within One Year</w:t>
            </w: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One to Two Years</w:t>
            </w:r>
          </w:p>
        </w:tc>
        <w:tc>
          <w:tcPr>
            <w:tcW w:w="200" w:type="dxa"/>
            <w:vAlign w:val="bottom"/>
          </w:tcPr>
          <w:p>
            <w:pPr>
              <w:spacing w:after="0"/>
              <w:rPr>
                <w:sz w:val="14"/>
                <w:szCs w:val="14"/>
                <w:color w:val="auto"/>
              </w:rPr>
            </w:pPr>
          </w:p>
        </w:tc>
        <w:tc>
          <w:tcPr>
            <w:tcW w:w="166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Estimated 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293,685</w:t>
            </w:r>
          </w:p>
        </w:tc>
      </w:tr>
      <w:tr>
        <w:trPr>
          <w:trHeight w:val="230"/>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156,711</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51,459</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U.S. Government-sponsored enterprises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36,855</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bonds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541,710</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810"/>
        <w:spacing w:after="0" w:line="261"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98" w:lineRule="exact"/>
        <w:rPr>
          <w:sz w:val="20"/>
          <w:szCs w:val="20"/>
          <w:color w:val="auto"/>
        </w:rPr>
      </w:pPr>
    </w:p>
    <w:p>
      <w:pPr>
        <w:ind w:right="160" w:firstLine="810"/>
        <w:spacing w:after="0" w:line="255" w:lineRule="auto"/>
        <w:rPr>
          <w:sz w:val="20"/>
          <w:szCs w:val="20"/>
          <w:color w:val="auto"/>
        </w:rPr>
      </w:pPr>
      <w:r>
        <w:rPr>
          <w:rFonts w:ascii="Arial" w:cs="Arial" w:eastAsia="Arial" w:hAnsi="Arial"/>
          <w:sz w:val="17"/>
          <w:szCs w:val="17"/>
          <w:color w:val="auto"/>
        </w:rPr>
        <w:t>The Company reviews the portfolio of available-for-sale debt securities quarterly to determine if any investment is impaired due to changes in credit risk or other potential valuation concerns. Unrealized losses on available-for-sale debt securities at March 31, 2022 were primarily due to the recent increase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recognize any impairment losses related to its available-for-sale debt securities at March 31,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Composition of Certain Financial Statement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net consisted of the following at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Arial" w:cs="Arial" w:eastAsia="Arial" w:hAnsi="Arial"/>
                <w:sz w:val="16"/>
                <w:szCs w:val="16"/>
                <w:b w:val="1"/>
                <w:bCs w:val="1"/>
                <w:color w:val="auto"/>
                <w:w w:val="92"/>
              </w:rPr>
              <w:t>December 31, 2021</w:t>
            </w:r>
          </w:p>
        </w:tc>
      </w:tr>
      <w:tr>
        <w:trPr>
          <w:trHeight w:val="226"/>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98,477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114,974</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94"/>
              </w:rPr>
              <w:t>(4,344)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94,133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right="56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the allowance for estimated accounts receivable credit losses for the three months ended March 31, 2022 and 2021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808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Inventories consisted of the following at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w w:val="90"/>
              </w:rPr>
              <w:t>December 31, 2021</w:t>
            </w:r>
          </w:p>
        </w:tc>
      </w:tr>
      <w:tr>
        <w:trPr>
          <w:trHeight w:val="226"/>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26,911</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16,612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w:t>
            </w: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68,551</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08" w:lineRule="exact"/>
        <w:rPr>
          <w:sz w:val="20"/>
          <w:szCs w:val="20"/>
          <w:color w:val="auto"/>
        </w:rPr>
      </w:pPr>
    </w:p>
    <w:p>
      <w:pPr>
        <w:ind w:left="1000" w:right="260" w:hanging="971"/>
        <w:spacing w:after="0" w:line="235"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54" w:lineRule="exact"/>
        <w:rPr>
          <w:sz w:val="20"/>
          <w:szCs w:val="20"/>
          <w:color w:val="auto"/>
        </w:rPr>
      </w:pPr>
    </w:p>
    <w:p>
      <w:pPr>
        <w:ind w:left="1000" w:right="80" w:hanging="971"/>
        <w:spacing w:after="0" w:line="235"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54" w:lineRule="exact"/>
        <w:rPr>
          <w:sz w:val="20"/>
          <w:szCs w:val="20"/>
          <w:color w:val="auto"/>
        </w:rPr>
      </w:pPr>
    </w:p>
    <w:p>
      <w:pPr>
        <w:ind w:left="1000" w:right="600" w:hanging="971"/>
        <w:spacing w:after="0" w:line="235" w:lineRule="auto"/>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56"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March 31, 2022 and December 31, 2021, and indicates the fair value hierarchy of the valuation techniques utilized by the Company to determine such fair value (in thousands):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44,905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44,905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156,711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586,615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Common stock warrants</w:t>
            </w:r>
            <w:r>
              <w:rPr>
                <w:rFonts w:ascii="Arial" w:cs="Arial" w:eastAsia="Arial" w:hAnsi="Arial"/>
                <w:sz w:val="23"/>
                <w:szCs w:val="23"/>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48"/>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82"/>
        </w:trPr>
        <w:tc>
          <w:tcPr>
            <w:tcW w:w="5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600,916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Common stock warrants</w:t>
            </w:r>
            <w:r>
              <w:rPr>
                <w:rFonts w:ascii="Arial" w:cs="Arial" w:eastAsia="Arial" w:hAnsi="Arial"/>
                <w:sz w:val="23"/>
                <w:szCs w:val="23"/>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Generally, cash equivalents include money market funds and investments with a maturity of three months or less from the date of purchase.</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other current liabilities on the Company’s condensed consolidated balance sheets.</w:t>
      </w:r>
    </w:p>
    <w:p>
      <w:pPr>
        <w:spacing w:after="0" w:line="211"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46"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color w:val="auto"/>
        </w:rPr>
        <w:t>The Company's Level 3 liabilities at March 31, 2022 and December 31, 2021 included the remaining Series A warrants issued by the Company in connection with the public offering of common stock in October 2017. The Series A warrants, which expire in October 2022, provide holders the right to purchase shares of the Company’s common stock at an exercise price of $3.50 per share. As of March 31, 2022 and December 31, 2021, there were Series A warrants outstanding to purchase 1,000 shares of the Company’s common stock (see Note 8, “Stockholders’ Equity”).</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14" w:name="page15"/>
    <w:bookmarkEnd w:id="14"/>
    <w:p>
      <w:pPr>
        <w:ind w:right="160" w:firstLine="810"/>
        <w:spacing w:after="0" w:line="296" w:lineRule="auto"/>
        <w:rPr>
          <w:sz w:val="20"/>
          <w:szCs w:val="20"/>
          <w:color w:val="auto"/>
        </w:rPr>
      </w:pPr>
      <w:r>
        <w:rPr>
          <w:rFonts w:ascii="Arial" w:cs="Arial" w:eastAsia="Arial" w:hAnsi="Arial"/>
          <w:sz w:val="16"/>
          <w:szCs w:val="16"/>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as well as estimated stock price volatility, dividend yield, remaining warrant term and risk-free interest rate.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March 31, 2022 and December 31, 2021 are presented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tcPr>
          <w:p>
            <w:pPr>
              <w:spacing w:after="0"/>
              <w:rPr>
                <w:sz w:val="18"/>
                <w:szCs w:val="18"/>
                <w:color w:val="auto"/>
              </w:rPr>
            </w:pPr>
          </w:p>
        </w:tc>
        <w:tc>
          <w:tcPr>
            <w:tcW w:w="3900" w:type="dxa"/>
            <w:vAlign w:val="bottom"/>
            <w:tcBorders>
              <w:bottom w:val="single" w:sz="8" w:color="auto"/>
            </w:tcBorders>
            <w:gridSpan w:val="3"/>
          </w:tcPr>
          <w:p>
            <w:pPr>
              <w:jc w:val="right"/>
              <w:ind w:right="1232"/>
              <w:spacing w:after="0"/>
              <w:rPr>
                <w:sz w:val="20"/>
                <w:szCs w:val="20"/>
                <w:color w:val="auto"/>
              </w:rPr>
            </w:pPr>
            <w:r>
              <w:rPr>
                <w:rFonts w:ascii="Arial" w:cs="Arial" w:eastAsia="Arial" w:hAnsi="Arial"/>
                <w:sz w:val="16"/>
                <w:szCs w:val="16"/>
                <w:b w:val="1"/>
                <w:bCs w:val="1"/>
                <w:color w:val="auto"/>
              </w:rPr>
              <w:t>Series A Warrants</w:t>
            </w:r>
          </w:p>
        </w:tc>
      </w:tr>
      <w:tr>
        <w:trPr>
          <w:trHeight w:val="210"/>
        </w:trPr>
        <w:tc>
          <w:tcPr>
            <w:tcW w:w="7340" w:type="dxa"/>
            <w:vAlign w:val="bottom"/>
          </w:tcPr>
          <w:p>
            <w:pPr>
              <w:spacing w:after="0"/>
              <w:rPr>
                <w:sz w:val="18"/>
                <w:szCs w:val="18"/>
                <w:color w:val="auto"/>
              </w:rPr>
            </w:pPr>
          </w:p>
        </w:tc>
        <w:tc>
          <w:tcPr>
            <w:tcW w:w="200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 2022</w:t>
            </w:r>
          </w:p>
        </w:tc>
        <w:tc>
          <w:tcPr>
            <w:tcW w:w="190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8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(Gain) loss recognized from the change in fair value of common stock warrants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exercised during the period</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w:t>
            </w:r>
          </w:p>
        </w:tc>
      </w:tr>
      <w:tr>
        <w:trPr>
          <w:trHeight w:val="21"/>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assets on the Company’s condensed consolidated balance sheets. The Company is required to recognize operating lease right-of-use assets and liabilities, and begin recording lease expense when the Company takes possession of the leased property (the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 The Company used the incremental borrowing rate on January 1, 2019 for operating leases that commenced prior to that date.</w:t>
      </w:r>
    </w:p>
    <w:p>
      <w:pPr>
        <w:spacing w:after="0" w:line="125"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Sorrento Lease</w:t>
      </w:r>
    </w:p>
    <w:p>
      <w:pPr>
        <w:spacing w:after="0" w:line="198"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In March 2021, the Company entered into a second amendment (Second Amendment) to its lease agreement for office space located on Vista Sorrento Parkway in San Diego, California (Vista Sorrento Lease) covering 59,013 square feet of general administrative office space (Existing Premises). The Second Amendment expanded the Existing Premises by adding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right-of-use leased assets and corresponding operating lease liabilities of $15.1 million on the consolidated balance sheet in the first quarter of 2021 related to the Second Amendment.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Tech Center Lease</w:t>
      </w:r>
    </w:p>
    <w:p>
      <w:pPr>
        <w:spacing w:after="0" w:line="198"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In September 2021, the Company entered into a lease agreement for 181,949 square feet of additional general administrative, laboratory, and research and development office space (the Premises) located on High Bluff Drive in San Diego, California (Tech Center Lease). Possession of the Premises is expected to be tendered to the Company by the landlord in two phases, with Phase I consisting of 143,850 rentable square feet, and Phase II consisting of 38,099 rentable square feet. The Company intends to use Phase I of the Tech Center Lease for operations currently occupying 77,458 square feet of leased space, located on Roselle Street in San Diego, California, that is scheduled to expire in May 2023.</w:t>
      </w:r>
    </w:p>
    <w:p>
      <w:pPr>
        <w:spacing w:after="0" w:line="121"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The initial lease term Phase I Commencement Date occurred in March 2022 when the Company was tendered possession of the Phase I portion of the Premises, and rent payments commence in September 2022 (the Phase I Rent Commencement Date). The Phase II Commencement Date is expected to occur upon the earlier of (i) the date upon which the Company first commences business in the Phase II portion of the Premises, and (ii) May 1, 2025 (the Phase II Rent Commencement Date). The Tech Center Lease term expires in April 2035. The Company has two options to extend the term of the lease, with each option providing for an additional period of five years. The Tech Center Lease term was determined assuming the renewal options would not be exercised.</w:t>
      </w:r>
    </w:p>
    <w:p>
      <w:pPr>
        <w:spacing w:after="0" w:line="152" w:lineRule="exact"/>
        <w:rPr>
          <w:sz w:val="20"/>
          <w:szCs w:val="20"/>
          <w:color w:val="auto"/>
        </w:rPr>
      </w:pPr>
    </w:p>
    <w:p>
      <w:pPr>
        <w:ind w:right="80" w:firstLine="810"/>
        <w:spacing w:after="0" w:line="311" w:lineRule="auto"/>
        <w:rPr>
          <w:sz w:val="20"/>
          <w:szCs w:val="20"/>
          <w:color w:val="auto"/>
        </w:rPr>
      </w:pPr>
      <w:r>
        <w:rPr>
          <w:rFonts w:ascii="Arial" w:cs="Arial" w:eastAsia="Arial" w:hAnsi="Arial"/>
          <w:sz w:val="16"/>
          <w:szCs w:val="16"/>
          <w:color w:val="auto"/>
        </w:rPr>
        <w:t>The Tech Center Lease also includes a first right of offer with respect to an additional 34,569 rentable square feet of general office space should the space become available. The lease term and associated base rent for the additional space will not be known until the Company is notified that the additional space has become available, and the Company elects to lease the space on terms mutually satisfactory to the Company and the landlord.</w:t>
      </w:r>
    </w:p>
    <w:p>
      <w:pPr>
        <w:spacing w:after="0" w:line="122"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The initial base rent for the Tech Center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right-of-use leased assets and corresponding operating lease liabilities of $107.5 million on the consolidated balance sheet on the Phase I Commencement Date in the first quarter of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Lease Disclosure Information</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costs recorded in the condensed consolidated statements of operations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6" w:name="page17"/>
    <w:bookmarkEnd w:id="16"/>
    <w:p>
      <w:pPr>
        <w:ind w:left="820"/>
        <w:spacing w:after="0"/>
        <w:rPr>
          <w:sz w:val="20"/>
          <w:szCs w:val="20"/>
          <w:color w:val="auto"/>
        </w:rPr>
      </w:pPr>
      <w:r>
        <w:rPr>
          <w:rFonts w:ascii="Arial" w:cs="Arial" w:eastAsia="Arial" w:hAnsi="Arial"/>
          <w:sz w:val="18"/>
          <w:szCs w:val="18"/>
          <w:color w:val="auto"/>
        </w:rPr>
        <w:t>Maturities of operating lease liabilities at March 31, 2022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880" w:type="dxa"/>
            <w:vAlign w:val="bottom"/>
            <w:shd w:val="clear" w:color="auto" w:fill="CCEEFF"/>
          </w:tcPr>
          <w:p>
            <w:pPr>
              <w:spacing w:after="0"/>
              <w:rPr>
                <w:sz w:val="20"/>
                <w:szCs w:val="20"/>
                <w:color w:val="auto"/>
              </w:rPr>
            </w:pPr>
          </w:p>
        </w:tc>
        <w:tc>
          <w:tcPr>
            <w:tcW w:w="120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12,805</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17,475</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17,528</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120,235</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191,487</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(54,212)</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137,275</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129,195</w:t>
            </w: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r>
      <w:tr>
        <w:trPr>
          <w:trHeight w:val="460"/>
        </w:trPr>
        <w:tc>
          <w:tcPr>
            <w:tcW w:w="9400" w:type="dxa"/>
            <w:vAlign w:val="bottom"/>
            <w:gridSpan w:val="5"/>
          </w:tcPr>
          <w:p>
            <w:pPr>
              <w:ind w:left="820"/>
              <w:spacing w:after="0"/>
              <w:rPr>
                <w:sz w:val="20"/>
                <w:szCs w:val="20"/>
                <w:color w:val="auto"/>
              </w:rPr>
            </w:pPr>
            <w:r>
              <w:rPr>
                <w:rFonts w:ascii="Arial" w:cs="Arial" w:eastAsia="Arial" w:hAnsi="Arial"/>
                <w:sz w:val="18"/>
                <w:szCs w:val="18"/>
                <w:color w:val="212529"/>
                <w:w w:val="91"/>
              </w:rPr>
              <w:t>The weighted-average remaining lease term and weighted-average discount rate for operating leases were as follows:</w:t>
            </w:r>
          </w:p>
        </w:tc>
        <w:tc>
          <w:tcPr>
            <w:tcW w:w="1840" w:type="dxa"/>
            <w:vAlign w:val="bottom"/>
          </w:tcPr>
          <w:p>
            <w:pPr>
              <w:spacing w:after="0"/>
              <w:rPr>
                <w:sz w:val="24"/>
                <w:szCs w:val="24"/>
                <w:color w:val="auto"/>
              </w:rPr>
            </w:pPr>
          </w:p>
        </w:tc>
      </w:tr>
      <w:tr>
        <w:trPr>
          <w:trHeight w:val="416"/>
        </w:trPr>
        <w:tc>
          <w:tcPr>
            <w:tcW w:w="6980" w:type="dxa"/>
            <w:vAlign w:val="bottom"/>
          </w:tcPr>
          <w:p>
            <w:pPr>
              <w:spacing w:after="0"/>
              <w:rPr>
                <w:sz w:val="24"/>
                <w:szCs w:val="24"/>
                <w:color w:val="auto"/>
              </w:rPr>
            </w:pPr>
          </w:p>
        </w:tc>
        <w:tc>
          <w:tcPr>
            <w:tcW w:w="2420" w:type="dxa"/>
            <w:vAlign w:val="bottom"/>
            <w:gridSpan w:val="4"/>
          </w:tcPr>
          <w:p>
            <w:pPr>
              <w:ind w:left="520"/>
              <w:spacing w:after="0"/>
              <w:rPr>
                <w:sz w:val="20"/>
                <w:szCs w:val="20"/>
                <w:color w:val="auto"/>
              </w:rPr>
            </w:pPr>
            <w:r>
              <w:rPr>
                <w:rFonts w:ascii="Arial" w:cs="Arial" w:eastAsia="Arial" w:hAnsi="Arial"/>
                <w:sz w:val="16"/>
                <w:szCs w:val="16"/>
                <w:b w:val="1"/>
                <w:bCs w:val="1"/>
                <w:color w:val="auto"/>
              </w:rPr>
              <w:t>March 31, 2022</w:t>
            </w:r>
          </w:p>
        </w:tc>
        <w:tc>
          <w:tcPr>
            <w:tcW w:w="18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December 31, 2021</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5.6 %</w:t>
            </w:r>
          </w:p>
        </w:tc>
      </w:tr>
    </w:tbl>
    <w:p>
      <w:pPr>
        <w:spacing w:after="0" w:line="322" w:lineRule="exact"/>
        <w:rPr>
          <w:sz w:val="20"/>
          <w:szCs w:val="20"/>
          <w:color w:val="auto"/>
        </w:rPr>
      </w:pPr>
    </w:p>
    <w:p>
      <w:pPr>
        <w:ind w:right="880" w:firstLine="810"/>
        <w:spacing w:after="0" w:line="288"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 $3.4 million and $2.3 million for the three months ended March 31, 2022 and 2021, respectively</w:t>
      </w:r>
      <w:r>
        <w:rPr>
          <w:rFonts w:ascii="Arial" w:cs="Arial" w:eastAsia="Arial" w:hAnsi="Arial"/>
          <w:sz w:val="21"/>
          <w:szCs w:val="21"/>
          <w:color w:val="008080"/>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For Which Accounting Has Not Yet Commenced</w:t>
      </w:r>
    </w:p>
    <w:p>
      <w:pPr>
        <w:spacing w:after="0" w:line="225"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As of March 31, 2022, the Commencement Date for the High Bluff Lease described below, and Phase II of the Tech Center Lease, had not yet occurred. Accordingly, the condensed consolidated balance sheet at March 31, 2022 does not include operating lease right-of-use assets and operating lease liabilities, and the condensed consolidated statement of operations for the three months ended March 31, 2022 does not include any lease costs, related to the High Bluff Lease and Phase II of the Tech Center Lease. In addition, the above disclosures of the Company’s lease costs, maturities of operating lease liabilities, and the weighted-average remaining lease term and weighted-average discount rate, do not include any amounts related to the High Bluff Lease and Phase II of the Tech Center Lease.</w:t>
      </w:r>
    </w:p>
    <w:p>
      <w:pPr>
        <w:spacing w:after="0" w:line="19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High Bluff Lease</w:t>
      </w:r>
    </w:p>
    <w:p>
      <w:pPr>
        <w:spacing w:after="0" w:line="225" w:lineRule="exact"/>
        <w:rPr>
          <w:sz w:val="20"/>
          <w:szCs w:val="20"/>
          <w:color w:val="auto"/>
        </w:rPr>
      </w:pPr>
    </w:p>
    <w:p>
      <w:pPr>
        <w:ind w:right="220" w:firstLine="810"/>
        <w:spacing w:after="0" w:line="275" w:lineRule="auto"/>
        <w:rPr>
          <w:sz w:val="20"/>
          <w:szCs w:val="20"/>
          <w:color w:val="auto"/>
        </w:rPr>
      </w:pPr>
      <w:r>
        <w:rPr>
          <w:rFonts w:ascii="Arial" w:cs="Arial" w:eastAsia="Arial" w:hAnsi="Arial"/>
          <w:sz w:val="17"/>
          <w:szCs w:val="17"/>
          <w:color w:val="auto"/>
        </w:rPr>
        <w:t>In May 2021, the Company entered into a lease agreement for approximately 31,372 square feet of general office space located on High Bluff Drive, in San Diego, California (High Bluff Lease). The High Bluff Lease is a direct lease agreement for the same property subject to the High Bluff sublease. The lease term begins in April 2022 following the termination of the High Bluff sublease in March 2022, and is scheduled to expire in March 2024. The Company expects to recognize right-of-use leased assets and corresponding operating lease liabilities of approximately $3.0 million on the consolidated balance sheet on the Commencement Date in the second quarter of 2022.</w:t>
      </w:r>
    </w:p>
    <w:p>
      <w:pPr>
        <w:spacing w:after="0" w:line="13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Tech Center Lease - Phase II</w:t>
      </w:r>
    </w:p>
    <w:p>
      <w:pPr>
        <w:spacing w:after="0" w:line="185" w:lineRule="exact"/>
        <w:rPr>
          <w:sz w:val="20"/>
          <w:szCs w:val="20"/>
          <w:color w:val="auto"/>
        </w:rPr>
      </w:pPr>
    </w:p>
    <w:p>
      <w:pPr>
        <w:jc w:val="both"/>
        <w:ind w:right="40" w:firstLine="810"/>
        <w:spacing w:after="0" w:line="287" w:lineRule="auto"/>
        <w:rPr>
          <w:sz w:val="20"/>
          <w:szCs w:val="20"/>
          <w:color w:val="auto"/>
        </w:rPr>
      </w:pPr>
      <w:r>
        <w:rPr>
          <w:rFonts w:ascii="Arial" w:cs="Arial" w:eastAsia="Arial" w:hAnsi="Arial"/>
          <w:sz w:val="16"/>
          <w:szCs w:val="16"/>
          <w:color w:val="auto"/>
        </w:rPr>
        <w:t>The Company currently estimates that Phase II Commencement Date will occur in the first quarter of 2025, at which time the Phase II operating lease right-of-use assets and liabilities will be recorded. Future minimum payments for monthly base rent due under Phase II of the Tech Center Lease, are currently estimated to total $34.7 million from 2025 through 2035, subject to a number of factors, including the actual Commencement Date of Phase II.</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Because the incremental borrowing rate will not be available until the Phase II Commencement Date, we are not yet able to determine the Phase II operating lease right-of-use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5"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spacing w:after="0" w:line="214"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11"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The Company expects to settle conversions through a combination settlement, which involves payment in cash equal to the principal portion and delivery of shares of common stock for the excess of the conversion value over the principal portion.</w:t>
      </w:r>
    </w:p>
    <w:p>
      <w:pPr>
        <w:spacing w:after="0" w:line="219"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215"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prior to November 1, 2024, in multiples of $1,000 principal amounts, only under the following circumstances:</w:t>
      </w:r>
    </w:p>
    <w:p>
      <w:pPr>
        <w:spacing w:after="0" w:line="197" w:lineRule="exact"/>
        <w:rPr>
          <w:sz w:val="20"/>
          <w:szCs w:val="20"/>
          <w:color w:val="auto"/>
        </w:rPr>
      </w:pPr>
    </w:p>
    <w:p>
      <w:pPr>
        <w:ind w:left="1300" w:right="100" w:hanging="482"/>
        <w:spacing w:after="0" w:line="263"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210" w:lineRule="exact"/>
        <w:rPr>
          <w:rFonts w:ascii="Arial" w:cs="Arial" w:eastAsia="Arial" w:hAnsi="Arial"/>
          <w:sz w:val="18"/>
          <w:szCs w:val="18"/>
          <w:color w:val="auto"/>
        </w:rPr>
      </w:pPr>
    </w:p>
    <w:p>
      <w:pPr>
        <w:ind w:left="1300" w:hanging="482"/>
        <w:spacing w:after="0" w:line="286"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40" w:hanging="482"/>
        <w:spacing w:after="0" w:line="27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52"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97"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8" w:name="page19"/>
    <w:bookmarkEnd w:id="18"/>
    <w:p>
      <w:pPr>
        <w:ind w:left="820"/>
        <w:spacing w:after="0"/>
        <w:rPr>
          <w:sz w:val="20"/>
          <w:szCs w:val="20"/>
          <w:color w:val="auto"/>
        </w:rPr>
      </w:pPr>
      <w:r>
        <w:rPr>
          <w:rFonts w:ascii="Arial" w:cs="Arial" w:eastAsia="Arial" w:hAnsi="Arial"/>
          <w:sz w:val="18"/>
          <w:szCs w:val="18"/>
          <w:color w:val="auto"/>
        </w:rPr>
        <w:t>The net carrying amount of the Notes on the condensed consolidated balance sheets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r>
      <w:tr>
        <w:trPr>
          <w:trHeight w:val="229"/>
        </w:trPr>
        <w:tc>
          <w:tcPr>
            <w:tcW w:w="72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r>
      <w:tr>
        <w:trPr>
          <w:trHeight w:val="248"/>
        </w:trPr>
        <w:tc>
          <w:tcPr>
            <w:tcW w:w="7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carrying amount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281,905</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281,467</w:t>
            </w:r>
          </w:p>
        </w:tc>
      </w:tr>
      <w:tr>
        <w:trPr>
          <w:trHeight w:val="20"/>
        </w:trPr>
        <w:tc>
          <w:tcPr>
            <w:tcW w:w="7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of March 31, 2022, the unamortized debt issuance costs of $5.6 million associated with the Notes will be amortized to interest expense, at an effective interest rate of 2.2% over the remaining period of approximately three years.</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details interest expense recognized related to the Notes for the three months ended March 31, 2022 and 2021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18"/>
                <w:szCs w:val="18"/>
                <w:color w:val="auto"/>
              </w:rPr>
            </w:pPr>
          </w:p>
        </w:tc>
        <w:tc>
          <w:tcPr>
            <w:tcW w:w="1680" w:type="dxa"/>
            <w:vAlign w:val="bottom"/>
          </w:tcPr>
          <w:p>
            <w:pPr>
              <w:jc w:val="right"/>
              <w:ind w:right="352"/>
              <w:spacing w:after="0"/>
              <w:rPr>
                <w:sz w:val="20"/>
                <w:szCs w:val="20"/>
                <w:color w:val="auto"/>
              </w:rPr>
            </w:pPr>
            <w:r>
              <w:rPr>
                <w:rFonts w:ascii="Arial" w:cs="Arial" w:eastAsia="Arial" w:hAnsi="Arial"/>
                <w:sz w:val="16"/>
                <w:szCs w:val="16"/>
                <w:b w:val="1"/>
                <w:bCs w:val="1"/>
                <w:color w:val="auto"/>
              </w:rPr>
              <w:t>March 31, 2021</w:t>
            </w:r>
          </w:p>
        </w:tc>
      </w:tr>
      <w:tr>
        <w:trPr>
          <w:trHeight w:val="22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48"/>
        </w:trPr>
        <w:tc>
          <w:tcPr>
            <w:tcW w:w="7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The Notes will have a dilutive effect to the extent the average market price per share of common stock for a given reporting period exceeds the conversion price of $112.57. As of March 31, 2022, the if-converted value of the Notes exceeded the principal amount by $9.5 million. As of December 31, 2021, the if-converted value of the Notes exceeded the principal amount by $96.9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219"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8. Stockholders’ Equity</w:t>
            </w:r>
          </w:p>
        </w:tc>
        <w:tc>
          <w:tcPr>
            <w:tcW w:w="1340" w:type="dxa"/>
            <w:vAlign w:val="bottom"/>
          </w:tcPr>
          <w:p>
            <w:pPr>
              <w:spacing w:after="0"/>
              <w:rPr>
                <w:sz w:val="20"/>
                <w:szCs w:val="20"/>
                <w:color w:val="auto"/>
              </w:rPr>
            </w:pPr>
          </w:p>
        </w:tc>
      </w:tr>
      <w:tr>
        <w:trPr>
          <w:trHeight w:val="405"/>
        </w:trPr>
        <w:tc>
          <w:tcPr>
            <w:tcW w:w="9880" w:type="dxa"/>
            <w:vAlign w:val="bottom"/>
          </w:tcPr>
          <w:p>
            <w:pPr>
              <w:spacing w:after="0"/>
              <w:rPr>
                <w:sz w:val="20"/>
                <w:szCs w:val="20"/>
                <w:color w:val="auto"/>
              </w:rPr>
            </w:pPr>
            <w:r>
              <w:rPr>
                <w:rFonts w:ascii="Arial" w:cs="Arial" w:eastAsia="Arial" w:hAnsi="Arial"/>
                <w:sz w:val="18"/>
                <w:szCs w:val="18"/>
                <w:b w:val="1"/>
                <w:bCs w:val="1"/>
                <w:i w:val="1"/>
                <w:iCs w:val="1"/>
                <w:color w:val="auto"/>
              </w:rPr>
              <w:t>Shares Reserved for Future Issuance</w:t>
            </w:r>
          </w:p>
        </w:tc>
        <w:tc>
          <w:tcPr>
            <w:tcW w:w="1340" w:type="dxa"/>
            <w:vAlign w:val="bottom"/>
          </w:tcPr>
          <w:p>
            <w:pPr>
              <w:spacing w:after="0"/>
              <w:rPr>
                <w:sz w:val="24"/>
                <w:szCs w:val="24"/>
                <w:color w:val="auto"/>
              </w:rPr>
            </w:pPr>
          </w:p>
        </w:tc>
      </w:tr>
      <w:tr>
        <w:trPr>
          <w:trHeight w:val="392"/>
        </w:trPr>
        <w:tc>
          <w:tcPr>
            <w:tcW w:w="9880" w:type="dxa"/>
            <w:vAlign w:val="bottom"/>
          </w:tcPr>
          <w:p>
            <w:pPr>
              <w:ind w:left="820"/>
              <w:spacing w:after="0"/>
              <w:rPr>
                <w:sz w:val="20"/>
                <w:szCs w:val="20"/>
                <w:color w:val="auto"/>
              </w:rPr>
            </w:pPr>
            <w:r>
              <w:rPr>
                <w:rFonts w:ascii="Arial" w:cs="Arial" w:eastAsia="Arial" w:hAnsi="Arial"/>
                <w:sz w:val="18"/>
                <w:szCs w:val="18"/>
                <w:color w:val="auto"/>
                <w:w w:val="92"/>
              </w:rPr>
              <w:t>The following shares of the Company's common stock were reserved for future issuance at March 31, 2022 (in thousands):</w:t>
            </w:r>
          </w:p>
        </w:tc>
        <w:tc>
          <w:tcPr>
            <w:tcW w:w="1340" w:type="dxa"/>
            <w:vAlign w:val="bottom"/>
          </w:tcPr>
          <w:p>
            <w:pPr>
              <w:spacing w:after="0"/>
              <w:rPr>
                <w:sz w:val="24"/>
                <w:szCs w:val="24"/>
                <w:color w:val="auto"/>
              </w:rPr>
            </w:pPr>
          </w:p>
        </w:tc>
      </w:tr>
      <w:tr>
        <w:trPr>
          <w:trHeight w:val="121"/>
        </w:trPr>
        <w:tc>
          <w:tcPr>
            <w:tcW w:w="98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issuance upon conversion of Convertible Senior Notes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outstanding warrants</w:t>
            </w:r>
          </w:p>
        </w:tc>
        <w:tc>
          <w:tcPr>
            <w:tcW w:w="13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r>
      <w:tr>
        <w:trPr>
          <w:trHeight w:val="248"/>
        </w:trPr>
        <w:tc>
          <w:tcPr>
            <w:tcW w:w="9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March 31, 2022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ind w:left="2120"/>
              <w:spacing w:after="0"/>
              <w:rPr>
                <w:sz w:val="20"/>
                <w:szCs w:val="20"/>
                <w:color w:val="auto"/>
              </w:rPr>
            </w:pPr>
            <w:r>
              <w:rPr>
                <w:rFonts w:ascii="Arial" w:cs="Arial" w:eastAsia="Arial" w:hAnsi="Arial"/>
                <w:sz w:val="16"/>
                <w:szCs w:val="16"/>
                <w:b w:val="1"/>
                <w:bCs w:val="1"/>
                <w:color w:val="auto"/>
              </w:rPr>
              <w:t>Issue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Exercise Price Per</w:t>
            </w: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16"/>
                <w:szCs w:val="16"/>
                <w:color w:val="auto"/>
              </w:rPr>
            </w:pPr>
          </w:p>
        </w:tc>
        <w:tc>
          <w:tcPr>
            <w:tcW w:w="3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Expiration Date of Warrants Outstanding</w:t>
            </w:r>
          </w:p>
        </w:tc>
        <w:tc>
          <w:tcPr>
            <w:tcW w:w="0" w:type="dxa"/>
            <w:vAlign w:val="bottom"/>
          </w:tcPr>
          <w:p>
            <w:pPr>
              <w:spacing w:after="0"/>
              <w:rPr>
                <w:sz w:val="1"/>
                <w:szCs w:val="1"/>
                <w:color w:val="auto"/>
              </w:rPr>
            </w:pPr>
          </w:p>
        </w:tc>
      </w:tr>
      <w:tr>
        <w:trPr>
          <w:trHeight w:val="213"/>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October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March 2017</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$23.50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193,788</w:t>
            </w:r>
          </w:p>
        </w:tc>
        <w:tc>
          <w:tcPr>
            <w:tcW w:w="12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August 2011 - August 2012</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$73.73</w:t>
            </w:r>
          </w:p>
        </w:tc>
        <w:tc>
          <w:tcPr>
            <w:tcW w:w="10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16,212</w:t>
            </w:r>
          </w:p>
        </w:tc>
        <w:tc>
          <w:tcPr>
            <w:tcW w:w="120" w:type="dxa"/>
            <w:vAlign w:val="bottom"/>
            <w:shd w:val="clear" w:color="auto" w:fill="CFF0FC"/>
          </w:tcPr>
          <w:p>
            <w:pPr>
              <w:spacing w:after="0"/>
              <w:rPr>
                <w:sz w:val="19"/>
                <w:szCs w:val="19"/>
                <w:color w:val="auto"/>
              </w:rPr>
            </w:pPr>
          </w:p>
        </w:tc>
        <w:tc>
          <w:tcPr>
            <w:tcW w:w="3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May 2022 - August 2022</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211,000</w:t>
            </w: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Each warrant allows the holder to purchase one share of the Company's common stock at the exercise price per share of the respective warrant. The Company issued 1,835 and 125,000 shares of its common stock upon the exercise of warrants during the three months ended March 31,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w:t>
      </w:r>
    </w:p>
    <w:p>
      <w:pPr>
        <w:spacing w:after="0" w:line="143" w:lineRule="exact"/>
        <w:rPr>
          <w:sz w:val="20"/>
          <w:szCs w:val="20"/>
          <w:color w:val="auto"/>
        </w:rPr>
      </w:pPr>
    </w:p>
    <w:p>
      <w:pPr>
        <w:ind w:right="40" w:firstLine="810"/>
        <w:spacing w:after="0" w:line="311" w:lineRule="auto"/>
        <w:rPr>
          <w:sz w:val="20"/>
          <w:szCs w:val="20"/>
          <w:color w:val="auto"/>
        </w:rPr>
      </w:pPr>
      <w:r>
        <w:rPr>
          <w:rFonts w:ascii="Arial" w:cs="Arial" w:eastAsia="Arial" w:hAnsi="Arial"/>
          <w:sz w:val="16"/>
          <w:szCs w:val="16"/>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 There were no shares of common stock purchased under the ESPP during the three months ended March 31, 2022 and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Common Stock Options</w:t>
      </w:r>
    </w:p>
    <w:p>
      <w:pPr>
        <w:spacing w:after="0" w:line="185" w:lineRule="exact"/>
        <w:rPr>
          <w:sz w:val="20"/>
          <w:szCs w:val="20"/>
          <w:color w:val="auto"/>
        </w:rPr>
      </w:pPr>
    </w:p>
    <w:p>
      <w:pPr>
        <w:jc w:val="both"/>
        <w:ind w:right="20" w:firstLine="810"/>
        <w:spacing w:after="0" w:line="263" w:lineRule="auto"/>
        <w:rPr>
          <w:sz w:val="20"/>
          <w:szCs w:val="20"/>
          <w:color w:val="auto"/>
        </w:rPr>
      </w:pPr>
      <w:r>
        <w:rPr>
          <w:rFonts w:ascii="Arial" w:cs="Arial" w:eastAsia="Arial" w:hAnsi="Arial"/>
          <w:sz w:val="18"/>
          <w:szCs w:val="18"/>
          <w:color w:val="auto"/>
        </w:rPr>
        <w:t>Common stock options have an exercise price equal to the closing price of the Company's common stock on the applicable award date, and have a maximum term of ten years. Stock options granted generally vest over a four year period as to 25% of the underlying shares on the first anniversary of the award, with the balance of the options vesting monthly over the following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0" w:name="page21"/>
    <w:bookmarkEnd w:id="20"/>
    <w:p>
      <w:pPr>
        <w:ind w:right="60" w:firstLine="810"/>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option-pricing model on the grant date. The number of common stock options granted and the respective assumptions used in the Black-Scholes option-pricing model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60" w:type="dxa"/>
            <w:vAlign w:val="bottom"/>
          </w:tcPr>
          <w:p>
            <w:pPr>
              <w:spacing w:after="0"/>
              <w:rPr>
                <w:sz w:val="18"/>
                <w:szCs w:val="18"/>
                <w:color w:val="auto"/>
              </w:rPr>
            </w:pPr>
          </w:p>
        </w:tc>
        <w:tc>
          <w:tcPr>
            <w:tcW w:w="358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6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2021</w:t>
            </w: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115,400</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7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60.98</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Restricted stock units (RSUs) have a grant price equal to the closing price of the Company’s common stock on the award date. RSUs granted prior to March 2022, generally vest over a four year period based only on service as to 25% of the underlying shares on the first anniversary of the award, with the balance of the RSUs vesting quarterly over the following three years. RSUs granted in March 2022 vest over a three year period based only on service as to 33% of the underlying shares on the first anniversary of the award, with the balance of the RSUs vesting quarterly over the following two years.</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RSUs granted and the respective weighted average grant date fair value were as follows:</w:t>
      </w:r>
    </w:p>
    <w:p>
      <w:pPr>
        <w:spacing w:after="0" w:line="127"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Three Months Ended</w:t>
      </w:r>
    </w:p>
    <w:p>
      <w:pPr>
        <w:jc w:val="center"/>
        <w:ind w:left="78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2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granted</w:t>
            </w: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187,076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109.97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93.49</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statements of operations for all stock-based compensation arrangements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Borders>
              <w:bottom w:val="single" w:sz="8" w:color="auto"/>
            </w:tcBorders>
          </w:tcPr>
          <w:p>
            <w:pPr>
              <w:spacing w:after="0"/>
              <w:rPr>
                <w:sz w:val="18"/>
                <w:szCs w:val="18"/>
                <w:color w:val="auto"/>
              </w:rPr>
            </w:pPr>
          </w:p>
        </w:tc>
      </w:tr>
      <w:tr>
        <w:trPr>
          <w:trHeight w:val="210"/>
        </w:trPr>
        <w:tc>
          <w:tcPr>
            <w:tcW w:w="77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2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Selling, general &amp; administrative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11,854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r>
      <w:tr>
        <w:trPr>
          <w:trHeight w:val="223"/>
        </w:trPr>
        <w:tc>
          <w:tcPr>
            <w:tcW w:w="77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18,110</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12,947</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 total stock-based compensation capitalized as part of the cost of the Company’s inventories was $0.8 million and $1.0 million at March 31, 2022 and December 31, 2021, respectively.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98"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the Company may elect to match a discretionary percentage of employee contributions. The Company did not provide a matching contribution prior to 2022, but began making a discretionary match in the first quarter of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jc w:val="both"/>
        <w:ind w:right="80" w:firstLine="810"/>
        <w:spacing w:after="0" w:line="259" w:lineRule="auto"/>
        <w:rPr>
          <w:sz w:val="20"/>
          <w:szCs w:val="20"/>
          <w:color w:val="auto"/>
        </w:rPr>
      </w:pPr>
      <w:r>
        <w:rPr>
          <w:rFonts w:ascii="Arial" w:cs="Arial" w:eastAsia="Arial" w:hAnsi="Arial"/>
          <w:sz w:val="18"/>
          <w:szCs w:val="18"/>
          <w:color w:val="auto"/>
        </w:rPr>
        <w:t>For the three months ended March 31, 2022, the Company recognized an income tax benefit of $1.7 million on a pre-tax loss of $16.4 million, compared to an income tax benefit of $0.1 million on a pre-tax loss of $5.2 million for the three months ended March 31, 2021. The income tax benefit for the three months ended March 31, 2022 and 2021, was primarily attributable to the Company’s pre-tax loss position, offset by state and foreign income tax expense as a result of current taxable income in certain jurisdictions.</w:t>
      </w:r>
    </w:p>
    <w:p>
      <w:pPr>
        <w:spacing w:after="0" w:line="146"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Company calculated the provision (benefit) for income taxes for the three months ended March 31, 2022 and 2021, by applying an estimate of the annual effective tax rate for the full year to ordinary income (loss) adjusted by the tax impact of discrete items.</w:t>
      </w:r>
    </w:p>
    <w:p>
      <w:pPr>
        <w:spacing w:after="0" w:line="130"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The Company continues to maintain a full valuation allowance against its net deferred tax assets as of March 31, 2022, based on the current assessment that it is not more likely than not these future benefits will be realized before expiration.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and Geographic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jc w:val="both"/>
        <w:ind w:right="100" w:firstLine="810"/>
        <w:spacing w:after="0" w:line="301" w:lineRule="auto"/>
        <w:rPr>
          <w:sz w:val="20"/>
          <w:szCs w:val="20"/>
          <w:color w:val="auto"/>
        </w:rPr>
      </w:pPr>
      <w:r>
        <w:rPr>
          <w:rFonts w:ascii="Arial" w:cs="Arial" w:eastAsia="Arial" w:hAnsi="Arial"/>
          <w:sz w:val="16"/>
          <w:szCs w:val="16"/>
          <w:color w:val="auto"/>
        </w:rPr>
        <w:t>The Company primarily sells its products through national and regional distributors in the United States on a non-exclusive basis, and through distribution partners outside the United States, including in select European countries, Canada, Australia, New Zealand, Saudi Arabia and South Africa. In the United States and Canada, the Company utilizes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w:t>
      </w:r>
    </w:p>
    <w:p>
      <w:pPr>
        <w:spacing w:after="0" w:line="198"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During the three months ended March 31, 2022 and 2021,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the United States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37,698</w:t>
            </w:r>
          </w:p>
        </w:tc>
      </w:tr>
      <w:tr>
        <w:trPr>
          <w:trHeight w:val="248"/>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340" w:firstLine="810"/>
        <w:spacing w:after="0" w:line="263" w:lineRule="auto"/>
        <w:rPr>
          <w:sz w:val="20"/>
          <w:szCs w:val="20"/>
          <w:color w:val="auto"/>
        </w:rPr>
      </w:pPr>
      <w:r>
        <w:rPr>
          <w:rFonts w:ascii="Arial" w:cs="Arial" w:eastAsia="Arial" w:hAnsi="Arial"/>
          <w:sz w:val="18"/>
          <w:szCs w:val="18"/>
          <w:color w:val="auto"/>
        </w:rPr>
        <w:t>Sales to distributors accounted for 65% and 68% of the Company’s total United States sales for the three months ended March 31, 2022 and 2021, respectively. Sales to distributors accounted for 96% and 96% of the Company’s total sales outside the United States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 xml:space="preserve">In May 2020, the Company was named as a defendant in three California state court class action lawsuits arising from the same data breach. Collectively, these lawsuits seek statutory, compensatory, actual, and punitive damages; equitable relief, including restitution; pre- and post-judgment interest; injunctive relief; and attorney fees, costs, and expenses from the Company. On July 24, 2020, these three pending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 Diabetes Care, Inc</w:t>
      </w:r>
      <w:r>
        <w:rPr>
          <w:rFonts w:ascii="Arial" w:cs="Arial" w:eastAsia="Arial" w:hAnsi="Arial"/>
          <w:sz w:val="17"/>
          <w:szCs w:val="17"/>
          <w:color w:val="auto"/>
        </w:rPr>
        <w:t>. The consolidated case alleges violations of the Confidentiality of Medical Information Act (CMIA), California Consumer Privacy Act (CCPA), California’s Unfair Competition Law (UCL), and breach of contract. The Company filed a demurrer seeking dismissal of all claims, which was heard by the Court on October 27, 2020, and which resulted in the following outcome: (i) the demurrer to the CMIA claim was denied; (ii) the demurrer to the CCPA claim was sustained; and (iii) the demurrer to the UCL and contract claims were sustained with leave to amend the pending complaint. A second demurrer was heard by the Court on March 29, 2021 with the following outcome: (i) the demurrer to the CMIA claim was denied; and (ii) the demurrer to the UCL and contract claims was sustained without leave to amend as to three of the named plaintiffs. The plaintiffs filed a motion for class certification on January 7, 2021 to which the Company filed its opposition on April 11, 2022. The Company filed a motion for summary adjudication on the CMIA claim on April 7, 2021, which is still pending. Although the Company continues to vigorously defend against these claims, there is no guarantee that the Company will prevail. The Company presently is unable to determine the ultimate outcome of these lawsuits or determine the amount (or range) of possible losses associated with the lawsuits.</w:t>
      </w:r>
    </w:p>
    <w:p>
      <w:pPr>
        <w:spacing w:after="0" w:line="144"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In September 2020, the Company was named as a defendant in a lawsuit entitled Buck Walsh, individually and on behalf of others similarly situated v. Tandem Diabetes Care, Inc., which was filed in the Superior Court of the State of California in the County of San Diego. The alleged violations include business and professions code and labor code violations for failure to compensate wages, unpaid meal and rest periods, and failure to reimburse for necessary business-related expenses. The case was brought as a class action and was later amended to also include a representative action under the California Private Attorney General Act, or PAGA. The class of plaintiffs includes hourly paid or non-exempt employees of the Company who were employed from April 6, 2016 through the date of adjudication. The parties recently agreed to resolve all claims in the lawsuit. The settlement of claims covered by the PAGA matter were approved by the Superior Court of the State of California in the County of San Diego on September 21, 2021 and settlement amounts were disbursed in 2021. In October 2021, a settlement of the class action related claims was preliminarily approved by an independent arbitrator mutually acceptable to both parties. The class action is intended to resolve the claims of the individual plaintiff, as well as the remaining members of the class, unless an individual class member submits a timely request for exclusion. The material terms of the settlement are set forth in a binding Memorandum of Agreement dated as of July 1, 2021, which was approved by the independent arbitrator on April 18, 2022. Subsequent to this filing, the Company anticipates receipt of the final settlement amount from the settlement administrator. This lawsuit will be resolved and closed upon disbursement of the settlement amount.</w:t>
      </w:r>
    </w:p>
    <w:p>
      <w:pPr>
        <w:spacing w:after="0" w:line="213" w:lineRule="exact"/>
        <w:rPr>
          <w:sz w:val="20"/>
          <w:szCs w:val="20"/>
          <w:color w:val="auto"/>
        </w:rPr>
      </w:pPr>
    </w:p>
    <w:p>
      <w:pPr>
        <w:ind w:right="100" w:firstLine="810"/>
        <w:spacing w:after="0" w:line="272" w:lineRule="auto"/>
        <w:rPr>
          <w:sz w:val="20"/>
          <w:szCs w:val="20"/>
          <w:color w:val="auto"/>
        </w:rPr>
      </w:pPr>
      <w:r>
        <w:rPr>
          <w:rFonts w:ascii="Arial" w:cs="Arial" w:eastAsia="Arial" w:hAnsi="Arial"/>
          <w:sz w:val="17"/>
          <w:szCs w:val="17"/>
          <w:color w:val="auto"/>
        </w:rPr>
        <w:t>From time to time, the Company is involved in various other legal proceedings, regulatory matters, and other disputes or claims arising from or related to the normal course of its business activities, including actions with respect to intellectual property, data privacy, employment, regulatory, product liability and contractual matters. Although the results of legal proceedings, disputes and other claims cannot be predicted with certainty, the Company believes it is not currently a party to any other legal proceeding(s) which, if determined adversely to the Company, would, individually or taken together, have a material adverse effect on the Company’s business, operating results, financial condition or cash flows. However, regardless of the merit of the claims raised or the outcome, legal proceedings may have an adverse impact on the Company as a result of defense and settlement costs, diversion of management time and resources, and other factors.</w:t>
      </w:r>
    </w:p>
    <w:p>
      <w:pPr>
        <w:spacing w:after="0" w:line="177"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Except as set forth above, as of March 31, 2022,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8"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Company leases general office space, research and development, manufacturing and warehouse facilities, and equipment under noncancelable operating leases for use in its operations (see Note 6, “Leases”). In connection with one of the operating leases, the Company has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70" w:right="919" w:bottom="1440" w:gutter="0" w:footer="0" w:header="0"/>
        </w:sectPr>
      </w:pPr>
    </w:p>
    <w:bookmarkStart w:id="24" w:name="page25"/>
    <w:bookmarkEnd w:id="24"/>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March 31, 2022 (Quarterly Report).</w:t>
      </w:r>
    </w:p>
    <w:p>
      <w:pPr>
        <w:spacing w:after="0" w:line="143"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on our business,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138"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37" w:lineRule="exact"/>
        <w:rPr>
          <w:sz w:val="20"/>
          <w:szCs w:val="20"/>
          <w:color w:val="auto"/>
        </w:rPr>
      </w:pPr>
    </w:p>
    <w:p>
      <w:pPr>
        <w:ind w:right="22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8" w:lineRule="exact"/>
        <w:rPr>
          <w:sz w:val="20"/>
          <w:szCs w:val="20"/>
          <w:color w:val="auto"/>
        </w:rPr>
      </w:pPr>
    </w:p>
    <w:p>
      <w:pPr>
        <w:ind w:right="12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80" w:firstLine="810"/>
        <w:spacing w:after="0" w:line="279" w:lineRule="auto"/>
        <w:rPr>
          <w:sz w:val="20"/>
          <w:szCs w:val="20"/>
          <w:color w:val="auto"/>
        </w:rPr>
      </w:pPr>
      <w:r>
        <w:rPr>
          <w:rFonts w:ascii="Arial" w:cs="Arial" w:eastAsia="Arial" w:hAnsi="Arial"/>
          <w:sz w:val="17"/>
          <w:szCs w:val="17"/>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portfolio of delivery devices, software, and data insight solutions to people living with diabetes, as well as their caregivers and healthcare providers.</w:t>
      </w:r>
    </w:p>
    <w:p>
      <w:pPr>
        <w:spacing w:after="0" w:line="185" w:lineRule="exact"/>
        <w:rPr>
          <w:sz w:val="20"/>
          <w:szCs w:val="20"/>
          <w:color w:val="auto"/>
        </w:rPr>
      </w:pPr>
    </w:p>
    <w:p>
      <w:pPr>
        <w:ind w:right="40" w:firstLine="810"/>
        <w:spacing w:after="0"/>
        <w:rPr>
          <w:sz w:val="20"/>
          <w:szCs w:val="20"/>
          <w:color w:val="auto"/>
        </w:rPr>
      </w:pPr>
      <w:r>
        <w:rPr>
          <w:rFonts w:ascii="Arial" w:cs="Arial" w:eastAsia="Arial" w:hAnsi="Arial"/>
          <w:sz w:val="17"/>
          <w:szCs w:val="17"/>
          <w:color w:val="auto"/>
        </w:rPr>
        <w:t>Since our initial commercial launch, we have rapidly innovated and brought more products to market than our competitors. We have commercially launched seven insulin pump configurations in the United States since 2012 and three insulin pump configurations outside the United States since 2018. Today, our software-updatable t:slim X2 Insulin Delivery System (t:slim X2) hardware platform represents 100% of our new pump shipments. In the four-year period ended March 31, 2022, we shipped more than 350,000 insulin pumps, which is representative of our estimated global installed customer base, assuming the typical four-year reimbursement cycle. More than 250,000 of these pumps were shipped to customers in the United States and nearly 100,000 were shipped to more than 20 countries in which we operate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right="40" w:firstLine="810"/>
        <w:spacing w:after="0" w:line="224" w:lineRule="auto"/>
        <w:rPr>
          <w:sz w:val="20"/>
          <w:szCs w:val="20"/>
          <w:color w:val="auto"/>
        </w:rPr>
      </w:pPr>
      <w:r>
        <w:rPr>
          <w:rFonts w:ascii="Arial" w:cs="Arial" w:eastAsia="Arial" w:hAnsi="Arial"/>
          <w:sz w:val="18"/>
          <w:szCs w:val="18"/>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We have commercially offered two different automated insulin dosing (AID) algorithms on t:slim X2, including our Control-IQ technology, which is an advanced hybrid-closed loop feature, designed to help increase a user's time in their targeted glycemic range. It was the first system cleared by the U.S. Food and Drug Administration (FDA) to deliver automatic correction boluses in addition to adjusting insulin to help prevent high and low blood sugar based on continuous glucose monitoring (CGM) readings. More than 200,000 t:slim X2 users have our Control-IQ technology, which launched in the United States in the first quarter of 2020, and is now available in all of the countries in which we operate. Our Control-IQ technology uses information from Dexcom Inc.’s (Dexcom) G6 sensor, which is the third generation of Dexcom CGM that we have integrated and commercially launched with our pump technology.</w:t>
      </w:r>
    </w:p>
    <w:p>
      <w:pPr>
        <w:spacing w:after="0" w:line="205" w:lineRule="exact"/>
        <w:rPr>
          <w:sz w:val="20"/>
          <w:szCs w:val="20"/>
          <w:color w:val="auto"/>
        </w:rPr>
      </w:pPr>
    </w:p>
    <w:p>
      <w:pPr>
        <w:ind w:right="60" w:firstLine="810"/>
        <w:spacing w:after="0" w:line="246" w:lineRule="auto"/>
        <w:rPr>
          <w:sz w:val="20"/>
          <w:szCs w:val="20"/>
          <w:color w:val="auto"/>
        </w:rPr>
      </w:pPr>
      <w:r>
        <w:rPr>
          <w:rFonts w:ascii="Arial" w:cs="Arial" w:eastAsia="Arial" w:hAnsi="Arial"/>
          <w:sz w:val="17"/>
          <w:szCs w:val="17"/>
          <w:color w:val="auto"/>
        </w:rPr>
        <w:t>The t:slim X2 is unique in that it is the only pump on which remote software updates have been made commercially available in the United States. Now available in the countries we serve worldwide, our Tandem Device Updater (TDU), is a revolutionary tool that has allowed more than 130,000 people to update their t:slim X2 software from a personal computer. This offering is a competitive advantage as it allows us to bring new features, such as our AID technology and CGM integration, to our customers faster than the industry has been able to do historically.</w:t>
      </w:r>
    </w:p>
    <w:p>
      <w:pPr>
        <w:spacing w:after="0" w:line="198" w:lineRule="exact"/>
        <w:rPr>
          <w:sz w:val="20"/>
          <w:szCs w:val="20"/>
          <w:color w:val="auto"/>
        </w:rPr>
      </w:pPr>
    </w:p>
    <w:p>
      <w:pPr>
        <w:ind w:right="160" w:firstLine="810"/>
        <w:spacing w:after="0" w:line="235" w:lineRule="auto"/>
        <w:rPr>
          <w:sz w:val="20"/>
          <w:szCs w:val="20"/>
          <w:color w:val="auto"/>
        </w:rPr>
      </w:pPr>
      <w:r>
        <w:rPr>
          <w:rFonts w:ascii="Arial" w:cs="Arial" w:eastAsia="Arial" w:hAnsi="Arial"/>
          <w:sz w:val="18"/>
          <w:szCs w:val="18"/>
          <w:color w:val="auto"/>
        </w:rPr>
        <w:t>In February 2022, the FDA provided clearance for our t:slim X2 pump users to bolus insulin from a compatible smartphone. This is the first-ever FDA-cleared smartphone app capable of initiating insulin delivery on both iOS and Android operating systems. We intend to offer in-warranty t:slim X2 users in the United States with the pump software update to use this new feature at no cost through TDU.</w:t>
      </w:r>
    </w:p>
    <w:p>
      <w:pPr>
        <w:spacing w:after="0" w:line="202" w:lineRule="exact"/>
        <w:rPr>
          <w:sz w:val="20"/>
          <w:szCs w:val="20"/>
          <w:color w:val="auto"/>
        </w:rPr>
      </w:pPr>
    </w:p>
    <w:p>
      <w:pPr>
        <w:ind w:right="80" w:firstLine="810"/>
        <w:spacing w:after="0" w:line="227"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Additionally, we sell accessories such as belt clips and cases for use with pumps which are designed to enhance usability.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202" w:lineRule="exact"/>
        <w:rPr>
          <w:sz w:val="20"/>
          <w:szCs w:val="20"/>
          <w:color w:val="auto"/>
        </w:rPr>
      </w:pPr>
    </w:p>
    <w:p>
      <w:pPr>
        <w:ind w:right="220" w:firstLine="810"/>
        <w:spacing w:after="0" w:line="231" w:lineRule="auto"/>
        <w:rPr>
          <w:sz w:val="20"/>
          <w:szCs w:val="20"/>
          <w:color w:val="auto"/>
        </w:rPr>
      </w:pPr>
      <w:r>
        <w:rPr>
          <w:rFonts w:ascii="Arial" w:cs="Arial" w:eastAsia="Arial" w:hAnsi="Arial"/>
          <w:sz w:val="18"/>
          <w:szCs w:val="18"/>
          <w:color w:val="auto"/>
        </w:rPr>
        <w:t>For the three months ended March 31, 2022 and 2021, our consolidated sales were $175.9 million, and $141.0 million, respectively. For the three months ended March 31, 2022 and 2021, our net loss was $14.7 million, and $5.0 million, respectively. Pump sales accounted for 54% and 58%, of our total worldwide sales, for the three months ended March 31, 2022 and 2021, respectively, while pump-related supplies and accessories accounted for the remainder in each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5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Our business has been impacted in a variety of ways since the onset of the COVID-19 global pandemic in early 2020, and will likely continue to be impacted for the remainder of 2022. Specific factors that have influenced our financial results and the way in which we operate include fluctuations in shelter-in-place restrictions, supply chain constraints, labor shortages, the timing and extent of vaccine availability and surges in infection and hospitalization rates as new COVID variants have emerged. Throughout this time, we have responded to each of these unique challenges, while prioritizing the health and safety of our employees and customers and working diligently to maintain a continuous supply of products, training and customer support.</w:t>
      </w:r>
    </w:p>
    <w:p>
      <w:pPr>
        <w:spacing w:after="0" w:line="18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Most notably, our sales results reflected a high degree of variability across the quarters during this time, unlike historical seasonal trends. We experienced a modest impact early in 2020, which became more pronounced and continued in varying degrees as the pandemic progressed. Initially, the impact on our business was relatively consistent worldwide but we have since seen variations in individual markets based on local conditions and anticipate ongoing fluctuations may continue.</w:t>
      </w:r>
    </w:p>
    <w:p>
      <w:pPr>
        <w:spacing w:after="0" w:line="214"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Our inventory levels have also fluctuated as we respond to supply chain constraints, due to availability of components from the various suppliers we use to build our products. While we have adequate raw material inventory for a substantial portion of our pump and cartridge components, we are below our targeted stocking levels for others. In early 2020, we initiated regular discussions with our key suppliers regarding their abilities to fulfill existing orders and assess their ongoing capacity. Over the course of the pandemic, we have increased the frequency of those communications. We continue to monitor factors that could negatively impact our supply chain, such as global shortages of semiconductors, copper and paper, as well as custom components for our insulin pumps and cartridges where we rely on a limited number of qualified suppliers. We anticipate experiencing continued challenges managing supply chain constraints, including the potential for limitations on availability of components as well as increased purchase costs.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ind w:right="80" w:firstLine="810"/>
        <w:spacing w:after="0" w:line="275" w:lineRule="auto"/>
        <w:rPr>
          <w:sz w:val="20"/>
          <w:szCs w:val="20"/>
          <w:color w:val="auto"/>
        </w:rPr>
      </w:pPr>
      <w:r>
        <w:rPr>
          <w:rFonts w:ascii="Arial" w:cs="Arial" w:eastAsia="Arial" w:hAnsi="Arial"/>
          <w:sz w:val="17"/>
          <w:szCs w:val="17"/>
          <w:color w:val="auto"/>
        </w:rPr>
        <w:t>Generally, our entire operation has been impacted as we navigate the generalized labor shortages impacting global markets. The labor challenges affect our ability to recruit and hire key talent at the same pace as in years past, but we remain active in our recruiting efforts and competitive in our offerings. In particular, these labor challenges combined with regulatory delays have impacted our product development and launch timelines. The FDA has generally stated that its review process may take longer than normal due to prioritization of COVID-related products and services. We have experienced lengthy delays in the review of submissions with the FDA, making regulatory timelines difficult to predict.</w:t>
      </w:r>
    </w:p>
    <w:p>
      <w:pPr>
        <w:spacing w:after="0" w:line="203"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have adapted well in our commercial operations and customer-facing functions to the challenges presented by the pandemic. Our sales organization balances remote and in-person interactions based on the needs and requirements of the customers with whom they interact. For example, prior to the onset of the pandemic, nearly all trainings for customers purchasing our pump platform were in-person. We quickly pivoted to nearly all trainings being provided on remote platforms. Since that time, we have achieved a balance that includes options for the individual based on their unique needs. We continue to see variability across the markets in which we operate and anticipate these fluctuations between in-person and remote interactions will continue.</w:t>
      </w:r>
    </w:p>
    <w:p>
      <w:pPr>
        <w:spacing w:after="0" w:line="188"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Our facilities have been closed for non-essential purposes throughout most of the pandemic, while our manufacturing operations were deemed essential due to the critical nature of our product and the communities that we serve. To help ensure the safety and health of those employees working in our facilities, we have implemented various preventative measures throughout the pandemic. In the first quarter of 2022, we began implementing a return-to-office strategy for the rest of the organization that incorporates a hybrid approach to meet the needs of our employees, as well as optimize usage of our facilities.</w:t>
      </w:r>
    </w:p>
    <w:p>
      <w:pPr>
        <w:spacing w:after="0" w:line="215"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Overall, we anticipate that our sales and operating results will continue to be impacted and subject to unpredictable variability. The full extent of the impact of the pandemic on our future business and operations is difficult to estimate and will depend on a number of factors including the scope and duration of the COVID-19 global pandemic, and the relative impact of COVID-19 on the business operations of our contract manufacturers, suppliers and competitors.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198" w:lineRule="exact"/>
        <w:rPr>
          <w:sz w:val="20"/>
          <w:szCs w:val="20"/>
          <w:color w:val="auto"/>
        </w:rPr>
      </w:pPr>
    </w:p>
    <w:p>
      <w:pPr>
        <w:ind w:right="200" w:firstLine="810"/>
        <w:spacing w:after="0" w:line="263" w:lineRule="auto"/>
        <w:rPr>
          <w:sz w:val="20"/>
          <w:szCs w:val="20"/>
          <w:color w:val="auto"/>
        </w:rPr>
      </w:pPr>
      <w:r>
        <w:rPr>
          <w:rFonts w:ascii="Arial" w:cs="Arial" w:eastAsia="Arial" w:hAnsi="Arial"/>
          <w:sz w:val="18"/>
          <w:szCs w:val="18"/>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239" w:lineRule="exact"/>
        <w:rPr>
          <w:sz w:val="20"/>
          <w:szCs w:val="20"/>
          <w:color w:val="auto"/>
        </w:rPr>
      </w:pPr>
    </w:p>
    <w:p>
      <w:pPr>
        <w:ind w:right="60" w:firstLine="810"/>
        <w:spacing w:after="0" w:line="235" w:lineRule="auto"/>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w:t>
      </w:r>
    </w:p>
    <w:p>
      <w:pPr>
        <w:spacing w:after="0" w:line="239" w:lineRule="exact"/>
        <w:rPr>
          <w:sz w:val="20"/>
          <w:szCs w:val="20"/>
          <w:color w:val="auto"/>
        </w:rPr>
      </w:pPr>
    </w:p>
    <w:p>
      <w:pPr>
        <w:ind w:firstLine="810"/>
        <w:spacing w:after="0" w:line="231" w:lineRule="auto"/>
        <w:rPr>
          <w:sz w:val="20"/>
          <w:szCs w:val="20"/>
          <w:color w:val="auto"/>
        </w:rPr>
      </w:pPr>
      <w:r>
        <w:rPr>
          <w:rFonts w:ascii="Arial" w:cs="Arial" w:eastAsia="Arial" w:hAnsi="Arial"/>
          <w:sz w:val="18"/>
          <w:szCs w:val="18"/>
          <w:color w:val="auto"/>
        </w:rPr>
        <w:t>Formerly referred to under its development name, t:sport, the Tandem Mobi is approximately half the size of our t:slim X2 pump, and is being designed for people who seek even greater discretion and flexibility with the use of their insulin pump. Its features include a 200-unit cartridge, an on-pump bolus button, inductive charging, an AID algorithm, and is waterproof. We anticipate that Mobi will be our first insulin pump to support full pump-control from our mobile application.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X3</w:t>
      </w:r>
    </w:p>
    <w:p>
      <w:pPr>
        <w:spacing w:after="0" w:line="239" w:lineRule="exact"/>
        <w:rPr>
          <w:sz w:val="20"/>
          <w:szCs w:val="20"/>
          <w:color w:val="auto"/>
        </w:rPr>
      </w:pPr>
    </w:p>
    <w:p>
      <w:pPr>
        <w:ind w:right="20" w:firstLine="810"/>
        <w:spacing w:after="0" w:line="235"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Mobi: Tubeless</w:t>
      </w:r>
    </w:p>
    <w:p>
      <w:pPr>
        <w:spacing w:after="0" w:line="239" w:lineRule="exact"/>
        <w:rPr>
          <w:sz w:val="20"/>
          <w:szCs w:val="20"/>
          <w:color w:val="auto"/>
        </w:rPr>
      </w:pPr>
    </w:p>
    <w:p>
      <w:pPr>
        <w:ind w:right="20" w:firstLine="810"/>
        <w:spacing w:after="0" w:line="307" w:lineRule="auto"/>
        <w:rPr>
          <w:sz w:val="20"/>
          <w:szCs w:val="20"/>
          <w:color w:val="auto"/>
        </w:rPr>
      </w:pPr>
      <w:r>
        <w:rPr>
          <w:rFonts w:ascii="Arial" w:cs="Arial" w:eastAsia="Arial" w:hAnsi="Arial"/>
          <w:sz w:val="16"/>
          <w:szCs w:val="16"/>
          <w:color w:val="auto"/>
        </w:rPr>
        <w:t>This offering is being developed to provide an alternative tubeless infusion site option for Mobi pump users. A goal of this design is to allow for people living with diabetes to customize the way they wear their pump with each cartridge change to best suit their personal preferences and lifestyle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Patch</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Our patch pump design is in its early stages and is being developed for people living with diabetes who want a disposable tubeless solution.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Device Software</w:t>
      </w:r>
    </w:p>
    <w:p>
      <w:pPr>
        <w:spacing w:after="0" w:line="18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Control-IQ Advancements</w:t>
      </w:r>
    </w:p>
    <w:p>
      <w:pPr>
        <w:spacing w:after="0" w:line="239" w:lineRule="exact"/>
        <w:rPr>
          <w:sz w:val="20"/>
          <w:szCs w:val="20"/>
          <w:color w:val="auto"/>
        </w:rPr>
      </w:pPr>
    </w:p>
    <w:p>
      <w:pPr>
        <w:ind w:right="120" w:firstLine="810"/>
        <w:spacing w:after="0" w:line="231" w:lineRule="auto"/>
        <w:rPr>
          <w:sz w:val="20"/>
          <w:szCs w:val="20"/>
          <w:color w:val="auto"/>
        </w:rPr>
      </w:pPr>
      <w:r>
        <w:rPr>
          <w:rFonts w:ascii="Arial" w:cs="Arial" w:eastAsia="Arial" w:hAnsi="Arial"/>
          <w:sz w:val="18"/>
          <w:szCs w:val="18"/>
          <w:color w:val="auto"/>
        </w:rPr>
        <w:t>We are driving innovation in our algorithms, emphasizing automation, personalization and simplification, all intended to continue to improve therapeutic outcomes and provide a positive patient experience characterized by simplicity and ease of use. Additionally, we have initiated clinical studies to expand the indications of our Control-IQ technology to include people with type 1 diabetes ages 2 to 5 years old, as well as people living with type 2 diabetes. We are also researching the use of different insulins with our Control-IQ technology.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Control</w:t>
      </w:r>
    </w:p>
    <w:p>
      <w:pPr>
        <w:spacing w:after="0" w:line="19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We are working to expand our mobile control capability. In the future, our t:connect mobile app is planned to include additional pump control features, such as full operation of our Mobi pump.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w:t>
      </w:r>
    </w:p>
    <w:p>
      <w:pPr>
        <w:spacing w:after="0" w:line="185"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pacing w:after="0" w:line="130"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i w:val="1"/>
          <w:iCs w:val="1"/>
          <w:color w:val="auto"/>
        </w:rPr>
        <w:t>Dexcom CGM</w:t>
      </w:r>
      <w:r>
        <w:rPr>
          <w:rFonts w:ascii="Arial" w:cs="Arial" w:eastAsia="Arial" w:hAnsi="Arial"/>
          <w:sz w:val="18"/>
          <w:szCs w:val="18"/>
          <w:color w:val="auto"/>
        </w:rPr>
        <w:t>: In November 2020, we entered into an agreement with Dexcom to extend our current collaboration to include integration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future G7 CGM technology. Following integrated product development work, and required regulatory clearances or approvals, this will be the fourth generation of Dexcom CGM that we intend to integrate with our devices.</w:t>
      </w:r>
    </w:p>
    <w:p>
      <w:pPr>
        <w:spacing w:after="0" w:line="211"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i w:val="1"/>
          <w:iCs w:val="1"/>
          <w:color w:val="auto"/>
        </w:rPr>
        <w:t>Abbott CGM</w:t>
      </w:r>
      <w:r>
        <w:rPr>
          <w:rFonts w:ascii="Arial" w:cs="Arial" w:eastAsia="Arial" w:hAnsi="Arial"/>
          <w:sz w:val="18"/>
          <w:szCs w:val="18"/>
          <w:color w:val="auto"/>
        </w:rPr>
        <w:t>: In June 2020, we announced an agreement with Abbott Laboratories (Abbott), to develop and commercialize integrated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combine Abbott’s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239" w:lineRule="exact"/>
        <w:rPr>
          <w:sz w:val="20"/>
          <w:szCs w:val="20"/>
          <w:color w:val="auto"/>
        </w:rPr>
      </w:pPr>
    </w:p>
    <w:p>
      <w:pPr>
        <w:ind w:right="20" w:firstLine="810"/>
        <w:spacing w:after="0" w:line="228"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Key areas of development include making these insights easy to understand, provided in a flexible format with mobile or web apps, and available real time. In addition, we are working to integrate health-related information from third-party sources and use our data to support current and future products under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Tandem Source</w:t>
      </w:r>
    </w:p>
    <w:p>
      <w:pPr>
        <w:spacing w:after="0" w:line="239" w:lineRule="exact"/>
        <w:rPr>
          <w:sz w:val="20"/>
          <w:szCs w:val="20"/>
          <w:color w:val="auto"/>
        </w:rPr>
      </w:pPr>
    </w:p>
    <w:p>
      <w:pPr>
        <w:ind w:right="20" w:firstLine="810"/>
        <w:spacing w:after="0" w:line="266" w:lineRule="auto"/>
        <w:rPr>
          <w:sz w:val="20"/>
          <w:szCs w:val="20"/>
          <w:color w:val="auto"/>
        </w:rPr>
      </w:pPr>
      <w:r>
        <w:rPr>
          <w:rFonts w:ascii="Arial" w:cs="Arial" w:eastAsia="Arial" w:hAnsi="Arial"/>
          <w:sz w:val="16"/>
          <w:szCs w:val="16"/>
          <w:color w:val="auto"/>
        </w:rPr>
        <w:t>Expanding the capabilities of our t:connect data management application available for customers in the United States, Tandem Source is our second-generation web-based data management application that is being designed to become our single, global platform. This application enhances clinical data visualization, provides added interface customization for users to personalize how they engage with their data and for healthcare providers to better manage their care. In the second quarter of 2021, we began limited testing of an initial version of Tandem Source in the United Kingdom.</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Settings Automation</w:t>
      </w:r>
    </w:p>
    <w:p>
      <w:pPr>
        <w:spacing w:after="0" w:line="239" w:lineRule="exact"/>
        <w:rPr>
          <w:sz w:val="20"/>
          <w:szCs w:val="20"/>
          <w:color w:val="auto"/>
        </w:rPr>
      </w:pPr>
    </w:p>
    <w:p>
      <w:pPr>
        <w:ind w:right="60" w:firstLine="810"/>
        <w:spacing w:after="0" w:line="235"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18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From inception in 2012 through June 2018, we derived nearly all of our sales from the shipment of insulin pumps and associated supplies to customers in the United States. Starting in the third quarter of 2018, we commenced sales of our t:slim X2 insulin pump in select geographies outside the United States and now offer our technology solutions in more than 20 countries worldwide. We consider the number of insulin pump units shipped to be an important metric for managing our business.</w:t>
      </w:r>
    </w:p>
    <w:p>
      <w:pPr>
        <w:spacing w:after="0" w:line="187"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Insulin pumps in the markets we serve worldwide are generally subject to a four-year reimbursement cycle, imposed by the third-party insurance carrier, government plan or healthcare system that serves as the primary payor. In the past four years, we have shipped more than 350,000 insulin pumps worldwide, which is representative of our estimated global in-warranty installed customer base.</w:t>
      </w:r>
    </w:p>
    <w:p>
      <w:pPr>
        <w:spacing w:after="0" w:line="184"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At the end of the typical four-year reimbursement cycle, customers may be eligible for the purchase of a new insulin pump, subject to the rules and requirements of their primary insurance payor. While warranties generally expire four years from the original pump shipment date, our typical renewal cycle, or time from original pump purchase to a subsequent pump purchase by the same customer, averages five years. The majority of our insulin pump sales through the current period have been generated by new customers, but the opportunity for existing customers to purchase a renewal insulin pump increases each period as additional customer warranties expire. With programs dedicated to customer retention efforts, we expect such renewal purchases to represent a more significant portion of our shipments in the long-term.</w:t>
      </w:r>
    </w:p>
    <w:p>
      <w:pPr>
        <w:spacing w:after="0" w:line="137" w:lineRule="exact"/>
        <w:rPr>
          <w:sz w:val="20"/>
          <w:szCs w:val="20"/>
          <w:color w:val="auto"/>
        </w:rPr>
      </w:pPr>
    </w:p>
    <w:p>
      <w:pPr>
        <w:ind w:right="340" w:firstLine="810"/>
        <w:spacing w:after="0" w:line="263" w:lineRule="auto"/>
        <w:rPr>
          <w:sz w:val="20"/>
          <w:szCs w:val="20"/>
          <w:color w:val="auto"/>
        </w:rPr>
      </w:pPr>
      <w:r>
        <w:rPr>
          <w:rFonts w:ascii="Arial" w:cs="Arial" w:eastAsia="Arial" w:hAnsi="Arial"/>
          <w:sz w:val="18"/>
          <w:szCs w:val="18"/>
          <w:color w:val="auto"/>
        </w:rPr>
        <w:t>More than 250,000 of pumps were shipped to customers in the United States in the past four years, which aligns with the standard four-year warranty period. Pump shipments to customers in the United States by fiscal quarter for the last five years, which aligns more closely with our typical renewal cycle,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United States Pump Unit Shipments</w:t>
            </w:r>
          </w:p>
        </w:tc>
        <w:tc>
          <w:tcPr>
            <w:tcW w:w="1300" w:type="dxa"/>
            <w:vAlign w:val="bottom"/>
          </w:tcPr>
          <w:p>
            <w:pPr>
              <w:spacing w:after="0"/>
              <w:rPr>
                <w:sz w:val="14"/>
                <w:szCs w:val="14"/>
                <w:color w:val="auto"/>
              </w:rPr>
            </w:pPr>
          </w:p>
        </w:tc>
      </w:tr>
      <w:tr>
        <w:trPr>
          <w:trHeight w:val="188"/>
        </w:trPr>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83"/>
        </w:trPr>
        <w:tc>
          <w:tcPr>
            <w:tcW w:w="4200" w:type="dxa"/>
            <w:vAlign w:val="bottom"/>
          </w:tcPr>
          <w:p>
            <w:pPr>
              <w:spacing w:after="0"/>
              <w:rPr>
                <w:sz w:val="15"/>
                <w:szCs w:val="15"/>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CEEFF"/>
            </w:tcBorders>
            <w:shd w:val="clear" w:color="auto" w:fill="CCEEFF"/>
          </w:tcPr>
          <w:p>
            <w:pPr>
              <w:jc w:val="right"/>
              <w:ind w:right="3730"/>
              <w:spacing w:after="0"/>
              <w:rPr>
                <w:sz w:val="20"/>
                <w:szCs w:val="20"/>
                <w:color w:val="auto"/>
              </w:rPr>
            </w:pPr>
            <w:r>
              <w:rPr>
                <w:rFonts w:ascii="Arial" w:cs="Arial" w:eastAsia="Arial" w:hAnsi="Arial"/>
                <w:sz w:val="18"/>
                <w:szCs w:val="18"/>
                <w:color w:val="auto"/>
                <w:w w:val="89"/>
              </w:rPr>
              <w:t>2017</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17,061</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2018</w:t>
            </w:r>
          </w:p>
        </w:tc>
        <w:tc>
          <w:tcPr>
            <w:tcW w:w="13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30,205</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53,735</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70,825</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83,317</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2022</w:t>
            </w:r>
          </w:p>
        </w:tc>
        <w:tc>
          <w:tcPr>
            <w:tcW w:w="1300" w:type="dxa"/>
            <w:vAlign w:val="bottom"/>
          </w:tcPr>
          <w:p>
            <w:pPr>
              <w:jc w:val="right"/>
              <w:spacing w:after="0"/>
              <w:rPr>
                <w:sz w:val="20"/>
                <w:szCs w:val="20"/>
                <w:color w:val="auto"/>
              </w:rPr>
            </w:pPr>
            <w:r>
              <w:rPr>
                <w:rFonts w:ascii="Arial" w:cs="Arial" w:eastAsia="Arial" w:hAnsi="Arial"/>
                <w:sz w:val="18"/>
                <w:szCs w:val="18"/>
                <w:color w:val="auto"/>
              </w:rPr>
              <w:t>18,658</w:t>
            </w:r>
          </w:p>
        </w:tc>
        <w:tc>
          <w:tcPr>
            <w:tcW w:w="1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18,658</w:t>
            </w:r>
          </w:p>
        </w:tc>
      </w:tr>
    </w:tbl>
    <w:p>
      <w:pPr>
        <w:spacing w:after="0" w:line="200" w:lineRule="exact"/>
        <w:rPr>
          <w:sz w:val="20"/>
          <w:szCs w:val="20"/>
          <w:color w:val="auto"/>
        </w:rPr>
      </w:pPr>
    </w:p>
    <w:p>
      <w:pPr>
        <w:spacing w:after="0" w:line="392"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Since commencing sales outside the United States in the third quarter of 2018, we have shipped nearly 100,000 pumps to customers in more than 20 countries, and have yet to complete a full four-year reimbursement cycle. Pump shipments to customers outside the United States by fiscal quarter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Outside the United States Pump Unit Shipments</w:t>
            </w:r>
          </w:p>
        </w:tc>
        <w:tc>
          <w:tcPr>
            <w:tcW w:w="1300" w:type="dxa"/>
            <w:vAlign w:val="bottom"/>
          </w:tcPr>
          <w:p>
            <w:pPr>
              <w:spacing w:after="0"/>
              <w:rPr>
                <w:sz w:val="14"/>
                <w:szCs w:val="14"/>
                <w:color w:val="auto"/>
              </w:rPr>
            </w:pPr>
          </w:p>
        </w:tc>
      </w:tr>
      <w:tr>
        <w:trPr>
          <w:trHeight w:val="188"/>
        </w:trPr>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83"/>
        </w:trPr>
        <w:tc>
          <w:tcPr>
            <w:tcW w:w="4200" w:type="dxa"/>
            <w:vAlign w:val="bottom"/>
          </w:tcPr>
          <w:p>
            <w:pPr>
              <w:spacing w:after="0"/>
              <w:rPr>
                <w:sz w:val="15"/>
                <w:szCs w:val="15"/>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00" w:type="dxa"/>
            <w:vAlign w:val="bottom"/>
            <w:tcBorders>
              <w:top w:val="single" w:sz="8" w:color="CFF0FC"/>
            </w:tcBorders>
            <w:shd w:val="clear" w:color="auto" w:fill="CFF0FC"/>
          </w:tcPr>
          <w:p>
            <w:pPr>
              <w:jc w:val="right"/>
              <w:ind w:right="3730"/>
              <w:spacing w:after="0"/>
              <w:rPr>
                <w:sz w:val="20"/>
                <w:szCs w:val="20"/>
                <w:color w:val="auto"/>
              </w:rPr>
            </w:pPr>
            <w:r>
              <w:rPr>
                <w:rFonts w:ascii="Arial" w:cs="Arial" w:eastAsia="Arial" w:hAnsi="Arial"/>
                <w:sz w:val="18"/>
                <w:szCs w:val="18"/>
                <w:color w:val="auto"/>
                <w:w w:val="89"/>
              </w:rPr>
              <w:t>2018</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2019</w:t>
            </w:r>
          </w:p>
        </w:tc>
        <w:tc>
          <w:tcPr>
            <w:tcW w:w="1300" w:type="dxa"/>
            <w:vAlign w:val="bottom"/>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8,708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13,152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44,995</w:t>
            </w:r>
          </w:p>
        </w:tc>
      </w:tr>
      <w:tr>
        <w:trPr>
          <w:trHeight w:val="229"/>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N/A</w:t>
            </w: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Overall, we have experienced considerable sales growth each year since the commercial launch of our first product in the third quarter of 2012, only recognizing an operating profit on a full year basis for the first time in 2021.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43" w:lineRule="exact"/>
        <w:rPr>
          <w:sz w:val="20"/>
          <w:szCs w:val="20"/>
          <w:color w:val="auto"/>
        </w:rPr>
      </w:pPr>
    </w:p>
    <w:p>
      <w:pPr>
        <w:ind w:left="1140" w:right="36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29" w:lineRule="exact"/>
        <w:rPr>
          <w:rFonts w:ascii="Arial" w:cs="Arial" w:eastAsia="Arial" w:hAnsi="Arial"/>
          <w:sz w:val="18"/>
          <w:szCs w:val="18"/>
          <w:color w:val="auto"/>
        </w:rPr>
      </w:pPr>
    </w:p>
    <w:p>
      <w:pPr>
        <w:ind w:left="1140" w:right="92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29" w:lineRule="exact"/>
        <w:rPr>
          <w:rFonts w:ascii="Arial" w:cs="Arial" w:eastAsia="Arial" w:hAnsi="Arial"/>
          <w:sz w:val="18"/>
          <w:szCs w:val="18"/>
          <w:color w:val="auto"/>
        </w:rPr>
      </w:pPr>
    </w:p>
    <w:p>
      <w:pPr>
        <w:ind w:left="1140" w:right="32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43" w:lineRule="exact"/>
        <w:rPr>
          <w:rFonts w:ascii="Arial" w:cs="Arial" w:eastAsia="Arial" w:hAnsi="Arial"/>
          <w:sz w:val="18"/>
          <w:szCs w:val="18"/>
          <w:color w:val="auto"/>
        </w:rPr>
      </w:pPr>
    </w:p>
    <w:p>
      <w:pPr>
        <w:ind w:left="1140" w:right="38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 or create uncertainty or delay with respect to regulatory approvals;</w:t>
      </w:r>
    </w:p>
    <w:p>
      <w:pPr>
        <w:spacing w:after="0" w:line="129" w:lineRule="exact"/>
        <w:rPr>
          <w:rFonts w:ascii="Arial" w:cs="Arial" w:eastAsia="Arial" w:hAnsi="Arial"/>
          <w:sz w:val="18"/>
          <w:szCs w:val="18"/>
          <w:color w:val="auto"/>
        </w:rPr>
      </w:pPr>
    </w:p>
    <w:p>
      <w:pPr>
        <w:ind w:left="1140" w:right="48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 and may be further influenced by the lifting or relaxation of COVID-19 related restrictions and broader availability of vaccines;</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198"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184"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29" w:lineRule="exact"/>
        <w:rPr>
          <w:rFonts w:ascii="Arial" w:cs="Arial" w:eastAsia="Arial" w:hAnsi="Arial"/>
          <w:sz w:val="18"/>
          <w:szCs w:val="18"/>
          <w:color w:val="auto"/>
        </w:rPr>
      </w:pPr>
    </w:p>
    <w:p>
      <w:pPr>
        <w:ind w:left="1140" w:right="38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43" w:lineRule="exact"/>
        <w:rPr>
          <w:rFonts w:ascii="Arial" w:cs="Arial" w:eastAsia="Arial" w:hAnsi="Arial"/>
          <w:sz w:val="18"/>
          <w:szCs w:val="18"/>
          <w:color w:val="auto"/>
        </w:rPr>
      </w:pPr>
    </w:p>
    <w:p>
      <w:pPr>
        <w:ind w:left="1140" w:right="120" w:hanging="484"/>
        <w:spacing w:after="0" w:line="259"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potential claims, investigations, information requests, or legal, regulatory or administrative proceedings with respect to potential or asserted violations of law, including: sales and marketing practices, anti-corruption and the Foreign Corrupt Practices Act, antitrust, securities, employment, product liability, environmental, data privacy breaches and patent infringement, which may subject us to fines, penalties, expenses, or reputational harm;</w:t>
      </w:r>
    </w:p>
    <w:p>
      <w:pPr>
        <w:spacing w:after="0" w:line="146"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184" w:lineRule="exact"/>
        <w:rPr>
          <w:rFonts w:ascii="Arial" w:cs="Arial" w:eastAsia="Arial" w:hAnsi="Arial"/>
          <w:sz w:val="18"/>
          <w:szCs w:val="18"/>
          <w:color w:val="auto"/>
        </w:rPr>
      </w:pPr>
    </w:p>
    <w:p>
      <w:pPr>
        <w:ind w:left="1140" w:right="200" w:hanging="484"/>
        <w:spacing w:after="0" w:line="277"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43"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30" w:lineRule="exact"/>
        <w:rPr>
          <w:sz w:val="20"/>
          <w:szCs w:val="20"/>
          <w:color w:val="auto"/>
        </w:rPr>
      </w:pPr>
    </w:p>
    <w:p>
      <w:pPr>
        <w:ind w:left="114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29" w:lineRule="exact"/>
        <w:rPr>
          <w:rFonts w:ascii="Arial" w:cs="Arial" w:eastAsia="Arial" w:hAnsi="Arial"/>
          <w:sz w:val="18"/>
          <w:szCs w:val="18"/>
          <w:color w:val="auto"/>
        </w:rPr>
      </w:pPr>
    </w:p>
    <w:p>
      <w:pPr>
        <w:ind w:left="1140" w:right="6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in additional geographies, and the ability to access new pump software using our Tandem Device Updater;</w:t>
      </w:r>
    </w:p>
    <w:p>
      <w:pPr>
        <w:spacing w:after="0" w:line="143"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0" w:name="page31"/>
    <w:bookmarkEnd w:id="30"/>
    <w:p>
      <w:pPr>
        <w:ind w:left="1140" w:right="200" w:hanging="484"/>
        <w:spacing w:after="0" w:line="277"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43"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ability to enter into, maintain agreements, and accomplish continued success in current and future product integrations with CGM partners;</w:t>
      </w:r>
    </w:p>
    <w:p>
      <w:pPr>
        <w:spacing w:after="0" w:line="207" w:lineRule="exact"/>
        <w:rPr>
          <w:rFonts w:ascii="Arial" w:cs="Arial" w:eastAsia="Arial" w:hAnsi="Arial"/>
          <w:sz w:val="16"/>
          <w:szCs w:val="16"/>
          <w:color w:val="auto"/>
        </w:rPr>
      </w:pPr>
    </w:p>
    <w:p>
      <w:pPr>
        <w:ind w:left="1140" w:hanging="484"/>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expansion and new product launches in select geographies outside the United States, including initial orders to stock inventories; and</w:t>
      </w:r>
    </w:p>
    <w:p>
      <w:pPr>
        <w:spacing w:after="0" w:line="196" w:lineRule="exact"/>
        <w:rPr>
          <w:rFonts w:ascii="Arial" w:cs="Arial" w:eastAsia="Arial" w:hAnsi="Arial"/>
          <w:sz w:val="17"/>
          <w:szCs w:val="17"/>
          <w:color w:val="auto"/>
        </w:rPr>
      </w:pPr>
    </w:p>
    <w:p>
      <w:pPr>
        <w:ind w:left="1140" w:right="60" w:hanging="484"/>
        <w:spacing w:after="0" w:line="263" w:lineRule="auto"/>
        <w:tabs>
          <w:tab w:leader="none" w:pos="1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57"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In addition to working to achieve our sales growth expectations, in the long-term we intend to continue to leverage our infrastructure investments to realize additional manufacturing, sales, marketing and administrative cost efficiencies with the goal of improving our operating margins and ultimately achieving sustained profitability. While we have achieved profitability in each fourth quarter since 2018, we were profitable for the first time on a full-year basis in 2021. We believe we can ultimately achieve sustained profitability by driving incremental sales growth in markets worldwide, meeting our pump renewal sales objectives, maximizing manufacturing efficiencies on increased production volumes, and leveraging the investments made in our sales, clinical, marketing and customer support organizations.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remote software update capabilities, now represents 100% of our new pump shipments and is used by nearly all of our in-warranty customers. Our products also include disposable insulin cartridges and infusion sets, as well as our complementary t:connect, TDU and mobile application products. We also offer additional accessories including protective cases, belt clips, and power adapters, although sales of these products are not significant.</w:t>
      </w:r>
    </w:p>
    <w:p>
      <w:pPr>
        <w:spacing w:after="0" w:line="17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the United States, 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we can continue to increase sales by promoting our products to a greater number of potential customers, caregivers and healthcare providers, although the COVID-19 global pandemic has had, and may continue to have, an adverse impact on our sales.</w:t>
      </w:r>
    </w:p>
    <w:p>
      <w:pPr>
        <w:spacing w:after="0" w:line="192"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In the third quarter of 2018, we began the launch of our t:slim X2 hardware platform through distribution partners outside the United States. Our products are now sold in more than 20 countries, including in Canada, France and Germany. Our independent distributor partners outside the United States and Canada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markets outside the United States based on a number of factors, such as the geographical mix, nature of the reimbursement environment, government regulations and the extent to which we rely on distributor relationships to provide sales, clinical and marketing support.</w:t>
      </w:r>
    </w:p>
    <w:p>
      <w:pPr>
        <w:spacing w:after="0" w:line="177" w:lineRule="exact"/>
        <w:rPr>
          <w:sz w:val="20"/>
          <w:szCs w:val="20"/>
          <w:color w:val="auto"/>
        </w:rPr>
      </w:pPr>
    </w:p>
    <w:p>
      <w:pPr>
        <w:ind w:right="140" w:firstLine="810"/>
        <w:spacing w:after="0" w:line="255" w:lineRule="auto"/>
        <w:rPr>
          <w:sz w:val="20"/>
          <w:szCs w:val="20"/>
          <w:color w:val="auto"/>
        </w:rPr>
      </w:pPr>
      <w:r>
        <w:rPr>
          <w:rFonts w:ascii="Arial" w:cs="Arial" w:eastAsia="Arial" w:hAnsi="Arial"/>
          <w:sz w:val="18"/>
          <w:szCs w:val="18"/>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pump shipments in the United States have typically decreased significantly from the fourth quarter to the following first quarter. Outside the United States, we do not expect this same impact from seasonality associated with reimbursement, although the quarterly sales trends may be impacted by a number of other factors, including summer vacations, the timing of product launches into new geographies and variability in the ordering patterns of our distributor partners.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1" w:name="page32"/>
    <w:bookmarkEnd w:id="31"/>
    <w:p>
      <w:pPr>
        <w:ind w:right="60" w:firstLine="810"/>
        <w:spacing w:after="0" w:line="270" w:lineRule="auto"/>
        <w:rPr>
          <w:sz w:val="20"/>
          <w:szCs w:val="20"/>
          <w:color w:val="auto"/>
        </w:rPr>
      </w:pPr>
      <w:r>
        <w:rPr>
          <w:rFonts w:ascii="Arial" w:cs="Arial" w:eastAsia="Arial" w:hAnsi="Arial"/>
          <w:sz w:val="17"/>
          <w:szCs w:val="17"/>
          <w:color w:val="auto"/>
        </w:rPr>
        <w:t>Since early 2020, the COVID-19 global pandemic had a major impact on businesses around the world, as well as our own quarterly trends. Initially, the impact on our business was relatively consistent worldwide but we have since seen varying degrees of impact in individual markets based on local conditions. For example, during 2021, we saw a gradual increase in the amount of in-person sales and training activities in the United States as vaccination availability expanded and social-distancing requirements were relaxed. During the second half of 2021, we saw reduced availability of customers and healthcare providers relating to people taking time off to vacation, which adversely impacted our sales of new pumps to customers during the period. We anticipate that our sales may not follow historical trends and may be subject to unpredictable variability in the coming months based on varying levels of impact of the global pandemic across the markets in which we operate. The full extent of the impact of the COVID-19 global pandemic on our business and operations will depend on a number of factors, including the scope and duration of the pandemic, varying government responses to the pandemic and potential delays to product development timelines.</w:t>
      </w:r>
    </w:p>
    <w:p>
      <w:pPr>
        <w:spacing w:after="0" w:line="18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example, we believe certain customers paused their decision-making during the second half of 2019 in anticipation of the commercial availability of the t:slim X2 with Control-IQ technology, and similar occurrences may occur in future periods. However, it is difficult to quantify the extent of the impact of these or similar events on future purchasing decisions.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Historically, we have manufactured our pumps and disposable insulin cartridges at our manufacturing facility in San Diego, California. In early 2020, our third-party cartridge manufacturer completed validation and commenced commercial-scale manufacturing to supplement our existing cartridge manufacturing capacity. By the end of 2021, the majority of our t:slim cartridge manufacturing capacity transitioned to our partner in order to create capacity for t:sport cartridge manufacturing in the future. Infusion sets and pump accessories are manufactured by third-party suppliers. 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w:t>
      </w:r>
    </w:p>
    <w:p>
      <w:pPr>
        <w:spacing w:after="0" w:line="178" w:lineRule="exact"/>
        <w:rPr>
          <w:sz w:val="20"/>
          <w:szCs w:val="20"/>
          <w:color w:val="auto"/>
        </w:rPr>
      </w:pPr>
    </w:p>
    <w:p>
      <w:pPr>
        <w:ind w:right="40" w:firstLine="810"/>
        <w:spacing w:after="0" w:line="285" w:lineRule="auto"/>
        <w:rPr>
          <w:sz w:val="20"/>
          <w:szCs w:val="20"/>
          <w:color w:val="auto"/>
        </w:rPr>
      </w:pPr>
      <w:r>
        <w:rPr>
          <w:rFonts w:ascii="Arial" w:cs="Arial" w:eastAsia="Arial" w:hAnsi="Arial"/>
          <w:sz w:val="16"/>
          <w:szCs w:val="16"/>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We also expect our warranty cost per unit to decrease as we release additional product features and functionality utilizing the Tandem Device Updater. Pumps have, and are expected to continue to have, a higher gross margin percentage than our pump-related supplies. Therefore, the percentage of pump sales relative to total sales could have a significant impact on our overall gross margin percentage. In the event that customers delay their pump purchasing decisions or physicians pause in prescribing new pumps, it is possible that we may experience a higher percentage of pump-related supply sales than anticipated, which in turn could adversely impact our overall gross margin percentage. However, our overall gross margin percentage may fluctuate in future quarterly periods as a result of numerous factors aside from those associated with production volumes and product mix. For instance, as a result of the COVID-19 global pandemic we implemented temporary operational changes that introduced variability to our cost of sales, such as supplemental staffing, incremental expenses to protect the health, safety and welfare of our employees working on-site and to enable other employees to work remotely. We are also experiencing higher costs as we manage global supply challenges and anticipate that this will continue for the remainder of 2022. In addition, as demand for our products increases, we may continue to make additional investments in manufacturing capacity or increase our reliance on third parties for manufacturing-related services, either of which could have a negative impact on our gross margins. Specifically, we have and will continue to evaluate investing in additional manufacturing equipment to substantially increase our existing capacity in order to meet anticipated long-term demand for our cartridges, which may initially place downward pressure on the gross margin percentage associated with our pump-related supplies.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ind w:firstLine="810"/>
        <w:spacing w:after="0" w:line="275" w:lineRule="auto"/>
        <w:rPr>
          <w:sz w:val="20"/>
          <w:szCs w:val="20"/>
          <w:color w:val="auto"/>
        </w:rPr>
      </w:pPr>
      <w:r>
        <w:rPr>
          <w:rFonts w:ascii="Arial" w:cs="Arial" w:eastAsia="Arial" w:hAnsi="Arial"/>
          <w:sz w:val="17"/>
          <w:szCs w:val="17"/>
          <w:color w:val="auto"/>
        </w:rPr>
        <w:t>Other factors impacting our overall gross margin percentage may include the changing percentage of products sold to distributors versus directly to individual customers, varying levels of reimbursement among third-party payors in individual markets worldwide, the timing and success of new regulatory approvals and product launches, the impact of the valuation and amortization of employee stock awards on non-cash stock-based compensation expense allocated to cost of sales, changes in warranty estimates, training costs, licensing and royalty costs, cost to support our digital health platforms, cost associated with excess and obsolete inventories, and changes in our manufacturing processes, capacity, costs or output.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8" w:lineRule="exact"/>
        <w:rPr>
          <w:sz w:val="20"/>
          <w:szCs w:val="20"/>
          <w:color w:val="auto"/>
        </w:rPr>
      </w:pPr>
    </w:p>
    <w:p>
      <w:pPr>
        <w:ind w:right="40" w:firstLine="810"/>
        <w:spacing w:after="0" w:line="286" w:lineRule="auto"/>
        <w:rPr>
          <w:sz w:val="20"/>
          <w:szCs w:val="20"/>
          <w:color w:val="auto"/>
        </w:rPr>
      </w:pPr>
      <w:r>
        <w:rPr>
          <w:rFonts w:ascii="Arial" w:cs="Arial" w:eastAsia="Arial" w:hAnsi="Arial"/>
          <w:sz w:val="16"/>
          <w:szCs w:val="16"/>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had approximately 110 sales territories in the United States in the first quarter of 2022, up from approximately 95 in 2021.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ten sales territories. Other significant SG&amp;A expenses typically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While we experienced reduced spending in areas such as travel and trade shows in 2021 due to the COVID-19 global pandemic, we may experience additional costs as our employees return to work at our offices and as we adapt to alternative hybrid work models, or as needed to respond to general labor shortages and heightened competition for employees with specialized skills. Overall, we expect our SG&amp;A expenses, including the cost of our customer support infrastructure, to continue to increase as our customer base grows worldwide. In addition, we will continue to evaluate, and may further increase, the number of our field sales and clinical personnel in order to optimize the coverage of our existing territories. In the longer term, SG&amp;A expenses may also increase due to anticipated costs associated with additional compliance and regulatory reporting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develop new products and technologies and support more clinical trials.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98"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Other income and expense primarily consists of interest expense which includes the amortization of debt issuance costs related to our 1.50% Convertible Senior Notes due 2025, changes in the fair value of certain warrants issued in connection with our public offering of common stock in October 2017, and interest earned on our cash equivalents and short-term investments. We expect interest expense in future quarters to be comparable with the amount expensed in 2021, through the date of conversion or redemption of the Notes. We expect the revaluation of the outstanding Series A warrants will not have a significant impact on our other income and expense through their expiration in the fourth quarter of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500" w:firstLine="810"/>
        <w:spacing w:after="0" w:line="311"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state and foreign cash tax expense as a result of taxable income anticipated or incurred in those jurisdictions. Income tax expense (benefit) may fluctuate in future quarters due to adjustments related to non-recurring transactions and changes in certain tax assessments.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r>
      <w:tr>
        <w:trPr>
          <w:trHeight w:val="186"/>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4"/>
        </w:trPr>
        <w:tc>
          <w:tcPr>
            <w:tcW w:w="80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2021</w:t>
            </w:r>
          </w:p>
        </w:tc>
      </w:tr>
      <w:tr>
        <w:trPr>
          <w:trHeight w:val="211"/>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30"/>
        </w:trPr>
        <w:tc>
          <w:tcPr>
            <w:tcW w:w="80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131,283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103,339</w:t>
            </w:r>
          </w:p>
        </w:tc>
      </w:tr>
      <w:tr>
        <w:trPr>
          <w:trHeight w:val="229"/>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Outside the United States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44,624</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37,698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175,907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141,037</w:t>
            </w:r>
          </w:p>
        </w:tc>
      </w:tr>
      <w:tr>
        <w:trPr>
          <w:trHeight w:val="22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84,814</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67,750</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91,093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73,287</w:t>
            </w:r>
          </w:p>
        </w:tc>
      </w:tr>
      <w:tr>
        <w:trPr>
          <w:trHeight w:val="230"/>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73,271</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58,563</w:t>
            </w:r>
          </w:p>
        </w:tc>
      </w:tr>
      <w:tr>
        <w:trPr>
          <w:trHeight w:val="229"/>
        </w:trPr>
        <w:tc>
          <w:tcPr>
            <w:tcW w:w="80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33,160</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17,961</w:t>
            </w:r>
          </w:p>
        </w:tc>
      </w:tr>
      <w:tr>
        <w:trPr>
          <w:trHeight w:val="22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106,431</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76,524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(15,338)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(3,237)</w:t>
            </w:r>
          </w:p>
        </w:tc>
      </w:tr>
      <w:tr>
        <w:trPr>
          <w:trHeight w:val="230"/>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9"/>
        </w:trPr>
        <w:tc>
          <w:tcPr>
            <w:tcW w:w="8040" w:type="dxa"/>
            <w:vAlign w:val="bottom"/>
          </w:tcPr>
          <w:p>
            <w:pPr>
              <w:ind w:left="180"/>
              <w:spacing w:after="0"/>
              <w:rPr>
                <w:sz w:val="20"/>
                <w:szCs w:val="20"/>
                <w:color w:val="auto"/>
              </w:rPr>
            </w:pPr>
            <w:r>
              <w:rPr>
                <w:rFonts w:ascii="Arial" w:cs="Arial" w:eastAsia="Arial" w:hAnsi="Arial"/>
                <w:sz w:val="18"/>
                <w:szCs w:val="18"/>
                <w:color w:val="auto"/>
              </w:rPr>
              <w:t>Interest income and other, net</w:t>
            </w:r>
          </w:p>
        </w:tc>
        <w:tc>
          <w:tcPr>
            <w:tcW w:w="3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272</w:t>
            </w:r>
          </w:p>
        </w:tc>
      </w:tr>
      <w:tr>
        <w:trPr>
          <w:trHeight w:val="229"/>
        </w:trPr>
        <w:tc>
          <w:tcPr>
            <w:tcW w:w="8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(1,506)</w:t>
            </w:r>
          </w:p>
        </w:tc>
      </w:tr>
      <w:tr>
        <w:trPr>
          <w:trHeight w:val="230"/>
        </w:trPr>
        <w:tc>
          <w:tcPr>
            <w:tcW w:w="804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(690)</w:t>
            </w:r>
          </w:p>
        </w:tc>
      </w:tr>
      <w:tr>
        <w:trPr>
          <w:trHeight w:val="223"/>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(1,924)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(16,439)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(5,161)</w:t>
            </w:r>
          </w:p>
        </w:tc>
      </w:tr>
      <w:tr>
        <w:trPr>
          <w:trHeight w:val="229"/>
        </w:trPr>
        <w:tc>
          <w:tcPr>
            <w:tcW w:w="8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(117)</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(14,715)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(5,044)</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Sales</w:t>
      </w:r>
      <w:r>
        <w:rPr>
          <w:rFonts w:ascii="Arial" w:cs="Arial" w:eastAsia="Arial" w:hAnsi="Arial"/>
          <w:sz w:val="16"/>
          <w:szCs w:val="16"/>
          <w:color w:val="auto"/>
        </w:rPr>
        <w:t>. For the three months ended March 31, 2022, sales were $175.9 million, which included $44.6 million of sales outside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were $141.0 million for the same period in 2021, which included $37.7 million of international sales.</w:t>
      </w:r>
    </w:p>
    <w:p>
      <w:pPr>
        <w:spacing w:after="0" w:line="238" w:lineRule="exact"/>
        <w:rPr>
          <w:sz w:val="20"/>
          <w:szCs w:val="20"/>
          <w:color w:val="auto"/>
        </w:rPr>
      </w:pPr>
    </w:p>
    <w:p>
      <w:pPr>
        <w:ind w:right="100" w:firstLine="810"/>
        <w:spacing w:after="0" w:line="311" w:lineRule="auto"/>
        <w:rPr>
          <w:sz w:val="20"/>
          <w:szCs w:val="20"/>
          <w:color w:val="auto"/>
        </w:rPr>
      </w:pPr>
      <w:r>
        <w:rPr>
          <w:rFonts w:ascii="Arial" w:cs="Arial" w:eastAsia="Arial" w:hAnsi="Arial"/>
          <w:sz w:val="16"/>
          <w:szCs w:val="16"/>
          <w:color w:val="auto"/>
        </w:rPr>
        <w:t>The increase in worldwide sales of $34.9 million in the first quarter of 2022, compared to the first quarter of 2021, was driven by an 11% increase in worldwide pump shipments to 28,095 in the first quarter of 2022, compared to 25,352 in the first quarter of 2021, and a 35% increase in pump-related supply sales. Sales of pump-related supplies increased primarily due to 47% growth in our estimated worldwide installed base of customers.</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12"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jc w:val="center"/>
        <w:ind w:left="7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Borders>
              <w:bottom w:val="single" w:sz="8" w:color="CFF0FC"/>
            </w:tcBorders>
          </w:tcPr>
          <w:p>
            <w:pPr>
              <w:spacing w:after="0"/>
              <w:rPr>
                <w:sz w:val="16"/>
                <w:szCs w:val="16"/>
                <w:color w:val="auto"/>
              </w:rPr>
            </w:pPr>
          </w:p>
        </w:tc>
        <w:tc>
          <w:tcPr>
            <w:tcW w:w="3800" w:type="dxa"/>
            <w:vAlign w:val="bottom"/>
            <w:tcBorders>
              <w:bottom w:val="single" w:sz="8" w:color="CFF0FC"/>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FF0FC"/>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38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73,497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62,912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3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27,392</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3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17,677</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in the United States</w:t>
            </w:r>
          </w:p>
        </w:tc>
        <w:tc>
          <w:tcPr>
            <w:tcW w:w="38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131,283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103,339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33</w:t>
            </w: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right="40" w:firstLine="810"/>
        <w:spacing w:after="0" w:line="271" w:lineRule="auto"/>
        <w:rPr>
          <w:sz w:val="20"/>
          <w:szCs w:val="20"/>
          <w:color w:val="auto"/>
        </w:rPr>
      </w:pPr>
      <w:r>
        <w:rPr>
          <w:rFonts w:ascii="Arial" w:cs="Arial" w:eastAsia="Arial" w:hAnsi="Arial"/>
          <w:sz w:val="17"/>
          <w:szCs w:val="17"/>
          <w:color w:val="auto"/>
        </w:rPr>
        <w:t>Pump sales in the United States were $73.5 million for the first quarter of 2022, compared to $62.9 million in the first quarter of 2021. Pump shipments in the United States were 18,658 in the first quarter of 2022, compared to 16,644 in the first quarter of 2021. The increase in pump shipments was primarily due to continued strong demand for our t:slim X2 insulin pump with Control-IQ technology despite the challenging COVID-19 environment which has impacted the availability of both customers and healthcare providers. Sales of pump-related supplies increased primarily due to a 36% increase year over year in our estimated installed base of customers in the United States. Sales to distributors accounted for 65% and 68% of our total sales in the United States for the three months ended March 31, 2022 and 2021,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outside the United States were as follows (in thousands):</w:t>
      </w:r>
    </w:p>
    <w:p>
      <w:pPr>
        <w:spacing w:after="0" w:line="126"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jc w:val="cente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13335</wp:posOffset>
            </wp:positionV>
            <wp:extent cx="2202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Pump</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18,908</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14,999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12,734</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Cartridges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Outside the United States</w:t>
            </w:r>
          </w:p>
        </w:tc>
        <w:tc>
          <w:tcPr>
            <w:tcW w:w="104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44,624</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Pump sales outside the United States were $22.3 million for the first quarter of 2022, compared to $18.9 million in the first quarter of 2021. Pump shipments increased 8% compared to the same period in the prior year due to strong demand for our products as we continue to expand the launch of Control-IQ technology outside the United States, which began in the first quarter of 2020. Sales of pump-related supplies benefited from an 87% increase in our estimated installed base of customers outside the United States. The ordering patterns of our distributors outside the United States for pumps and supplies is highly variable from period to period as they continue to gain familiarity with the markets in which they operate and the acceptance of our products in those markets. This variability was compounded during the period by the differing levels of impact from the global pandemic with regard to both access to physicians and customers, as well as shipping logistics. Sales to distributors accounted for 96% of our total sales outside the United States for both of the three month periods ended March 31, 2022 and 2021.</w:t>
      </w:r>
    </w:p>
    <w:p>
      <w:pPr>
        <w:spacing w:after="0" w:line="17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March 31, 2022 was $84.8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 $91.1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$67.8 million and gross profit of $73.3 million for the same period in 2021. The gross margin for the three months ended March 31, 2022 and 2021 was 52%.</w:t>
      </w:r>
    </w:p>
    <w:p>
      <w:pPr>
        <w:spacing w:after="0" w:line="89"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increase in our gross profit for the three months ended March 31, 2022 was primarily the result of the $34.9 million increase in total sales. Gross margin benefited from an increase in average selling prices as well as improvement in per unit manufacturing costs across all products from manufacturing efficiencies, leverage of fixed overhead and increased volumes from our third-party cartridge manufacturer. On an aggregate basis, non-manufacturing costs, which primarily consist of warranty, training, royalty and freight, were negatively impacted by increased supply chain costs due to the global pandemic. We anticipate continued pressure from increased supply chain and material costs through the end of this year as we continue to navigate the challenges of the global pandemic. Other factors that have and may continue to impact the gross margin percentage are changes in product and geographical mix and the level of non-cash stock-based compensation allocated to cost of sales. Pump sales, which have the highest gross margin, were 54% of total worldwide sales in the first quarter of 2022 versus 58% in the first quarter of 2021.</w:t>
      </w:r>
    </w:p>
    <w:p>
      <w:pPr>
        <w:spacing w:after="0" w:line="178"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25% to $73.3 million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from $58.6 million for the same period in 2021. Employee-related expenses for our SG&amp;A functions comprise the majority of SG&amp;A expenses. The increase compared to 2021 was primarily the result of a $12.8 million increase in salaries, incentive compensation, non-cash stock-based compensation, and other employee benefits due to an increase in personnel to support additional sales territories, higher sales and other services in support of our growing installed customer base. Non-cash stock-based compensation expense allocated to SG&amp;A was $11.9 million for the three months ended March 31, 2022, compared to $9.4 million in the same period in 2021. We also experienced a $1.8 million increase in other non-employee discretionary spending, including outside services, and supplies costs.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5" w:name="page36"/>
    <w:bookmarkEnd w:id="35"/>
    <w:p>
      <w:pPr>
        <w:ind w:right="260" w:firstLine="810"/>
        <w:spacing w:after="0" w:line="273"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85% to $33.2 million for the three months ended March 31, 2022 from $18.0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same period in 2021. The increase in R&amp;D expenses was primarily the result of an increase of $8.9 million in salaries, incentive compensation, non-cash stock-based compensation, and other employee benefits due to an increase in personnel to support our product development efforts. Non-cash stock-based compensation expense allocated to R&amp;D was $4.4 million for the three months ended March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compared to $2.1 million in the same period in 2021. We also experienced a $6.3 million increase in other non-employee discretionary spending, including clinical trial expenses, outside consulting and services, information technology and equipment costs attributable to R&amp;D.</w:t>
      </w:r>
    </w:p>
    <w:p>
      <w:pPr>
        <w:spacing w:after="0" w:line="178"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Total other expense, net for the three months ended March 31, 2022 was $1.1 million compared to $1.9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2021. Total other expense, net for both periods primarily consisted of $1.5 million of interest expense which included the amortization of debt issuance costs related to our Notes, partially offset by interest earned on our cash equivalents and short-term investments. Total other expense, net for the three months ended March 31, 2021 also included a $0.7 million loss on revaluation from the change in fair value of certain warrants.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740" w:firstLine="810"/>
        <w:spacing w:after="0" w:line="342" w:lineRule="auto"/>
        <w:rPr>
          <w:sz w:val="20"/>
          <w:szCs w:val="20"/>
          <w:color w:val="auto"/>
        </w:rPr>
      </w:pPr>
      <w:r>
        <w:rPr>
          <w:rFonts w:ascii="Arial" w:cs="Arial" w:eastAsia="Arial" w:hAnsi="Arial"/>
          <w:sz w:val="16"/>
          <w:szCs w:val="16"/>
          <w:color w:val="auto"/>
        </w:rPr>
        <w:t>At March 31, 2022, we had $635.4 million in cash and cash equivalents and short-term investments. We believe that our cash and cash equivalents, short-term investments, and future cash flows from operations will be sufficient to fund our ongoing core business activities.</w:t>
      </w:r>
    </w:p>
    <w:p>
      <w:pPr>
        <w:spacing w:after="0" w:line="83"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Historically, our principal sources of cash have included cash collected from product sales, private and public offerings of equity securities, exercises of employee stock awards, and debt financing.</w:t>
      </w:r>
    </w:p>
    <w:p>
      <w:pPr>
        <w:spacing w:after="0" w:line="130"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geographies outside the United States, the acquisition of intellectual property and equity investments, expenditures related to increases in our manufacturing capacity and improvements to our manufacturing efficiency, overall expansion of our facilities and operations, and other working capital needs. Additionally, we have used cash to pay the interest expense associated with our convertible senior notes.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three months ended March 31, 2022 and 2021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1"/>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13,800</w:t>
            </w:r>
          </w:p>
        </w:tc>
        <w:tc>
          <w:tcPr>
            <w:tcW w:w="80" w:type="dxa"/>
            <w:vAlign w:val="bottom"/>
          </w:tcPr>
          <w:p>
            <w:pPr>
              <w:spacing w:after="0"/>
              <w:rPr>
                <w:sz w:val="19"/>
                <w:szCs w:val="19"/>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28,685</w:t>
            </w:r>
          </w:p>
        </w:tc>
      </w:tr>
      <w:tr>
        <w:trPr>
          <w:trHeight w:val="229"/>
        </w:trPr>
        <w:tc>
          <w:tcPr>
            <w:tcW w:w="8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(6,094)</w:t>
            </w:r>
          </w:p>
        </w:tc>
      </w:tr>
      <w:tr>
        <w:trPr>
          <w:trHeight w:val="230"/>
        </w:trPr>
        <w:tc>
          <w:tcPr>
            <w:tcW w:w="806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3,573</w:t>
            </w:r>
          </w:p>
        </w:tc>
      </w:tr>
      <w:tr>
        <w:trPr>
          <w:trHeight w:val="230"/>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22,500</w:t>
            </w:r>
          </w:p>
        </w:tc>
        <w:tc>
          <w:tcPr>
            <w:tcW w:w="8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26,178</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was $13.8 million for the three months ended March 31, 2022,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$28.7 million in the same period in 2021. The reduction in net cash provided by operating activities for 2022 compared to 2021 was primarily a result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 million increase in net loss as well as working capital changes. Working capital changes during the first three months of 2022, primarily consisted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decreases in accounts receivable and employee-related liabilities, and increases in inventories and accounts payable and accrued expenses.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decreased to $94.1 million at March 31, 2022, from $110.7 million at December 31, 2021, as a result of lower sales in the first quarter of 2022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fourth quarter of 2021. Inventories increased to $80.0 million at March 31, 2022 from $68.6 million at December 31, 2021.</w:t>
      </w:r>
    </w:p>
    <w:p>
      <w:pPr>
        <w:spacing w:after="0" w:line="184"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was $5.2 million for the three months ended March 31, 2022,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$118.6 million in proceeds from maturities and sales of short-term investments, offset by $110.7 million of purchases of short-term investments, and $2.6 million in purchases of property and equipment. Net cash used by investing activities was $6.1 million for the three months ended March 31, 2021, which was primarily related to $154.3 million of purchases of short-term investments, and $3.5 million in purchases of property and equipment, offset by $151.7 million in proceeds from maturities and sales of short-term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ind w:right="120" w:firstLine="810"/>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$3.5 million for the three months ended March 31, 2022,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proceeds from the issuance of common stock under our stock plans. Net cash provided by financing activities was $3.6 million for the three months ended March 31, 2021, which consisted of $3.1 million in proceeds from the issuance of common stock under our stock plans, and $0.4 million in proceeds from the exercise of common stock warrants.</w:t>
      </w:r>
    </w:p>
    <w:p>
      <w:pPr>
        <w:spacing w:after="0" w:line="160"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800" w:right="320" w:hanging="496"/>
        <w:spacing w:after="0" w:line="27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800" w:right="540" w:hanging="496"/>
        <w:spacing w:after="0" w:line="27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800" w:right="640" w:hanging="496"/>
        <w:spacing w:after="0" w:line="277" w:lineRule="auto"/>
        <w:tabs>
          <w:tab w:leader="none" w:pos="1795"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w:t>
      </w:r>
    </w:p>
    <w:p>
      <w:pPr>
        <w:spacing w:after="0" w:line="225" w:lineRule="exact"/>
        <w:rPr>
          <w:rFonts w:ascii="Arial" w:cs="Arial" w:eastAsia="Arial" w:hAnsi="Arial"/>
          <w:sz w:val="18"/>
          <w:szCs w:val="18"/>
          <w:color w:val="auto"/>
        </w:rPr>
      </w:pPr>
    </w:p>
    <w:p>
      <w:pPr>
        <w:ind w:left="1800" w:right="380" w:hanging="496"/>
        <w:spacing w:after="0" w:line="277" w:lineRule="auto"/>
        <w:tabs>
          <w:tab w:leader="none" w:pos="17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for the development, improvement and acquisition of manufacturing, testing and packaging equipment to support business growth and increase capacity;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185"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7" w:name="page38"/>
    <w:bookmarkEnd w:id="37"/>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89"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In May 2020, the Company entered into a purchase agreement with certain counterparties for the sale of an aggregate of $287.5 million principal amount of 1.50% Convertible Senior Notes due 2025 in a private offering to qualified institutional buyers (the Notes). The proceeds from the issuance of the Notes were $244.6 million, net of debt issuance costs and cash used to pay the cost of the Capped Call Transactions (see Note 7, “Debt”). 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payments due by calendar year for our Convertible Senior Notes at March 31, 2022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Remaining in 2022</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2025</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Principal amount of convertible senior notes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287,500</w:t>
            </w:r>
          </w:p>
        </w:tc>
      </w:tr>
      <w:tr>
        <w:trPr>
          <w:trHeight w:val="248"/>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288,918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Convertible Senior Notes may be settled in cash, shares of our common stock, or a combination of cash and shares of our common stock, at our election.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As of March 31, 2022, we are a party to certain standby letter of credit arrangements in support of our operating lease obligations. For a description of the arrangements we consider significant, see Note 12 “Commitments and Contingencies” to the condensed consolidated financial statements in Part I, Item 1 of this Quarterly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Interest Rate Risks</w:t>
      </w:r>
    </w:p>
    <w:p>
      <w:pPr>
        <w:spacing w:after="0" w:line="225" w:lineRule="exact"/>
        <w:rPr>
          <w:sz w:val="20"/>
          <w:szCs w:val="20"/>
          <w:color w:val="auto"/>
        </w:rPr>
      </w:pPr>
    </w:p>
    <w:p>
      <w:pPr>
        <w:ind w:right="100" w:firstLine="810"/>
        <w:spacing w:after="0" w:line="270" w:lineRule="auto"/>
        <w:rPr>
          <w:sz w:val="20"/>
          <w:szCs w:val="20"/>
          <w:color w:val="auto"/>
        </w:rPr>
      </w:pPr>
      <w:r>
        <w:rPr>
          <w:rFonts w:ascii="Arial" w:cs="Arial" w:eastAsia="Arial" w:hAnsi="Arial"/>
          <w:sz w:val="17"/>
          <w:szCs w:val="17"/>
          <w:color w:val="auto"/>
        </w:rPr>
        <w:t>We invest our excess cash in marketable securities consisting primarily of commercial paper, corporate debt securities, U.S. Treasury securities and U.S. Government-sponsored enterprise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from time to time, issued downgrades or revised outlooks to negative for certain issuers of the debt securities held in our short-term investments portfolio. Unrealized losses on available-for-sale debt securities at March 31, 2022 were primarily due to the recent increase in market interest rates. Based on the credit quality of the available-for-sale debt securities that are in an unrealized loss position, and our current estimates of future cash flows to be collected from those securities, we believe the unrealized losses were not credit losses (see Note 3, “Short-Term Investments”).</w:t>
      </w:r>
    </w:p>
    <w:p>
      <w:pPr>
        <w:spacing w:after="0" w:line="181"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4"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2022, it would not have had a material effect on the fair value of our investment portfolio as of that date.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As we expand our operations in markets outside the United States, we may be exposed to further foreign currency exchange rate risk. We believe our exposure to foreign currency rate fluctuations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foreign currency exchange exposures up to 12 months in advance. However, we may choose not to hedge some exposures for a variety of reasons, including prohibitive economic costs.</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60" w:firstLine="8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As of March 31, 2022,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March 31, 2022.</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60" w:firstLine="810"/>
        <w:spacing w:after="0" w:line="270" w:lineRule="auto"/>
        <w:rPr>
          <w:sz w:val="20"/>
          <w:szCs w:val="20"/>
          <w:color w:val="auto"/>
        </w:rPr>
      </w:pPr>
      <w:r>
        <w:rPr>
          <w:rFonts w:ascii="Arial" w:cs="Arial" w:eastAsia="Arial" w:hAnsi="Arial"/>
          <w:sz w:val="16"/>
          <w:szCs w:val="16"/>
          <w:color w:val="auto"/>
        </w:rPr>
        <w:t xml:space="preserve">In May 2020, we were named as a defendant in three California state court class action lawsuits arising from a data breach that we experienced in January 2020. Collectively, these lawsuits seek statutory, compensatory, actual, and punitive damages; equitable relief, including restitution; pre- and post-judgment interest; injunctive relief; and attorney fees, costs, and expenses from us. On July 24, 2020, these three pending lawsuits were consolidated into a single case in the Superior Court of the State of California in the County of San Bernardino entitled </w:t>
      </w:r>
      <w:r>
        <w:rPr>
          <w:rFonts w:ascii="Arial" w:cs="Arial" w:eastAsia="Arial" w:hAnsi="Arial"/>
          <w:sz w:val="16"/>
          <w:szCs w:val="16"/>
          <w:i w:val="1"/>
          <w:iCs w:val="1"/>
          <w:color w:val="auto"/>
        </w:rPr>
        <w:t>Joseph Deluna et al v. Tandem Diabetes Care,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w:t>
      </w:r>
      <w:r>
        <w:rPr>
          <w:rFonts w:ascii="Arial" w:cs="Arial" w:eastAsia="Arial" w:hAnsi="Arial"/>
          <w:sz w:val="16"/>
          <w:szCs w:val="16"/>
          <w:color w:val="auto"/>
        </w:rPr>
        <w:t>The consolidated case alleges violations of the Confidentiality of Medical Information Act (CMIA), CCPA, California’s Unfair Competition Law</w:t>
      </w:r>
      <w:r>
        <w:rPr>
          <w:rFonts w:ascii="Arial" w:cs="Arial" w:eastAsia="Arial" w:hAnsi="Arial"/>
          <w:sz w:val="16"/>
          <w:szCs w:val="16"/>
          <w:i w:val="1"/>
          <w:iCs w:val="1"/>
          <w:color w:val="auto"/>
        </w:rPr>
        <w:t xml:space="preserve"> </w:t>
      </w:r>
      <w:r>
        <w:rPr>
          <w:rFonts w:ascii="Arial" w:cs="Arial" w:eastAsia="Arial" w:hAnsi="Arial"/>
          <w:sz w:val="16"/>
          <w:szCs w:val="16"/>
          <w:color w:val="auto"/>
        </w:rPr>
        <w:t>(UCL), and breach of contract. We filed a demurrer seeking dismissal of all claims, which was heard by the Court on October 27, 2020, and which resulted in the following outcome: (i) the demurrer to the CMIA claim was denied; (ii) the demurrer to the CCPA claim was sustained; and (iii) the demurrer to the UCL and contract claims were sustained with leave to amend the pending complaint. A second demurrer was heard by the Court on March 29, 2021 with the following outcome: (i) the demurrer to the CMIA claim was denied; and (ii) the demurrer to the UCL and contract claims was sustained without leave to amend as to three of the named plaintiffs. The plaintiffs filed a motion for class certification on January 7, 2021 to which the Company filed its opposition on April 11, 2022. The Company filed a motion for summary adjudication on the CMIA claim on April 7, 2021, which is still pending.</w:t>
      </w:r>
    </w:p>
    <w:p>
      <w:pPr>
        <w:spacing w:after="0" w:line="126"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 xml:space="preserve">In September 2020, we were named as a defendant in a lawsuit entitled </w:t>
      </w:r>
      <w:r>
        <w:rPr>
          <w:rFonts w:ascii="Arial" w:cs="Arial" w:eastAsia="Arial" w:hAnsi="Arial"/>
          <w:sz w:val="16"/>
          <w:szCs w:val="16"/>
          <w:i w:val="1"/>
          <w:iCs w:val="1"/>
          <w:color w:val="auto"/>
        </w:rPr>
        <w:t>Buck Walsh, individually and on behalf of others similarly situated v.</w:t>
      </w:r>
      <w:r>
        <w:rPr>
          <w:rFonts w:ascii="Arial" w:cs="Arial" w:eastAsia="Arial" w:hAnsi="Arial"/>
          <w:sz w:val="16"/>
          <w:szCs w:val="16"/>
          <w:color w:val="auto"/>
        </w:rPr>
        <w:t xml:space="preserve"> </w:t>
      </w:r>
      <w:r>
        <w:rPr>
          <w:rFonts w:ascii="Arial" w:cs="Arial" w:eastAsia="Arial" w:hAnsi="Arial"/>
          <w:sz w:val="16"/>
          <w:szCs w:val="16"/>
          <w:i w:val="1"/>
          <w:iCs w:val="1"/>
          <w:color w:val="auto"/>
        </w:rPr>
        <w:t>Tandem Diabetes Care, Inc.</w:t>
      </w:r>
      <w:r>
        <w:rPr>
          <w:rFonts w:ascii="Arial" w:cs="Arial" w:eastAsia="Arial" w:hAnsi="Arial"/>
          <w:sz w:val="16"/>
          <w:szCs w:val="16"/>
          <w:color w:val="auto"/>
        </w:rPr>
        <w:t>, which was filed in the Superior Court of the State of California in San Diego County. The alleged violations include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and professions code and labor code violations for failure to compensate wages, unpaid meal and rest periods, and failure to reimburse for necessary business-related expenses. The proposed class of plaintiffs includes hourly paid or non-exempt employees of the Company who were employed from April 6, 2016 through the date of adjudication. The material terms of the settlement are set forth in a binding Memorandum of Agreement dated as of July 1, 2021, which was approved by the independent arbitrator on April 18, 2022. Subsequent to this filing, the Company anticipates receipt of the final settlement amount from the settlement administrator. This lawsuit will be resolved and closed upon disbursement of the settlement amount.</w:t>
      </w:r>
    </w:p>
    <w:p>
      <w:pPr>
        <w:spacing w:after="0" w:line="193" w:lineRule="exact"/>
        <w:rPr>
          <w:sz w:val="20"/>
          <w:szCs w:val="20"/>
          <w:color w:val="auto"/>
        </w:rPr>
      </w:pPr>
    </w:p>
    <w:p>
      <w:pPr>
        <w:ind w:right="700" w:firstLine="810"/>
        <w:spacing w:after="0" w:line="342" w:lineRule="auto"/>
        <w:rPr>
          <w:sz w:val="20"/>
          <w:szCs w:val="20"/>
          <w:color w:val="auto"/>
        </w:rPr>
      </w:pPr>
      <w:r>
        <w:rPr>
          <w:rFonts w:ascii="Arial" w:cs="Arial" w:eastAsia="Arial" w:hAnsi="Arial"/>
          <w:sz w:val="16"/>
          <w:szCs w:val="16"/>
          <w:color w:val="auto"/>
        </w:rPr>
        <w:t>Although we intend to vigorously defend against these claims, there is no guarantee that we will prevail. Accordingly, we are unable to determine the ultimate outcome of these lawsuits or determine the amount or range of potential losses associated with the lawsuits.</w:t>
      </w:r>
    </w:p>
    <w:p>
      <w:pPr>
        <w:spacing w:after="0" w:line="151" w:lineRule="exact"/>
        <w:rPr>
          <w:sz w:val="20"/>
          <w:szCs w:val="20"/>
          <w:color w:val="auto"/>
        </w:rPr>
      </w:pPr>
    </w:p>
    <w:p>
      <w:pPr>
        <w:ind w:right="20" w:firstLine="810"/>
        <w:spacing w:after="0" w:line="257" w:lineRule="auto"/>
        <w:rPr>
          <w:sz w:val="20"/>
          <w:szCs w:val="20"/>
          <w:color w:val="auto"/>
        </w:rPr>
      </w:pPr>
      <w:r>
        <w:rPr>
          <w:rFonts w:ascii="Arial" w:cs="Arial" w:eastAsia="Arial" w:hAnsi="Arial"/>
          <w:sz w:val="17"/>
          <w:szCs w:val="17"/>
          <w:color w:val="auto"/>
        </w:rPr>
        <w:t>From time to time, we are involved in various other legal proceedings arising from or related to claims incident to the normal course of our business activities, including actions with respect to intellectual property, employment, regulatory, product liability and contractual matters.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Quarterly Report.</w:t>
      </w:r>
    </w:p>
    <w:p>
      <w:pPr>
        <w:spacing w:after="0" w:line="192"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1A of our Annual Report.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have incurred significant operating losses since inception and may not achieve sustained profitability.</w:t>
      </w:r>
    </w:p>
    <w:p>
      <w:pPr>
        <w:spacing w:after="0" w:line="12" w:lineRule="exact"/>
        <w:rPr>
          <w:rFonts w:ascii="Arial" w:cs="Arial" w:eastAsia="Arial" w:hAnsi="Arial"/>
          <w:sz w:val="21"/>
          <w:szCs w:val="21"/>
          <w:color w:val="auto"/>
        </w:rPr>
      </w:pPr>
    </w:p>
    <w:p>
      <w:pPr>
        <w:ind w:left="660" w:hanging="328"/>
        <w:spacing w:after="0" w:line="238" w:lineRule="auto"/>
        <w:tabs>
          <w:tab w:leader="none" w:pos="651"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currently rely on sales of insulin pump products to generate a significant portion of our revenue, and any factors that negatively impact sales of these products may adversely affect us.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ability to maintain and grow our revenue depends on retaining a high percentage of our customer base.</w:t>
      </w:r>
    </w:p>
    <w:p>
      <w:pPr>
        <w:spacing w:after="0" w:line="12" w:lineRule="exact"/>
        <w:rPr>
          <w:rFonts w:ascii="Arial" w:cs="Arial" w:eastAsia="Arial" w:hAnsi="Arial"/>
          <w:sz w:val="21"/>
          <w:szCs w:val="21"/>
          <w:color w:val="auto"/>
        </w:rPr>
      </w:pP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2"/>
        </w:numPr>
        <w:rPr>
          <w:rFonts w:ascii="Arial" w:cs="Arial" w:eastAsia="Arial" w:hAnsi="Arial"/>
          <w:sz w:val="19"/>
          <w:szCs w:val="19"/>
          <w:color w:val="auto"/>
        </w:rPr>
      </w:pPr>
      <w:r>
        <w:rPr>
          <w:rFonts w:ascii="Arial" w:cs="Arial" w:eastAsia="Arial" w:hAnsi="Arial"/>
          <w:sz w:val="16"/>
          <w:szCs w:val="16"/>
          <w:color w:val="auto"/>
        </w:rPr>
        <w:t>We may fail to meet our sales forecasts if we are unable to maintain our existing sales, marketing, clinical and customer service infrastructure.</w:t>
      </w:r>
    </w:p>
    <w:p>
      <w:pPr>
        <w:spacing w:after="0" w:line="19" w:lineRule="exact"/>
        <w:rPr>
          <w:rFonts w:ascii="Arial" w:cs="Arial" w:eastAsia="Arial" w:hAnsi="Arial"/>
          <w:sz w:val="19"/>
          <w:szCs w:val="19"/>
          <w:color w:val="auto"/>
        </w:rPr>
      </w:pPr>
    </w:p>
    <w:p>
      <w:pPr>
        <w:ind w:left="640" w:hanging="308"/>
        <w:spacing w:after="0" w:line="233"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If we are unable to maintain or expand our network of independent distributors, our sales may be negatively affected.</w:t>
      </w:r>
    </w:p>
    <w:p>
      <w:pPr>
        <w:spacing w:after="0" w:line="13" w:lineRule="exact"/>
        <w:rPr>
          <w:rFonts w:ascii="Arial" w:cs="Arial" w:eastAsia="Arial" w:hAnsi="Arial"/>
          <w:sz w:val="21"/>
          <w:szCs w:val="21"/>
          <w:color w:val="auto"/>
        </w:rPr>
      </w:pPr>
    </w:p>
    <w:p>
      <w:pPr>
        <w:ind w:left="660" w:right="420" w:hanging="328"/>
        <w:spacing w:after="0" w:line="238" w:lineRule="auto"/>
        <w:tabs>
          <w:tab w:leader="none" w:pos="651" w:val="left"/>
        </w:tabs>
        <w:numPr>
          <w:ilvl w:val="0"/>
          <w:numId w:val="12"/>
        </w:numPr>
        <w:rPr>
          <w:rFonts w:ascii="Arial" w:cs="Arial" w:eastAsia="Arial" w:hAnsi="Arial"/>
          <w:sz w:val="21"/>
          <w:szCs w:val="21"/>
          <w:color w:val="auto"/>
        </w:rPr>
      </w:pPr>
      <w:r>
        <w:rPr>
          <w:rFonts w:ascii="Arial" w:cs="Arial" w:eastAsia="Arial" w:hAnsi="Arial"/>
          <w:sz w:val="18"/>
          <w:szCs w:val="18"/>
          <w:color w:val="auto"/>
        </w:rPr>
        <w:t>Our failure to successfully complete clinical trials and development-stage testing could prevent us from obtaining regulatory approvals for or commercializing our products.</w:t>
      </w:r>
    </w:p>
    <w:p>
      <w:pPr>
        <w:spacing w:after="0" w:line="3" w:lineRule="exact"/>
        <w:rPr>
          <w:rFonts w:ascii="Arial" w:cs="Arial" w:eastAsia="Arial" w:hAnsi="Arial"/>
          <w:sz w:val="21"/>
          <w:szCs w:val="21"/>
          <w:color w:val="auto"/>
        </w:rPr>
      </w:pPr>
    </w:p>
    <w:p>
      <w:pPr>
        <w:ind w:left="640" w:hanging="308"/>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depend on a limited number of third-party suppliers for certain components and products.</w:t>
      </w:r>
    </w:p>
    <w:p>
      <w:pPr>
        <w:spacing w:after="0" w:line="7" w:lineRule="exact"/>
        <w:rPr>
          <w:rFonts w:ascii="Arial" w:cs="Arial" w:eastAsia="Arial" w:hAnsi="Arial"/>
          <w:sz w:val="21"/>
          <w:szCs w:val="21"/>
          <w:color w:val="auto"/>
        </w:rPr>
      </w:pPr>
    </w:p>
    <w:p>
      <w:pPr>
        <w:ind w:left="640" w:hanging="308"/>
        <w:spacing w:after="0" w:line="221" w:lineRule="auto"/>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Any disruption at one of our facilities could adversely affect our business and operating results.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economic and market uncertainty may adversely impact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9"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We may need to raise additional funds in the future and funds may not be available on commercially reasonable terms.</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operating results may fluctuate significantly from quarter to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9"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Our ability to comprehensively protect our intellectual property and proprietary technology is uncertain.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4"/>
        </w:numPr>
        <w:rPr>
          <w:rFonts w:ascii="Arial" w:cs="Arial" w:eastAsia="Arial" w:hAnsi="Arial"/>
          <w:sz w:val="21"/>
          <w:szCs w:val="21"/>
          <w:color w:val="auto"/>
        </w:rPr>
      </w:pPr>
      <w:r>
        <w:rPr>
          <w:rFonts w:ascii="Arial" w:cs="Arial" w:eastAsia="Arial" w:hAnsi="Arial"/>
          <w:sz w:val="18"/>
          <w:szCs w:val="18"/>
          <w:color w:val="auto"/>
        </w:rPr>
        <w:t>Patent litigation is not uncommon in the medical device industry, and we may be subject to such litigation.</w:t>
      </w:r>
    </w:p>
    <w:p>
      <w:pPr>
        <w:spacing w:after="0" w:line="13" w:lineRule="exact"/>
        <w:rPr>
          <w:rFonts w:ascii="Arial" w:cs="Arial" w:eastAsia="Arial" w:hAnsi="Arial"/>
          <w:sz w:val="21"/>
          <w:szCs w:val="21"/>
          <w:color w:val="auto"/>
        </w:rPr>
      </w:pPr>
    </w:p>
    <w:p>
      <w:pPr>
        <w:ind w:left="660" w:right="140" w:hanging="328"/>
        <w:spacing w:after="0" w:line="238" w:lineRule="auto"/>
        <w:tabs>
          <w:tab w:leader="none" w:pos="651" w:val="left"/>
        </w:tabs>
        <w:numPr>
          <w:ilvl w:val="0"/>
          <w:numId w:val="14"/>
        </w:numPr>
        <w:rPr>
          <w:rFonts w:ascii="Arial" w:cs="Arial" w:eastAsia="Arial" w:hAnsi="Arial"/>
          <w:sz w:val="21"/>
          <w:szCs w:val="21"/>
          <w:color w:val="auto"/>
        </w:rPr>
      </w:pPr>
      <w:r>
        <w:rPr>
          <w:rFonts w:ascii="Arial" w:cs="Arial" w:eastAsia="Arial" w:hAnsi="Arial"/>
          <w:sz w:val="18"/>
          <w:szCs w:val="18"/>
          <w:color w:val="auto"/>
        </w:rPr>
        <w:t>We may be subject to damages resulting from claims that we have wrongfully used or disclosed patient health information or trade secrets, or are in breach of non-competition or non-solicitation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1"/>
          <w:szCs w:val="21"/>
          <w:color w:val="auto"/>
        </w:rPr>
      </w:pPr>
      <w:r>
        <w:rPr>
          <w:rFonts w:ascii="Arial" w:cs="Arial" w:eastAsia="Arial" w:hAnsi="Arial"/>
          <w:sz w:val="18"/>
          <w:szCs w:val="18"/>
          <w:color w:val="auto"/>
        </w:rPr>
        <w:t>Our products and operations are subject to extensive governmental regulation, and regulatory approvals could be denied or delayed.</w:t>
      </w:r>
    </w:p>
    <w:p>
      <w:pPr>
        <w:spacing w:after="0" w:line="1" w:lineRule="exact"/>
        <w:rPr>
          <w:rFonts w:ascii="Arial" w:cs="Arial" w:eastAsia="Arial" w:hAnsi="Arial"/>
          <w:sz w:val="21"/>
          <w:szCs w:val="21"/>
          <w:color w:val="auto"/>
        </w:rPr>
      </w:pPr>
    </w:p>
    <w:p>
      <w:pPr>
        <w:ind w:left="660" w:right="80" w:hanging="328"/>
        <w:spacing w:after="0" w:line="24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products or modifications to our existing products may require new regulatory approvals, or require us to cease marketing or recall modified products.</w:t>
      </w:r>
    </w:p>
    <w:p>
      <w:pPr>
        <w:ind w:left="660" w:right="20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or our third-party suppliers, contract manufacturers or service providers fail to comply with manufacturing regulations, it could impair our ability to market our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The price of our common stock may continue to fluctuate significantly.</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6"/>
        </w:numPr>
        <w:rPr>
          <w:rFonts w:ascii="Arial" w:cs="Arial" w:eastAsia="Arial" w:hAnsi="Arial"/>
          <w:sz w:val="21"/>
          <w:szCs w:val="21"/>
          <w:color w:val="auto"/>
        </w:rPr>
      </w:pPr>
      <w:r>
        <w:rPr>
          <w:rFonts w:ascii="Arial" w:cs="Arial" w:eastAsia="Arial" w:hAnsi="Arial"/>
          <w:sz w:val="18"/>
          <w:szCs w:val="18"/>
          <w:color w:val="auto"/>
        </w:rPr>
        <w:t>We may fail to maintain an effective system of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Convertible Senior Notes</w:t>
      </w:r>
    </w:p>
    <w:p>
      <w:pPr>
        <w:spacing w:after="0" w:line="2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The Notes could adversely affect our financial condition.</w:t>
      </w:r>
    </w:p>
    <w:p>
      <w:pPr>
        <w:spacing w:after="0" w:line="7"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not have sufficient cash flow from our business to service the Notes.</w:t>
      </w:r>
    </w:p>
    <w:p>
      <w:pPr>
        <w:spacing w:after="0" w:line="8" w:lineRule="exact"/>
        <w:rPr>
          <w:rFonts w:ascii="Arial" w:cs="Arial" w:eastAsia="Arial" w:hAnsi="Arial"/>
          <w:sz w:val="21"/>
          <w:szCs w:val="21"/>
          <w:color w:val="auto"/>
        </w:rPr>
      </w:pPr>
    </w:p>
    <w:p>
      <w:pPr>
        <w:ind w:left="640" w:hanging="308"/>
        <w:spacing w:after="0" w:line="233"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18"/>
          <w:szCs w:val="18"/>
          <w:color w:val="auto"/>
        </w:rPr>
        <w:t>We may take actions which could limit our ability to make payments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18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Since our inception in January 2006, we have incurred a significant net loss. As of March 31, 2022, we had an accumulated deficit of $649.3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57"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97" w:lineRule="exact"/>
        <w:rPr>
          <w:sz w:val="20"/>
          <w:szCs w:val="20"/>
          <w:color w:val="auto"/>
        </w:rPr>
      </w:pPr>
    </w:p>
    <w:p>
      <w:pPr>
        <w:ind w:right="40" w:firstLine="810"/>
        <w:spacing w:after="0" w:line="246" w:lineRule="auto"/>
        <w:rPr>
          <w:sz w:val="20"/>
          <w:szCs w:val="20"/>
          <w:color w:val="auto"/>
        </w:rPr>
      </w:pPr>
      <w:r>
        <w:rPr>
          <w:rFonts w:ascii="Arial" w:cs="Arial" w:eastAsia="Arial" w:hAnsi="Arial"/>
          <w:sz w:val="17"/>
          <w:szCs w:val="17"/>
          <w:color w:val="auto"/>
        </w:rPr>
        <w:t>Since the first quarter of 2013, we have been able to manufacture and sell our insulin pump products at a cost and in volumes sufficient to allow us to achieve a positive overall gross margin. For the years ended December 31, 2021 and 2020, our gross profit was $376.2 million and $260.5 million, respectively. Although we have achieved a positive overall gross margin and generated net income on an annual basis for the first time for the year ended December 31, 2021, we may still operate at a net loss from time to time due to fluctuations in our business.</w:t>
      </w:r>
    </w:p>
    <w:p>
      <w:pPr>
        <w:spacing w:after="0" w:line="184" w:lineRule="exact"/>
        <w:rPr>
          <w:sz w:val="20"/>
          <w:szCs w:val="20"/>
          <w:color w:val="auto"/>
        </w:rPr>
      </w:pPr>
    </w:p>
    <w:p>
      <w:pPr>
        <w:jc w:val="both"/>
        <w:ind w:right="100"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products currently under development both in the United States and the more than 20 countries in which we operate outside the United States.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and the scope and duration of the impacts caused by the COVID-19 global pandemic. Any additional operating losses will have an adverse effect on our stockholders’ equity, and we cannot assure you that we will be able to sustain profitability.</w:t>
      </w:r>
    </w:p>
    <w:p>
      <w:pPr>
        <w:spacing w:after="0" w:line="1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6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3" w:name="page44"/>
    <w:bookmarkEnd w:id="43"/>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60" w:right="160" w:hanging="656"/>
        <w:spacing w:after="0" w:line="342" w:lineRule="auto"/>
        <w:tabs>
          <w:tab w:leader="none" w:pos="19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123" w:lineRule="exact"/>
        <w:rPr>
          <w:rFonts w:ascii="Arial" w:cs="Arial" w:eastAsia="Arial" w:hAnsi="Arial"/>
          <w:sz w:val="16"/>
          <w:szCs w:val="16"/>
          <w:color w:val="auto"/>
        </w:rPr>
      </w:pPr>
    </w:p>
    <w:p>
      <w:pPr>
        <w:ind w:left="1960" w:right="60" w:hanging="656"/>
        <w:spacing w:after="0" w:line="277"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200" w:firstLine="810"/>
        <w:spacing w:after="0" w:line="272"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77"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The overall scope of the COVID-19 global pandemic and its impacts continue to fluctuate, and in some instances worsen, in various regions worldwide. Although the overall negative impact from the COVID-19 global pandemic on our business is difficult to estimate, our sales and operating results have been adversely impacted, and we anticipate that they will continue to be impacted and subject to unpredictable variability in future periods. Further, certain development activities, such as human factors studies associated with our product development efforts, activities to support the manufacturing scale-up for new products and the recruitment of participants in ongoing clinical studies, were modified or delayed due to impacts of the COVID-19 global pandemic, which has and continues to impact our development timelines and regulatory strategies and also could have a negative impact on our product commercialization efforts and the future demand for our products.</w:t>
      </w:r>
    </w:p>
    <w:p>
      <w:pPr>
        <w:spacing w:after="0" w:line="210" w:lineRule="exact"/>
        <w:rPr>
          <w:sz w:val="20"/>
          <w:szCs w:val="20"/>
          <w:color w:val="auto"/>
        </w:rPr>
      </w:pPr>
    </w:p>
    <w:p>
      <w:pPr>
        <w:ind w:right="140" w:firstLine="810"/>
        <w:spacing w:after="0" w:line="237" w:lineRule="auto"/>
        <w:rPr>
          <w:sz w:val="20"/>
          <w:szCs w:val="20"/>
          <w:color w:val="auto"/>
        </w:rPr>
      </w:pPr>
      <w:r>
        <w:rPr>
          <w:rFonts w:ascii="Arial" w:cs="Arial" w:eastAsia="Arial" w:hAnsi="Arial"/>
          <w:sz w:val="17"/>
          <w:szCs w:val="17"/>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adapting to a hybrid work model, and we may experience additional costs as our employees return to work, or as we respond to general labor shortages and heightened competition for employees with specialized skills.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4" w:name="page45"/>
    <w:bookmarkEnd w:id="44"/>
    <w:p>
      <w:pPr>
        <w:ind w:right="40" w:firstLine="810"/>
        <w:spacing w:after="0" w:line="288"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has and could continue to have a material adverse impact on the operations of one or more of our suppliers. These adverse impacts on our suppliers could prevent them from delivering products to us or supporting our requirements for manufacturing-related equipment on a timely basis, or at all. Additionally, we have been and may continue to be negatively impacted by global shortages of semiconductors and copper, which could limit our insulin pump manufacturing capacity. If we continue to experience these or similar manufacturing challenges, or if these challenges worsen in the future, it could increase our manufacturing costs, disrupt our manufacturing operations, negatively impact our product sales and harm our reputation.</w:t>
      </w:r>
    </w:p>
    <w:p>
      <w:pPr>
        <w:spacing w:after="0" w:line="195"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and any resulting changes to general economic conditions in the countries in which we operate and sell our products. Further spread or escalation of the COVID-19 global pandemic, a resurgence of the pandemic in the United States, or even the threat or perception that this could occur, or any protracted duration of decreased economic activity or increase in inflation, could have a material adverse impact on our business, operations and financial results and could negatively impact or disrupt our plans to have employees return to our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52" w:lineRule="exact"/>
        <w:rPr>
          <w:sz w:val="20"/>
          <w:szCs w:val="20"/>
          <w:color w:val="auto"/>
        </w:rPr>
      </w:pPr>
    </w:p>
    <w:p>
      <w:pPr>
        <w:ind w:right="160"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212"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92"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4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24"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5" w:name="page46"/>
    <w:bookmarkEnd w:id="45"/>
    <w:p>
      <w:pPr>
        <w:ind w:right="80" w:firstLine="810"/>
        <w:spacing w:after="0" w:line="239" w:lineRule="auto"/>
        <w:rPr>
          <w:sz w:val="20"/>
          <w:szCs w:val="20"/>
          <w:color w:val="auto"/>
        </w:rPr>
      </w:pPr>
      <w:r>
        <w:rPr>
          <w:rFonts w:ascii="Arial" w:cs="Arial" w:eastAsia="Arial" w:hAnsi="Arial"/>
          <w:sz w:val="17"/>
          <w:szCs w:val="17"/>
          <w:color w:val="auto"/>
        </w:rPr>
        <w:t>Our primary competitors are major medical device companies that are publicly traded companies or divisions or subsidiaries of publicly traded companies, including Insulet and Medtronic. In addition, Eli Lilly has announced a collaboration to commercialize an existing third-party insulin pump as part of a to-be-developed system and Becton Dickinson and Company recently completed the spin off its diabetes care business as a separate publicly-traded company, Embecta.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90" w:lineRule="exact"/>
        <w:rPr>
          <w:sz w:val="20"/>
          <w:szCs w:val="20"/>
          <w:color w:val="auto"/>
        </w:rPr>
      </w:pPr>
    </w:p>
    <w:p>
      <w:pPr>
        <w:ind w:left="1940" w:hanging="636"/>
        <w:spacing w:after="0"/>
        <w:tabs>
          <w:tab w:leader="none" w:pos="1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39" w:lineRule="exact"/>
        <w:rPr>
          <w:sz w:val="20"/>
          <w:szCs w:val="20"/>
          <w:color w:val="auto"/>
        </w:rPr>
      </w:pPr>
    </w:p>
    <w:p>
      <w:pPr>
        <w:ind w:right="260" w:firstLine="810"/>
        <w:spacing w:after="0" w:line="253" w:lineRule="auto"/>
        <w:rPr>
          <w:sz w:val="20"/>
          <w:szCs w:val="20"/>
          <w:color w:val="auto"/>
        </w:rPr>
      </w:pPr>
      <w:r>
        <w:rPr>
          <w:rFonts w:ascii="Arial" w:cs="Arial" w:eastAsia="Arial" w:hAnsi="Arial"/>
          <w:sz w:val="17"/>
          <w:szCs w:val="17"/>
          <w:color w:val="auto"/>
        </w:rPr>
        <w:t>In some instances, our competitors offer products that include features that we do not currently offer. For instance, Insulet offers an insulin pump with a tubeless delivery system that does not utilize an infusion set and Medtronic is selling a connected insulin pen delivery device. Additionally, Medtronic recently announced the launch in select European countries of an infusion set that can be worn for up to seven days.</w:t>
      </w:r>
    </w:p>
    <w:p>
      <w:pPr>
        <w:spacing w:after="0" w:line="20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66"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p>
      <w:pPr>
        <w:ind w:right="18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180"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65"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6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7" w:name="page48"/>
    <w:bookmarkEnd w:id="47"/>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w:t>
      </w:r>
    </w:p>
    <w:p>
      <w:pPr>
        <w:spacing w:after="0" w:line="176" w:lineRule="exact"/>
        <w:rPr>
          <w:sz w:val="20"/>
          <w:szCs w:val="20"/>
          <w:color w:val="auto"/>
        </w:rPr>
      </w:pPr>
    </w:p>
    <w:p>
      <w:pPr>
        <w:ind w:right="52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71"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in the United States and the more than 20 countries in which we operate outside the United States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9"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700" w:firstLine="810"/>
        <w:spacing w:after="0" w:line="263"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w:t>
      </w:r>
    </w:p>
    <w:p>
      <w:pPr>
        <w:spacing w:after="0" w:line="18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 addition, due to the current COVID-19 global pandemic, starting in the first quarter of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192"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 and in particular in our office locations in San Diego, California and Boise, Idaho.</w:t>
      </w:r>
    </w:p>
    <w:p>
      <w:pPr>
        <w:spacing w:after="0" w:line="186"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9" w:name="page50"/>
    <w:bookmarkEnd w:id="49"/>
    <w:p>
      <w:pPr>
        <w:ind w:right="18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06"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in the United States have been required to sell our products exclusively and each of them may freely sell the products of our competitors. If we are unable to maintain or expand our network of independent distributors, our sales may be negatively affected.</w:t>
      </w:r>
    </w:p>
    <w:p>
      <w:pPr>
        <w:spacing w:after="0" w:line="151"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For the year ended December 31, 2021, our two largest independent distributors in the United States collectively comprised approximately 21% of our worldwide sales, and our three largest independent international distributors collectively comprised approximately 55%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0" w:name="page51"/>
    <w:bookmarkEnd w:id="50"/>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1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2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200" w:hanging="656"/>
        <w:spacing w:after="0" w:line="308" w:lineRule="auto"/>
        <w:tabs>
          <w:tab w:leader="none" w:pos="19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4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32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1" w:name="page52"/>
    <w:bookmarkEnd w:id="51"/>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cybersecurity and other technological risks associated with our expanding portfolio of digital health products, and align these products to a dynamic threat landscape.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clinical trials and other studies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4"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In addition, due to shortages of specific components, we have had to qualify alternative components or source components from alternative distributors.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8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320" w:firstLine="810"/>
        <w:spacing w:after="0" w:line="271" w:lineRule="auto"/>
        <w:rPr>
          <w:sz w:val="20"/>
          <w:szCs w:val="20"/>
          <w:color w:val="auto"/>
        </w:rPr>
      </w:pPr>
      <w:r>
        <w:rPr>
          <w:rFonts w:ascii="Arial" w:cs="Arial" w:eastAsia="Arial" w:hAnsi="Arial"/>
          <w:sz w:val="17"/>
          <w:szCs w:val="17"/>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right="8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government-mandated or voluntary closures of, or operational limitations impacting, our manufacturing facilities;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38"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and our inventory of certain pump and cartridge components are currently below our targeted stocking levels. 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78" w:lineRule="exact"/>
        <w:rPr>
          <w:sz w:val="20"/>
          <w:szCs w:val="20"/>
          <w:color w:val="auto"/>
        </w:rPr>
      </w:pPr>
    </w:p>
    <w:p>
      <w:pPr>
        <w:jc w:val="both"/>
        <w:ind w:right="320" w:firstLine="810"/>
        <w:spacing w:after="0" w:line="263"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53" w:name="page54"/>
    <w:bookmarkEnd w:id="53"/>
    <w:p>
      <w:pPr>
        <w:ind w:right="26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For instance, we are currently subject to allocation limits for certain semiconductor components.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138" w:lineRule="exact"/>
        <w:rPr>
          <w:sz w:val="20"/>
          <w:szCs w:val="20"/>
          <w:color w:val="auto"/>
        </w:rPr>
      </w:pPr>
    </w:p>
    <w:p>
      <w:pPr>
        <w:ind w:right="40" w:firstLine="810"/>
        <w:spacing w:after="0" w:line="286"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7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9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Any disruption at one of our facilities could adversely affect our business and operating results.*</w:t>
      </w:r>
    </w:p>
    <w:p>
      <w:pPr>
        <w:spacing w:after="0" w:line="225" w:lineRule="exact"/>
        <w:rPr>
          <w:sz w:val="20"/>
          <w:szCs w:val="20"/>
          <w:color w:val="auto"/>
        </w:rPr>
      </w:pPr>
    </w:p>
    <w:p>
      <w:pPr>
        <w:ind w:right="40" w:firstLine="810"/>
        <w:spacing w:after="0" w:line="287" w:lineRule="auto"/>
        <w:rPr>
          <w:sz w:val="20"/>
          <w:szCs w:val="20"/>
          <w:color w:val="auto"/>
        </w:rPr>
      </w:pPr>
      <w:r>
        <w:rPr>
          <w:rFonts w:ascii="Arial" w:cs="Arial" w:eastAsia="Arial" w:hAnsi="Arial"/>
          <w:sz w:val="16"/>
          <w:szCs w:val="16"/>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two years we substantially expanded various quality and customer and technical support activities in Boise, Idaho.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right="80" w:firstLine="810"/>
        <w:spacing w:after="0" w:line="268" w:lineRule="auto"/>
        <w:rPr>
          <w:sz w:val="20"/>
          <w:szCs w:val="20"/>
          <w:color w:val="auto"/>
        </w:rPr>
      </w:pPr>
      <w:r>
        <w:rPr>
          <w:rFonts w:ascii="Arial" w:cs="Arial" w:eastAsia="Arial" w:hAnsi="Arial"/>
          <w:sz w:val="17"/>
          <w:szCs w:val="17"/>
          <w:color w:val="auto"/>
        </w:rPr>
        <w:t>At the beginning of 2018 we completed the transition of our manufacturing operations to a facility located on Barnes Canyon Road in San Diego, and during the fourth quarter of 2019 we commenced operations at a logistics warehouse in San Diego. We expect that both of these actions will allow for future capacity for product manufacturing and warehousing expansion. However, we may not experience the anticipated operating efficiencies at either facility as we continue to scale our business operations and add manufacturing requirements for products currently under development. In addition, beginning in 2020 we outsourced a portion of our cartridge manufacturing demand to an experienced third-party contract manufacturer and we expect to increase our reliance on this third party cartridge manufacturer over the next 24 months while reducing our own internal t:slim cartridge manufacturing capacity in our existing facility.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8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5" w:name="page56"/>
    <w:bookmarkEnd w:id="55"/>
    <w:p>
      <w:pPr>
        <w:ind w:left="1960" w:right="520" w:hanging="656"/>
        <w:spacing w:after="0" w:line="308"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 on a timely basis.</w:t>
      </w:r>
    </w:p>
    <w:p>
      <w:pPr>
        <w:spacing w:after="0" w:line="252" w:lineRule="exact"/>
        <w:rPr>
          <w:sz w:val="20"/>
          <w:szCs w:val="20"/>
          <w:color w:val="auto"/>
        </w:rPr>
      </w:pPr>
    </w:p>
    <w:p>
      <w:pPr>
        <w:ind w:right="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81"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7" w:name="page58"/>
    <w:bookmarkEnd w:id="57"/>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right="140" w:firstLine="810"/>
        <w:spacing w:after="0" w:line="289" w:lineRule="auto"/>
        <w:rPr>
          <w:sz w:val="20"/>
          <w:szCs w:val="20"/>
          <w:color w:val="auto"/>
        </w:rPr>
      </w:pPr>
      <w:r>
        <w:rPr>
          <w:rFonts w:ascii="Arial" w:cs="Arial" w:eastAsia="Arial" w:hAnsi="Arial"/>
          <w:sz w:val="16"/>
          <w:szCs w:val="16"/>
          <w:color w:val="auto"/>
        </w:rPr>
        <w:t>The efficient operation of our business depends on our information technology and communication systems, as well as those of our suppliers, contract manufacturers, distributors and other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our Tandem Source data management platform,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66"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commenced use of our Tandem Device Updater, which enables customers to remotely update software on their insulin pumps and may be higher following the launch of our new mobile application in the second half of 2020. These risks may increase further when we enable users to control insulin boluses through the mobile app.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 As this is a rapidly evolving area, compliance with any future requirements, regulations, and evolving threat models may require the investment of additional resources in the form of capital, personnel or technology.</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ind w:firstLine="810"/>
        <w:spacing w:after="0" w:line="270"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 xml:space="preserve">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are presently defending a class action lawsuit entitled </w:t>
      </w:r>
      <w:r>
        <w:rPr>
          <w:rFonts w:ascii="Arial" w:cs="Arial" w:eastAsia="Arial" w:hAnsi="Arial"/>
          <w:sz w:val="18"/>
          <w:szCs w:val="18"/>
          <w:i w:val="1"/>
          <w:iCs w:val="1"/>
          <w:color w:val="auto"/>
        </w:rPr>
        <w:t>Joseph Deluna et al. v. Tandem Diabetes Care, Inc.</w:t>
      </w:r>
      <w:r>
        <w:rPr>
          <w:rFonts w:ascii="Arial" w:cs="Arial" w:eastAsia="Arial" w:hAnsi="Arial"/>
          <w:sz w:val="18"/>
          <w:szCs w:val="18"/>
          <w:color w:val="auto"/>
        </w:rPr>
        <w:t>, which is pending in the Superior Court of the State of California in the County of San Bernardino.</w:t>
      </w:r>
    </w:p>
    <w:p>
      <w:pPr>
        <w:spacing w:after="0" w:line="195"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 It is possible that our legal expenses and defense costs, alone or together with any monetary damages, may exceed the limits of any applicable insurance coverage that we carry.</w:t>
      </w:r>
    </w:p>
    <w:p>
      <w:pPr>
        <w:spacing w:after="0" w:line="15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There are a number of laws in the United States and outside the United States protecting the privacy and security of personal information. These laws include the U.S. Health Insurance Portability and Accountability Act of 1996 (HIPAA) and related regulations, U.S. state laws (such as the California Consumer Privacy Act (CCPA)),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 described above alleges violations of some of these laws.</w:t>
      </w:r>
    </w:p>
    <w:p>
      <w:pPr>
        <w:spacing w:after="0" w:line="164"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utilize a variety of measures to secure the data that we control, even compliant entities can experience security breaches or have inadvertent failures despite employing reasonable practices and safeguards.</w:t>
      </w:r>
    </w:p>
    <w:p>
      <w:pPr>
        <w:spacing w:after="0" w:line="19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amendments to privacy and security laws (such as the CCPA) may impose additional requirements on us and increase our regulatory and litigation risk. As we continue to expand, our business will need to adapt to meet these and other similar legal requirements.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97"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and benefits in order to attract and retain our personnel, which would increase our expenses.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 and other EU member state directives;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0" w:name="page61"/>
    <w:bookmarkEnd w:id="60"/>
    <w:p>
      <w:pPr>
        <w:ind w:left="196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5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84" w:lineRule="exact"/>
        <w:rPr>
          <w:sz w:val="20"/>
          <w:szCs w:val="20"/>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assimilating, maintaining or operating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costs, impairment charges or write-offs associated with acquisitions or investments;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43" w:lineRule="exact"/>
        <w:rPr>
          <w:sz w:val="20"/>
          <w:szCs w:val="20"/>
          <w:color w:val="auto"/>
        </w:rPr>
      </w:pPr>
    </w:p>
    <w:p>
      <w:pPr>
        <w:ind w:right="40" w:firstLine="810"/>
        <w:spacing w:after="0" w:line="294" w:lineRule="auto"/>
        <w:rPr>
          <w:sz w:val="20"/>
          <w:szCs w:val="20"/>
          <w:color w:val="auto"/>
        </w:rPr>
      </w:pPr>
      <w:r>
        <w:rPr>
          <w:rFonts w:ascii="Arial" w:cs="Arial" w:eastAsia="Arial" w:hAnsi="Arial"/>
          <w:sz w:val="16"/>
          <w:szCs w:val="16"/>
          <w:color w:val="auto"/>
        </w:rPr>
        <w:t>We have experienced and may continue to experience one or more of these risks in connection with our acquisition of Sugarmate, which was completed in 2020. For example, as a result of an update to Dexcom’s data systems in October 2021, Sugarmate users in all geographies were unable to receive Dexcom CGM data in the Sugarmate app. Connections for users in the United States were restored in December 2021 but we have not yet restored connections in other geographies. While we continue to work towards restoring service for most users outside the US, we may not be able to restore</w:t>
      </w:r>
    </w:p>
    <w:p>
      <w:pPr>
        <w:spacing w:after="0" w:line="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services to all countries on the same timeline, or restore services to all users. These service disruptions, or other problems utilizing the mobile app or other assets acquired from Sugarmate, could adversely affect our ability to realize the expected benefits from the Sugarmate acquisition. Further, it is possible that we could experience a loss of Sugarmate customers or reputational harm arising from this service outage or similar events, which could adversely affect our business, results of operations, and financial condition.</w:t>
      </w:r>
    </w:p>
    <w:p>
      <w:pPr>
        <w:spacing w:after="0" w:line="187"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ectPr>
          <w:pgSz w:w="11900" w:h="16838" w:orient="portrait"/>
          <w:cols w:equalWidth="0" w:num="1">
            <w:col w:w="11180"/>
          </w:cols>
          <w:pgMar w:left="320" w:top="1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30"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At March 31, 2022, we had $635.4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increasing the size of our facility footprint due to increases in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200" w:lineRule="exact"/>
        <w:rPr>
          <w:sz w:val="20"/>
          <w:szCs w:val="20"/>
          <w:color w:val="auto"/>
        </w:rPr>
      </w:pPr>
    </w:p>
    <w:p>
      <w:pPr>
        <w:spacing w:after="0" w:line="235" w:lineRule="exact"/>
        <w:rPr>
          <w:sz w:val="20"/>
          <w:szCs w:val="20"/>
          <w:color w:val="auto"/>
        </w:rPr>
      </w:pPr>
    </w:p>
    <w:p>
      <w:pPr>
        <w:ind w:left="1960" w:right="200" w:hanging="656"/>
        <w:spacing w:after="0" w:line="232" w:lineRule="auto"/>
        <w:tabs>
          <w:tab w:leader="none" w:pos="19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248" w:lineRule="exact"/>
        <w:rPr>
          <w:rFonts w:ascii="Arial" w:cs="Arial" w:eastAsia="Arial" w:hAnsi="Arial"/>
          <w:sz w:val="22"/>
          <w:szCs w:val="22"/>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gross profits and gross margin we realize from the sales we generate;</w:t>
      </w:r>
    </w:p>
    <w:p>
      <w:pPr>
        <w:spacing w:after="0" w:line="269" w:lineRule="exact"/>
        <w:rPr>
          <w:rFonts w:ascii="Arial" w:cs="Arial" w:eastAsia="Arial" w:hAnsi="Arial"/>
          <w:sz w:val="22"/>
          <w:szCs w:val="22"/>
          <w:color w:val="auto"/>
        </w:rPr>
      </w:pPr>
    </w:p>
    <w:p>
      <w:pPr>
        <w:ind w:left="1960" w:right="1040" w:hanging="656"/>
        <w:spacing w:after="0" w:line="232" w:lineRule="auto"/>
        <w:tabs>
          <w:tab w:leader="none" w:pos="19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270" w:lineRule="exact"/>
        <w:rPr>
          <w:rFonts w:ascii="Arial" w:cs="Arial" w:eastAsia="Arial" w:hAnsi="Arial"/>
          <w:sz w:val="22"/>
          <w:szCs w:val="22"/>
          <w:color w:val="auto"/>
        </w:rPr>
      </w:pPr>
    </w:p>
    <w:p>
      <w:pPr>
        <w:ind w:left="1960" w:right="40" w:hanging="656"/>
        <w:spacing w:after="0" w:line="297" w:lineRule="auto"/>
        <w:tabs>
          <w:tab w:leader="none" w:pos="1955" w:val="left"/>
        </w:tabs>
        <w:numPr>
          <w:ilvl w:val="0"/>
          <w:numId w:val="30"/>
        </w:numPr>
        <w:rPr>
          <w:rFonts w:ascii="Arial" w:cs="Arial" w:eastAsia="Arial" w:hAnsi="Arial"/>
          <w:sz w:val="19"/>
          <w:szCs w:val="19"/>
          <w:color w:val="auto"/>
        </w:rPr>
      </w:pPr>
      <w:r>
        <w:rPr>
          <w:rFonts w:ascii="Arial" w:cs="Arial" w:eastAsia="Arial" w:hAnsi="Arial"/>
          <w:sz w:val="16"/>
          <w:szCs w:val="16"/>
          <w:color w:val="auto"/>
        </w:rPr>
        <w:t>the expenses we incur or other capital expenditures we make to maintain or enhance our manufacturing operations and distribution capabilities, including leasing additional property, hiring additional personnel, and purchasing additional equipment;</w:t>
      </w:r>
    </w:p>
    <w:p>
      <w:pPr>
        <w:spacing w:after="0" w:line="194" w:lineRule="exact"/>
        <w:rPr>
          <w:rFonts w:ascii="Arial" w:cs="Arial" w:eastAsia="Arial" w:hAnsi="Arial"/>
          <w:sz w:val="19"/>
          <w:szCs w:val="19"/>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expenses associated with developing and commercializing our proposed products or technologies;</w:t>
      </w:r>
    </w:p>
    <w:p>
      <w:pPr>
        <w:spacing w:after="0" w:line="258" w:lineRule="exact"/>
        <w:rPr>
          <w:rFonts w:ascii="Arial" w:cs="Arial" w:eastAsia="Arial" w:hAnsi="Arial"/>
          <w:sz w:val="22"/>
          <w:szCs w:val="22"/>
          <w:color w:val="auto"/>
        </w:rPr>
      </w:pPr>
    </w:p>
    <w:p>
      <w:pPr>
        <w:ind w:left="1940" w:hanging="636"/>
        <w:spacing w:after="0"/>
        <w:tabs>
          <w:tab w:leader="none" w:pos="194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46" w:lineRule="exact"/>
        <w:rPr>
          <w:rFonts w:ascii="Arial" w:cs="Arial" w:eastAsia="Arial" w:hAnsi="Arial"/>
          <w:sz w:val="21"/>
          <w:szCs w:val="21"/>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cost of ongoing compliance with legal and regulatory requirements</w:t>
      </w:r>
    </w:p>
    <w:p>
      <w:pPr>
        <w:spacing w:after="0" w:line="246" w:lineRule="exact"/>
        <w:rPr>
          <w:rFonts w:ascii="Arial" w:cs="Arial" w:eastAsia="Arial" w:hAnsi="Arial"/>
          <w:sz w:val="22"/>
          <w:szCs w:val="22"/>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expenses we incur in connection with current or future litigation or governmental investigations;</w:t>
      </w:r>
    </w:p>
    <w:p>
      <w:pPr>
        <w:spacing w:after="0" w:line="269" w:lineRule="exact"/>
        <w:rPr>
          <w:rFonts w:ascii="Arial" w:cs="Arial" w:eastAsia="Arial" w:hAnsi="Arial"/>
          <w:sz w:val="22"/>
          <w:szCs w:val="22"/>
          <w:color w:val="auto"/>
        </w:rPr>
      </w:pPr>
    </w:p>
    <w:p>
      <w:pPr>
        <w:ind w:left="1960" w:right="60" w:hanging="656"/>
        <w:spacing w:after="0" w:line="251" w:lineRule="auto"/>
        <w:tabs>
          <w:tab w:leader="none" w:pos="19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expenses we may incur or other financial commitments we may make in connection with current and potential new acquisitions, investments, business or commercial collaborations, development agreements or licensing arrangements;</w:t>
      </w:r>
    </w:p>
    <w:p>
      <w:pPr>
        <w:spacing w:after="0" w:line="235" w:lineRule="exact"/>
        <w:rPr>
          <w:rFonts w:ascii="Arial" w:cs="Arial" w:eastAsia="Arial" w:hAnsi="Arial"/>
          <w:sz w:val="21"/>
          <w:szCs w:val="21"/>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anticipated or unanticipated capital expenditures;</w:t>
      </w:r>
    </w:p>
    <w:p>
      <w:pPr>
        <w:spacing w:after="0" w:line="246" w:lineRule="exact"/>
        <w:rPr>
          <w:rFonts w:ascii="Arial" w:cs="Arial" w:eastAsia="Arial" w:hAnsi="Arial"/>
          <w:sz w:val="22"/>
          <w:szCs w:val="22"/>
          <w:color w:val="auto"/>
        </w:rPr>
      </w:pPr>
    </w:p>
    <w:p>
      <w:pPr>
        <w:ind w:left="1940" w:hanging="636"/>
        <w:spacing w:after="0"/>
        <w:tabs>
          <w:tab w:leader="none" w:pos="1940" w:val="left"/>
        </w:tabs>
        <w:numPr>
          <w:ilvl w:val="0"/>
          <w:numId w:val="30"/>
        </w:numPr>
        <w:rPr>
          <w:rFonts w:ascii="Arial" w:cs="Arial" w:eastAsia="Arial" w:hAnsi="Arial"/>
          <w:sz w:val="22"/>
          <w:szCs w:val="22"/>
          <w:color w:val="auto"/>
        </w:rPr>
      </w:pPr>
      <w:r>
        <w:rPr>
          <w:rFonts w:ascii="Arial" w:cs="Arial" w:eastAsia="Arial" w:hAnsi="Arial"/>
          <w:sz w:val="18"/>
          <w:szCs w:val="18"/>
          <w:color w:val="auto"/>
        </w:rPr>
        <w:t>unanticipated general and administrative expenses; and</w:t>
      </w:r>
    </w:p>
    <w:p>
      <w:pPr>
        <w:spacing w:after="0" w:line="269" w:lineRule="exact"/>
        <w:rPr>
          <w:rFonts w:ascii="Arial" w:cs="Arial" w:eastAsia="Arial" w:hAnsi="Arial"/>
          <w:sz w:val="22"/>
          <w:szCs w:val="22"/>
          <w:color w:val="auto"/>
        </w:rPr>
      </w:pPr>
    </w:p>
    <w:p>
      <w:pPr>
        <w:ind w:left="1960" w:right="540" w:hanging="656"/>
        <w:spacing w:after="0" w:line="232" w:lineRule="auto"/>
        <w:tabs>
          <w:tab w:leader="none" w:pos="19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203"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2" w:name="page63"/>
    <w:bookmarkEnd w:id="62"/>
    <w:p>
      <w:pPr>
        <w:ind w:right="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12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30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clearance or approvals, or adverse regulatory or legal actions, affecting our products or those of our competitors; and</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1" w:right="4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comprehensively protect our intellectual property and proprietary technology is uncertain.*</w:t>
      </w:r>
    </w:p>
    <w:p>
      <w:pPr>
        <w:spacing w:after="0" w:line="225"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March 31, 2022, our patent portfolio consisted of approximately 122 issued U.S. patents and 80 pending U.S. patent applications. Of these, our issued U.S. patents expire between approximately 2024 and 2041. Our foreign patent portfolio consisted of approximately 41 issued patents and 16 pending patent applications in other countries throughout the world. Of these, our issued foreign patents expire between approximately 2025 and 2036. In addition, we also have 109 trademark registrations, including 22 U.S. trademark registrations and 87 foreign trademark registrations.</w:t>
      </w:r>
    </w:p>
    <w:p>
      <w:pPr>
        <w:spacing w:after="0" w:line="161" w:lineRule="exact"/>
        <w:rPr>
          <w:sz w:val="20"/>
          <w:szCs w:val="20"/>
          <w:color w:val="auto"/>
        </w:rPr>
      </w:pPr>
    </w:p>
    <w:p>
      <w:pPr>
        <w:ind w:right="12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If a competitor infringes one of our patents, trademarks or other intellectual property rights, enforcing those patents, trademarks and other intellectual property rights may be difficult, expensive and time consuming. Patent law relating to the scope of claims in the industry in which we operate is subject to rapid change and constant evolution and, consequently, patent protection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narrowly interpreted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ind w:right="260"/>
        <w:spacing w:after="0" w:line="277" w:lineRule="auto"/>
        <w:rPr>
          <w:sz w:val="20"/>
          <w:szCs w:val="20"/>
          <w:color w:val="auto"/>
        </w:rPr>
      </w:pPr>
      <w:r>
        <w:rPr>
          <w:rFonts w:ascii="Arial" w:cs="Arial" w:eastAsia="Arial" w:hAnsi="Arial"/>
          <w:sz w:val="18"/>
          <w:szCs w:val="18"/>
          <w:b w:val="1"/>
          <w:bCs w:val="1"/>
          <w:i w:val="1"/>
          <w:iCs w:val="1"/>
          <w:color w:val="auto"/>
        </w:rPr>
        <w:t>Patent litigation in the medical device industry is not uncommon,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considerable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their intellectual property relating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allegedly infringes third-party intellectual property;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 those products that allegedly infringe third-party intellectual property; or</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49"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design, manufacture, testing, inspection, and sale of medical devices. We are subject to product liability lawsuits alleging that component failures, manufacturing flaws, manufacturing defects, negligence in manufacturing, design defects, negligence in design, or inadequate disclosure of product-related risks, warnings,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against potential product liability claims could prevent or limit our commercialization of current products or products currently under development.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00" w:firstLine="810"/>
        <w:spacing w:after="0" w:line="301" w:lineRule="auto"/>
        <w:rPr>
          <w:sz w:val="20"/>
          <w:szCs w:val="20"/>
          <w:color w:val="auto"/>
        </w:rPr>
      </w:pPr>
      <w:r>
        <w:rPr>
          <w:rFonts w:ascii="Arial" w:cs="Arial" w:eastAsia="Arial" w:hAnsi="Arial"/>
          <w:sz w:val="16"/>
          <w:szCs w:val="16"/>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157"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66" w:name="page67"/>
    <w:bookmarkEnd w:id="66"/>
    <w:p>
      <w:pPr>
        <w:ind w:left="1940" w:hanging="636"/>
        <w:spacing w:after="0"/>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If the FDA or other regulatory authority requires a more rigorous examination for our future products or modifications to existing products than we had expected, our product introductions or modifications could be delayed or canceled, which could cause our sales to decline or to not increase in line with our forecasts.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FDA or other regulatory authority can delay, limit or deny clearance or approval of one of our devices for many reasons, including:</w:t>
      </w:r>
    </w:p>
    <w:p>
      <w:pPr>
        <w:spacing w:after="0" w:line="237"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data from our pre-clinical studies or clinical trials may be insufficient to support clearance or approval;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In addition, the FDA or other regulatory authority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 More recently, the FDA has stated that the review process for new submissions may take longer than normal due to the impact of the COVID-19 global pandemic.</w:t>
      </w:r>
    </w:p>
    <w:p>
      <w:pPr>
        <w:spacing w:after="0" w:line="187"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and regulatory enforcement or inquiries, or other increased scrutiny on us, could dissuade some customers from using our products and adversely affect our reputation and the perceived safety and efficacy of our products.</w:t>
      </w:r>
    </w:p>
    <w:p>
      <w:pPr>
        <w:spacing w:after="0" w:line="188"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Since our inception we have been audited or inspected by various regulatory authorities on numerous occasions. We also regularly respond to routine inquiries from regulatory authorities.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Since mid-2021 we have completed several audits and inspections, some of which include findings that require us to take one or more corrective actions. Our failure to appropriately respond to these findings and take corrective actions, or our failure to comply with applicable regulations for any other reason,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7" w:name="page68"/>
    <w:bookmarkEnd w:id="67"/>
    <w:p>
      <w:pPr>
        <w:ind w:right="120" w:firstLine="810"/>
        <w:spacing w:after="0" w:line="296" w:lineRule="auto"/>
        <w:rPr>
          <w:sz w:val="20"/>
          <w:szCs w:val="20"/>
          <w:color w:val="auto"/>
        </w:rPr>
      </w:pPr>
      <w:r>
        <w:rPr>
          <w:rFonts w:ascii="Arial" w:cs="Arial" w:eastAsia="Arial" w:hAnsi="Arial"/>
          <w:sz w:val="16"/>
          <w:szCs w:val="16"/>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in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contract manufacturers and service providers fail to comply with good manufacturing practice regulations, this could impair our ability to market our products in a cost-effective and timely manner.</w:t>
      </w:r>
    </w:p>
    <w:p>
      <w:pPr>
        <w:spacing w:after="0" w:line="170"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We also are subject to similar requirements by regulatory authorities in other geographies. The FDA and other regulatory bodies routinely audit our compliance with the QSR and equivalent international requirements through periodic announced and unannounced inspections of manufacturing and other facilities which may occur at any time. We cannot assure you that our facilities or our contract manufacturer or third-party suppliers’ facilities would pass any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81" w:lineRule="exact"/>
        <w:rPr>
          <w:sz w:val="20"/>
          <w:szCs w:val="20"/>
          <w:color w:val="auto"/>
        </w:rPr>
      </w:pPr>
    </w:p>
    <w:p>
      <w:pPr>
        <w:jc w:val="both"/>
        <w:ind w:right="20" w:firstLine="810"/>
        <w:spacing w:after="0" w:line="286" w:lineRule="auto"/>
        <w:rPr>
          <w:sz w:val="20"/>
          <w:szCs w:val="20"/>
          <w:color w:val="auto"/>
        </w:rPr>
      </w:pPr>
      <w:r>
        <w:rPr>
          <w:rFonts w:ascii="Arial" w:cs="Arial" w:eastAsia="Arial" w:hAnsi="Arial"/>
          <w:sz w:val="17"/>
          <w:szCs w:val="17"/>
          <w:color w:val="auto"/>
        </w:rPr>
        <w:t>If we, or our third-party suppliers, contract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60"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8" w:name="page69"/>
    <w:bookmarkEnd w:id="68"/>
    <w:p>
      <w:pPr>
        <w:ind w:right="12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we only recently commenced offering our Control-IQ technology in Australia. There can be no assurance that the TGA will not reimpose the suspension of our pump product sales or impose other regulatory restrictions in the future. In addition, other regulatory bodies may take similar actions against us, and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4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80" w:hanging="656"/>
        <w:spacing w:after="0" w:line="25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7" w:lineRule="exact"/>
        <w:rPr>
          <w:rFonts w:ascii="Arial" w:cs="Arial" w:eastAsia="Arial" w:hAnsi="Arial"/>
          <w:sz w:val="18"/>
          <w:szCs w:val="18"/>
          <w:color w:val="auto"/>
        </w:rPr>
      </w:pPr>
    </w:p>
    <w:p>
      <w:pPr>
        <w:ind w:left="1960" w:right="180" w:hanging="656"/>
        <w:spacing w:after="0" w:line="263"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right="140" w:hanging="656"/>
        <w:spacing w:after="0" w:line="259"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and state physician self-referral laws, such as the Stark Law, that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86" w:lineRule="exact"/>
        <w:rPr>
          <w:rFonts w:ascii="Arial" w:cs="Arial" w:eastAsia="Arial" w:hAnsi="Arial"/>
          <w:sz w:val="18"/>
          <w:szCs w:val="18"/>
          <w:color w:val="auto"/>
        </w:rPr>
      </w:pPr>
    </w:p>
    <w:p>
      <w:pPr>
        <w:ind w:left="1960" w:right="160" w:hanging="656"/>
        <w:spacing w:after="0" w:line="257" w:lineRule="auto"/>
        <w:tabs>
          <w:tab w:leader="none" w:pos="19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9" w:name="page70"/>
    <w:bookmarkEnd w:id="69"/>
    <w:p>
      <w:pPr>
        <w:ind w:left="1960" w:right="22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70" w:lineRule="exact"/>
        <w:rPr>
          <w:rFonts w:ascii="Arial" w:cs="Arial" w:eastAsia="Arial" w:hAnsi="Arial"/>
          <w:sz w:val="18"/>
          <w:szCs w:val="18"/>
          <w:color w:val="auto"/>
        </w:rPr>
      </w:pPr>
    </w:p>
    <w:p>
      <w:pPr>
        <w:ind w:left="1960" w:right="60" w:hanging="656"/>
        <w:spacing w:after="0" w:line="277" w:lineRule="auto"/>
        <w:tabs>
          <w:tab w:leader="none" w:pos="19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The reporting requirements under the Physician Payments Sunshine Act have been expanded, and we will need to implement additional processes and controls in order to comply with these new tracking and disclosure obligations. Any failure to submit the required data in an accurate and timely manner may result in the imposition of civil monetary penalties. Federal government agencies have issued final rules making modifications to the Anti-Kickback Statute “safe harbors” and the Stark Law regulations, and the full impact of such modifications on the health care industry and our business operations is not yet known. Further, the federal government has published proposed rules for public comment which would make material modifications to HIPAA. It is unknown if or when these proposed rules may be adopted and what final form the proposed rules may take and how they may impact our business operations.</w:t>
      </w:r>
    </w:p>
    <w:p>
      <w:pPr>
        <w:spacing w:after="0" w:line="185"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8" w:lineRule="exact"/>
        <w:rPr>
          <w:sz w:val="20"/>
          <w:szCs w:val="20"/>
          <w:color w:val="auto"/>
        </w:rPr>
      </w:pPr>
    </w:p>
    <w:p>
      <w:pPr>
        <w:ind w:right="20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and whether they might be retroactive.</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5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color w:val="auto"/>
        </w:rPr>
        <w:t>The Affordable Care Act (ACA),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ACA was enacted, and legislation has also been and will likely continue to be proposed that could modify or repeal the ACA. In addition, the ACA continues to be the subject of various legal challenges. The uncertainties regarding the future of the ACA, and other healthcare reform initiatives, may have an adverse effect on our customers’ purchasing decisions regarding our products.</w:t>
      </w:r>
    </w:p>
    <w:p>
      <w:pPr>
        <w:spacing w:after="0" w:line="161"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or other extreme weather conditions and related regulations may have a long-term impact on our business.*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Climate-related events, including the increasing frequency of extreme weather events and their impact on the U.S., Mexico, Canada, and other major regions’ critical infrastructure along with potential related regulations, have the potential to disrupt our business, our third-party suppliers, and/or the business of our customers. For example, a portion of our office facilities located in San Diego are in an area that is prone to flooding, which has occasionally caused temporary disruptions to our business operations and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announcement of a product recall, suspension or other safety notice associated with our products or the products of our competitors, or other similar regulatory enforcement actions;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inclusion or removal of our stock from one or more market indexes;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2" w:name="page73"/>
    <w:bookmarkEnd w:id="72"/>
    <w:p>
      <w:pPr>
        <w:ind w:left="1960" w:right="26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As of December 31, 2021, we had accumulated federal and state net operating loss (NOL) carryforwards of approximately $301.2 million, and $291.0 million, respectively, which included the reduction recorded in 2019 discussed below. Of the total federal NOL carryforwards, approximately $112.1 million were generated after January 1, 2018, and therefore do not expire. NOL generated after January 1, 2018, is subject to 80% limitation in accordance with the Tax Cuts and Jobs Act of 2017. The remaining federal NOL carryforwards of $189.1 million will begin to expire in 2026, and state tax loss carryforwards continue to expire in 2022,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73" w:name="page74"/>
    <w:bookmarkEnd w:id="73"/>
    <w:p>
      <w:pPr>
        <w:ind w:right="40" w:firstLine="810"/>
        <w:spacing w:after="0" w:line="255" w:lineRule="auto"/>
        <w:rPr>
          <w:sz w:val="20"/>
          <w:szCs w:val="20"/>
          <w:color w:val="auto"/>
        </w:rPr>
      </w:pPr>
      <w:r>
        <w:rPr>
          <w:rFonts w:ascii="Arial" w:cs="Arial" w:eastAsia="Arial" w:hAnsi="Arial"/>
          <w:sz w:val="18"/>
          <w:szCs w:val="18"/>
          <w:color w:val="auto"/>
        </w:rPr>
        <w:t>We have completed analyses through December 31, 2020 to determine whether our net operating losses and credits are likely to be limited by Section 382. Based on the 2018 study completed in 2019,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were projected to expire unused. In addition, future ownership changes under Section 382 may further limit the Company’s ability to fully utilize any remaining tax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3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1" w:right="3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Risks Related to Our Convertible Senior Notes</w:t>
      </w:r>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57" w:lineRule="exact"/>
        <w:rPr>
          <w:sz w:val="20"/>
          <w:szCs w:val="20"/>
          <w:color w:val="auto"/>
        </w:rPr>
      </w:pPr>
    </w:p>
    <w:p>
      <w:pPr>
        <w:ind w:firstLine="810"/>
        <w:spacing w:after="0" w:line="238" w:lineRule="auto"/>
        <w:rPr>
          <w:sz w:val="20"/>
          <w:szCs w:val="20"/>
          <w:color w:val="auto"/>
        </w:rPr>
      </w:pPr>
      <w:r>
        <w:rPr>
          <w:rFonts w:ascii="Arial" w:cs="Arial" w:eastAsia="Arial" w:hAnsi="Arial"/>
          <w:sz w:val="17"/>
          <w:szCs w:val="17"/>
          <w:color w:val="auto"/>
        </w:rPr>
        <w:t>In May 2020, we completed the offering of $287.5 million principal amount of 1.50% Convertible Senior Notes due 2025 (the Notes),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In addition, upon conversion of the Notes, unless we elect to deliver solely shares of our common stock to settle such conversion, we will be required to make cash payments in respect of the Notes being converted. Furthermore, the indenture governing the Notes provides that, in the event of an event of default (as defined in the indenture) for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due to the Notes Offering:</w:t>
      </w:r>
    </w:p>
    <w:p>
      <w:pPr>
        <w:spacing w:after="0" w:line="225" w:lineRule="exact"/>
        <w:rPr>
          <w:sz w:val="20"/>
          <w:szCs w:val="20"/>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may be heightened;</w:t>
      </w:r>
    </w:p>
    <w:p>
      <w:pPr>
        <w:spacing w:after="0" w:line="225" w:lineRule="exact"/>
        <w:rPr>
          <w:rFonts w:ascii="Arial" w:cs="Arial" w:eastAsia="Arial" w:hAnsi="Arial"/>
          <w:sz w:val="18"/>
          <w:szCs w:val="18"/>
          <w:color w:val="auto"/>
        </w:rPr>
      </w:pPr>
    </w:p>
    <w:p>
      <w:pPr>
        <w:ind w:left="1960" w:right="34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investments or general corporate purposes may be impaired.</w:t>
      </w:r>
    </w:p>
    <w:p>
      <w:pPr>
        <w:spacing w:after="0" w:line="200" w:lineRule="exact"/>
        <w:rPr>
          <w:sz w:val="20"/>
          <w:szCs w:val="20"/>
          <w:color w:val="auto"/>
        </w:rPr>
      </w:pPr>
    </w:p>
    <w:p>
      <w:pPr>
        <w:spacing w:after="0" w:line="213"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Our ability to make scheduled payments of the principal and interest on or to refinance the Notes depends on our future business operations and liquidity, which are subject, to some extent, on economic, financial, regulatory, competitive and other factors that are beyond our control, including, without limitation, market acceptance of our products, regulatory approval for our products under development, and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75" w:name="page76"/>
    <w:bookmarkEnd w:id="75"/>
    <w:p>
      <w:pPr>
        <w:ind w:left="40" w:right="360"/>
        <w:spacing w:after="0" w:line="342" w:lineRule="auto"/>
        <w:rPr>
          <w:sz w:val="20"/>
          <w:szCs w:val="20"/>
          <w:color w:val="auto"/>
        </w:rPr>
      </w:pPr>
      <w:r>
        <w:rPr>
          <w:rFonts w:ascii="Arial" w:cs="Arial" w:eastAsia="Arial" w:hAnsi="Arial"/>
          <w:sz w:val="16"/>
          <w:szCs w:val="16"/>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24" w:lineRule="exact"/>
        <w:rPr>
          <w:sz w:val="20"/>
          <w:szCs w:val="20"/>
          <w:color w:val="auto"/>
        </w:rPr>
      </w:pPr>
    </w:p>
    <w:p>
      <w:pPr>
        <w:ind w:right="80" w:firstLine="810"/>
        <w:spacing w:after="0" w:line="288"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192"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46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ind w:right="14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594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Incorporated by Reference</w:t>
            </w:r>
          </w:p>
        </w:tc>
        <w:tc>
          <w:tcPr>
            <w:tcW w:w="9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60" w:type="dxa"/>
            <w:vAlign w:val="bottom"/>
            <w:tcBorders>
              <w:bottom w:val="single" w:sz="8" w:color="auto"/>
            </w:tcBorders>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12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4"/>
                <w:szCs w:val="14"/>
                <w:color w:val="auto"/>
              </w:rPr>
            </w:pPr>
          </w:p>
        </w:tc>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Form</w:t>
            </w:r>
          </w:p>
        </w:tc>
        <w:tc>
          <w:tcPr>
            <w:tcW w:w="2020" w:type="dxa"/>
            <w:vAlign w:val="bottom"/>
          </w:tcPr>
          <w:p>
            <w:pPr>
              <w:ind w:left="1240"/>
              <w:spacing w:after="0" w:line="169" w:lineRule="exact"/>
              <w:rPr>
                <w:sz w:val="20"/>
                <w:szCs w:val="20"/>
                <w:color w:val="auto"/>
              </w:rPr>
            </w:pPr>
            <w:r>
              <w:rPr>
                <w:rFonts w:ascii="Arial" w:cs="Arial" w:eastAsia="Arial" w:hAnsi="Arial"/>
                <w:sz w:val="18"/>
                <w:szCs w:val="18"/>
                <w:b w:val="1"/>
                <w:bCs w:val="1"/>
                <w:color w:val="auto"/>
              </w:rPr>
              <w:t>Date of</w:t>
            </w:r>
          </w:p>
        </w:tc>
        <w:tc>
          <w:tcPr>
            <w:tcW w:w="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Exhibit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3"/>
            <w:vMerge w:val="continue"/>
          </w:tcPr>
          <w:p>
            <w:pPr>
              <w:spacing w:after="0"/>
              <w:rPr>
                <w:sz w:val="19"/>
                <w:szCs w:val="19"/>
                <w:color w:val="auto"/>
              </w:rPr>
            </w:pPr>
          </w:p>
        </w:tc>
        <w:tc>
          <w:tcPr>
            <w:tcW w:w="940" w:type="dxa"/>
            <w:vAlign w:val="bottom"/>
            <w:tcBorders>
              <w:bottom w:val="single" w:sz="8" w:color="CCEEFF"/>
            </w:tcBorders>
            <w:vMerge w:val="continue"/>
          </w:tcPr>
          <w:p>
            <w:pPr>
              <w:spacing w:after="0"/>
              <w:rPr>
                <w:sz w:val="19"/>
                <w:szCs w:val="19"/>
                <w:color w:val="auto"/>
              </w:rPr>
            </w:pPr>
          </w:p>
        </w:tc>
        <w:tc>
          <w:tcPr>
            <w:tcW w:w="2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File No.   First Filing</w:t>
            </w:r>
          </w:p>
        </w:tc>
        <w:tc>
          <w:tcPr>
            <w:tcW w:w="2300" w:type="dxa"/>
            <w:vAlign w:val="bottom"/>
            <w:tcBorders>
              <w:bottom w:val="single" w:sz="8" w:color="CCEEFF"/>
            </w:tcBorders>
            <w:gridSpan w:val="2"/>
          </w:tcPr>
          <w:p>
            <w:pPr>
              <w:jc w:val="center"/>
              <w:ind w:right="125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69"/>
        </w:trPr>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10.1*</w:t>
            </w:r>
          </w:p>
        </w:tc>
        <w:tc>
          <w:tcPr>
            <w:tcW w:w="20" w:type="dxa"/>
            <w:vAlign w:val="bottom"/>
            <w:shd w:val="clear" w:color="auto" w:fill="CCEEFF"/>
          </w:tcPr>
          <w:p>
            <w:pPr>
              <w:spacing w:after="0"/>
              <w:rPr>
                <w:sz w:val="14"/>
                <w:szCs w:val="14"/>
                <w:color w:val="auto"/>
              </w:rPr>
            </w:pPr>
          </w:p>
        </w:tc>
        <w:tc>
          <w:tcPr>
            <w:tcW w:w="4720" w:type="dxa"/>
            <w:vAlign w:val="bottom"/>
            <w:gridSpan w:val="3"/>
            <w:shd w:val="clear" w:color="auto" w:fill="CCEEFF"/>
          </w:tcPr>
          <w:p>
            <w:pPr>
              <w:spacing w:after="0" w:line="169" w:lineRule="exact"/>
              <w:rPr>
                <w:rFonts w:ascii="Arial" w:cs="Arial" w:eastAsia="Arial" w:hAnsi="Arial"/>
                <w:sz w:val="18"/>
                <w:szCs w:val="18"/>
                <w:color w:val="0000FF"/>
                <w:w w:val="97"/>
              </w:rPr>
            </w:pPr>
            <w:hyperlink w:anchor="page80">
              <w:r>
                <w:rPr>
                  <w:rFonts w:ascii="Arial" w:cs="Arial" w:eastAsia="Arial" w:hAnsi="Arial"/>
                  <w:sz w:val="18"/>
                  <w:szCs w:val="18"/>
                  <w:color w:val="0000FF"/>
                  <w:w w:val="97"/>
                </w:rPr>
                <w:t>Tandem Diabetes Care, Inc. 2022 Senior Management Cash</w:t>
              </w:r>
            </w:hyperlink>
          </w:p>
        </w:tc>
        <w:tc>
          <w:tcPr>
            <w:tcW w:w="94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15"/>
        </w:trPr>
        <w:tc>
          <w:tcPr>
            <w:tcW w:w="1200" w:type="dxa"/>
            <w:vAlign w:val="bottom"/>
            <w:tcBorders>
              <w:top w:val="single" w:sz="8" w:color="CCEEFF"/>
            </w:tcBorders>
            <w:vMerge w:val="continue"/>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300" w:type="dxa"/>
            <w:vAlign w:val="bottom"/>
            <w:tcBorders>
              <w:top w:val="single" w:sz="8" w:color="0000FF"/>
            </w:tcBorders>
            <w:gridSpan w:val="2"/>
            <w:vMerge w:val="restart"/>
            <w:shd w:val="clear" w:color="auto" w:fill="CCEEFF"/>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Bonus Plan</w:t>
              </w:r>
            </w:hyperlink>
          </w:p>
        </w:tc>
        <w:tc>
          <w:tcPr>
            <w:tcW w:w="420" w:type="dxa"/>
            <w:vAlign w:val="bottom"/>
            <w:tcBorders>
              <w:top w:val="single" w:sz="8" w:color="CCEEFF"/>
            </w:tcBorders>
            <w:vMerge w:val="restart"/>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300" w:type="dxa"/>
            <w:vAlign w:val="bottom"/>
            <w:gridSpan w:val="2"/>
            <w:vMerge w:val="continue"/>
            <w:shd w:val="clear" w:color="auto" w:fill="CCEEFF"/>
          </w:tcPr>
          <w:p>
            <w:pPr>
              <w:spacing w:after="0"/>
              <w:rPr>
                <w:sz w:val="3"/>
                <w:szCs w:val="3"/>
                <w:color w:val="auto"/>
              </w:rPr>
            </w:pPr>
          </w:p>
        </w:tc>
        <w:tc>
          <w:tcPr>
            <w:tcW w:w="420" w:type="dxa"/>
            <w:vAlign w:val="bottom"/>
            <w:vMerge w:val="continue"/>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891" w:right="379" w:bottom="1440" w:gutter="0" w:footer="0" w:header="0"/>
        </w:sectPr>
      </w:pPr>
    </w:p>
    <w:tbl>
      <w:tblPr>
        <w:tblLayout w:type="fixed"/>
        <w:tblInd w:w="440" w:type="dxa"/>
        <w:tblCellMar>
          <w:top w:w="0" w:type="dxa"/>
          <w:left w:w="0" w:type="dxa"/>
          <w:bottom w:w="0" w:type="dxa"/>
          <w:right w:w="0" w:type="dxa"/>
        </w:tblCellMar>
      </w:tblPr>
      <w:tr>
        <w:trPr>
          <w:trHeight w:val="189"/>
        </w:trPr>
        <w:tc>
          <w:tcPr>
            <w:tcW w:w="780" w:type="dxa"/>
            <w:vAlign w:val="bottom"/>
            <w:vMerge w:val="restart"/>
          </w:tcPr>
          <w:p>
            <w:pPr>
              <w:jc w:val="right"/>
              <w:ind w:right="370"/>
              <w:spacing w:after="0"/>
              <w:rPr>
                <w:sz w:val="20"/>
                <w:szCs w:val="20"/>
                <w:color w:val="auto"/>
              </w:rPr>
            </w:pPr>
            <w:r>
              <w:rPr>
                <w:rFonts w:ascii="Arial" w:cs="Arial" w:eastAsia="Arial" w:hAnsi="Arial"/>
                <w:sz w:val="18"/>
                <w:szCs w:val="18"/>
                <w:color w:val="auto"/>
                <w:w w:val="85"/>
              </w:rPr>
              <w:t>31.1</w:t>
            </w:r>
          </w:p>
        </w:tc>
        <w:tc>
          <w:tcPr>
            <w:tcW w:w="4200" w:type="dxa"/>
            <w:vAlign w:val="bottom"/>
            <w:tcBorders>
              <w:bottom w:val="single" w:sz="8" w:color="0000FF"/>
            </w:tcBorders>
          </w:tcPr>
          <w:p>
            <w:pPr>
              <w:spacing w:after="0" w:line="189"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Certification of John F. Sheridan, Chief Executive Officer,</w:t>
              </w:r>
            </w:hyperlink>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4300" w:type="dxa"/>
            <w:vAlign w:val="bottom"/>
            <w:gridSpan w:val="3"/>
            <w:vMerge w:val="restart"/>
          </w:tcPr>
          <w:p>
            <w:pPr>
              <w:spacing w:after="0" w:line="156" w:lineRule="exact"/>
              <w:rPr>
                <w:rFonts w:ascii="Arial" w:cs="Arial" w:eastAsia="Arial" w:hAnsi="Arial"/>
                <w:sz w:val="18"/>
                <w:szCs w:val="18"/>
                <w:color w:val="0000FF"/>
                <w:w w:val="90"/>
              </w:rPr>
            </w:pPr>
            <w:hyperlink w:anchor="page82">
              <w:r>
                <w:rPr>
                  <w:rFonts w:ascii="Arial" w:cs="Arial" w:eastAsia="Arial" w:hAnsi="Arial"/>
                  <w:sz w:val="18"/>
                  <w:szCs w:val="18"/>
                  <w:color w:val="0000FF"/>
                  <w:w w:val="90"/>
                </w:rPr>
                <w:t>pursuant to Section 302 of the Sarbanes-Oxley Act of 2002.</w:t>
              </w:r>
            </w:hyperlink>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43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80" w:type="dxa"/>
            <w:vAlign w:val="bottom"/>
            <w:vMerge w:val="restart"/>
          </w:tcPr>
          <w:p>
            <w:pPr>
              <w:jc w:val="right"/>
              <w:ind w:right="370"/>
              <w:spacing w:after="0"/>
              <w:rPr>
                <w:sz w:val="20"/>
                <w:szCs w:val="20"/>
                <w:color w:val="auto"/>
              </w:rPr>
            </w:pPr>
            <w:r>
              <w:rPr>
                <w:rFonts w:ascii="Arial" w:cs="Arial" w:eastAsia="Arial" w:hAnsi="Arial"/>
                <w:sz w:val="18"/>
                <w:szCs w:val="18"/>
                <w:color w:val="auto"/>
                <w:w w:val="85"/>
              </w:rPr>
              <w:t>31.2</w:t>
            </w:r>
          </w:p>
        </w:tc>
        <w:tc>
          <w:tcPr>
            <w:tcW w:w="428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Certification of Leigh A. Vosseller, Chief Financial Officer,</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780" w:type="dxa"/>
            <w:vAlign w:val="bottom"/>
            <w:vMerge w:val="continue"/>
          </w:tcPr>
          <w:p>
            <w:pPr>
              <w:spacing w:after="0"/>
              <w:rPr>
                <w:sz w:val="8"/>
                <w:szCs w:val="8"/>
                <w:color w:val="auto"/>
              </w:rPr>
            </w:pPr>
          </w:p>
        </w:tc>
        <w:tc>
          <w:tcPr>
            <w:tcW w:w="4300" w:type="dxa"/>
            <w:vAlign w:val="bottom"/>
            <w:gridSpan w:val="3"/>
            <w:vMerge w:val="restart"/>
          </w:tcPr>
          <w:p>
            <w:pPr>
              <w:spacing w:after="0" w:line="156" w:lineRule="exact"/>
              <w:rPr>
                <w:rFonts w:ascii="Arial" w:cs="Arial" w:eastAsia="Arial" w:hAnsi="Arial"/>
                <w:sz w:val="18"/>
                <w:szCs w:val="18"/>
                <w:color w:val="0000FF"/>
                <w:w w:val="90"/>
              </w:rPr>
            </w:pPr>
            <w:hyperlink w:anchor="page83">
              <w:r>
                <w:rPr>
                  <w:rFonts w:ascii="Arial" w:cs="Arial" w:eastAsia="Arial" w:hAnsi="Arial"/>
                  <w:sz w:val="18"/>
                  <w:szCs w:val="18"/>
                  <w:color w:val="0000FF"/>
                  <w:w w:val="90"/>
                </w:rPr>
                <w:t>pursuant to Section 302 of the Sarbanes-Oxley Act of 2002.</w:t>
              </w:r>
            </w:hyperlink>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43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06285"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11" w:lineRule="exact"/>
        <w:rPr>
          <w:sz w:val="20"/>
          <w:szCs w:val="20"/>
          <w:color w:val="auto"/>
        </w:rPr>
      </w:pPr>
    </w:p>
    <w:p>
      <w:pPr>
        <w:sectPr>
          <w:pgSz w:w="11900" w:h="16838" w:orient="portrait"/>
          <w:cols w:equalWidth="0" w:num="2">
            <w:col w:w="9760" w:space="720"/>
            <w:col w:w="720"/>
          </w:cols>
          <w:pgMar w:left="320" w:top="891"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7"/>
              </w:rPr>
              <w:t>32.1**</w:t>
            </w:r>
          </w:p>
        </w:tc>
        <w:tc>
          <w:tcPr>
            <w:tcW w:w="6900" w:type="dxa"/>
            <w:vAlign w:val="bottom"/>
            <w:gridSpan w:val="5"/>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John F. Sheridan, Chief Executive Officer,</w:t>
              </w:r>
            </w:hyperlink>
          </w:p>
        </w:tc>
        <w:tc>
          <w:tcPr>
            <w:tcW w:w="3080" w:type="dxa"/>
            <w:vAlign w:val="bottom"/>
            <w:vMerge w:val="restart"/>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4200" w:type="dxa"/>
            <w:vAlign w:val="bottom"/>
            <w:tcBorders>
              <w:top w:val="single" w:sz="8" w:color="0000FF"/>
            </w:tcBorders>
            <w:gridSpan w:val="3"/>
          </w:tcPr>
          <w:p>
            <w:pPr>
              <w:spacing w:after="0" w:line="156" w:lineRule="exact"/>
              <w:rPr>
                <w:rFonts w:ascii="Arial" w:cs="Arial" w:eastAsia="Arial" w:hAnsi="Arial"/>
                <w:sz w:val="18"/>
                <w:szCs w:val="18"/>
                <w:color w:val="0000FF"/>
                <w:w w:val="92"/>
              </w:rPr>
            </w:pPr>
            <w:hyperlink w:anchor="page84">
              <w:r>
                <w:rPr>
                  <w:rFonts w:ascii="Arial" w:cs="Arial" w:eastAsia="Arial" w:hAnsi="Arial"/>
                  <w:sz w:val="18"/>
                  <w:szCs w:val="18"/>
                  <w:color w:val="0000FF"/>
                  <w:w w:val="92"/>
                </w:rPr>
                <w:t>pursuant to U.S.C. Section 1350, as adopted pursuant to</w:t>
              </w:r>
            </w:hyperlink>
          </w:p>
        </w:tc>
        <w:tc>
          <w:tcPr>
            <w:tcW w:w="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Section 906 of the Sarbanes-Oxley Act of 2002.</w:t>
              </w:r>
            </w:hyperlink>
          </w:p>
        </w:tc>
        <w:tc>
          <w:tcPr>
            <w:tcW w:w="260" w:type="dxa"/>
            <w:vAlign w:val="bottom"/>
            <w:gridSpan w:val="2"/>
          </w:tcPr>
          <w:p>
            <w:pPr>
              <w:spacing w:after="0"/>
              <w:rPr>
                <w:sz w:val="13"/>
                <w:szCs w:val="13"/>
                <w:color w:val="auto"/>
              </w:rPr>
            </w:pPr>
          </w:p>
        </w:tc>
        <w:tc>
          <w:tcPr>
            <w:tcW w:w="26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4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32.2**</w:t>
            </w:r>
          </w:p>
        </w:tc>
        <w:tc>
          <w:tcPr>
            <w:tcW w:w="6900" w:type="dxa"/>
            <w:vAlign w:val="bottom"/>
            <w:gridSpan w:val="5"/>
            <w:shd w:val="clear" w:color="auto" w:fill="CCEEFF"/>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Certification of Leigh A. Vosseller, Chief Financial Officer,</w:t>
              </w:r>
            </w:hyperlink>
          </w:p>
        </w:tc>
        <w:tc>
          <w:tcPr>
            <w:tcW w:w="3080" w:type="dxa"/>
            <w:vAlign w:val="bottom"/>
            <w:vMerge w:val="restart"/>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220" w:type="dxa"/>
            <w:vAlign w:val="bottom"/>
            <w:tcBorders>
              <w:top w:val="single" w:sz="8" w:color="CCEEFF"/>
            </w:tcBorders>
            <w:vMerge w:val="continue"/>
            <w:shd w:val="clear" w:color="auto" w:fill="CCEEFF"/>
          </w:tcPr>
          <w:p>
            <w:pPr>
              <w:spacing w:after="0"/>
              <w:rPr>
                <w:sz w:val="13"/>
                <w:szCs w:val="13"/>
                <w:color w:val="auto"/>
              </w:rPr>
            </w:pPr>
          </w:p>
        </w:tc>
        <w:tc>
          <w:tcPr>
            <w:tcW w:w="428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w w:val="94"/>
              </w:rPr>
            </w:pPr>
            <w:hyperlink w:anchor="page85">
              <w:r>
                <w:rPr>
                  <w:rFonts w:ascii="Arial" w:cs="Arial" w:eastAsia="Arial" w:hAnsi="Arial"/>
                  <w:sz w:val="18"/>
                  <w:szCs w:val="18"/>
                  <w:color w:val="0000FF"/>
                  <w:w w:val="94"/>
                </w:rPr>
                <w:t>pursuant to U.S.C. Section 1350, as adopted pursuant to</w:t>
              </w:r>
            </w:hyperlink>
          </w:p>
        </w:tc>
        <w:tc>
          <w:tcPr>
            <w:tcW w:w="262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3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0"/>
              </w:rPr>
            </w:pPr>
            <w:hyperlink w:anchor="page85">
              <w:r>
                <w:rPr>
                  <w:rFonts w:ascii="Arial" w:cs="Arial" w:eastAsia="Arial" w:hAnsi="Arial"/>
                  <w:sz w:val="18"/>
                  <w:szCs w:val="18"/>
                  <w:color w:val="0000FF"/>
                  <w:w w:val="90"/>
                </w:rPr>
                <w:t>Section 906 of the Sarbanes-Oxley Act of 2002.</w:t>
              </w:r>
            </w:hyperlink>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28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3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101.SCH</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12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9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3080" w:type="dxa"/>
            <w:vAlign w:val="bottom"/>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6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0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3"/>
              </w:rPr>
              <w:t>104</w:t>
            </w:r>
          </w:p>
        </w:tc>
        <w:tc>
          <w:tcPr>
            <w:tcW w:w="6900" w:type="dxa"/>
            <w:vAlign w:val="bottom"/>
            <w:gridSpan w:val="5"/>
          </w:tcPr>
          <w:p>
            <w:pPr>
              <w:spacing w:after="0" w:line="176" w:lineRule="exact"/>
              <w:rPr>
                <w:sz w:val="20"/>
                <w:szCs w:val="20"/>
                <w:color w:val="auto"/>
              </w:rPr>
            </w:pPr>
            <w:r>
              <w:rPr>
                <w:rFonts w:ascii="Arial" w:cs="Arial" w:eastAsia="Arial" w:hAnsi="Arial"/>
                <w:sz w:val="18"/>
                <w:szCs w:val="18"/>
                <w:color w:val="auto"/>
              </w:rPr>
              <w:t>Cover Page Interactive Data File (embedded within the Inline</w:t>
            </w:r>
          </w:p>
        </w:tc>
        <w:tc>
          <w:tcPr>
            <w:tcW w:w="3080" w:type="dxa"/>
            <w:vAlign w:val="bottom"/>
            <w:vMerge w:val="restart"/>
          </w:tcPr>
          <w:p>
            <w:pPr>
              <w:ind w:left="23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35"/>
        </w:trPr>
        <w:tc>
          <w:tcPr>
            <w:tcW w:w="1220" w:type="dxa"/>
            <w:vAlign w:val="bottom"/>
            <w:vMerge w:val="continue"/>
          </w:tcPr>
          <w:p>
            <w:pPr>
              <w:spacing w:after="0"/>
              <w:rPr>
                <w:sz w:val="11"/>
                <w:szCs w:val="11"/>
                <w:color w:val="auto"/>
              </w:rPr>
            </w:pPr>
          </w:p>
        </w:tc>
        <w:tc>
          <w:tcPr>
            <w:tcW w:w="6900" w:type="dxa"/>
            <w:vAlign w:val="bottom"/>
            <w:gridSpan w:val="5"/>
            <w:vMerge w:val="restart"/>
          </w:tcPr>
          <w:p>
            <w:pPr>
              <w:spacing w:after="0"/>
              <w:rPr>
                <w:sz w:val="20"/>
                <w:szCs w:val="20"/>
                <w:color w:val="auto"/>
              </w:rPr>
            </w:pPr>
            <w:r>
              <w:rPr>
                <w:rFonts w:ascii="Arial" w:cs="Arial" w:eastAsia="Arial" w:hAnsi="Arial"/>
                <w:sz w:val="18"/>
                <w:szCs w:val="18"/>
                <w:color w:val="auto"/>
              </w:rPr>
              <w:t>XBRL Document contained in Exhibit 101)</w:t>
            </w:r>
          </w:p>
        </w:tc>
        <w:tc>
          <w:tcPr>
            <w:tcW w:w="3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20" w:type="dxa"/>
            <w:vAlign w:val="bottom"/>
          </w:tcPr>
          <w:p>
            <w:pPr>
              <w:spacing w:after="0"/>
              <w:rPr>
                <w:sz w:val="8"/>
                <w:szCs w:val="8"/>
                <w:color w:val="auto"/>
              </w:rPr>
            </w:pPr>
          </w:p>
        </w:tc>
        <w:tc>
          <w:tcPr>
            <w:tcW w:w="6900" w:type="dxa"/>
            <w:vAlign w:val="bottom"/>
            <w:gridSpan w:val="5"/>
            <w:vMerge w:val="continue"/>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52" w:lineRule="exact"/>
        <w:rPr>
          <w:sz w:val="20"/>
          <w:szCs w:val="20"/>
          <w:color w:val="auto"/>
        </w:rPr>
      </w:pPr>
    </w:p>
    <w:p>
      <w:pPr>
        <w:jc w:val="both"/>
        <w:ind w:right="200" w:firstLine="8"/>
        <w:spacing w:after="0" w:line="263" w:lineRule="auto"/>
        <w:tabs>
          <w:tab w:leader="none" w:pos="22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78" w:name="page79"/>
    <w:bookmarkEnd w:id="78"/>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Tandem Diabetes Care, Inc.</w:t>
      </w:r>
    </w:p>
    <w:p>
      <w:pPr>
        <w:spacing w:after="0" w:line="306"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John F. Sheridan</w:t>
      </w:r>
    </w:p>
    <w:p>
      <w:pPr>
        <w:ind w:left="6300"/>
        <w:spacing w:after="0" w:line="203" w:lineRule="auto"/>
        <w:rPr>
          <w:sz w:val="20"/>
          <w:szCs w:val="20"/>
          <w:color w:val="auto"/>
        </w:rPr>
      </w:pPr>
      <w:r>
        <w:rPr>
          <w:rFonts w:ascii="Arial" w:cs="Arial" w:eastAsia="Arial" w:hAnsi="Arial"/>
          <w:sz w:val="18"/>
          <w:szCs w:val="18"/>
          <w:color w:val="auto"/>
        </w:rPr>
        <w:t>President and Chief Executive Officer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Dated: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Leigh A. Vosseller</w:t>
      </w:r>
    </w:p>
    <w:p>
      <w:pPr>
        <w:ind w:left="6300"/>
        <w:spacing w:after="0" w:line="215" w:lineRule="auto"/>
        <w:rPr>
          <w:sz w:val="20"/>
          <w:szCs w:val="20"/>
          <w:color w:val="auto"/>
        </w:rPr>
      </w:pPr>
      <w:r>
        <w:rPr>
          <w:rFonts w:ascii="Arial" w:cs="Arial" w:eastAsia="Arial" w:hAnsi="Arial"/>
          <w:sz w:val="17"/>
          <w:szCs w:val="17"/>
          <w:color w:val="auto"/>
        </w:rPr>
        <w:t>Executive Vice President, Chief Financial Officer and Treasurer</w:t>
      </w:r>
    </w:p>
    <w:p>
      <w:pPr>
        <w:ind w:left="6300"/>
        <w:spacing w:after="0" w:line="203" w:lineRule="auto"/>
        <w:rPr>
          <w:sz w:val="20"/>
          <w:szCs w:val="20"/>
          <w:color w:val="auto"/>
        </w:rPr>
      </w:pPr>
      <w:r>
        <w:rPr>
          <w:rFonts w:ascii="Arial" w:cs="Arial" w:eastAsia="Arial" w:hAnsi="Arial"/>
          <w:sz w:val="18"/>
          <w:szCs w:val="18"/>
          <w:color w:val="auto"/>
        </w:rPr>
        <w:t>(on behalf of the registrant and as the registrant’s</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1350" w:right="47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Tandem Diabetes Care, Inc.</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2022 Sr. Management Cash Bonus Plan</w:t>
      </w:r>
    </w:p>
    <w:p>
      <w:pPr>
        <w:spacing w:after="0" w:line="20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Tandem Diabetes Care, Inc. 2022 Sr. Management Cash Bonus Plan (the “</w:t>
      </w:r>
      <w:r>
        <w:rPr>
          <w:rFonts w:ascii="Arial" w:cs="Arial" w:eastAsia="Arial" w:hAnsi="Arial"/>
          <w:sz w:val="17"/>
          <w:szCs w:val="17"/>
          <w:b w:val="1"/>
          <w:bCs w:val="1"/>
          <w:i w:val="1"/>
          <w:iCs w:val="1"/>
          <w:color w:val="auto"/>
        </w:rPr>
        <w:t>Bonus Plan</w:t>
      </w:r>
      <w:r>
        <w:rPr>
          <w:rFonts w:ascii="Arial" w:cs="Arial" w:eastAsia="Arial" w:hAnsi="Arial"/>
          <w:sz w:val="17"/>
          <w:szCs w:val="17"/>
          <w:color w:val="auto"/>
        </w:rPr>
        <w:t>”) has been designed to align plan participants with the business goals and strategies of Tandem Diabetes Care, Inc. (“</w:t>
      </w:r>
      <w:r>
        <w:rPr>
          <w:rFonts w:ascii="Arial" w:cs="Arial" w:eastAsia="Arial" w:hAnsi="Arial"/>
          <w:sz w:val="17"/>
          <w:szCs w:val="17"/>
          <w:b w:val="1"/>
          <w:bCs w:val="1"/>
          <w:i w:val="1"/>
          <w:iCs w:val="1"/>
          <w:color w:val="auto"/>
        </w:rPr>
        <w:t>Tandem</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to further the objectives of the Company’s executive compensation program. This Bonus Plan is an important part of the Company’s commitment to recognizing key employees who contribute to the achievement of important Company performance goals. Specifically, the objectives of the Bonus Plan are as follows:</w:t>
      </w:r>
    </w:p>
    <w:p>
      <w:pPr>
        <w:spacing w:after="0" w:line="198"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Attract, retain and motivate executives, with the background and experience required for the Company’s future growth and success;</w:t>
      </w:r>
    </w:p>
    <w:p>
      <w:pPr>
        <w:spacing w:after="0" w:line="225" w:lineRule="exact"/>
        <w:rPr>
          <w:rFonts w:ascii="Arial" w:cs="Arial" w:eastAsia="Arial" w:hAnsi="Arial"/>
          <w:sz w:val="18"/>
          <w:szCs w:val="18"/>
          <w:color w:val="auto"/>
        </w:rPr>
      </w:pPr>
    </w:p>
    <w:p>
      <w:pPr>
        <w:ind w:left="660" w:right="80" w:hanging="328"/>
        <w:spacing w:after="0" w:line="235" w:lineRule="auto"/>
        <w:tabs>
          <w:tab w:leader="none" w:pos="6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Align the interests of plan participants with those of the Company’s stockholders by tying a meaningful portion of their compensation opportunity to the achievement of predetermined performance objectives that are important to our growth and success, which can increase or decrease to reflect achievement with respect to the objective;</w:t>
      </w:r>
    </w:p>
    <w:p>
      <w:pPr>
        <w:spacing w:after="0" w:line="201" w:lineRule="exact"/>
        <w:rPr>
          <w:rFonts w:ascii="Arial" w:cs="Arial" w:eastAsia="Arial" w:hAnsi="Arial"/>
          <w:sz w:val="18"/>
          <w:szCs w:val="18"/>
          <w:color w:val="auto"/>
        </w:rPr>
      </w:pPr>
    </w:p>
    <w:p>
      <w:pPr>
        <w:ind w:left="660" w:right="420" w:hanging="328"/>
        <w:spacing w:after="0" w:line="235" w:lineRule="auto"/>
        <w:tabs>
          <w:tab w:leader="none" w:pos="6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Together with base salary, long-term equity incentives and other components of compensation, create a total compensation package with an appropriate balance of cash versus non-cash, and guaranteed versus at risk compensation opportunities that is competitive with other medical device and technology companies’ similar in size, growth and stage.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Bonus Plan is primarily intended to reward plan participants for their individual contributions to the Company’s achievement with respect to Company performance objectives for the 2022 fiscal year. However, the Company’s Board of Directors or the Compensation Committee of the Board of Directors (the “</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also has the discretion to consider individual or Company performance after December 31, 2022 and until the date of any actual bonus determination under the Bonus Plan in measuring performance and determining the amount of an award, if any, under the Bonus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Employees of the Company eligible for an award under this Bonus Plan will be limited to individuals serving as a Vice President or more senior management role within the Company, as determined by the Board of Directors or the Compensation Committee. If, following January 1, 2022, an individual is promoted or hired and becomes an eligible participant under the Bonus Plan at any time during the 2022 calendar year, then the individual will be eligible to participate under the Bonus Plan on a pro-rata basis, calculated in the reasonable discretion of the Compensation Committee, unless otherwise specifically provided by the Board of Directors or the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Opportunity</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A target cash incentive amount (a “</w:t>
      </w:r>
      <w:r>
        <w:rPr>
          <w:rFonts w:ascii="Arial" w:cs="Arial" w:eastAsia="Arial" w:hAnsi="Arial"/>
          <w:sz w:val="17"/>
          <w:szCs w:val="17"/>
          <w:b w:val="1"/>
          <w:bCs w:val="1"/>
          <w:i w:val="1"/>
          <w:iCs w:val="1"/>
          <w:color w:val="auto"/>
        </w:rPr>
        <w:t>Target Bonus Amount</w:t>
      </w:r>
      <w:r>
        <w:rPr>
          <w:rFonts w:ascii="Arial" w:cs="Arial" w:eastAsia="Arial" w:hAnsi="Arial"/>
          <w:sz w:val="17"/>
          <w:szCs w:val="17"/>
          <w:color w:val="auto"/>
        </w:rPr>
        <w:t>”) for each eligible plan participant will be set as a percentage of the participant’s base salary and calculated based on 2022 salaries paid. Cash incentives may be earned under the Bonus Plan based on the achievement of a financial performance objective, a product development objective, and a customer-related objective. The financial performance objective represents 80% of the overall Target Bonus Amount. The product development objective and customer satisfaction-related objective will each represent 10% of the overall Target Bonus Amount, which together with the financial performance objective, represent 100% of the overall Target Bonus Amount.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Objective</w:t>
      </w:r>
    </w:p>
    <w:p>
      <w:pPr>
        <w:spacing w:after="0" w:line="239"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The portion of the cash bonuses that relate to the financial performance objective may be earned based on the Company’s actual revenue for fiscal year 2022 as compared to a pre-established 2022 revenue target (the “</w:t>
      </w:r>
      <w:r>
        <w:rPr>
          <w:rFonts w:ascii="Arial" w:cs="Arial" w:eastAsia="Arial" w:hAnsi="Arial"/>
          <w:sz w:val="18"/>
          <w:szCs w:val="18"/>
          <w:b w:val="1"/>
          <w:bCs w:val="1"/>
          <w:i w:val="1"/>
          <w:iCs w:val="1"/>
          <w:color w:val="auto"/>
        </w:rPr>
        <w:t>Revenue Target</w:t>
      </w:r>
      <w:r>
        <w:rPr>
          <w:rFonts w:ascii="Arial" w:cs="Arial" w:eastAsia="Arial" w:hAnsi="Arial"/>
          <w:sz w:val="18"/>
          <w:szCs w:val="18"/>
          <w:color w:val="auto"/>
        </w:rPr>
        <w:t>”). Subject to the foregoing, the financial objective portion of the cash bonuses may be earned under the Bonus Plan as follows:</w:t>
      </w:r>
    </w:p>
    <w:p>
      <w:pPr>
        <w:sectPr>
          <w:pgSz w:w="11900" w:h="16838" w:orient="portrait"/>
          <w:cols w:equalWidth="0" w:num="1">
            <w:col w:w="11240"/>
          </w:cols>
          <w:pgMar w:left="320" w:top="14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right="480" w:hanging="328"/>
        <w:spacing w:after="0" w:line="235"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 minimum percentage growth rate over the Company’s actual 2021 revenue, which places the Company’s revenue for 2022 at 90% of the Revenue Target (the </w:t>
      </w:r>
      <w:r>
        <w:rPr>
          <w:rFonts w:ascii="Arial" w:cs="Arial" w:eastAsia="Arial" w:hAnsi="Arial"/>
          <w:sz w:val="18"/>
          <w:szCs w:val="18"/>
          <w:b w:val="1"/>
          <w:bCs w:val="1"/>
          <w:i w:val="1"/>
          <w:iCs w:val="1"/>
          <w:color w:val="auto"/>
        </w:rPr>
        <w:t>“Minimum Revenue Target”</w:t>
      </w:r>
      <w:r>
        <w:rPr>
          <w:rFonts w:ascii="Arial" w:cs="Arial" w:eastAsia="Arial" w:hAnsi="Arial"/>
          <w:sz w:val="18"/>
          <w:szCs w:val="18"/>
          <w:color w:val="auto"/>
        </w:rPr>
        <w:t>), must be achieved for 50% bonus to be earned under the financial performance objective portion of the Bonus Plan.</w:t>
      </w:r>
    </w:p>
    <w:p>
      <w:pPr>
        <w:spacing w:after="0" w:line="201" w:lineRule="exact"/>
        <w:rPr>
          <w:rFonts w:ascii="Arial" w:cs="Arial" w:eastAsia="Arial" w:hAnsi="Arial"/>
          <w:sz w:val="18"/>
          <w:szCs w:val="18"/>
          <w:color w:val="auto"/>
        </w:rPr>
      </w:pPr>
    </w:p>
    <w:p>
      <w:pPr>
        <w:ind w:left="660" w:right="520" w:hanging="328"/>
        <w:spacing w:after="0" w:line="246"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Company’s actual revenues are between the Minimum Revenue Target and the Revenue Target, the goal achievement for the financial performance objective will be calculated proportionately in a straight-line from 50% to 100%.</w:t>
      </w:r>
    </w:p>
    <w:p>
      <w:pPr>
        <w:spacing w:after="0" w:line="196" w:lineRule="exact"/>
        <w:rPr>
          <w:rFonts w:ascii="Arial" w:cs="Arial" w:eastAsia="Arial" w:hAnsi="Arial"/>
          <w:sz w:val="18"/>
          <w:szCs w:val="18"/>
          <w:color w:val="auto"/>
        </w:rPr>
      </w:pPr>
    </w:p>
    <w:p>
      <w:pPr>
        <w:ind w:left="660" w:right="40" w:hanging="328"/>
        <w:spacing w:after="0"/>
        <w:tabs>
          <w:tab w:leader="none" w:pos="656"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Company’s actual revenues exceed the Revenue Target, up to 200% of the bonus may be earned upon achievement of 110% or greater of the Revenue Target (the “</w:t>
      </w:r>
      <w:r>
        <w:rPr>
          <w:rFonts w:ascii="Arial" w:cs="Arial" w:eastAsia="Arial" w:hAnsi="Arial"/>
          <w:sz w:val="17"/>
          <w:szCs w:val="17"/>
          <w:b w:val="1"/>
          <w:bCs w:val="1"/>
          <w:i w:val="1"/>
          <w:iCs w:val="1"/>
          <w:color w:val="auto"/>
        </w:rPr>
        <w:t>Outperformance Revenue Target</w:t>
      </w:r>
      <w:r>
        <w:rPr>
          <w:rFonts w:ascii="Arial" w:cs="Arial" w:eastAsia="Arial" w:hAnsi="Arial"/>
          <w:sz w:val="17"/>
          <w:szCs w:val="17"/>
          <w:color w:val="auto"/>
        </w:rPr>
        <w:t>”). The outperformance goal achievement will be calculated proportionately on a straight-line basis from 100% at the Revenue Target up to 200% at the Outperformance Revenue Target. In the event of an outperformance achievement, the Company must also achieve at least a minimum adjusted Earnings before Interest, Taxes, Depreciation and Amortization (and further excluding non-cash stock-based compensation expense and any accrual for the payment pursuant to the Bonus Plan) (“</w:t>
      </w:r>
      <w:r>
        <w:rPr>
          <w:rFonts w:ascii="Arial" w:cs="Arial" w:eastAsia="Arial" w:hAnsi="Arial"/>
          <w:sz w:val="17"/>
          <w:szCs w:val="17"/>
          <w:b w:val="1"/>
          <w:bCs w:val="1"/>
          <w:i w:val="1"/>
          <w:iCs w:val="1"/>
          <w:color w:val="auto"/>
        </w:rPr>
        <w:t>EBITDA</w:t>
      </w:r>
      <w:r>
        <w:rPr>
          <w:rFonts w:ascii="Arial" w:cs="Arial" w:eastAsia="Arial" w:hAnsi="Arial"/>
          <w:sz w:val="17"/>
          <w:szCs w:val="17"/>
          <w:color w:val="auto"/>
        </w:rPr>
        <w:t>”) margin percentage (the “</w:t>
      </w:r>
      <w:r>
        <w:rPr>
          <w:rFonts w:ascii="Arial" w:cs="Arial" w:eastAsia="Arial" w:hAnsi="Arial"/>
          <w:sz w:val="17"/>
          <w:szCs w:val="17"/>
          <w:b w:val="1"/>
          <w:bCs w:val="1"/>
          <w:i w:val="1"/>
          <w:iCs w:val="1"/>
          <w:color w:val="auto"/>
        </w:rPr>
        <w:t>Minimum Operating Percentage Target</w:t>
      </w:r>
      <w:r>
        <w:rPr>
          <w:rFonts w:ascii="Arial" w:cs="Arial" w:eastAsia="Arial" w:hAnsi="Arial"/>
          <w:sz w:val="17"/>
          <w:szCs w:val="17"/>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Objective</w:t>
      </w:r>
    </w:p>
    <w:p>
      <w:pPr>
        <w:spacing w:after="0" w:line="22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portion of the cash bonuses that relates to the Company product development milestone generally requires the Company to achieve regulatory submission of the product. An individual product development milestone must be achieved within a required time period for the applicable portion of the 2022 Cash Bonus Plan to be achieved. Defined time periods serve as both a minimum threshold for achieving 50% payout and an outperformance threshold for achieving up to 200% payout under this portion of the 2022 Cash Bonus Plan. Overall goal achievement is subject to the Compensation Committee’s final discretion, and determination of the Company’s product development milestone will be based on the level of achievement by the Company during fiscal year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Satisfaction-Related Objective</w:t>
      </w:r>
    </w:p>
    <w:p>
      <w:pPr>
        <w:spacing w:after="0" w:line="225"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portion of the cash bonuses that relates to the Company customer satisfaction-related objective generally requires the Company to achieve a minimum annual metric related to customer support and services. Defined metrics serve as both a minimum threshold for achieving 50% payout and an outperformance threshold for achieving up to 200% payout under this portion of the 2022 Cash Bonus Plan. Overall goal achievement is subject to the Compensation Committee’s final discretion, and determination of the Company’s customer-related objective will be based on the level of achievement by the Company during fiscal year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Determination</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Bonus payments under the Bonus Plan, if any, will be made at the discretion of the Board or the Committee. The financial performance component, product development component, and customer-related component of the Bonus Plan may be earned independent of one another. If the Company does not achieve any portion of any of the components of the Bonus Plan, no payouts will be made unless the Board of Directors or the Compensation Committee, in their sole discretion, determines that there are other factors that merit consideration in the determination of bonus awards, which may be determined on an individual basis. All determinations and decisions made by the Board of Directors or the Compensation Committee pursuant to the provisions of the Bonus Plan shall be final, conclusive and binding on all persons, and shall be given the maximum deference permitted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Payout and Administration</w:t>
      </w:r>
    </w:p>
    <w:p>
      <w:pPr>
        <w:spacing w:after="0" w:line="2"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Bonus calculations will be based on 2022 salaries paid. Payment of bonuses will be made as soon as practical after the end of the plan year, but not later than March 15, 2022. Participants must be actively employed at the time of payout to be eligible for any bonus payment. The Board of Directors or the Compensation Committee may approve payments to any eligible plan participant. The Board of Directors or the Compensation Committee can modify the Bonus Plan, including timing and form of payments, at any time in their sole discretion. Amounts payable under the Bonus Plan are intended to comply with the “short-term deferral” rule set forth in Section 1.409A-1(b)(4) of the Treasury Regulations and thus be exempt from the provisions of Section 409A of the Internal Revenue Code of 1986, as amended. The Board of Directors and the Compensation Committee intend to administer the Bonus Plan in a manner consistent with this rule. Any amounts paid hereunder shall be subject to recoupment in accordance with The Dodd-Frank Wall Street Reform and Consumer Protection Act and any implementing regulations thereunder, any clawback policy adopted by the Company or as is otherwise required by applicable law.</w:t>
      </w:r>
    </w:p>
    <w:p>
      <w:pPr>
        <w:sectPr>
          <w:pgSz w:w="11900" w:h="16838" w:orient="portrait"/>
          <w:cols w:equalWidth="0" w:num="1">
            <w:col w:w="11240"/>
          </w:cols>
          <w:pgMar w:left="320" w:top="147"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F. Sheridan</w:t>
      </w:r>
    </w:p>
    <w:p>
      <w:pPr>
        <w:ind w:left="6840"/>
        <w:spacing w:after="0"/>
        <w:rPr>
          <w:sz w:val="20"/>
          <w:szCs w:val="20"/>
          <w:color w:val="auto"/>
        </w:rPr>
      </w:pPr>
      <w:r>
        <w:rPr>
          <w:rFonts w:ascii="Arial" w:cs="Arial" w:eastAsia="Arial" w:hAnsi="Arial"/>
          <w:sz w:val="18"/>
          <w:szCs w:val="18"/>
          <w:color w:val="auto"/>
        </w:rPr>
        <w:t>President, Chief Executive Officer and Director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4, 2022</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Tandem Diabetes Care, Inc.</w:t>
      </w:r>
    </w:p>
    <w:p>
      <w:pPr>
        <w:spacing w:after="0" w:line="23" w:lineRule="exact"/>
        <w:rPr>
          <w:sz w:val="20"/>
          <w:szCs w:val="20"/>
          <w:color w:val="auto"/>
        </w:rPr>
      </w:pPr>
    </w:p>
    <w:p>
      <w:pPr>
        <w:ind w:left="6380"/>
        <w:spacing w:after="0"/>
        <w:tabs>
          <w:tab w:leader="none" w:pos="68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Leigh A. Vosseller</w:t>
      </w:r>
    </w:p>
    <w:p>
      <w:pPr>
        <w:ind w:left="6840"/>
        <w:spacing w:after="0" w:line="203" w:lineRule="auto"/>
        <w:rPr>
          <w:sz w:val="20"/>
          <w:szCs w:val="20"/>
          <w:color w:val="auto"/>
        </w:rPr>
      </w:pPr>
      <w:r>
        <w:rPr>
          <w:rFonts w:ascii="Arial" w:cs="Arial" w:eastAsia="Arial" w:hAnsi="Arial"/>
          <w:sz w:val="18"/>
          <w:szCs w:val="18"/>
          <w:color w:val="auto"/>
        </w:rPr>
        <w:t>Executive Vice President, Chief Financial Officer and</w:t>
      </w:r>
    </w:p>
    <w:p>
      <w:pPr>
        <w:ind w:left="6840"/>
        <w:spacing w:after="0"/>
        <w:rPr>
          <w:sz w:val="20"/>
          <w:szCs w:val="20"/>
          <w:color w:val="auto"/>
        </w:rPr>
      </w:pPr>
      <w:r>
        <w:rPr>
          <w:rFonts w:ascii="Arial" w:cs="Arial" w:eastAsia="Arial" w:hAnsi="Arial"/>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4, 2022</w:t>
      </w:r>
    </w:p>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In connection with the Quarterly Report on Form 10-Q of Tandem Diabetes Care, Inc. (the “Company”) for the period ended March 31, 2022,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1000" w:hanging="182"/>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F. Sheridan</w:t>
      </w: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263"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In connection with the Quarterly Report on Form 10-Q of Tandem Diabetes Care, Inc. (the “Company”) for the period ended March 31, 2022,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1000" w:hanging="182"/>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Leigh A. Vosseller</w:t>
      </w:r>
    </w:p>
    <w:p>
      <w:pPr>
        <w:ind w:left="6860"/>
        <w:spacing w:after="0" w:line="203" w:lineRule="auto"/>
        <w:rPr>
          <w:sz w:val="20"/>
          <w:szCs w:val="20"/>
          <w:color w:val="auto"/>
        </w:rPr>
      </w:pPr>
      <w:r>
        <w:rPr>
          <w:rFonts w:ascii="Arial" w:cs="Arial" w:eastAsia="Arial" w:hAnsi="Arial"/>
          <w:sz w:val="18"/>
          <w:szCs w:val="18"/>
          <w:color w:val="auto"/>
        </w:rPr>
        <w:t>Executive Vice President, Chief Financial Officer and</w:t>
      </w:r>
    </w:p>
    <w:p>
      <w:pPr>
        <w:ind w:left="6860"/>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2022-05-04T15:29:50Z</dcterms:created>
  <dcterms:modified xsi:type="dcterms:W3CDTF">2022-05-04T15:29:50Z</dcterms:modified>
</cp:coreProperties>
</file>