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11075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8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36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1700"/>
              <w:spacing w:after="0"/>
              <w:rPr>
                <w:sz w:val="20"/>
                <w:szCs w:val="20"/>
                <w:color w:val="auto"/>
              </w:rPr>
            </w:pPr>
            <w:r>
              <w:rPr>
                <w:rFonts w:ascii="Arial" w:cs="Arial" w:eastAsia="Arial" w:hAnsi="Arial"/>
                <w:sz w:val="14"/>
                <w:szCs w:val="14"/>
                <w:color w:val="auto"/>
              </w:rPr>
              <w:t>Accelerated filer</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1700"/>
              <w:spacing w:after="0"/>
              <w:rPr>
                <w:sz w:val="20"/>
                <w:szCs w:val="20"/>
                <w:color w:val="auto"/>
              </w:rPr>
            </w:pPr>
            <w:r>
              <w:rPr>
                <w:rFonts w:ascii="Arial" w:cs="Arial" w:eastAsia="Arial" w:hAnsi="Arial"/>
                <w:sz w:val="14"/>
                <w:szCs w:val="14"/>
                <w:color w:val="auto"/>
              </w:rPr>
              <w:t>Smaller reporting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540" w:type="dxa"/>
            <w:vAlign w:val="bottom"/>
          </w:tcPr>
          <w:p>
            <w:pPr>
              <w:ind w:left="1700"/>
              <w:spacing w:after="0"/>
              <w:rPr>
                <w:sz w:val="20"/>
                <w:szCs w:val="20"/>
                <w:color w:val="auto"/>
              </w:rPr>
            </w:pPr>
            <w:r>
              <w:rPr>
                <w:rFonts w:ascii="Arial" w:cs="Arial" w:eastAsia="Arial" w:hAnsi="Arial"/>
                <w:sz w:val="14"/>
                <w:szCs w:val="14"/>
                <w:color w:val="auto"/>
              </w:rPr>
              <w:t>Emerging growth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4"/>
        </w:trPr>
        <w:tc>
          <w:tcPr>
            <w:tcW w:w="7140" w:type="dxa"/>
            <w:vAlign w:val="bottom"/>
          </w:tcPr>
          <w:p>
            <w:pPr>
              <w:ind w:left="520"/>
              <w:spacing w:after="0"/>
              <w:rPr>
                <w:sz w:val="20"/>
                <w:szCs w:val="20"/>
                <w:color w:val="auto"/>
              </w:rPr>
            </w:pPr>
            <w:r>
              <w:rPr>
                <w:rFonts w:ascii="Arial" w:cs="Arial" w:eastAsia="Arial" w:hAnsi="Arial"/>
                <w:sz w:val="14"/>
                <w:szCs w:val="14"/>
                <w:color w:val="auto"/>
              </w:rPr>
              <w:t>As of October 24, 2018, there were 57,369,283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
        </w:trPr>
        <w:tc>
          <w:tcPr>
            <w:tcW w:w="7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0" w:type="dxa"/>
            <w:vAlign w:val="bottom"/>
            <w:gridSpan w:val="8"/>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34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992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2018 (Unaudited) and December 31,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September 30,</w:t>
              </w:r>
            </w:hyperlink>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2017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2018 and 2017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4040" w:type="dxa"/>
            <w:vAlign w:val="bottom"/>
            <w:tcBorders>
              <w:top w:val="single" w:sz="8" w:color="0000EE"/>
            </w:tcBorders>
            <w:gridSpan w:val="3"/>
          </w:tcPr>
          <w:p>
            <w:pPr>
              <w:spacing w:after="0"/>
              <w:rPr>
                <w:sz w:val="17"/>
                <w:szCs w:val="17"/>
                <w:color w:val="auto"/>
              </w:rPr>
            </w:pPr>
          </w:p>
        </w:tc>
        <w:tc>
          <w:tcPr>
            <w:tcW w:w="108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92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4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814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3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Other Information</w:t>
              </w:r>
            </w:hyperlink>
          </w:p>
        </w:tc>
        <w:tc>
          <w:tcPr>
            <w:tcW w:w="85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58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992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556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92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76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Other Information</w:t>
              </w:r>
            </w:hyperlink>
          </w:p>
        </w:tc>
        <w:tc>
          <w:tcPr>
            <w:tcW w:w="860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92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40" w:type="dxa"/>
            <w:vAlign w:val="bottom"/>
          </w:tcPr>
          <w:p>
            <w:pPr>
              <w:jc w:val="center"/>
              <w:ind w:left="2479"/>
              <w:spacing w:after="0"/>
              <w:rPr>
                <w:sz w:val="20"/>
                <w:szCs w:val="20"/>
                <w:color w:val="auto"/>
              </w:rPr>
            </w:pPr>
            <w:r>
              <w:rPr>
                <w:rFonts w:ascii="Arial" w:cs="Arial" w:eastAsia="Arial" w:hAnsi="Arial"/>
                <w:sz w:val="16"/>
                <w:szCs w:val="16"/>
                <w:b w:val="1"/>
                <w:bCs w:val="1"/>
                <w:color w:val="auto"/>
              </w:rPr>
              <w:t>PART I. FINANCIAL INFORMATION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Financial Statements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40" w:type="dxa"/>
            <w:vAlign w:val="bottom"/>
          </w:tcPr>
          <w:p>
            <w:pPr>
              <w:jc w:val="center"/>
              <w:ind w:left="2479"/>
              <w:spacing w:after="0"/>
              <w:rPr>
                <w:sz w:val="20"/>
                <w:szCs w:val="20"/>
                <w:color w:val="auto"/>
              </w:rPr>
            </w:pPr>
            <w:r>
              <w:rPr>
                <w:rFonts w:ascii="Arial" w:cs="Arial" w:eastAsia="Arial" w:hAnsi="Arial"/>
                <w:sz w:val="16"/>
                <w:szCs w:val="16"/>
                <w:b w:val="1"/>
                <w:bCs w:val="1"/>
                <w:color w:val="auto"/>
              </w:rPr>
              <w:t>TANDEM DIABETES CARE,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40" w:type="dxa"/>
            <w:vAlign w:val="bottom"/>
          </w:tcPr>
          <w:p>
            <w:pPr>
              <w:jc w:val="center"/>
              <w:ind w:left="2459"/>
              <w:spacing w:after="0"/>
              <w:rPr>
                <w:sz w:val="20"/>
                <w:szCs w:val="20"/>
                <w:color w:val="auto"/>
              </w:rPr>
            </w:pPr>
            <w:r>
              <w:rPr>
                <w:rFonts w:ascii="Arial" w:cs="Arial" w:eastAsia="Arial" w:hAnsi="Arial"/>
                <w:sz w:val="16"/>
                <w:szCs w:val="16"/>
                <w:b w:val="1"/>
                <w:bCs w:val="1"/>
                <w:color w:val="auto"/>
              </w:rPr>
              <w:t>CONDENSED CONSOLIDATED BALANCE SHEETS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40" w:type="dxa"/>
            <w:vAlign w:val="bottom"/>
          </w:tcPr>
          <w:p>
            <w:pPr>
              <w:jc w:val="center"/>
              <w:ind w:left="2459"/>
              <w:spacing w:after="0"/>
              <w:rPr>
                <w:sz w:val="20"/>
                <w:szCs w:val="20"/>
                <w:color w:val="auto"/>
              </w:rPr>
            </w:pPr>
            <w:r>
              <w:rPr>
                <w:rFonts w:ascii="Arial" w:cs="Arial" w:eastAsia="Arial" w:hAnsi="Arial"/>
                <w:sz w:val="16"/>
                <w:szCs w:val="16"/>
                <w:b w:val="1"/>
                <w:bCs w:val="1"/>
                <w:color w:val="auto"/>
                <w:w w:val="90"/>
              </w:rPr>
              <w:t>(In thousands, except par 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Inventory,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Patents, net</w:t>
            </w:r>
          </w:p>
        </w:tc>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cash—long term</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181,606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Accrued expense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Employee-related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Common stock warrants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w w:val="97"/>
              </w:rPr>
              <w:t>Total liabilities</w:t>
            </w:r>
          </w:p>
        </w:tc>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2"/>
              </w:rPr>
              <w:t>Common stock, $0.001 par value; 200,000 and 100,000 shares authorized as of September 30, 2018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1"/>
              </w:rPr>
              <w:t>and December 31, 2017, respectively. 57,364 and 10,119 shares issued and outstanding at September</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30, 2018 and December 31, 2017,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(603,763)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(477,613)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115,429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48,286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(45,192)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(2,928)</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(7,585)</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(5,313)</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(69,042)</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(81,107)</w:t>
            </w:r>
          </w:p>
        </w:tc>
        <w:tc>
          <w:tcPr>
            <w:tcW w:w="2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(126,299)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(126,312)</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w w:val="93"/>
              </w:rPr>
              <w:t>Weighted average shares used to compute basic and diluted net loss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(126,299)</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(61,627)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premium (discount) on short-term investments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Employee-related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(84,148)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on notes payable</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(87,711)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public offering, net of offering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172,929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common stock issued under employee benefit plans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5,841</w:t>
            </w:r>
          </w:p>
        </w:tc>
        <w:tc>
          <w:tcPr>
            <w:tcW w:w="180" w:type="dxa"/>
            <w:vAlign w:val="bottom"/>
          </w:tcPr>
          <w:p>
            <w:pPr>
              <w:spacing w:after="0"/>
              <w:rPr>
                <w:sz w:val="23"/>
                <w:szCs w:val="23"/>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incentive - lessor-paid tenant improvements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discount included in other long-term liabilities</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Common stock warrants issued in connection with term loan</w:t>
            </w: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included in accounts payable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Company manufactures and sells insulin pump products that are designed to address large and differentiated needs of the insulin-dependent diabetes market. The Company’s manufacturing and sales activities primarily focus on the t:slim X2 Insulin Delivery System (t:slim X2), the next-generation flagship product that is updatable and designed to display continuous glucose monitoring (CGM), sensor information directly on the pump Home Screen.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 The Company’s insulin pump products are compatible with the Tandem Device Updater, a Mac and PC-compatible tool for the remote update of Tandem insulin pump software.</w:t>
      </w:r>
    </w:p>
    <w:p>
      <w:pPr>
        <w:spacing w:after="0" w:line="167" w:lineRule="exact"/>
        <w:rPr>
          <w:sz w:val="20"/>
          <w:szCs w:val="20"/>
          <w:color w:val="auto"/>
        </w:rPr>
      </w:pPr>
    </w:p>
    <w:p>
      <w:pPr>
        <w:ind w:right="160" w:firstLine="571"/>
        <w:spacing w:after="0" w:line="257" w:lineRule="auto"/>
        <w:rPr>
          <w:sz w:val="20"/>
          <w:szCs w:val="20"/>
          <w:color w:val="auto"/>
        </w:rPr>
      </w:pPr>
      <w:r>
        <w:rPr>
          <w:rFonts w:ascii="Arial" w:cs="Arial" w:eastAsia="Arial" w:hAnsi="Arial"/>
          <w:sz w:val="18"/>
          <w:szCs w:val="18"/>
          <w:color w:val="auto"/>
        </w:rPr>
        <w:t>The Company began commercial sales of its first product, t:slim, in August 2012 and subsequently commercialized t:flex in May 2015, t:slim G4 in September 2015 and t:slim X2 in October 2016. The t:slim X2 hardware platform now represents 100% of new pump shipments, but the Company will continue to provide ongoing service and support to existing t:slim, t:slim G4 and t:flex customers. In June 2018, the Company received approval by the United States Food and Drug Administration (FDA) for t:slim X2 with Basal-IQ technology, the Company’s first generation Automated Insulin Delivery (AID) algorithm, and commenced commercial sales of this product in August 2018.</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August 2018, the Company commenced sales of the t:slim X2 in select geographies outside the United States.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July 2016, the Company launched a Technology Upgrade Program that provided eligible t:slim and t:slim G4 customers a path to obtain the t:slim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X2 hardware platform. Participating customers had the right to exchange their original t:slim and t:slim G4 for a t:slim X2 under a variable pricing structure.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Upgrade Program expired on September 30, 2017.</w:t>
      </w:r>
    </w:p>
    <w:p>
      <w:pPr>
        <w:spacing w:after="0" w:line="211" w:lineRule="exact"/>
        <w:rPr>
          <w:sz w:val="20"/>
          <w:szCs w:val="20"/>
          <w:color w:val="auto"/>
        </w:rPr>
      </w:pPr>
    </w:p>
    <w:p>
      <w:pPr>
        <w:ind w:right="120" w:firstLine="571"/>
        <w:spacing w:after="0" w:line="286" w:lineRule="auto"/>
        <w:rPr>
          <w:sz w:val="20"/>
          <w:szCs w:val="20"/>
          <w:color w:val="auto"/>
        </w:rPr>
      </w:pPr>
      <w:r>
        <w:rPr>
          <w:rFonts w:ascii="Arial" w:cs="Arial" w:eastAsia="Arial" w:hAnsi="Arial"/>
          <w:sz w:val="17"/>
          <w:szCs w:val="17"/>
          <w:color w:val="auto"/>
        </w:rPr>
        <w:t>The Company has incurred operating losses since its inception and, as reflected in the accompanying financial statements, the Company had an accumulated deficit of $603.8 million as of September 30, 2018, which included a net loss of $126.3 million for the nine months ended September 30, 2018. Management expects operating losses and negative cash flows to continue for at least the next 12 months.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September 30, 2018, the Company had $113.6 million in cash and cash equivalents and short-term investments in marketable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the cash and investments on hand will be sufficient to satisfy its liquidity requirements for at least the next 12 months.</w:t>
      </w:r>
    </w:p>
    <w:p>
      <w:pPr>
        <w:spacing w:after="0" w:line="222" w:lineRule="exact"/>
        <w:rPr>
          <w:sz w:val="20"/>
          <w:szCs w:val="20"/>
          <w:color w:val="auto"/>
        </w:rPr>
      </w:pPr>
    </w:p>
    <w:p>
      <w:pPr>
        <w:ind w:right="20" w:firstLine="571"/>
        <w:spacing w:after="0" w:line="297" w:lineRule="auto"/>
        <w:rPr>
          <w:sz w:val="20"/>
          <w:szCs w:val="20"/>
          <w:color w:val="auto"/>
        </w:rPr>
      </w:pPr>
      <w:r>
        <w:rPr>
          <w:rFonts w:ascii="Arial" w:cs="Arial" w:eastAsia="Arial" w:hAnsi="Arial"/>
          <w:sz w:val="16"/>
          <w:szCs w:val="16"/>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increase gross profits from higher sales of infusion sets, maximize manufacturing efficiencies, satisfy increasing production requirements, leverage the investments made in its sales, clinical, marketing and customer support organizations and operate its business and manufacture and sell products without infringing third party intellectual property rights.</w:t>
      </w:r>
    </w:p>
    <w:p>
      <w:pPr>
        <w:spacing w:after="0" w:line="158"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The Company has funded its operations primarily through private and public equity and debt financing. The Company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The Company has funded its operations primarily through private and public equity and debt financing. The Company may in the future seek additional capital from public or private offerings of its capital stock, or it may elect to borrow amounts under new credit lines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financing will be available on acceptable terms, or at all.</w:t>
      </w:r>
    </w:p>
    <w:p>
      <w:pPr>
        <w:spacing w:after="0" w:line="188" w:lineRule="exact"/>
        <w:rPr>
          <w:sz w:val="20"/>
          <w:szCs w:val="20"/>
          <w:color w:val="auto"/>
        </w:rPr>
      </w:pPr>
    </w:p>
    <w:p>
      <w:pPr>
        <w:ind w:right="40" w:firstLine="577"/>
        <w:spacing w:after="0" w:line="302" w:lineRule="auto"/>
        <w:rPr>
          <w:sz w:val="20"/>
          <w:szCs w:val="20"/>
          <w:color w:val="auto"/>
        </w:rPr>
      </w:pPr>
      <w:r>
        <w:rPr>
          <w:rFonts w:ascii="Arial" w:cs="Arial" w:eastAsia="Arial" w:hAnsi="Arial"/>
          <w:sz w:val="16"/>
          <w:szCs w:val="16"/>
          <w:color w:val="auto"/>
        </w:rPr>
        <w:t>Interim financial results are not necessarily indicative of results anticipated for the full year or any other period(s). These unaudited condensed consolidated financial statements should be read in conjunction with the Company’s audited financial statements and accompanying footnotes included in the Company’s Annual Report on Form 10-K for the year ended December 31, 2017 (Annual Report), from which the balance sheet information herein was derived. These unaudited condensed consolidated financial statements exclude disclosures required by U.S. GAAP for complete financial statements.</w:t>
      </w:r>
    </w:p>
    <w:p>
      <w:pPr>
        <w:spacing w:after="0" w:line="154" w:lineRule="exact"/>
        <w:rPr>
          <w:sz w:val="20"/>
          <w:szCs w:val="20"/>
          <w:color w:val="auto"/>
        </w:rPr>
      </w:pPr>
    </w:p>
    <w:p>
      <w:pPr>
        <w:ind w:right="80" w:firstLine="577"/>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 owned subsidiary in Canada.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400" w:firstLine="571"/>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during the nine months ended September 30, 2018, as compared with those disclosed in the Annual Report other than adoption of the new revenue recognition standard (Revenue from Contracts with Customers Standard).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footnotes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right="200" w:firstLine="57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Company’s current product offering consists primarily of insulin pumps, disposable cartridges and infusion sets for the storage and delivery of insulin. The Company has viewed its operations and managed its business as one segment as key operating decisions and resource allocations are made by the CODM using consolidated financial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The Company recorded $10.0 million of restricted cash as of December 31, 2017, for the minimum cash balance requirement in connection with the Amended and Restated Term Loan Agreement (Term Loan Agreement) with Capital Royalty Partners II, L.P. and its affiliated funds (CRG) (see Note 6, Term Loan Agreement). Due to the full repayment of the term loan in August 2018, no restricted cash balance existed at September 30, 2018. In January 2018, the Company adopted new guidance from the Financial Accounting Standards Board (FASB) that clarified how entities should classify certain cash receipts and cash payments on the statement of cash flows. As a result, the restricted cash balance that existed in prior periods is included as a component of cash and cash equivalents on the statement of cash flows in the relevant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629"/>
        <w:spacing w:after="0" w:line="279" w:lineRule="auto"/>
        <w:rPr>
          <w:sz w:val="20"/>
          <w:szCs w:val="20"/>
          <w:color w:val="auto"/>
        </w:rPr>
      </w:pPr>
      <w:r>
        <w:rPr>
          <w:rFonts w:ascii="Arial" w:cs="Arial" w:eastAsia="Arial" w:hAnsi="Arial"/>
          <w:sz w:val="17"/>
          <w:szCs w:val="17"/>
          <w:color w:val="auto"/>
        </w:rPr>
        <w:t>The Company grants credit to various customers in the ordinary course of business.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the fair value of its long-term notes payable approximates its carrying value. The estimated fair value of certain of the Company’s common stock warrants is determined using the Black-Scholes pricing model as of September 30, 2018 and December 31, 2017 (see Note 5,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In January 2018, the Company adopted the Revenue from Contracts with Customers Standard which supersedes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is not impacted by the new guidance. As a result, on January 1, 2018, the Company recorded a net reduction to accumulated deficit in the amount of $149,000, reflecting the accounting change.</w:t>
      </w:r>
    </w:p>
    <w:p>
      <w:pPr>
        <w:spacing w:after="0" w:line="179"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right="20" w:firstLine="588"/>
        <w:spacing w:after="0" w:line="289"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upon delivery, while access to the complementary products, such as the t:connect cloud-based data management application and the Tandem Device Updater, are considered performance obligations satisfied over the four-year warranty period of the insulin pumps. There is no standalone value for these complementary products. Therefore, the Company determines their value by applying the expected cost plus margin approach and then allocates the residual to the insulin pumps. At September 30, 2018 and December 31, 2017, $2.7 million and $2.0 million, respectively, were recorded as deferred revenue for these performance obligations that are satisfied over time.</w:t>
      </w:r>
    </w:p>
    <w:p>
      <w:pPr>
        <w:spacing w:after="0" w:line="167"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Under the new guidance, the allowance for product returns is recorded as a reduction of revenue and an increase in deferred revenue in the period in which the related sale is recorded. Historically, the allowance was recorded as a reduction of revenue and accounts receivable. The amount recorded on the Company’s balance sheets for product return allowance was $0.2 million and $0.2 million at September 30, 2018 and December 31, 2017, respectively. Actual product returns have not differed materially from estimated amounts reserved in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80" w:firstLine="571"/>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20" w:firstLine="577"/>
        <w:spacing w:after="0" w:line="308" w:lineRule="auto"/>
        <w:rPr>
          <w:sz w:val="20"/>
          <w:szCs w:val="20"/>
          <w:color w:val="auto"/>
        </w:rPr>
      </w:pPr>
      <w:r>
        <w:rPr>
          <w:rFonts w:ascii="Arial" w:cs="Arial" w:eastAsia="Arial" w:hAnsi="Arial"/>
          <w:sz w:val="17"/>
          <w:szCs w:val="17"/>
          <w:color w:val="auto"/>
        </w:rPr>
        <w:t>As of September 30, 2018 and December 31, 2017, the warranty reserve was $7.7 million and $5.6 million, respectively. The following table provides a reconciliation of the change in product warranty liabilities from December 31, 2017 through September 30, 2018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1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1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1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1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7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1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492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Common stock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5,155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577"/>
        <w:spacing w:after="0" w:line="270" w:lineRule="auto"/>
        <w:rPr>
          <w:sz w:val="20"/>
          <w:szCs w:val="20"/>
          <w:color w:val="auto"/>
        </w:rPr>
      </w:pPr>
      <w:r>
        <w:rPr>
          <w:rFonts w:ascii="Arial" w:cs="Arial" w:eastAsia="Arial" w:hAnsi="Arial"/>
          <w:sz w:val="17"/>
          <w:szCs w:val="17"/>
          <w:color w:val="auto"/>
        </w:rPr>
        <w:t xml:space="preserve">In February 2016, the FASB issued final guidance for lease accounting. The new accounting standard requires lessees to recognize right-of-use assets and corresponding lease liabilities for all leases with lease terms of greater than twelve months. It also changes the definition of a lease and expands the disclosure requirements of lease arrangements. In July 2018, the FASB added a transition option for implementation that allows companies to continue to use the legacy guidance in ASC 840, Leases, including its disclosure requirements, in the comparative periods presented in the year of adoption of the new leases standard. The new accounting standard must be adopted using the modified retrospective approach and will be effective for the Company starting in the first quarter of fiscal 2019. Companies that elect the transition option will record a cumulative-effect adjustment to retained earnings in the period of adoption rather than the earliest period presented. The Company </w:t>
      </w:r>
      <w:r>
        <w:rPr>
          <w:rFonts w:ascii="Arial" w:cs="Arial" w:eastAsia="Arial" w:hAnsi="Arial"/>
          <w:sz w:val="17"/>
          <w:szCs w:val="17"/>
          <w:color w:val="252525"/>
        </w:rPr>
        <w:t>expects that the adoption of this standard will result in a material increase in assets and liabilities on its</w:t>
      </w:r>
      <w:r>
        <w:rPr>
          <w:rFonts w:ascii="Arial" w:cs="Arial" w:eastAsia="Arial" w:hAnsi="Arial"/>
          <w:sz w:val="17"/>
          <w:szCs w:val="17"/>
          <w:color w:val="auto"/>
        </w:rPr>
        <w:t xml:space="preserve"> </w:t>
      </w:r>
      <w:r>
        <w:rPr>
          <w:rFonts w:ascii="Arial" w:cs="Arial" w:eastAsia="Arial" w:hAnsi="Arial"/>
          <w:sz w:val="17"/>
          <w:szCs w:val="17"/>
          <w:color w:val="252525"/>
        </w:rPr>
        <w:t xml:space="preserve">consolidated balance sheets and </w:t>
      </w:r>
      <w:r>
        <w:rPr>
          <w:rFonts w:ascii="Arial" w:cs="Arial" w:eastAsia="Arial" w:hAnsi="Arial"/>
          <w:sz w:val="17"/>
          <w:szCs w:val="17"/>
          <w:color w:val="000000"/>
        </w:rPr>
        <w:t>is in the process of analyzing its lease commitments, which consist primarily of operating leases for facilities, to determine</w:t>
      </w:r>
      <w:r>
        <w:rPr>
          <w:rFonts w:ascii="Arial" w:cs="Arial" w:eastAsia="Arial" w:hAnsi="Arial"/>
          <w:sz w:val="17"/>
          <w:szCs w:val="17"/>
          <w:color w:val="252525"/>
        </w:rPr>
        <w:t xml:space="preserve"> </w:t>
      </w:r>
      <w:r>
        <w:rPr>
          <w:rFonts w:ascii="Arial" w:cs="Arial" w:eastAsia="Arial" w:hAnsi="Arial"/>
          <w:sz w:val="17"/>
          <w:szCs w:val="17"/>
          <w:color w:val="000000"/>
        </w:rPr>
        <w:t>the impact of the adoption of the standard on its financial statements.</w:t>
      </w:r>
    </w:p>
    <w:p>
      <w:pPr>
        <w:spacing w:after="0" w:line="182"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In June 2016, the FASB issued an accounting standards update that changes the measurement and recognition of 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standard is effective for public business entities for annual periods beginning after December 15, 2019, and interim periods within those years. The Company plans to implement the new standard in the first quarter of fiscal 2020, and is in the process of reviewing its credit loss models to assess the impact of the adoption of the standard on its financial statements.</w:t>
      </w:r>
    </w:p>
    <w:p>
      <w:pPr>
        <w:spacing w:after="0" w:line="178"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color w:val="auto"/>
        </w:rPr>
        <w:t>In March 2018, the FASB issued Accounting Standards Update No. 2018-05, Income taxes (Topic 740): Amendments to SEC Paragraphs Pursuant to SEC Staff Accounting Bulletin No. 118 regarding Income Tax Accounting Implications of the Tax Cuts and Jobs Act. The Company recognized the income tax effects of the 2017 Tax Act in its 2017 financial statements for which the accounting under ASC Topic 740 is incomplete, but a reasonable estimate could be determined. The tax effects of certain provisions of the 2017 Tax Act, such as the deductibility of compensation in excess of $1 million for certain employees, and limitations on executive compensation, requires further analysis. The Company is in the process of assessing the impact of the adoption of the standard on its financial statements.</w:t>
      </w:r>
    </w:p>
    <w:p>
      <w:pPr>
        <w:spacing w:after="0" w:line="220" w:lineRule="exact"/>
        <w:rPr>
          <w:sz w:val="20"/>
          <w:szCs w:val="20"/>
          <w:color w:val="auto"/>
        </w:rPr>
      </w:pPr>
    </w:p>
    <w:p>
      <w:pPr>
        <w:ind w:right="40" w:firstLine="629"/>
        <w:spacing w:after="0" w:line="255" w:lineRule="auto"/>
        <w:rPr>
          <w:sz w:val="20"/>
          <w:szCs w:val="20"/>
          <w:color w:val="auto"/>
        </w:rPr>
      </w:pPr>
      <w:r>
        <w:rPr>
          <w:rFonts w:ascii="Arial" w:cs="Arial" w:eastAsia="Arial" w:hAnsi="Arial"/>
          <w:sz w:val="18"/>
          <w:szCs w:val="18"/>
          <w:color w:val="auto"/>
        </w:rPr>
        <w:t>In August 2018, the FASB issued ASU 2018-15 that changes the accounting for implementation costs incurred in a cloud computing arrangement that is a service contract. ASU 2018-15 aligns the requirements for capitalizing implementation costs incurred in a hosting arrangement with the requirements for capitalizing implementation costs incurred to develop or obtain internal-use software. The implementation costs should be presented as a prepaid asset in the balance sheet and expensed over the term of the hosting arrangement. The standard is effective for annual periods, including interim periods within those annual periods, beginning after December 15, 2019. Early adoption is permitted. The Company is in the process of assessing the impact of the adoption of the standard on its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571"/>
        <w:spacing w:after="0" w:line="342" w:lineRule="auto"/>
        <w:rPr>
          <w:sz w:val="20"/>
          <w:szCs w:val="20"/>
          <w:color w:val="auto"/>
        </w:rPr>
      </w:pPr>
      <w:r>
        <w:rPr>
          <w:rFonts w:ascii="Arial" w:cs="Arial" w:eastAsia="Arial" w:hAnsi="Arial"/>
          <w:sz w:val="16"/>
          <w:szCs w:val="16"/>
          <w:color w:val="auto"/>
        </w:rPr>
        <w:t>The Company invests in investment securities, principally debt instruments of financial institutions and corporations with strong credit ratings. The following represents a summary of the estimated fair value of short-term investments as of September 30, 2018 and December 31, 2017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September 30, 2018</w:t>
            </w:r>
          </w:p>
        </w:tc>
        <w:tc>
          <w:tcPr>
            <w:tcW w:w="326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400" w:type="dxa"/>
            <w:vAlign w:val="bottom"/>
            <w:tcBorders>
              <w:bottom w:val="single" w:sz="8" w:color="auto"/>
            </w:tcBorders>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5"/>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December 31, 2017</w:t>
            </w:r>
          </w:p>
        </w:tc>
        <w:tc>
          <w:tcPr>
            <w:tcW w:w="3300" w:type="dxa"/>
            <w:vAlign w:val="bottom"/>
            <w:gridSpan w:val="2"/>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Inventory consisted of the following as of September 30, 2018 and December 31,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80" w:type="dxa"/>
            <w:vAlign w:val="bottom"/>
          </w:tcPr>
          <w:p>
            <w:pPr>
              <w:jc w:val="right"/>
              <w:ind w:right="106"/>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500" w:type="dxa"/>
            <w:vAlign w:val="bottom"/>
          </w:tcPr>
          <w:p>
            <w:pPr>
              <w:spacing w:after="0"/>
              <w:rPr>
                <w:sz w:val="18"/>
                <w:szCs w:val="18"/>
                <w:color w:val="auto"/>
              </w:rPr>
            </w:pPr>
          </w:p>
        </w:tc>
        <w:tc>
          <w:tcPr>
            <w:tcW w:w="4200" w:type="dxa"/>
            <w:vAlign w:val="bottom"/>
            <w:gridSpan w:val="2"/>
          </w:tcPr>
          <w:p>
            <w:pPr>
              <w:jc w:val="right"/>
              <w:ind w:right="40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ind w:right="17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Work-in-process</w:t>
            </w:r>
          </w:p>
        </w:tc>
        <w:tc>
          <w:tcPr>
            <w:tcW w:w="2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880" w:type="dxa"/>
            <w:vAlign w:val="bottom"/>
            <w:tcBorders>
              <w:bottom w:val="single" w:sz="8" w:color="auto"/>
            </w:tcBorders>
          </w:tcPr>
          <w:p>
            <w:pPr>
              <w:jc w:val="right"/>
              <w:ind w:right="17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24,366</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September 30, 2018 and December 31, 2017,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28,104</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28,104</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Common stock warrants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20,643</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23,700</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23,700</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participants (2)</w:t>
            </w: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Common stock warrants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0" w:hanging="478"/>
        <w:spacing w:after="0" w:line="25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cash equivalents include money market funds and investments with a maturity of three months or less from the date of purchase. This asset is included as a component of cash and cash equivalents on the balance sheet, of which $10.0 million was classified as restricted cash – long-term as of December 31, 2017.</w:t>
      </w:r>
    </w:p>
    <w:p>
      <w:pPr>
        <w:ind w:left="540" w:right="120" w:hanging="478"/>
        <w:spacing w:after="0" w:line="295"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deferred compensation plan was directed by the Company and structured as a Rabbi Trust for the benefit of certain executives and non-employee directors. The investment assets of the Rabbi Trust were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r>
        <w:rPr>
          <w:rFonts w:ascii="Arial" w:cs="Arial" w:eastAsia="Arial" w:hAnsi="Arial"/>
          <w:sz w:val="16"/>
          <w:szCs w:val="16"/>
          <w:color w:val="auto"/>
        </w:rPr>
        <w:t xml:space="preserve"> The Company cancelled the deferred compensation plan in 2017 and all deferred compensation amounts were distributed to participants during the second quarter of 2018.</w:t>
      </w:r>
    </w:p>
    <w:p>
      <w:pPr>
        <w:spacing w:after="0" w:line="162"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nine months ended September 30, 2018.</w:t>
      </w:r>
    </w:p>
    <w:p>
      <w:pPr>
        <w:spacing w:after="0" w:line="15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Company’s Level 3 liabilities at September 30, 2018 included the Series A warrants issued by the Company in connection with its public offering of common stock in October 2017. Level 3 liabilities at December 31, 2017 included the Series A and Series B warrants issued by the Company in connection with the October 2017 offering. The Series A warrants have a term of five years and initially provided holders the right to purchase 4,630,000 shares of the Company’s common stock at an exercise price of $3.50 per share. The Series B warrants had a term of six months and initially provided holders the right to purchase 4,630,000 shares of the Company’s common stock at an exercise price of $3.50 per share. The Series A and Series B warrants were initially valued in the aggregate amount of $6.5 million on the date of issuance utilizing a Black-Scholes pricing model. As of September 30, 2018, there were Series A warrants to purchase 516,030 shares of common stock outstanding and no Series B warrants outstanding (see Note 7, “Stockholders’ Equity”).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2" w:name="page13"/>
    <w:bookmarkEnd w:id="12"/>
    <w:p>
      <w:pPr>
        <w:ind w:right="80" w:firstLine="571"/>
        <w:spacing w:after="0" w:line="259" w:lineRule="auto"/>
        <w:rPr>
          <w:sz w:val="20"/>
          <w:szCs w:val="20"/>
          <w:color w:val="auto"/>
        </w:rPr>
      </w:pPr>
      <w:r>
        <w:rPr>
          <w:rFonts w:ascii="Arial" w:cs="Arial" w:eastAsia="Arial" w:hAnsi="Arial"/>
          <w:sz w:val="18"/>
          <w:szCs w:val="18"/>
          <w:color w:val="auto"/>
        </w:rPr>
        <w:t>The Company reassesses the fair value of the outstanding Series A and Series B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common stock warrants at September 30, 2018 and December 31, 2017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ind w:left="2160"/>
              <w:spacing w:after="0"/>
              <w:rPr>
                <w:sz w:val="20"/>
                <w:szCs w:val="20"/>
                <w:color w:val="auto"/>
              </w:rPr>
            </w:pPr>
            <w:r>
              <w:rPr>
                <w:rFonts w:ascii="Arial" w:cs="Arial" w:eastAsia="Arial" w:hAnsi="Arial"/>
                <w:sz w:val="14"/>
                <w:szCs w:val="14"/>
                <w:b w:val="1"/>
                <w:bCs w:val="1"/>
                <w:color w:val="auto"/>
              </w:rPr>
              <w:t>Series A Warrants</w:t>
            </w:r>
          </w:p>
        </w:tc>
        <w:tc>
          <w:tcPr>
            <w:tcW w:w="1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ind w:left="880"/>
              <w:spacing w:after="0" w:line="155" w:lineRule="exact"/>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77.6%</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r>
      <w:tr>
        <w:trPr>
          <w:trHeight w:val="661"/>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auto"/>
            </w:tcBorders>
            <w:gridSpan w:val="3"/>
          </w:tcPr>
          <w:p>
            <w:pPr>
              <w:ind w:left="2180"/>
              <w:spacing w:after="0"/>
              <w:rPr>
                <w:sz w:val="20"/>
                <w:szCs w:val="20"/>
                <w:color w:val="auto"/>
              </w:rPr>
            </w:pPr>
            <w:r>
              <w:rPr>
                <w:rFonts w:ascii="Arial" w:cs="Arial" w:eastAsia="Arial" w:hAnsi="Arial"/>
                <w:sz w:val="14"/>
                <w:szCs w:val="14"/>
                <w:b w:val="1"/>
                <w:bCs w:val="1"/>
                <w:color w:val="auto"/>
              </w:rPr>
              <w:t>Series B Warrants</w:t>
            </w:r>
          </w:p>
        </w:tc>
        <w:tc>
          <w:tcPr>
            <w:tcW w:w="1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540" w:type="dxa"/>
            <w:vAlign w:val="bottom"/>
            <w:tcBorders>
              <w:bottom w:val="single" w:sz="8" w:color="auto"/>
            </w:tcBorders>
            <w:gridSpan w:val="3"/>
          </w:tcPr>
          <w:p>
            <w:pPr>
              <w:ind w:left="900"/>
              <w:spacing w:after="0" w:line="155" w:lineRule="exact"/>
              <w:rPr>
                <w:sz w:val="20"/>
                <w:szCs w:val="20"/>
                <w:color w:val="auto"/>
              </w:rPr>
            </w:pPr>
            <w:r>
              <w:rPr>
                <w:rFonts w:ascii="Arial" w:cs="Arial" w:eastAsia="Arial" w:hAnsi="Arial"/>
                <w:sz w:val="14"/>
                <w:szCs w:val="14"/>
                <w:b w:val="1"/>
                <w:bCs w:val="1"/>
                <w:color w:val="auto"/>
              </w:rPr>
              <w:t>September 30, 2018</w:t>
            </w:r>
            <w:r>
              <w:rPr>
                <w:rFonts w:ascii="Arial" w:cs="Arial" w:eastAsia="Arial" w:hAnsi="Arial"/>
                <w:sz w:val="12"/>
                <w:szCs w:val="12"/>
                <w:b w:val="1"/>
                <w:bCs w:val="1"/>
                <w:color w:val="auto"/>
              </w:rPr>
              <w:t>(1)</w:t>
            </w:r>
          </w:p>
        </w:tc>
        <w:tc>
          <w:tcPr>
            <w:tcW w:w="19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FF0FC"/>
          </w:tcPr>
          <w:p>
            <w:pPr>
              <w:spacing w:after="0"/>
              <w:rPr>
                <w:sz w:val="19"/>
                <w:szCs w:val="19"/>
                <w:color w:val="auto"/>
              </w:rPr>
            </w:pPr>
          </w:p>
        </w:tc>
        <w:tc>
          <w:tcPr>
            <w:tcW w:w="3540" w:type="dxa"/>
            <w:vAlign w:val="bottom"/>
            <w:gridSpan w:val="3"/>
            <w:shd w:val="clear" w:color="auto" w:fill="CFF0FC"/>
          </w:tcPr>
          <w:p>
            <w:pPr>
              <w:ind w:left="2840"/>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 w:type="dxa"/>
            <w:vAlign w:val="bottom"/>
          </w:tcPr>
          <w:p>
            <w:pPr>
              <w:spacing w:after="0"/>
              <w:rPr>
                <w:sz w:val="19"/>
                <w:szCs w:val="19"/>
                <w:color w:val="auto"/>
              </w:rPr>
            </w:pPr>
          </w:p>
        </w:tc>
        <w:tc>
          <w:tcPr>
            <w:tcW w:w="3540" w:type="dxa"/>
            <w:vAlign w:val="bottom"/>
            <w:gridSpan w:val="3"/>
          </w:tcPr>
          <w:p>
            <w:pPr>
              <w:ind w:left="2840"/>
              <w:spacing w:after="0"/>
              <w:rPr>
                <w:sz w:val="20"/>
                <w:szCs w:val="20"/>
                <w:color w:val="auto"/>
              </w:rPr>
            </w:pPr>
            <w:r>
              <w:rPr>
                <w:rFonts w:ascii="Arial" w:cs="Arial" w:eastAsia="Arial" w:hAnsi="Arial"/>
                <w:sz w:val="18"/>
                <w:szCs w:val="18"/>
                <w:color w:val="auto"/>
              </w:rPr>
              <w:t>N/A</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 w:type="dxa"/>
            <w:vAlign w:val="bottom"/>
            <w:shd w:val="clear" w:color="auto" w:fill="CFF0FC"/>
          </w:tcPr>
          <w:p>
            <w:pPr>
              <w:spacing w:after="0"/>
              <w:rPr>
                <w:sz w:val="19"/>
                <w:szCs w:val="19"/>
                <w:color w:val="auto"/>
              </w:rPr>
            </w:pPr>
          </w:p>
        </w:tc>
        <w:tc>
          <w:tcPr>
            <w:tcW w:w="3540" w:type="dxa"/>
            <w:vAlign w:val="bottom"/>
            <w:gridSpan w:val="3"/>
            <w:shd w:val="clear" w:color="auto" w:fill="CFF0FC"/>
          </w:tcPr>
          <w:p>
            <w:pPr>
              <w:ind w:left="2840"/>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80.3%</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 w:type="dxa"/>
            <w:vAlign w:val="bottom"/>
          </w:tcPr>
          <w:p>
            <w:pPr>
              <w:spacing w:after="0"/>
              <w:rPr>
                <w:sz w:val="20"/>
                <w:szCs w:val="20"/>
                <w:color w:val="auto"/>
              </w:rPr>
            </w:pPr>
          </w:p>
        </w:tc>
        <w:tc>
          <w:tcPr>
            <w:tcW w:w="3540" w:type="dxa"/>
            <w:vAlign w:val="bottom"/>
            <w:gridSpan w:val="3"/>
          </w:tcPr>
          <w:p>
            <w:pPr>
              <w:ind w:left="2840"/>
              <w:spacing w:after="0"/>
              <w:rPr>
                <w:sz w:val="20"/>
                <w:szCs w:val="20"/>
                <w:color w:val="auto"/>
              </w:rPr>
            </w:pPr>
            <w:r>
              <w:rPr>
                <w:rFonts w:ascii="Arial" w:cs="Arial" w:eastAsia="Arial" w:hAnsi="Arial"/>
                <w:sz w:val="18"/>
                <w:szCs w:val="18"/>
                <w:color w:val="auto"/>
              </w:rPr>
              <w:t>N/A</w:t>
            </w:r>
          </w:p>
        </w:tc>
        <w:tc>
          <w:tcPr>
            <w:tcW w:w="19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of September 30, 2018, there were no Series B warrants outstanding.</w:t>
      </w:r>
    </w:p>
    <w:p>
      <w:pPr>
        <w:spacing w:after="0" w:line="225"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Level 3 financial assets for the nine months ended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720" w:type="dxa"/>
            <w:vAlign w:val="bottom"/>
            <w:shd w:val="clear" w:color="auto" w:fill="CFF0FC"/>
          </w:tcPr>
          <w:p>
            <w:pPr>
              <w:jc w:val="right"/>
              <w:ind w:right="153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Increase in fair value included in change in fair value of common stock warrants</w:t>
            </w:r>
          </w:p>
        </w:tc>
        <w:tc>
          <w:tcPr>
            <w:tcW w:w="17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69,042</w:t>
            </w:r>
          </w:p>
        </w:tc>
        <w:tc>
          <w:tcPr>
            <w:tcW w:w="12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Decrease in fair value from warrants exercised during the period</w:t>
            </w:r>
          </w:p>
        </w:tc>
        <w:tc>
          <w:tcPr>
            <w:tcW w:w="172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(53,831)</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720" w:type="dxa"/>
            <w:vAlign w:val="bottom"/>
            <w:tcBorders>
              <w:top w:val="single" w:sz="8" w:color="auto"/>
              <w:bottom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20,643</w:t>
            </w:r>
          </w:p>
        </w:tc>
        <w:tc>
          <w:tcPr>
            <w:tcW w:w="12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71"/>
        <w:spacing w:after="0" w:line="264" w:lineRule="auto"/>
        <w:rPr>
          <w:sz w:val="20"/>
          <w:szCs w:val="20"/>
          <w:color w:val="auto"/>
        </w:rPr>
      </w:pPr>
      <w:r>
        <w:rPr>
          <w:rFonts w:ascii="Arial" w:cs="Arial" w:eastAsia="Arial" w:hAnsi="Arial"/>
          <w:sz w:val="18"/>
          <w:szCs w:val="18"/>
          <w:color w:val="auto"/>
        </w:rPr>
        <w:t>During the nine months ended September 30, 2018, the Company issued 8,598,076 shares of common stock upon the exercise of Series A and Series B warrants and 13,450 Series B warrants expired unexercised. As a result, there were 516,030 Series A warrants to purchase common stock outstanding as of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right="20" w:firstLine="577"/>
        <w:spacing w:after="0" w:line="290" w:lineRule="auto"/>
        <w:rPr>
          <w:sz w:val="20"/>
          <w:szCs w:val="20"/>
          <w:color w:val="auto"/>
        </w:rPr>
      </w:pPr>
      <w:r>
        <w:rPr>
          <w:rFonts w:ascii="Arial" w:cs="Arial" w:eastAsia="Arial" w:hAnsi="Arial"/>
          <w:sz w:val="16"/>
          <w:szCs w:val="16"/>
          <w:color w:val="auto"/>
        </w:rPr>
        <w:t>In August 2018, the Company fully repaid the term loan made by CRG pursuant to the Term Loan Agreement. The term loan was collateralized by all assets of the Company. The balance of the outstanding debt at the time of repayment was $82.7 million. The repayment included approximately $1.1 million in accrued interest and $5.0 million in associated financing fees that became due. As a result of the repayment, the Company did not have any borrowings outstanding under the Term Loan Agreement as of September 30, 2018. The Company had aggregate borrowings under the Term Loan Agreement of $82.7 million as of December 31, 2017. Notes payable-long term on the accompanying consolidated balance sheet reflected these aggregate borrowings, offset by a $6.2 million debt discount associated with the financing fees and certain debt issuance costs at December 31, 2017. Such discounts were amortized to interest expense over the term of the loan using the effective interest method. At the time of repayment, the remaining balance of $5.3 million was accelerated and recognized as a loss on extinguishment of debt in the consolidated statement of operations in the third quarter ended September 30, 2018.</w:t>
      </w:r>
    </w:p>
    <w:p>
      <w:pPr>
        <w:spacing w:after="0" w:line="166" w:lineRule="exact"/>
        <w:rPr>
          <w:sz w:val="20"/>
          <w:szCs w:val="20"/>
          <w:color w:val="auto"/>
        </w:rPr>
      </w:pPr>
    </w:p>
    <w:p>
      <w:pPr>
        <w:ind w:right="40" w:firstLine="577"/>
        <w:spacing w:after="0" w:line="272" w:lineRule="auto"/>
        <w:rPr>
          <w:sz w:val="20"/>
          <w:szCs w:val="20"/>
          <w:color w:val="auto"/>
        </w:rPr>
      </w:pPr>
      <w:r>
        <w:rPr>
          <w:rFonts w:ascii="Arial" w:cs="Arial" w:eastAsia="Arial" w:hAnsi="Arial"/>
          <w:sz w:val="17"/>
          <w:szCs w:val="17"/>
          <w:color w:val="auto"/>
        </w:rPr>
        <w:t>Under the Term Loan Agreement, interest was payable at the Company’s option, (i) in cash at a rate of 11.5% per annum, or (ii) at a rate of 9.5% of the 11.5% per annum in cash and 2.0% of the 11.5% per annum (the “PIK Loan”) to be added to the principal of the loan and subject to accruing interest. Interest-only payments were due quarterly on March 31, June 30, September 30 and December 31 of each year of the interest-only payment period, which would have ended on December 31, 2019. The principal balance was due in full at the end of the term of the loan, which was March 31, 2020 (the “Maturity Date”). The Company had elected to pay interest in cash at a rate of 11.5% per annum through September 30, 2015. From October 1, 2015 through December 31, 2017, the Company elected to pay interest in cash at a rate of 9.5% per annum and for a rate of 2.0% per annum to be added to the principal of the loan. As a result, $2.7 million was added to the principal of the loan during that time period (the “PIK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60" w:firstLine="577"/>
        <w:spacing w:after="0" w:line="255" w:lineRule="auto"/>
        <w:rPr>
          <w:sz w:val="20"/>
          <w:szCs w:val="20"/>
          <w:color w:val="auto"/>
        </w:rPr>
      </w:pPr>
      <w:r>
        <w:rPr>
          <w:rFonts w:ascii="Arial" w:cs="Arial" w:eastAsia="Arial" w:hAnsi="Arial"/>
          <w:sz w:val="18"/>
          <w:szCs w:val="18"/>
          <w:color w:val="auto"/>
        </w:rPr>
        <w:t>The Company entered into a series of amendments to the Term Loan Agreement in 2016, 2017 and 2018, which included the addition of 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The Company treated the execution of each of the Third, Fourth and Fifth Amendments as a modification for accounting purposes. The present value of the future cash flows under these amendments did not exceed the present value of the future cash flows under the previous terms by more than 10%.</w:t>
      </w:r>
    </w:p>
    <w:p>
      <w:pPr>
        <w:spacing w:after="0" w:line="193" w:lineRule="exact"/>
        <w:rPr>
          <w:sz w:val="20"/>
          <w:szCs w:val="20"/>
          <w:color w:val="auto"/>
        </w:rPr>
      </w:pPr>
    </w:p>
    <w:p>
      <w:pPr>
        <w:ind w:right="80" w:firstLine="577"/>
        <w:spacing w:after="0" w:line="264" w:lineRule="auto"/>
        <w:rPr>
          <w:sz w:val="20"/>
          <w:szCs w:val="20"/>
          <w:color w:val="auto"/>
        </w:rPr>
      </w:pPr>
      <w:r>
        <w:rPr>
          <w:rFonts w:ascii="Arial" w:cs="Arial" w:eastAsia="Arial" w:hAnsi="Arial"/>
          <w:sz w:val="18"/>
          <w:szCs w:val="18"/>
          <w:color w:val="auto"/>
        </w:rPr>
        <w:t>At December 31, 2017, the Company had accrued $4.1 million for the financing fee of 5%, which was subsequently increased to $5.0 million, or 6%, in February 2018. These fees were included in other long-term liabilities and as contra-debt in notes payable-long term on the accompanying consolidated balance sheet.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2017, the Company completed a public offering of 1,850,000 shares of its common stock at a public offering price of $12.50 per share. The gross proceeds to the Company from the offering were $23.1 million, before deducting underwriting discounts and commissions and other offering expenses payable by the Company.</w:t>
      </w:r>
    </w:p>
    <w:p>
      <w:pPr>
        <w:spacing w:after="0" w:line="181" w:lineRule="exact"/>
        <w:rPr>
          <w:sz w:val="20"/>
          <w:szCs w:val="20"/>
          <w:color w:val="auto"/>
        </w:rPr>
      </w:pPr>
    </w:p>
    <w:p>
      <w:pPr>
        <w:ind w:right="20" w:firstLine="629"/>
        <w:spacing w:after="0" w:line="264" w:lineRule="auto"/>
        <w:rPr>
          <w:sz w:val="20"/>
          <w:szCs w:val="20"/>
          <w:color w:val="auto"/>
        </w:rPr>
      </w:pPr>
      <w:r>
        <w:rPr>
          <w:rFonts w:ascii="Arial" w:cs="Arial" w:eastAsia="Arial" w:hAnsi="Arial"/>
          <w:sz w:val="18"/>
          <w:szCs w:val="18"/>
          <w:color w:val="auto"/>
        </w:rPr>
        <w:t>From July 2017 through September 2017, the Company sold 464,108 shares of its common stock under its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color w:val="auto"/>
        </w:rPr>
        <w:t>In the fourth quarter of 2017, the Company completed a public offering, pursuant to which it sold 4,630,000 shares of its common stock, Series A warrants to purchase up to 4,630,000 shares of common stock and Series B warrants to purchase up to 4,630,000 shares of common stock at a public offering price of $3.50 per share and accompanying warrants. The gross proceeds from the public offering were approximately $16.2 million, before deducting underwriting discounts and commissions and other offering expenses. As of September 30, 2018, the Company had issued 8,598,076 shares upon exercise of Series A and Series B warrants, which resulted in gross proceeds to the Company of $29.5 million. As of September 30, 2018, there were 516,030 Series A warrants outstanding and no Series B warrants outstanding. In April 2018, 13,450 Series B warrants expired unexercised.</w:t>
      </w:r>
    </w:p>
    <w:p>
      <w:pPr>
        <w:spacing w:after="0" w:line="16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2018, the Company completed a public offering of 34,500,000 shares of its common stock at a public offering price of $2.00 per share. The gross proceeds to the Company from the offering were $69.0 million, before deducting underwriting discounts and commissions and other offering expenses payable by the Company.</w:t>
      </w:r>
    </w:p>
    <w:p>
      <w:pPr>
        <w:spacing w:after="0" w:line="181"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August 2018, the Company completed a public offering of 4,035,085 shares of its common stock at a public offering price of $28.50 per share. The gross proceeds to the Company from the offering were $115.0 million, before deducting underwriting discounts and commissions and other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as of September 30, 2018 (in thousands):</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809</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5,655</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1,189</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2,101</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9,754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60" w:space="720"/>
            <w:col w:w="540"/>
          </w:cols>
          <w:pgMar w:left="240" w:top="125" w:right="239" w:bottom="1440" w:gutter="0" w:footer="0" w:header="0"/>
          <w:type w:val="continuous"/>
        </w:sectPr>
      </w:pPr>
    </w:p>
    <w:p>
      <w:pPr>
        <w:spacing w:after="0" w:line="100"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In June 2018, the Company received approval from its stockholders to increase the number of shares of common stock reserved under the 2013 Plan by 5,500,000 shares. The Company issued 8,598,076 shares of its common stock upon the exercise of warrants, and 31,519 shares of its common stock upon the exercise of stock options during the nine months ended September 30, 2018. The Company did not issue any shares of its common stock upon the exercise of warrants, and issued 24,406 shares of its common stock upon the exercise of stock options during the year ended December 31, 2017.</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right="140" w:firstLine="571"/>
        <w:spacing w:after="0" w:line="255" w:lineRule="auto"/>
        <w:rPr>
          <w:sz w:val="20"/>
          <w:szCs w:val="20"/>
          <w:color w:val="auto"/>
        </w:rPr>
      </w:pPr>
      <w:r>
        <w:rPr>
          <w:rFonts w:ascii="Arial" w:cs="Arial" w:eastAsia="Arial" w:hAnsi="Arial"/>
          <w:sz w:val="18"/>
          <w:szCs w:val="18"/>
          <w:color w:val="auto"/>
        </w:rPr>
        <w:t>The ESPP enables eligible employees to purchase shares of common stock using their after-tax payroll deductions, subject to certain conditions. Historically, offerings under the ESPP consisted of a two-year offering period with four six-month purchase periods which began in May and November of each year. The Company previously suspended the ESPP in May 2017 due to a lack of available shares. In June 2018, the Company received approval from its stockholders to increase the number of shares reserved for issuance under the ESPP by 2,000,000 shares. A new offering commenced under the ESPP on June 15, 2018, and the first purchase date will be November 15, 2018. As a result of the previous suspension of the ESPP, no shares of common stock were purchased under the ESPP during the nine months ended September 30, 2018. There were 38,929 shares of common stock purchased under the ESPP during the year ended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In June 2018, the Company issued options to purchase 811,800 shares of common stock under the 2013 Plan, which were originally granted on December 1, 2017, subject to and conditioned upon the approval by its stockholders of an increase in the number of shares authorized under the 2013 Plan. In addition, in June 2018, the Company granted options to purchase 3,339,300 shares of common stock under the 2013 Plan. These options have an exercise price equal to the closing price of the common stock on the respective grant date, and generally vest 50% on the first anniversary of the grant date, with the balance vesting monthly over the following year.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Options</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r>
      <w:tr>
        <w:trPr>
          <w:trHeight w:val="215"/>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5"/>
          </w:tcPr>
          <w:p>
            <w:pPr>
              <w:jc w:val="right"/>
              <w:ind w:right="148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FF0FC"/>
          </w:tcPr>
          <w:p>
            <w:pPr>
              <w:spacing w:after="0"/>
              <w:rPr>
                <w:sz w:val="19"/>
                <w:szCs w:val="19"/>
                <w:color w:val="auto"/>
              </w:rPr>
            </w:pPr>
          </w:p>
        </w:tc>
        <w:tc>
          <w:tcPr>
            <w:tcW w:w="16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9"/>
                <w:szCs w:val="19"/>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662"/>
        </w:trPr>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6"/>
              </w:rPr>
              <w:t>ESPP</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13"/>
              <w:spacing w:after="0"/>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(1)</w:t>
            </w:r>
          </w:p>
        </w:tc>
        <w:tc>
          <w:tcPr>
            <w:tcW w:w="180" w:type="dxa"/>
            <w:vAlign w:val="bottom"/>
            <w:tcBorders>
              <w:bottom w:val="single" w:sz="8" w:color="auto"/>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98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98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98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rPr>
              <w:t>77.0%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98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98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580" w:right="3620" w:hanging="572"/>
        <w:spacing w:after="0" w:line="611" w:lineRule="auto"/>
        <w:tabs>
          <w:tab w:leader="none" w:pos="38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were no grants made pursuant to the ESPP during the nine months ended September 30, 2017. The following table summarizes the allocation of stock-based compensation expense (in thousands):</w:t>
      </w: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08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4"/>
                <w:szCs w:val="2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inventory was $0.7 million and $0.2 million as of September 30, 2018 and December 31, 2017,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From time to time, the Company may be subject to legal proceedings, disputes and other claims arising in the ordinary course of business, including actions with respect to intellectual property, employment, product liability and contractual matters. In connection with these matters, the Company regularly assesses the probability and amount or range of possible loss based on the developments in these matters. A liability is recorded in the financial statements if it is determined that it is probable that a material loss has been incurred, and that the amount or range of the loss can be reasonably estimated. Because of uncertainties related to any pending actions, the Company is currently unable to predict their ultimate outcome, and, with respect to any legal proceeding or claim where no liability has been accrued, to make a meaningful estimate of the reasonably possible loss or range of loss that could result from an adverse outcome. As of September 30, 2018 and December 31, 2017, there were no legal proceedings, disputes or other claims for which a material loss was considered probable or for which the amount or range of loss was reasonably estimable. However, regardless of the outcome, legal proceedings, disputes and other claims can have an adverse impact on the Company because of legal costs, diversion of management time and resources, and other factors.</w:t>
      </w: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6" w:name="page17"/>
    <w:bookmarkEnd w:id="16"/>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September 30, 2018, or this Quarterly Report.</w:t>
      </w:r>
    </w:p>
    <w:p>
      <w:pPr>
        <w:spacing w:after="0" w:line="17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and financing plans, product launches, regulatory approvals and competitive environment. We caution you that the foregoing list may not include all of the forward-looking statements made in this Quarterly Report.</w:t>
      </w:r>
    </w:p>
    <w:p>
      <w:pPr>
        <w:spacing w:after="0" w:line="16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from and worse than what we expect.</w:t>
      </w:r>
    </w:p>
    <w:p>
      <w:pPr>
        <w:spacing w:after="0" w:line="189"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and sales activities primarily focus on our flagship product, the t:slim X2 Insulin Delivery System, or t:slim X2, which is based on our proprietary technology platform. The simple-to-use t:slim X2 is the smallest durable insulin pump available, and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6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began commercial sales in the United States of our first insulin pump, t:slim, in August 2012. Subsequently, we commercialized t:flex in May 2015, t:slim G4 in September 2015 and t:slim X2 in October 2016. The t:slim X2 technology platform now represents 100% of our new pump shipments, but we continue to provide ongoing service and support to existing t:slim, t:slim G4 and t:flex customers.</w:t>
      </w:r>
    </w:p>
    <w:p>
      <w:pPr>
        <w:spacing w:after="0" w:line="18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June 2018, we received approval by the United States Food and Drug Administration (FDA) for t:slim X2 with Basal-IQ technology, our first-generation Automated Insulin Delivery (AID) algorithm. We commenced commercial sales of this product in the United States in August 2018. This system uses Dexcom G6 continuous glucose monitoring (CGM) sensor values to adjust the rate of insulin delivery to help minimize the frequency and/or duration of hypoglycemic events. In the second quarter of 2018, the FDA also created a new interoperability designation for integrated continuous glucose monitoring (iCGM) devices. Our t:slim X2 with Basal-IQ technology was the first insulin pump to receive approval for iCGM compatibility, which we expect will streamline the regulatory pathway for integration with future iCGM products approved by the FDA.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jc w:val="both"/>
        <w:ind w:right="260" w:firstLine="518"/>
        <w:spacing w:after="0" w:line="277" w:lineRule="auto"/>
        <w:rPr>
          <w:sz w:val="20"/>
          <w:szCs w:val="20"/>
          <w:color w:val="auto"/>
        </w:rPr>
      </w:pPr>
      <w:r>
        <w:rPr>
          <w:rFonts w:ascii="Arial" w:cs="Arial" w:eastAsia="Arial" w:hAnsi="Arial"/>
          <w:sz w:val="18"/>
          <w:szCs w:val="18"/>
          <w:color w:val="auto"/>
        </w:rPr>
        <w:t>In August 2018, we commenced commercial sales in select international geographies of our t:slim X2 insulin pump, which is capable of displaying Dexcom’s G5 Mobile CGM.</w:t>
      </w:r>
    </w:p>
    <w:p>
      <w:pPr>
        <w:spacing w:after="0" w:line="170" w:lineRule="exact"/>
        <w:rPr>
          <w:sz w:val="20"/>
          <w:szCs w:val="20"/>
          <w:color w:val="auto"/>
        </w:rPr>
      </w:pPr>
    </w:p>
    <w:p>
      <w:pPr>
        <w:jc w:val="both"/>
        <w:ind w:right="240" w:firstLine="571"/>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w:t>
      </w:r>
    </w:p>
    <w:p>
      <w:pPr>
        <w:spacing w:after="0" w:line="181"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Our insulin pumps are compatible with the Tandem Device Updater, a revolutionary new tool that allows pump users to update their pumps’ software quickly and easily from a personal computer. The Tandem Device Updater provides our in-warranty customers access to new and enhanced features and functionality faster than the industry has been able to in the past. The first use of our Tandem Device Updater was for deployment of the latest t:slim software to in-warranty t:slim pumps purchased before April 2015. Since that time, we set a new standard of care in our industry by offering all existing t:slim X2 customers two significant software updates including integration with the Dexcom G5 Mobile CGM system in September 2017 and an upgrade to our new Basal-IQ technology at no cost in August 2018. In the future, this tool has the potential to enable users to add other new features and functionality to their pumps independent of the typical four-year insurance pump reimbursement cycle.</w:t>
      </w:r>
    </w:p>
    <w:p>
      <w:pPr>
        <w:spacing w:after="0" w:line="178"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thereby allowing users to successfully operate them in their intended environment.</w:t>
      </w:r>
    </w:p>
    <w:p>
      <w:pPr>
        <w:spacing w:after="0" w:line="18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technology platform allows us to design the slimmest and smallest durable insulin pumps on the market, without sacrificing insulin capacity. Our platform features our patented Micro-Delivery technology, and a miniaturized pumping mechanism that draws insulin from a flexible bag within the pump’s cartridge, rather than relying on a syringe and plunger mechanism. It also features an easy-to-navigate software architecture, and a vivid color touchscreen. In addition, the t:slim X2 features an advanced Bluetooth radio capable of communicating with multiple compatible devices, such as a CGM sensor, blood glucose meter or mobile device applications. Our platform has a micro-USB connection that supports a rechargeable battery and software updates through the Tandem Device Updater, as well as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In April 2017, we launched the t:connect HCP Portal, which is designed to streamline healthcare providers’ use of the original t:connect Application and improve office efficiency. Currently, t:connect and the Tandem Device Updater are available only in the United States.</w:t>
      </w:r>
    </w:p>
    <w:p>
      <w:pPr>
        <w:spacing w:after="0" w:line="169" w:lineRule="exact"/>
        <w:rPr>
          <w:sz w:val="20"/>
          <w:szCs w:val="20"/>
          <w:color w:val="auto"/>
        </w:rPr>
      </w:pPr>
    </w:p>
    <w:p>
      <w:pPr>
        <w:ind w:right="240" w:firstLine="518"/>
        <w:spacing w:after="0" w:line="271"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positioned well to address consumers’ needs and preferences with our current products and products under development and by offering customers access to our future innovations through the Tandem Device Updater, as they are approved by the FDA. As we continue to develop differentiated products based on our proprietary technology platform, we intend to leverage a single sales, marketing and clinical organization in the United States, a shared manufacturing and supply chain infrastructure, and the expertise of our customer support services.</w:t>
      </w:r>
    </w:p>
    <w:p>
      <w:pPr>
        <w:spacing w:after="0" w:line="17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the third quarter of 2018, we established a small group of sales and customer support employees to commercialize our products in Canada. In other select geographies outside the United States, we expect that most of our commercial sales will initially be to independent distributors who will perform all sales, customer support and training in their respective territories.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jc w:val="both"/>
        <w:ind w:right="180" w:firstLine="588"/>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AID systems, a next-generation hardware platform, and connected (mobile) health offerings. We intend to leverage our consumer-focused approach and proprietary technology platform to continue to develop products that have the features and functionalities that will allow us to target people in differentiated segments of the insulin-dependent diabetes market including the following products under development:</w:t>
      </w:r>
    </w:p>
    <w:p>
      <w:pPr>
        <w:spacing w:after="0" w:line="187" w:lineRule="exact"/>
        <w:rPr>
          <w:sz w:val="20"/>
          <w:szCs w:val="20"/>
          <w:color w:val="auto"/>
        </w:rPr>
      </w:pPr>
    </w:p>
    <w:p>
      <w:pPr>
        <w:ind w:left="1340" w:right="60" w:hanging="387"/>
        <w:spacing w:after="0" w:line="253"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t:slim X2 with Control IQ </w:t>
      </w:r>
      <w:r>
        <w:rPr>
          <w:rFonts w:ascii="Arial" w:cs="Arial" w:eastAsia="Arial" w:hAnsi="Arial"/>
          <w:sz w:val="18"/>
          <w:szCs w:val="18"/>
          <w:color w:val="auto"/>
        </w:rPr>
        <w:t>– Our second-generation AID system is expected to integrate the t:slim X2 pump with the treat-to-range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we licensed from TypeZero Technologies LLC, as well as Dexcom’s G6 CGM sensor. With TypeZero’s technology, our product is intended to both increase and decrease basal insulin based on a user’s predicted blood glucose levels, as well as deliver automated correction boluses. In conjunction with Dexcom and TypeZero, we have integrated our technologies into the U.S. portion of the Clinical Acceptance of the Artificial Pancreas (DCLP3) portion of the International Diabetes Closed Loop (IDCL) Trial, for which enrollment was completed in October 2018. This trial will utilize a t:slim X2 integrated with our implementation of TypeZero’s inControl AID algorithms, which is designed to automatically adjust a person’s insulin based on information from a Dexcom G6 CGM sensor. Under new guidelines with the FDA, we intend to file a 510(k) in the fourth quarter of 2018 in pursuit of a new insulin pump classification for the t:slim X2 pump referred to as iPump followed by an additional submission for the Control IQ algorithm using the results of the trial in the first half of 2019. We have also conducted and anticipate continuing to conduct targeted pediatric studies for a future regulatory submission.</w:t>
      </w:r>
    </w:p>
    <w:p>
      <w:pPr>
        <w:spacing w:after="0" w:line="192" w:lineRule="exact"/>
        <w:rPr>
          <w:rFonts w:ascii="Arial" w:cs="Arial" w:eastAsia="Arial" w:hAnsi="Arial"/>
          <w:sz w:val="18"/>
          <w:szCs w:val="18"/>
          <w:color w:val="auto"/>
        </w:rPr>
      </w:pPr>
    </w:p>
    <w:p>
      <w:pPr>
        <w:ind w:left="1340" w:right="380" w:hanging="387"/>
        <w:spacing w:after="0" w:line="308" w:lineRule="auto"/>
        <w:tabs>
          <w:tab w:leader="none" w:pos="1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t:sport Insulin Delivery System </w:t>
      </w:r>
      <w:r>
        <w:rPr>
          <w:rFonts w:ascii="Arial" w:cs="Arial" w:eastAsia="Arial" w:hAnsi="Arial"/>
          <w:sz w:val="17"/>
          <w:szCs w:val="17"/>
          <w:color w:val="auto"/>
        </w:rPr>
        <w:t>– This product is our next generation hardware platform that is expected to be half the size of the t:slim</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and is being designed for people who seek even greater discretion and flexibility with the use of their insulin pump.</w:t>
      </w:r>
    </w:p>
    <w:p>
      <w:pPr>
        <w:spacing w:after="0" w:line="146" w:lineRule="exact"/>
        <w:rPr>
          <w:rFonts w:ascii="Arial" w:cs="Arial" w:eastAsia="Arial" w:hAnsi="Arial"/>
          <w:sz w:val="17"/>
          <w:szCs w:val="17"/>
          <w:color w:val="auto"/>
        </w:rPr>
      </w:pPr>
    </w:p>
    <w:p>
      <w:pPr>
        <w:ind w:left="1340" w:right="180" w:hanging="387"/>
        <w:spacing w:after="0" w:line="302" w:lineRule="auto"/>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Connected (Mobile) Health Offerings </w:t>
      </w:r>
      <w:r>
        <w:rPr>
          <w:rFonts w:ascii="Arial" w:cs="Arial" w:eastAsia="Arial" w:hAnsi="Arial"/>
          <w:sz w:val="16"/>
          <w:szCs w:val="16"/>
          <w:color w:val="auto"/>
        </w:rPr>
        <w:t>- We are currently developing a mobile application that is being designed to utilize the capability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Bluetooth radio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with a subset of these features.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particularly the number of units shipped in the most recent four-year period due to typical four-year reimbursement cycles.</w:t>
      </w:r>
    </w:p>
    <w:p>
      <w:pPr>
        <w:spacing w:after="0" w:line="181" w:lineRule="exact"/>
        <w:rPr>
          <w:sz w:val="20"/>
          <w:szCs w:val="20"/>
          <w:color w:val="auto"/>
        </w:rPr>
      </w:pPr>
    </w:p>
    <w:p>
      <w:pPr>
        <w:jc w:val="both"/>
        <w:ind w:right="80" w:firstLine="571"/>
        <w:spacing w:after="0" w:line="277" w:lineRule="auto"/>
        <w:rPr>
          <w:sz w:val="20"/>
          <w:szCs w:val="20"/>
          <w:color w:val="auto"/>
        </w:rPr>
      </w:pPr>
      <w:r>
        <w:rPr>
          <w:rFonts w:ascii="Arial" w:cs="Arial" w:eastAsia="Arial" w:hAnsi="Arial"/>
          <w:sz w:val="18"/>
          <w:szCs w:val="18"/>
          <w:color w:val="auto"/>
        </w:rPr>
        <w:t>In the United States, we have shipped more than 70,000 pumps within the four-year period ended September 30, 2018. Pump shipments in the United States by fiscal quarter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 xml:space="preserve"> - U.S.</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6,950</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17,061</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17,270</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left="760" w:right="260" w:hanging="374"/>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 nor does it reflect approximately 3,300 trade-ins fulfilled in 2016 and 2017 under the Technology Upgrade Program (discussed below) related to our commercial launch of t:slim X2.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color w:val="auto"/>
        </w:rPr>
        <w:t>International pump shipments, which began in the third quarter of 2018, by fiscal quarter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6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100" w:type="dxa"/>
            <w:vAlign w:val="bottom"/>
          </w:tcPr>
          <w:p>
            <w:pPr>
              <w:ind w:left="4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2018</w:t>
            </w:r>
          </w:p>
        </w:tc>
        <w:tc>
          <w:tcPr>
            <w:tcW w:w="11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99"/>
              </w:rPr>
              <w:t>N/A</w:t>
            </w: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3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99"/>
              </w:rPr>
              <w:t>N/A</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Beginning in the third quarter of 2016 through the third quarter of 2017, we offered a Technology Upgrade Program under a variable pricing structure, as a pathway for certain existing customers to obtain the t:slim X2 insulin pump. Due to the high degree of accounting complexity, the program created unpredictable financial results under U.S. GAAP for the duration of the program. The accounting treatment for the program required us to defer up to 100% of sales at the time of pump shipment and recognize them in a subsequent period, either when the upgrade was fulfilled or at the expiration of the program. We recognized the deferred amount of sales and cost of sales at the earlier of when the obligations under the program were satisfied or upon the expiration of the program. If a customer elected to participate in the program, we recognized any upgrade fees that we received and the associated costs at the time of fulfilling the given obligation. The program expired on September 30, 2017 and, therefore, has no impact on our 2018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For the nine months ended September 30, 2018 and 2017, our sales were $107.6 million and $67.3 million, respectively. For the nine months ended September 30, 2017, this included incremental net sales of $4.8 million as a result of the Technology Upgrade Program. For the nine months ended September 30, 2018 and 2017, our net loss was $126.3 million and $61.6 million, respectively. Our accumulated deficit as of September 30, 2018 was $603.8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customers, has been and will continue to be impacted by a number of general trends, including the following:</w:t>
      </w:r>
    </w:p>
    <w:p>
      <w:pPr>
        <w:spacing w:after="0" w:line="170" w:lineRule="exact"/>
        <w:rPr>
          <w:sz w:val="20"/>
          <w:szCs w:val="20"/>
          <w:color w:val="auto"/>
        </w:rPr>
      </w:pPr>
    </w:p>
    <w:p>
      <w:pPr>
        <w:ind w:left="1340" w:right="360" w:hanging="38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340" w:right="340" w:hanging="38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225" w:lineRule="exact"/>
        <w:rPr>
          <w:rFonts w:ascii="Arial" w:cs="Arial" w:eastAsia="Arial" w:hAnsi="Arial"/>
          <w:sz w:val="18"/>
          <w:szCs w:val="18"/>
          <w:color w:val="auto"/>
        </w:rPr>
      </w:pPr>
    </w:p>
    <w:p>
      <w:pPr>
        <w:ind w:left="1340" w:right="120" w:hanging="38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and actual regulatory actions relating to our products and competitive products.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particular, we believe the following specific factors have, and could continue to, materially impact our business going forward: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1340" w:right="8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 which we expect will positively impact our sales;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340" w:right="16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340" w:right="24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opportunity to attract Animas customers as their pumps come up for renewal, following the announcement by Johnson &amp; Johnson that it discontinued the operations of Animas and exited the insulin pump business entirely;</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sales of infusion sets following the commercial launch of t:lock-compatible pump supplies in the third quarter of 2017;</w:t>
      </w:r>
    </w:p>
    <w:p>
      <w:pPr>
        <w:spacing w:after="0" w:line="236" w:lineRule="exact"/>
        <w:rPr>
          <w:rFonts w:ascii="Arial" w:cs="Arial" w:eastAsia="Arial" w:hAnsi="Arial"/>
          <w:sz w:val="17"/>
          <w:szCs w:val="17"/>
          <w:color w:val="auto"/>
        </w:rPr>
      </w:pPr>
    </w:p>
    <w:p>
      <w:pPr>
        <w:ind w:left="1340" w:right="2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designation by UnitedHealthcare in July 2016 of one of our competitors as its preferred, in-network durable medical equipment provider of insulin pumps for most customers over the age of 18;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expansion in select geographies, including Canada, in the second half of 2018.</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For 2018, in addition to working to achieve our sales growth expectations, we intend to continue to leverage our infrastructure investments to realize additional manufacturing, sales, marketing and administration cost efficiencies to improve our operating margins, including costs associated with our international launch plans. We believe we can ultimately achieve profitability by driving incremental sales growth,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FDA Approval of t:slim X2 with Basal-IQ</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June 2018, the FDA approved our t:slim X2 Insulin Pump with Basal-IQ technology, a predictive low glucose suspend (PLGS) feature designed to help reduce the frequency and duration of low glucose events. We launched our new product in the third quarter of 2018 with Dexcom G6 CGM integration, which requires no fingersticks for calibration or diabetes treatment decisions and was the first CGM device to receive the iCGM designation from the FDA earlier this year.</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International Expansion</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April 2018, we received CE mark approval and have entered into distribution agreements with independent distributors for markets in Australia, Italy, New Zealand, Scandinavia, South Africa, Spain and the United Kingdom. We began shipping into select geographies in the third quarter of 2018, where we initially intend to market our products primarily through third-party distributors. In Canada, we received regulatory approval in October 2018 and expect to begin shipping by the end of 2018, subject to the completion of various pre-commercialization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believe we can ultimately achieve profitability because our existing proprietary technology platform will allow us to maximize efficiencies in the development, production, sale and marketing of multiple products differentiated by software. By offering products that are all based on this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By expanding our product offerings to address the varying needs among people in different segments of the large and growing insulin-dependent diabetes market with continued software innovation and alternative hardware platforms such as t:sport, we believe we can increase the productivity of our sales, clinical, marketing, and customer support organizations, thereby improving our operating margin over the long term. However, it is possible that the launch of our t:sport platform in the future may reduce the total demand for our products based on our t:slim X2 platform. In that case, it is possible that the launch of our t:sport platform may temporarily negatively impact the gross margins for our products overall.</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hardware platform in the United States in the third quarter of 2012 and continued to launch various iterations of that platform in the years following. In October 2016, we began shipping our t:slim X2 insulin pump, our next generation flagship product. The t:slim X2 hardware platform, which includes remote software update capabilities, now represents 100% of our new pump shipments. Accordingly, we have discontinued new sales of all prior platform versions. Our products also include disposable cartridges and infusion sets. In addition, we offer accessories including protective cases, belt clips, and power adapters, although such sales are not significant.</w:t>
      </w:r>
    </w:p>
    <w:p>
      <w:pPr>
        <w:spacing w:after="0" w:line="193" w:lineRule="exact"/>
        <w:rPr>
          <w:sz w:val="20"/>
          <w:szCs w:val="20"/>
          <w:color w:val="auto"/>
        </w:rPr>
      </w:pPr>
    </w:p>
    <w:p>
      <w:pPr>
        <w:ind w:right="200" w:firstLine="571"/>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In the third quarter of 2018, we commenced commercial sales of t:slim X2 with Dexcom G5 Mobile CGM integration in select international geographies. With the exception of Canada where we intend to market with a direct sales force, we expect that most of our commercial sales outside the United States will initially be to independent distributors who will perform all sales, customer support and training in their respective territories. Historically, we have experienced consistent levels of reimbursement for our products in the United States, but the average sales price will vary in international markets based on a number of factors, such as the nature of the reimbursement environment, government regulations and the extent to which we rely on distributor relationships to provide sales, clinical and marketing support.</w:t>
      </w:r>
    </w:p>
    <w:p>
      <w:pPr>
        <w:spacing w:after="0" w:line="193" w:lineRule="exact"/>
        <w:rPr>
          <w:sz w:val="20"/>
          <w:szCs w:val="20"/>
          <w:color w:val="auto"/>
        </w:rPr>
      </w:pPr>
    </w:p>
    <w:p>
      <w:pPr>
        <w:jc w:val="both"/>
        <w:ind w:right="240" w:firstLine="571"/>
        <w:spacing w:after="0" w:line="312" w:lineRule="auto"/>
        <w:rPr>
          <w:sz w:val="20"/>
          <w:szCs w:val="20"/>
          <w:color w:val="auto"/>
        </w:rPr>
      </w:pPr>
      <w:r>
        <w:rPr>
          <w:rFonts w:ascii="Arial" w:cs="Arial" w:eastAsia="Arial" w:hAnsi="Arial"/>
          <w:sz w:val="16"/>
          <w:szCs w:val="16"/>
          <w:color w:val="auto"/>
        </w:rPr>
        <w:t>In general, we have experienced, and expect to continue to experience in the United States, product shipments being weighted heavily towards the second half of the year, with the highest percentage of product shipments expected in the fourth quarter of the year due to the nature of the reimbursement environment. Consistent with prior results, we also expect product shipments from the fourth quarter to the following first quarter to decrease significantly.</w:t>
      </w:r>
    </w:p>
    <w:p>
      <w:pPr>
        <w:spacing w:after="0" w:line="14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However, we are not able to quantify the extent of the impact of these or similar events on future purchasing decisions.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0" w:firstLine="577"/>
        <w:spacing w:after="0" w:line="297" w:lineRule="auto"/>
        <w:rPr>
          <w:sz w:val="20"/>
          <w:szCs w:val="20"/>
          <w:color w:val="auto"/>
        </w:rPr>
      </w:pPr>
      <w:r>
        <w:rPr>
          <w:rFonts w:ascii="Arial" w:cs="Arial" w:eastAsia="Arial" w:hAnsi="Arial"/>
          <w:sz w:val="16"/>
          <w:szCs w:val="16"/>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freight,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gain broader market acceptance and our product sales increase.</w:t>
      </w:r>
    </w:p>
    <w:p>
      <w:pPr>
        <w:spacing w:after="0" w:line="158" w:lineRule="exact"/>
        <w:rPr>
          <w:sz w:val="20"/>
          <w:szCs w:val="20"/>
          <w:color w:val="auto"/>
        </w:rPr>
      </w:pPr>
    </w:p>
    <w:p>
      <w:pPr>
        <w:ind w:right="80" w:firstLine="577"/>
        <w:spacing w:after="0" w:line="291"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our overall gross margin may fluctuate in future quarterly periods as a result of numerous factors besides those associated with production volumes, such as the impact of changes in our stock price on non-cash stock-based compensation, changes in our warranty estimates or inventory obsolescence.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firstLine="577"/>
        <w:spacing w:after="0" w:line="302" w:lineRule="auto"/>
        <w:rPr>
          <w:sz w:val="20"/>
          <w:szCs w:val="20"/>
          <w:color w:val="auto"/>
        </w:rPr>
      </w:pPr>
      <w:r>
        <w:rPr>
          <w:rFonts w:ascii="Arial" w:cs="Arial" w:eastAsia="Arial" w:hAnsi="Arial"/>
          <w:sz w:val="16"/>
          <w:szCs w:val="16"/>
          <w:color w:val="auto"/>
        </w:rPr>
        <w:t>In general, we expect the gross margin on insulin pumps to be higher than the gross margin on pump-related supplies. Other factors impacting our overall gross margin may include the changing mix of products sold with different gross margins, the changing percentage of products sold to distributors versus directly to individual customers, varying levels of reimbursement among third-party payors and in international markets, the timing and success of new regulatory approvals and product launches, warranty and training costs, and changes in our manufacturing processes, capacity, costs or output.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selling, general and administrative, or SG&amp;A, expenses primarily consist of salary, cash-based incentive compensation, fringe benefits and non-cash stock-based compensation for our executive, financial, legal, marketing, sales, clinical, customer support, technical services, insurance verification, regulatory affairs and administrative functions. In particular, our sales and clinical organization consisted of approximately 70 territories as of September 30, 2018 and our operations in Canada will be supported by a direct sales force of approximately 10 field representatives. Territories in the United States are maintained by sales representatives and field clinical specialists, and supported by managed care liaisons, additional sales management and other customer support personnel. We may add a small number of domestic sales territories in the near term.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We expect our SG&amp;A expenses, including the cost of our customer support infrastructure, to increase as our customer base grows in the United States and international geographies. Additionally, we realized a notable increase in non-cash stock-based compensation expense in the third quarter of 2018 from the recent appreciation of our stock price, which will expect will be sustained in future quarters as a result of the valuation of certain employee option grants. Our SG&amp;A expenses may also increase due to anticipated costs associated with additional compliance and regulatory reporting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continue to reflect a notable increase in non-cash stock-based compensation due to the impact of the recent appreciation of our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Our other income and expense primarily consists of changes in the fair value of the Series A and Series B warrants issued in our public offering of common stock in October 2017, as well as interest expense and amortization of debt discount and issuance costs associated with our Amended and Restated Term Loan Agreement, or the Term Loan Agreement, with Capital Royalty Partners II, L.P. and its affiliated funds, or CRG. In August 2018, we fully repaid amounts due under the Term Loan Agreement. Prior to that, there was $82.7 million of outstanding principal under the Term Loan Agreement, which accrued interest at a coupon rate of 11.5% per annum (see the section below entitled “Indebtedness”). As a result, we recognized a loss on extinguishment of debt in the third quarter of 2018, but there will be no related interest expense or costs associated with the debt in future periods. We expect other income and expense to fluctuate from period to period due to revaluations of the outstanding Series A warrants, which expire in the fourth quarter of 2022.</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1"/>
        </w:trPr>
        <w:tc>
          <w:tcPr>
            <w:tcW w:w="2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90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4"/>
              </w:rPr>
              <w:t>2017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35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43,720</w:t>
            </w:r>
          </w:p>
        </w:tc>
        <w:tc>
          <w:tcPr>
            <w:tcW w:w="240" w:type="dxa"/>
            <w:vAlign w:val="bottom"/>
          </w:tcPr>
          <w:p>
            <w:pPr>
              <w:spacing w:after="0"/>
              <w:rPr>
                <w:sz w:val="19"/>
                <w:szCs w:val="19"/>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27,003</w:t>
            </w:r>
          </w:p>
        </w:tc>
        <w:tc>
          <w:tcPr>
            <w:tcW w:w="26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105,123</w:t>
            </w:r>
          </w:p>
        </w:tc>
        <w:tc>
          <w:tcPr>
            <w:tcW w:w="3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67,306</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107,667</w:t>
            </w:r>
          </w:p>
        </w:tc>
        <w:tc>
          <w:tcPr>
            <w:tcW w:w="3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67,306</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59,381</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40,680</w:t>
            </w:r>
          </w:p>
        </w:tc>
        <w:tc>
          <w:tcPr>
            <w:tcW w:w="180" w:type="dxa"/>
            <w:vAlign w:val="bottom"/>
            <w:shd w:val="clear" w:color="auto" w:fill="CFF0F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11,872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48,286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26,626</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73,048</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65,077</w:t>
            </w:r>
          </w:p>
        </w:tc>
        <w:tc>
          <w:tcPr>
            <w:tcW w:w="18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20,430</w:t>
            </w:r>
          </w:p>
        </w:tc>
        <w:tc>
          <w:tcPr>
            <w:tcW w:w="3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93,478</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79,987</w:t>
            </w:r>
          </w:p>
        </w:tc>
        <w:tc>
          <w:tcPr>
            <w:tcW w:w="180" w:type="dxa"/>
            <w:vAlign w:val="bottom"/>
            <w:shd w:val="clear" w:color="auto" w:fill="CFF0F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(13,167)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(45,192)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(53,361)</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(7,585)</w:t>
            </w: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(8,445)</w:t>
            </w: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(5,313)</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(69,042)</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(81,107)</w:t>
            </w:r>
          </w:p>
        </w:tc>
        <w:tc>
          <w:tcPr>
            <w:tcW w:w="3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(126,299)</w:t>
            </w: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(61,627)</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2018 and 2017</w:t>
      </w:r>
    </w:p>
    <w:p>
      <w:pPr>
        <w:spacing w:after="0" w:line="229"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September 30, 2018, sales were $46.2 million, which included $2.5 million of international sales that commenced</w:t>
      </w:r>
      <w:r>
        <w:rPr>
          <w:rFonts w:ascii="Arial" w:cs="Arial" w:eastAsia="Arial" w:hAnsi="Arial"/>
          <w:sz w:val="18"/>
          <w:szCs w:val="18"/>
          <w:i w:val="1"/>
          <w:iCs w:val="1"/>
          <w:color w:val="auto"/>
        </w:rPr>
        <w:t xml:space="preserve"> </w:t>
      </w:r>
      <w:r>
        <w:rPr>
          <w:rFonts w:ascii="Arial" w:cs="Arial" w:eastAsia="Arial" w:hAnsi="Arial"/>
          <w:sz w:val="18"/>
          <w:szCs w:val="18"/>
          <w:color w:val="auto"/>
        </w:rPr>
        <w:t>this period. Sales were $27.0 million for the same period in 2017.</w:t>
      </w:r>
    </w:p>
    <w:p>
      <w:pPr>
        <w:spacing w:after="0" w:line="170"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Domestic sales of insulin pumps were $28.7 million and $18.4 million, respectively, for the three months ended September 30, 2018 and 2017. For the three months ended September 30, 2018, domestic sales of pump-related supplies were $15.0 million, of which $10.3 million were sales of infusion sets and $4.6 million were sales of cartridges. For the three months ended September 30, 2017, sales of pump-related supplies were $8.7 million, of which $5.0 million were sales of infusion sets and $3.5 million were sales of cartridges. Sales of accessories were not significant in either of the reported periods. International sales primarily consisted of insulin pumps.</w:t>
      </w:r>
    </w:p>
    <w:p>
      <w:pPr>
        <w:spacing w:after="0" w:line="188"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increase in sales was primarily due to a 118% increase in worldwide pump shipments to 8,434 in the third quarter of 2018 compared to 3,868 in the third quarter of 2017, which were positively impacted by new product launches in August 2018 and August 2017 and the commencement of international sales in the three months ended September 30, 2018. Additionally, sales from pump-related supplies increased 77% due to the September 2017 launch of infusion set products using the t:lock Connector, as well as an overall increase in our installed base of customers reordering supplies. The ratio of the number of infusion sets shipped to the number of cartridges shipped increased to over 100% in the three months ended September 30, 2018 from 66% in the comparable quarter of the prior year.</w:t>
      </w:r>
    </w:p>
    <w:p>
      <w:pPr>
        <w:spacing w:after="0" w:line="193"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Sales to domestic distributors accounted for 76% and 74% of our total domestic sales for the three months ended September 30, 2018 and 2017, respectively. Our percentage of sales to distributors versus individual customers is principally determined by the mix of customers ordering our products within the period and whether or not we have a contractual arrangement with their underlying third-party insurance payor. The percentage was particularly impacted in the three months ended September 30, 2018 by the mid-2017 launch of the t:lock Connector, which resulted in greater purchases of infusion sets by our independent distributors during the period as compared to the same period during the prior year. Sales to international distributors accounted for 100% of our total international sales.</w:t>
      </w:r>
    </w:p>
    <w:p>
      <w:pPr>
        <w:spacing w:after="0" w:line="193" w:lineRule="exact"/>
        <w:rPr>
          <w:sz w:val="20"/>
          <w:szCs w:val="20"/>
          <w:color w:val="auto"/>
        </w:rPr>
      </w:pPr>
    </w:p>
    <w:p>
      <w:pPr>
        <w:ind w:right="20" w:firstLine="577"/>
        <w:spacing w:after="0" w:line="302" w:lineRule="auto"/>
        <w:rPr>
          <w:sz w:val="20"/>
          <w:szCs w:val="20"/>
          <w:color w:val="auto"/>
        </w:rPr>
      </w:pPr>
      <w:r>
        <w:rPr>
          <w:rFonts w:ascii="Arial" w:cs="Arial" w:eastAsia="Arial" w:hAnsi="Arial"/>
          <w:sz w:val="16"/>
          <w:szCs w:val="16"/>
          <w:i w:val="1"/>
          <w:iCs w:val="1"/>
          <w:color w:val="auto"/>
        </w:rPr>
        <w:t>Cost of Sales and Gross Profit</w:t>
      </w:r>
      <w:r>
        <w:rPr>
          <w:rFonts w:ascii="Arial" w:cs="Arial" w:eastAsia="Arial" w:hAnsi="Arial"/>
          <w:sz w:val="16"/>
          <w:szCs w:val="16"/>
          <w:color w:val="auto"/>
        </w:rPr>
        <w:t>. Our cost of sales for the three months ended September 30, 2018 was $24.5 million resulting in gross profit of $21.8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$15.1 million cost of sales for the same period in 2017 resulting in gross profit of $11.9 million. The gross margin for the three months ended September 30, 2018 was 47% compared to 44% in the same period in 2017. The gross profit for the three months ended September 30, 2017 included a $2.6 million benefit from the Technology Upgrade Program in place at that time, which benefited the corresponding gross margin by 5 percentage points.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140" w:firstLine="577"/>
        <w:spacing w:after="0" w:line="255" w:lineRule="auto"/>
        <w:rPr>
          <w:sz w:val="20"/>
          <w:szCs w:val="20"/>
          <w:color w:val="auto"/>
        </w:rPr>
      </w:pPr>
      <w:r>
        <w:rPr>
          <w:rFonts w:ascii="Arial" w:cs="Arial" w:eastAsia="Arial" w:hAnsi="Arial"/>
          <w:sz w:val="18"/>
          <w:szCs w:val="18"/>
          <w:color w:val="auto"/>
        </w:rPr>
        <w:t>Excluding the impact of the Technology Upgrade Program, the increase in our gross profit for the three months ended September 30, 2018 was primarily the result of the increase in pump shipments. Gross profit and gross margin also increased as a result of per unit manufacturing cost improvements from higher sales volumes and overall manufacturing efficiencies, even taking into account the incremental costs associated with the doubling of our manufacturing capacity in our new Barnes Canyon facility, as well as the doubling of sales of our infusion sets. Additionally, we recognized a notable increase in non-cash stock-based compensation to $0.8 million in the three months ended September 30, 2018 from $0.3 million in the prior year, due to the impact of the recent stock appreciation of our stock price. As a whole, other non-manufacturing costs, which primarily consist of warranty, freight and training costs, also reflected improvement.</w:t>
      </w:r>
    </w:p>
    <w:p>
      <w:pPr>
        <w:spacing w:after="0" w:line="18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We expect the most significant factors impacting our gross margin will continue to be the percentage of our pump sales relative to total sales, as our pumps have higher gross margins than our pump-related supplies. We also expect the gross margin on our pump sales to improve as the volume of our pump sales increases. However, we are also continuing to experience an increasingly positive gross margin associated with the sale of our pump-related supplies as a whole, after first achieving a positive gross margin in the fourth quarter of 2016. We expect to continue to see improvements in the gross profit and gross margin associated with our pump-related supplies as we manufacture higher volumes of cartridges to support our growing installed base and continue to increase sales of infusion sets.</w:t>
      </w:r>
    </w:p>
    <w:p>
      <w:pPr>
        <w:spacing w:after="0" w:line="193"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47% to $29.5 million for the three months ended September 30, 2018 from</w:t>
      </w:r>
      <w:r>
        <w:rPr>
          <w:rFonts w:ascii="Arial" w:cs="Arial" w:eastAsia="Arial" w:hAnsi="Arial"/>
          <w:sz w:val="16"/>
          <w:szCs w:val="16"/>
          <w:i w:val="1"/>
          <w:iCs w:val="1"/>
          <w:color w:val="auto"/>
        </w:rPr>
        <w:t xml:space="preserve"> </w:t>
      </w:r>
      <w:r>
        <w:rPr>
          <w:rFonts w:ascii="Arial" w:cs="Arial" w:eastAsia="Arial" w:hAnsi="Arial"/>
          <w:sz w:val="16"/>
          <w:szCs w:val="16"/>
          <w:color w:val="auto"/>
        </w:rPr>
        <w:t>$20.1 million for the same period in 2017. Employee-related expenses for our SG&amp;A functions comprise the majority of SG&amp;A expenses. The increase compared to 2017 was primarily the result of a $4.1 million increase in salaries, incentive compensation and other employee benefits as well as an increase of $4.9 million in non-cash stock-based compensation. The increase in stock-based compensation expense for the three months ended September 30, 2018 to $6.8 million is primarily due to the recent appreciation of our stock price. This higher level of expense is expected to continue in future quarters.</w:t>
      </w:r>
    </w:p>
    <w:p>
      <w:pPr>
        <w:spacing w:after="0" w:line="158" w:lineRule="exact"/>
        <w:rPr>
          <w:sz w:val="20"/>
          <w:szCs w:val="20"/>
          <w:color w:val="auto"/>
        </w:rPr>
      </w:pPr>
    </w:p>
    <w:p>
      <w:pPr>
        <w:ind w:right="200" w:firstLine="571"/>
        <w:spacing w:after="0" w:line="297"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63% to $8.0 million for the three months ended September 30, 2018 from $4.9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2017. The increase in R&amp;D expenses was primarily the result of an increase in non-cash stock-based compensation of $1.8 million, as well as an increase of $1.4 million in salaries, incentive compensation and other employee benefits. The increase in stock-based compensation expense for the three months ended September 30, 2018 to $1.9 million is primarily due to the recent valuation of certain employee stock option grants and the significant appreciation of our stock price. This higher level of expense is expected to continue in future quarters.</w:t>
      </w:r>
    </w:p>
    <w:p>
      <w:pPr>
        <w:spacing w:after="0" w:line="158"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Other expense for the three months ended September 30, 2018 and 2017 was $18.5 million and $2.9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Other expense for the three months ended September 30, 2018 was primarily comprised of a $12.3 million revaluation loss from the change in the fair value of the Series A warrants due to the significant appreciation of our stock price, as well as a $5.3 million loss on extinguishment of debt associated with the full repayment of our Term Loan Agreement in August 2018. Other expense for the three months ended September 30, 2017 was primarily comprised of interest expense associated with the Term Loan Agreement. Prior to the repayment, the outstanding principal balance under the Term Loan Agreement was $82.7 million. There will be no interest expense or other costs associated with the Term Loan Agreement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2018 and 2017</w:t>
      </w:r>
    </w:p>
    <w:p>
      <w:pPr>
        <w:spacing w:after="0" w:line="229"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nine months ended September 30, 2018, sales were $107.6 million which included $2.5 million of international sales that commenced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2018. Sales were $67.3 million for the same period in 2017, which included incremental net sales of $4.8 million as a result of the Technology Upgrade Program in place at that time.</w:t>
      </w:r>
    </w:p>
    <w:p>
      <w:pPr>
        <w:spacing w:after="0" w:line="181"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Domestic sales of insulin pumps were $67.0 million and $44.3 million, respectively, for the nine months ended September 30, 2018 and 2017. For the nine months ended September 30, 2018, sales of pump-related supplies were $37.8 million, of which $25.7 million were sales of infusion sets and $11.8 million were sales of cartridges. For the nine months ended September 30, 2017, sales of pump-related supplies were $23.0 million, of which $13.0 million were sales of infusion sets and $9.7 million were sales of cartridges. Sales of accessories were not significant in either of the reported periods. International sales primarily consisted of insulin pumps.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increase in sales was primarily due to an 81% increase in worldwide pump shipments to 18,325 in the first nine months of 2018 compared to</w:t>
      </w:r>
    </w:p>
    <w:p>
      <w:pPr>
        <w:spacing w:after="0" w:line="4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10,111 in the first nine months of 2017, which were positively impacted by the August 2018 launch of t:slim X2 with Basal-IQ technology and the August 2017 launch of t:slim X2 with G5. The ratio of the number of infusion sets shipped to the number of cartridges shipped increased to over 100% in the nine months ended September 30, 2018 from 60% in the same period in 2017.</w:t>
      </w:r>
    </w:p>
    <w:p>
      <w:pPr>
        <w:spacing w:after="0" w:line="190" w:lineRule="exact"/>
        <w:rPr>
          <w:sz w:val="20"/>
          <w:szCs w:val="20"/>
          <w:color w:val="auto"/>
        </w:rPr>
      </w:pPr>
    </w:p>
    <w:p>
      <w:pPr>
        <w:ind w:right="320" w:firstLine="571"/>
        <w:spacing w:after="0" w:line="342" w:lineRule="auto"/>
        <w:rPr>
          <w:sz w:val="20"/>
          <w:szCs w:val="20"/>
          <w:color w:val="auto"/>
        </w:rPr>
      </w:pPr>
      <w:r>
        <w:rPr>
          <w:rFonts w:ascii="Arial" w:cs="Arial" w:eastAsia="Arial" w:hAnsi="Arial"/>
          <w:sz w:val="16"/>
          <w:szCs w:val="16"/>
          <w:color w:val="auto"/>
        </w:rPr>
        <w:t>Sales to domestic distributors accounted for 78% and 73% of our total domestic sales for the nine months ended September 30, 2018 and 2017, respectively, driven by the mid 2017 launch of the t:lock Connector. Sales to international distributors accounted for 100% of our total international sales.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firstLine="577"/>
        <w:spacing w:after="0" w:line="302" w:lineRule="auto"/>
        <w:rPr>
          <w:sz w:val="20"/>
          <w:szCs w:val="20"/>
          <w:color w:val="auto"/>
        </w:rPr>
      </w:pPr>
      <w:r>
        <w:rPr>
          <w:rFonts w:ascii="Arial" w:cs="Arial" w:eastAsia="Arial" w:hAnsi="Arial"/>
          <w:sz w:val="16"/>
          <w:szCs w:val="16"/>
          <w:i w:val="1"/>
          <w:iCs w:val="1"/>
          <w:color w:val="auto"/>
        </w:rPr>
        <w:t>Cost of Sales and Gross Profit</w:t>
      </w:r>
      <w:r>
        <w:rPr>
          <w:rFonts w:ascii="Arial" w:cs="Arial" w:eastAsia="Arial" w:hAnsi="Arial"/>
          <w:sz w:val="16"/>
          <w:szCs w:val="16"/>
          <w:color w:val="auto"/>
        </w:rPr>
        <w:t>. Our cost of sales for the nine months ended September 30, 2018 was $59.4 million resulting in gross profit of $48.3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$40.7 million of cost of sales for the same period in 2017 resulting in gross profit of $26.6 million. The gross margin for the nine months ended September 30, 2018 was 45% compared to 40% in the same period in 2017. The gross profit for the three months ended September 30, 2017 included a $3.2 million benefit from the Technology Upgrade Program in place at that time, which benefited the corresponding gross margin by 3 percentage points.</w:t>
      </w:r>
    </w:p>
    <w:p>
      <w:pPr>
        <w:spacing w:after="0" w:line="154" w:lineRule="exact"/>
        <w:rPr>
          <w:sz w:val="20"/>
          <w:szCs w:val="20"/>
          <w:color w:val="auto"/>
        </w:rPr>
      </w:pPr>
    </w:p>
    <w:p>
      <w:pPr>
        <w:jc w:val="both"/>
        <w:ind w:right="260" w:firstLine="571"/>
        <w:spacing w:after="0" w:line="286" w:lineRule="auto"/>
        <w:rPr>
          <w:sz w:val="20"/>
          <w:szCs w:val="20"/>
          <w:color w:val="auto"/>
        </w:rPr>
      </w:pPr>
      <w:r>
        <w:rPr>
          <w:rFonts w:ascii="Arial" w:cs="Arial" w:eastAsia="Arial" w:hAnsi="Arial"/>
          <w:sz w:val="17"/>
          <w:szCs w:val="17"/>
          <w:color w:val="auto"/>
        </w:rPr>
        <w:t>Excluding the impact of the Technology Upgrade Program, the gross margin increased for the nine months ended September 30, 2018 compared to the same period in 2017 primarily as a result of an increase in pump shipments which have higher gross margins than pump-related supplies, as well as per unit cost improvements on all products, increased production volumes, and a decrease in other non-manufacturing costs.</w:t>
      </w:r>
    </w:p>
    <w:p>
      <w:pPr>
        <w:spacing w:after="0" w:line="16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12% to $73.0 million for the nine months ended September 30,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$65.1 million for the same period in 2017. Employee-related expenses for our SG&amp;A functions comprise the majority of the SG&amp;A expenses. The increase in SG&amp;A expenses was primarily due to an increase of $6.6 million in salaries, incentive compensation and other employee benefits, as well as an increase of $1.4 million in non-cash stock-based compensation.</w:t>
      </w:r>
    </w:p>
    <w:p>
      <w:pPr>
        <w:spacing w:after="0" w:line="187"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37% to $20.4 million for the nine months ended September 30, 2018 from $14.9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2017. The increase in R&amp;D expenses was primarily the result of employee-related expenses. This includes a $2.4 million increase in salaries, incentive compensation and other employee benefits and an increase of $1.4 million in non-cash stock-based compensation. Additionally, we recognized an increase of $2.2 million associated with clinical trial costs.</w:t>
      </w:r>
    </w:p>
    <w:p>
      <w:pPr>
        <w:spacing w:after="0" w:line="187"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i w:val="1"/>
          <w:iCs w:val="1"/>
          <w:color w:val="auto"/>
        </w:rPr>
        <w:t>Other Income and Expense</w:t>
      </w:r>
      <w:r>
        <w:rPr>
          <w:rFonts w:ascii="Arial" w:cs="Arial" w:eastAsia="Arial" w:hAnsi="Arial"/>
          <w:sz w:val="17"/>
          <w:szCs w:val="17"/>
          <w:color w:val="auto"/>
        </w:rPr>
        <w:t>. Other expense for the nine months ended September 30, 2018 and 2017 was $81.1 million and $8.3 million,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Other expense for the nine months ended September 30, 2018 was primarily comprised of a $69.0 million revaluation loss from the change in the fair value of the Series A and Series B warrants due to the significant appreciation in our stock price in recent months, $7.6 million of interest expense associated with the Term Loan Agreement, as well as a $5.3 million loss on extinguishment of debt associated with the full repayment of our Term Loan Agreement in August 2018. Other expense for the nine months ended September 30, 2017 was primarily comprised of interest expense associated with the Term Loan Agreement. Prior to the repayment, the outstanding principal balance under the Term Loan Agreement was $82.7 million. There will be no interest expense or other costs associated with the Term Loan Agreement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571"/>
        <w:spacing w:after="0" w:line="342" w:lineRule="auto"/>
        <w:rPr>
          <w:sz w:val="20"/>
          <w:szCs w:val="20"/>
          <w:color w:val="auto"/>
        </w:rPr>
      </w:pPr>
      <w:r>
        <w:rPr>
          <w:rFonts w:ascii="Arial" w:cs="Arial" w:eastAsia="Arial" w:hAnsi="Arial"/>
          <w:sz w:val="16"/>
          <w:szCs w:val="16"/>
          <w:color w:val="auto"/>
        </w:rPr>
        <w:t>As of September 30, 2018, we had $113.6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640" w:firstLine="571"/>
        <w:spacing w:after="0" w:line="27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financing, and cash collected from product sales. Since the beginning of 2017, we completed the following financings:</w:t>
      </w:r>
    </w:p>
    <w:p>
      <w:pPr>
        <w:spacing w:after="0" w:line="170" w:lineRule="exact"/>
        <w:rPr>
          <w:sz w:val="20"/>
          <w:szCs w:val="20"/>
          <w:color w:val="auto"/>
        </w:rPr>
      </w:pPr>
    </w:p>
    <w:p>
      <w:pPr>
        <w:ind w:left="1340" w:right="80" w:hanging="387"/>
        <w:spacing w:after="0" w:line="264"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2018, we completed a registered public offering of 4,035,085 shares of common stock at a public offering price of $28.50 per share. The gross proceeds from the offering were approximately $115.0 million, before deducting underwriting discounts and commissions and other offering expenses.</w:t>
      </w:r>
    </w:p>
    <w:p>
      <w:pPr>
        <w:spacing w:after="0" w:line="181" w:lineRule="exact"/>
        <w:rPr>
          <w:rFonts w:ascii="Arial" w:cs="Arial" w:eastAsia="Arial" w:hAnsi="Arial"/>
          <w:sz w:val="18"/>
          <w:szCs w:val="18"/>
          <w:color w:val="auto"/>
        </w:rPr>
      </w:pPr>
    </w:p>
    <w:p>
      <w:pPr>
        <w:jc w:val="both"/>
        <w:ind w:left="1340" w:right="160" w:hanging="387"/>
        <w:spacing w:after="0" w:line="264"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340" w:right="20" w:hanging="387"/>
        <w:spacing w:after="0" w:line="272"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2017, we completed a registered public offering of common stock, pursuant to which we sold 4,630,000 shares of our common stock, Series A warrants to purchase up to 4,630,000 shares of our common stock and Series B warrants to purchase up to 4,630,000 shares of our common stock at a public offering price of $3.50 per share and accompanying warrants. The gross proceeds to us from this financing were approximately $16.2 million, before deducting underwriting discounts and commissions and other offering expenses payable by us. In the nine months ended September 30, 2018, we received proceeds of $29.5 million from the exercise of 8,730,520 outstanding Series A and Series B warrants. As of September 30, 2018, there were Series A warrants to purchase 516,030 shares outstanding and there were no Series B warrants outstanding.</w:t>
      </w:r>
    </w:p>
    <w:p>
      <w:pPr>
        <w:spacing w:after="0" w:line="177" w:lineRule="exact"/>
        <w:rPr>
          <w:rFonts w:ascii="Arial" w:cs="Arial" w:eastAsia="Arial" w:hAnsi="Arial"/>
          <w:sz w:val="17"/>
          <w:szCs w:val="17"/>
          <w:color w:val="auto"/>
        </w:rPr>
      </w:pPr>
    </w:p>
    <w:p>
      <w:pPr>
        <w:ind w:left="1340" w:right="120" w:hanging="387"/>
        <w:spacing w:after="0" w:line="264"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September 30, 2017, we sold 464,108 shares of common stock under our “at the market” program at prices ranging from $5.64 to $10.54. The gross proceeds to us from the offering were $4.3 million, before deducting underwriting discounts and commissions and other offering expenses payable by us.</w:t>
      </w:r>
    </w:p>
    <w:p>
      <w:pPr>
        <w:spacing w:after="0" w:line="181" w:lineRule="exact"/>
        <w:rPr>
          <w:rFonts w:ascii="Arial" w:cs="Arial" w:eastAsia="Arial" w:hAnsi="Arial"/>
          <w:sz w:val="18"/>
          <w:szCs w:val="18"/>
          <w:color w:val="auto"/>
        </w:rPr>
      </w:pPr>
    </w:p>
    <w:p>
      <w:pPr>
        <w:ind w:left="1340" w:right="60" w:hanging="387"/>
        <w:spacing w:after="0" w:line="264"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8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and expansion and support of our sales, marketing, clinical and customer support organizations, an increase in our R&amp;D activities, the acquisition of intellectual property, expenditures related to increases in our manufacturing capacity and improvements to our manufacturing efficiency, overall facility expansion, and other working capital needs. Additionally, we have used cash to pay the interest expense associated with our Term Loan Agreement. The outstanding balance associated with the Term Loan Agreement was fully repaid in August 2018, which will result in no interest expense or other costs associated with the Term Loan Agreement in future periods.</w:t>
      </w:r>
    </w:p>
    <w:p>
      <w:pPr>
        <w:spacing w:after="0" w:line="193"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Our ability to raise additional financing may be negatively impacted by a number of factors, including our recent and projected financial results, recent changes in and volatility of our stock price, perceptions about the dilutive impact of our recent financing transactions, the competitive environment in our industry, and uncertainties regarding the regulator environment.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activities</w:t>
            </w:r>
          </w:p>
        </w:tc>
        <w:tc>
          <w:tcPr>
            <w:tcW w:w="31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(22,451)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(54,495)</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(84,148)</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115,227</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25,695</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right="100" w:firstLine="571"/>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$22.5 million for the nine months ended September 30, 2018, compared to $54.5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2017. The decrease in net cash used in operating activities was primarily associated with a reduction in net loss when adjusted for non-cash expenses, particularly the change in the fair value of Series A and Series B warrants, loss on extinguishment of debt and increased stock-based compensation expense discussed above, as well as net changes in working capital. The net changes in working capital were primarily due to reductions in inventory levels based on continued high sales demand and a reduction of deferred revenue in 2017 associated with the end of the Technology Upgrade Program in place at that time.</w:t>
      </w:r>
    </w:p>
    <w:p>
      <w:pPr>
        <w:spacing w:after="0" w:line="193" w:lineRule="exact"/>
        <w:rPr>
          <w:sz w:val="20"/>
          <w:szCs w:val="20"/>
          <w:color w:val="auto"/>
        </w:rPr>
      </w:pPr>
    </w:p>
    <w:p>
      <w:pPr>
        <w:ind w:right="60" w:firstLine="571"/>
        <w:spacing w:after="0" w:line="27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$84.1 million for the nine months ended September 30, 2018, which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purchases of short-term investments of $100.6 million, offset by sales and maturities of $18.5 million of short-term investments. Net cash provided by investing activities was $4.2 million for the nine months ended September 30, 2017, which was primarily related to sales and maturities of $8.5 million of short-term investments, partially offset by the purchase of $4.3 million of property and equipment.</w:t>
      </w:r>
    </w:p>
    <w:p>
      <w:pPr>
        <w:spacing w:after="0" w:line="171" w:lineRule="exact"/>
        <w:rPr>
          <w:sz w:val="20"/>
          <w:szCs w:val="20"/>
          <w:color w:val="auto"/>
        </w:rPr>
      </w:pPr>
    </w:p>
    <w:p>
      <w:pPr>
        <w:ind w:right="120" w:firstLine="571"/>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$115.2 million for the nine months ended September 30, 2018,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net proceeds of approximately $172.9 million from the public offerings of our common stock in February 2018 and August 2018, as well as proceeds of $29.5 million from the exercise of Series A and Series B warrants issued in the public offering of common stock in October 2017. The majority of the August 2018 offering proceeds were used to fund the full repayment of our outstanding Term Loan Agreement, which was a cash usage of $87.7 million. Net cash provided by financing activities was $25.7 million for the nine months ended September 30, 2017, which was primarily the result of net proceeds of $25.1 million from public offerings of our common stock.</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and the collection of receivables from period to period;</w:t>
      </w:r>
    </w:p>
    <w:p>
      <w:pPr>
        <w:spacing w:after="0" w:line="225" w:lineRule="exact"/>
        <w:rPr>
          <w:rFonts w:ascii="Arial" w:cs="Arial" w:eastAsia="Arial" w:hAnsi="Arial"/>
          <w:sz w:val="18"/>
          <w:szCs w:val="18"/>
          <w:color w:val="auto"/>
        </w:rPr>
      </w:pPr>
    </w:p>
    <w:p>
      <w:pPr>
        <w:ind w:left="1340" w:hanging="387"/>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including the exercise of the remaining Series A warrants and proceeds from employee stock plans;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Although we believe the foregoing items reflect our most likely uses of cash in the short-term, we cannot predict with certainty all of our particular cash uses or the timing or amount of cash used. If cash generated from operations is insufficient to satisfy our working capital requirements, we may in the future be required to seek additional capital from public or private offerings of our capital stock, or we may elect to borrow amounts under new credit lines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20" w:firstLine="577"/>
        <w:spacing w:after="0" w:line="276" w:lineRule="auto"/>
        <w:rPr>
          <w:sz w:val="20"/>
          <w:szCs w:val="20"/>
          <w:color w:val="auto"/>
        </w:rPr>
      </w:pPr>
      <w:r>
        <w:rPr>
          <w:rFonts w:ascii="Arial" w:cs="Arial" w:eastAsia="Arial" w:hAnsi="Arial"/>
          <w:sz w:val="17"/>
          <w:szCs w:val="17"/>
          <w:color w:val="auto"/>
        </w:rPr>
        <w:t>In August 2018, we fully repaid our term loan made by CRG pursuand to the Term Loan Agreement. The balance of the outstanding debt at the time of repayment was $82.7 million. The repayment included approximately $1.1 million in accrued interest and $5.0 million in associated financing fees that became due. Therefore, we did not have any borrowings outstanding under the Term Loan Agreement as of September 30, 2018. At the time of repayment, the remaining $5.3 million debt discount balance associated with the financing fees and certain debt issuance costs was accelerated and recognized as a loss on extinguishment of debt in the third quarter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577"/>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78" w:lineRule="exact"/>
        <w:rPr>
          <w:sz w:val="20"/>
          <w:szCs w:val="20"/>
          <w:color w:val="auto"/>
        </w:rPr>
      </w:pPr>
    </w:p>
    <w:p>
      <w:pPr>
        <w:ind w:right="160" w:firstLine="577"/>
        <w:spacing w:after="0" w:line="279" w:lineRule="auto"/>
        <w:rPr>
          <w:sz w:val="20"/>
          <w:szCs w:val="20"/>
          <w:color w:val="auto"/>
        </w:rPr>
      </w:pPr>
      <w:r>
        <w:rPr>
          <w:rFonts w:ascii="Arial" w:cs="Arial" w:eastAsia="Arial" w:hAnsi="Arial"/>
          <w:sz w:val="17"/>
          <w:szCs w:val="17"/>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 other than adoption of the new revenue recognition standard (“Revenue from Contracts with Customers Standard”). Refer to the disclosures in the Notes to Unaudited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2018, we did not have any off-balance sheet arrangements.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160" w:firstLine="571"/>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September 30, 2018, this change would not have had a material effect on the fair value of our investment portfolio as of that date.</w:t>
      </w:r>
    </w:p>
    <w:p>
      <w:pPr>
        <w:spacing w:after="0" w:line="166"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color w:val="auto"/>
        </w:rPr>
        <w:t>The interest rate under the Term Loan Agreement was fixed and not subject to changes in market interest rates. The outstanding balance associated with the Term Loan Agreement was fully repaid in August 2018.</w:t>
      </w:r>
    </w:p>
    <w:p>
      <w:pPr>
        <w:spacing w:after="0" w:line="17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operations are located in the United States, and nearly all of our sales since inception have been made in U.S. dollars. While we began commercialization of t:slim X2 in select geographies outside the U.S. in the third quarter of 2018, we expect the significant majority of our sales will continue to be made in U.S. dollars for the foreseeable future. Accordingly, we do not currently have or expect to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or the Exchange Act, that are designed to ensure that information required to be disclosed in our periodic and current reports that we file with the Securities and Exchange Commission, or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As of September 30, 2018,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2018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and claims can have an adverse impact on us because of legal costs, diversion of management time and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9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II, Item 1A of the Quarterly Report for the period ended June 30, 2018.</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140" w:firstLine="629"/>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September 30, 2018, we had an accumulated deficit of $603.8 million. To date, we have financed our operations primarily through public and private sales of our equity securities, debt financing, and cash collected from sales of our products. We have devoted substantially all of our resources to the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8"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We began commercial sales of our first commercial product, the t:slim Insulin Delivery System, or t:slim, in the third quarter of 2012. In October 2016, we launched t:slim X2, our next-generation flagship pump, and in August 2017, we commenced commercial sales of t:slim X2 with Dexcom G5 Mobile CGM integration. The t:slim X2 hardware platform now represents nearly 100% of new pump shipments. In June 2018, we received FDA approval to sell our new t:slim X2 with Basal-IQ technology, which is integrated with Dexcom G6 CGM, and commenced sales and shipments of the t:slim X2 with Basal-IQ technology in the United States during the third quarter of 2018. In addition, we commenced sales and shipments of our t:slim X2 with G5 integration in select markets outside the United States during the third quarter of 2018.</w:t>
      </w:r>
    </w:p>
    <w:p>
      <w:pPr>
        <w:spacing w:after="0" w:line="178" w:lineRule="exact"/>
        <w:rPr>
          <w:sz w:val="20"/>
          <w:szCs w:val="20"/>
          <w:color w:val="auto"/>
        </w:rPr>
      </w:pPr>
    </w:p>
    <w:p>
      <w:pPr>
        <w:ind w:firstLine="629"/>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2017 and 2016, our gross profit was $44.1 million and $23.6 million, respectively. Although we have achieved a positive overall gross margin, we still operate at a significant net loss and expect that we will continue to do so for at least the next two years.</w:t>
      </w:r>
    </w:p>
    <w:p>
      <w:pPr>
        <w:spacing w:after="0" w:line="187" w:lineRule="exact"/>
        <w:rPr>
          <w:sz w:val="20"/>
          <w:szCs w:val="20"/>
          <w:color w:val="auto"/>
        </w:rPr>
      </w:pPr>
    </w:p>
    <w:p>
      <w:pPr>
        <w:ind w:right="320" w:firstLine="629"/>
        <w:spacing w:after="0" w:line="297" w:lineRule="auto"/>
        <w:rPr>
          <w:sz w:val="20"/>
          <w:szCs w:val="20"/>
          <w:color w:val="auto"/>
        </w:rPr>
      </w:pPr>
      <w:r>
        <w:rPr>
          <w:rFonts w:ascii="Arial" w:cs="Arial" w:eastAsia="Arial" w:hAnsi="Arial"/>
          <w:sz w:val="16"/>
          <w:szCs w:val="16"/>
          <w:color w:val="auto"/>
        </w:rPr>
        <w:t>To implement our business strategy and achieve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Our expenses may continue to increase as we pursue these objectives and make investments in our business. Additional increases in our expenses without commensurate increases in sales could significantly increase our operating losses.</w:t>
      </w:r>
    </w:p>
    <w:p>
      <w:pPr>
        <w:spacing w:after="0" w:line="158" w:lineRule="exact"/>
        <w:rPr>
          <w:sz w:val="20"/>
          <w:szCs w:val="20"/>
          <w:color w:val="auto"/>
        </w:rPr>
      </w:pPr>
    </w:p>
    <w:p>
      <w:pPr>
        <w:ind w:right="140" w:firstLine="623"/>
        <w:spacing w:after="0" w:line="257"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ever be able to achieve or sustain profitability.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360" w:firstLine="623"/>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76" w:lineRule="exact"/>
        <w:rPr>
          <w:sz w:val="20"/>
          <w:szCs w:val="20"/>
          <w:color w:val="auto"/>
        </w:rPr>
      </w:pPr>
    </w:p>
    <w:p>
      <w:pPr>
        <w:ind w:left="1340" w:hanging="387"/>
        <w:spacing w:after="0"/>
        <w:tabs>
          <w:tab w:leader="none" w:pos="1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acceptance of the insulin pumps and related products manufactured and sold by our key competitors, including Medtronic;</w:t>
      </w:r>
    </w:p>
    <w:p>
      <w:pPr>
        <w:spacing w:after="0" w:line="236" w:lineRule="exact"/>
        <w:rPr>
          <w:rFonts w:ascii="Arial" w:cs="Arial" w:eastAsia="Arial" w:hAnsi="Arial"/>
          <w:sz w:val="17"/>
          <w:szCs w:val="17"/>
          <w:color w:val="auto"/>
        </w:rPr>
      </w:pPr>
    </w:p>
    <w:p>
      <w:pPr>
        <w:ind w:left="1340" w:right="440" w:hanging="387"/>
        <w:spacing w:after="0" w:line="277"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340" w:right="680" w:hanging="387"/>
        <w:spacing w:after="0" w:line="277"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340" w:right="140" w:hanging="387"/>
        <w:spacing w:after="0" w:line="308" w:lineRule="auto"/>
        <w:tabs>
          <w:tab w:leader="none" w:pos="1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146" w:lineRule="exact"/>
        <w:rPr>
          <w:rFonts w:ascii="Arial" w:cs="Arial" w:eastAsia="Arial" w:hAnsi="Arial"/>
          <w:sz w:val="17"/>
          <w:szCs w:val="17"/>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340" w:right="180" w:hanging="387"/>
        <w:spacing w:after="0" w:line="277"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facilities; and</w:t>
      </w:r>
    </w:p>
    <w:p>
      <w:pPr>
        <w:spacing w:after="0" w:line="170"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or systems, infringes on patent rights or other intellectual property rights of third parties.</w:t>
      </w:r>
    </w:p>
    <w:p>
      <w:pPr>
        <w:spacing w:after="0" w:line="170" w:lineRule="exact"/>
        <w:rPr>
          <w:sz w:val="20"/>
          <w:szCs w:val="20"/>
          <w:color w:val="auto"/>
        </w:rPr>
      </w:pPr>
    </w:p>
    <w:p>
      <w:pPr>
        <w:ind w:right="100" w:firstLine="629"/>
        <w:spacing w:after="0" w:line="30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 Sales of our products may also be negatively impacted in the event of any regulatory or legal actions relating to Dexcom’s CGM products, or in the event of any disruption to the availability of the applicable CGM related supplies, such as sensors or transmitters, in a given market in which our products are sold.</w:t>
      </w:r>
    </w:p>
    <w:p>
      <w:pPr>
        <w:spacing w:after="0" w:line="154" w:lineRule="exact"/>
        <w:rPr>
          <w:sz w:val="20"/>
          <w:szCs w:val="20"/>
          <w:color w:val="auto"/>
        </w:rPr>
      </w:pPr>
    </w:p>
    <w:p>
      <w:pPr>
        <w:ind w:right="220" w:firstLine="629"/>
        <w:spacing w:after="0" w:line="254" w:lineRule="auto"/>
        <w:rPr>
          <w:sz w:val="20"/>
          <w:szCs w:val="20"/>
          <w:color w:val="auto"/>
        </w:rPr>
      </w:pPr>
      <w:r>
        <w:rPr>
          <w:rFonts w:ascii="Arial" w:cs="Arial" w:eastAsia="Arial" w:hAnsi="Arial"/>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changes in and volatility of our stock price, perceptions about the dilutive impact of our financing transactions, the current level of our indebtedness and debt service costs, the competitive environment in our industry, and uncertainties regarding the regulatory environment. Any such concerns, whether actual or perceived, could cause consumers to delay the purchase of our products or purchase competitive products.</w:t>
      </w:r>
    </w:p>
    <w:p>
      <w:pPr>
        <w:spacing w:after="0" w:line="19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the products of our competitors, the failure to secure regulatory clearance or approvals in a timely manner or at all, or for other reasons. In addition, the retention of our customers may be impacted by negative perceptions regarding our financial stability relative to that of our competitors, and our ability to sustain our business operations on a long-term basis. The failure to retain a high percentage of our customers and increase sales to these customers consistent with our forecasts would have a material adverse effect on our business, financial condition and operating results.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80" w:firstLine="571"/>
        <w:spacing w:after="0" w:line="286"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16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Our primary competitors are major medical device companies that are either publicly traded companies or divisions or subsidiaries of publicly traded companies. For instance, Medtronic MiniMed, a division of Medtronic plc,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in late 2017, Eli Lilly &amp; Co. announced that it is developing an insulin pump with AID technology that it intends to launch in the next two to three years.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67" w:lineRule="exact"/>
        <w:rPr>
          <w:sz w:val="20"/>
          <w:szCs w:val="20"/>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340" w:right="280" w:hanging="387"/>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more experience in conducting research and development, manufacturing, clinical trials, and obtaining regulatory approval or clearance.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firstLine="571"/>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Laboratories launched a new blood glucose monitoring system in the United States which competes with the Dexcom technology, and another CGM product with CE mark approval was approved in the second quarter of 2018 for sale in the United States.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89" w:lineRule="exact"/>
        <w:rPr>
          <w:sz w:val="20"/>
          <w:szCs w:val="20"/>
          <w:color w:val="auto"/>
        </w:rPr>
      </w:pPr>
    </w:p>
    <w:p>
      <w:pPr>
        <w:ind w:right="200" w:firstLine="571"/>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 or cause consumers to delay the purchase of our products.*</w:t>
      </w:r>
    </w:p>
    <w:p>
      <w:pPr>
        <w:spacing w:after="0" w:line="17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9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00" w:lineRule="exact"/>
        <w:rPr>
          <w:sz w:val="20"/>
          <w:szCs w:val="20"/>
          <w:color w:val="auto"/>
        </w:rPr>
      </w:pPr>
    </w:p>
    <w:p>
      <w:pPr>
        <w:ind w:right="380" w:firstLine="571"/>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left="58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260" w:right="140" w:hanging="323"/>
        <w:spacing w:after="0" w:line="277" w:lineRule="auto"/>
        <w:rPr>
          <w:sz w:val="20"/>
          <w:szCs w:val="20"/>
          <w:color w:val="auto"/>
        </w:rPr>
      </w:pPr>
      <w:r>
        <w:rPr>
          <w:rFonts w:ascii="Arial" w:cs="Arial" w:eastAsia="Arial" w:hAnsi="Arial"/>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70" w:lineRule="exact"/>
        <w:rPr>
          <w:sz w:val="20"/>
          <w:szCs w:val="20"/>
          <w:color w:val="auto"/>
        </w:rPr>
      </w:pPr>
    </w:p>
    <w:p>
      <w:pPr>
        <w:ind w:left="1260" w:right="160" w:hanging="323"/>
        <w:spacing w:after="0" w:line="264" w:lineRule="auto"/>
        <w:rPr>
          <w:sz w:val="20"/>
          <w:szCs w:val="20"/>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insulin pump products, and to incorporate those features into our products in a timely, cost-effective and user-friendly manner;</w:t>
      </w:r>
    </w:p>
    <w:p>
      <w:pPr>
        <w:spacing w:after="0" w:line="181" w:lineRule="exact"/>
        <w:rPr>
          <w:sz w:val="20"/>
          <w:szCs w:val="20"/>
          <w:color w:val="auto"/>
        </w:rPr>
      </w:pPr>
    </w:p>
    <w:p>
      <w:pPr>
        <w:ind w:left="1260" w:right="400" w:hanging="323"/>
        <w:spacing w:after="0" w:line="277" w:lineRule="auto"/>
        <w:rPr>
          <w:sz w:val="20"/>
          <w:szCs w:val="20"/>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225" w:lineRule="exact"/>
        <w:rPr>
          <w:sz w:val="20"/>
          <w:szCs w:val="20"/>
          <w:color w:val="auto"/>
        </w:rPr>
      </w:pPr>
    </w:p>
    <w:p>
      <w:pPr>
        <w:ind w:left="1260" w:right="100" w:hanging="323"/>
        <w:spacing w:after="0" w:line="277" w:lineRule="auto"/>
        <w:rPr>
          <w:sz w:val="20"/>
          <w:szCs w:val="20"/>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left="1260" w:hanging="323"/>
        <w:spacing w:after="0" w:line="277" w:lineRule="auto"/>
        <w:rPr>
          <w:sz w:val="20"/>
          <w:szCs w:val="20"/>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40" w:firstLine="571"/>
        <w:spacing w:after="0" w:line="277"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70"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right="160" w:firstLine="571"/>
        <w:spacing w:after="0" w:line="273" w:lineRule="auto"/>
        <w:rPr>
          <w:sz w:val="20"/>
          <w:szCs w:val="20"/>
          <w:color w:val="auto"/>
        </w:rPr>
      </w:pPr>
      <w:r>
        <w:rPr>
          <w:rFonts w:ascii="Arial" w:cs="Arial" w:eastAsia="Arial" w:hAnsi="Arial"/>
          <w:sz w:val="17"/>
          <w:szCs w:val="17"/>
          <w:color w:val="auto"/>
        </w:rPr>
        <w:t>We believe our ability to reduce the per unit cost of our insulin pump products and related products will have a significant impact on our ability to achieve profitability. Our cost of sales includes raw material procurement costs, labor costs, product training expenses, warranty, scrap and inventory excess and obsolescence.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40" w:firstLine="571"/>
        <w:spacing w:after="0" w:line="290" w:lineRule="auto"/>
        <w:rPr>
          <w:sz w:val="20"/>
          <w:szCs w:val="20"/>
          <w:color w:val="auto"/>
        </w:rPr>
      </w:pPr>
      <w:r>
        <w:rPr>
          <w:rFonts w:ascii="Arial" w:cs="Arial" w:eastAsia="Arial" w:hAnsi="Arial"/>
          <w:sz w:val="16"/>
          <w:szCs w:val="16"/>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8"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176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Also, any negative perceptions among third-party payors regarding our financial stability, including our ability to continue to sell and service our products, may make it more difficult to enter into or renew reimbursement contracts with third-party payors.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3"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20" w:firstLine="571"/>
        <w:spacing w:after="0" w:line="279" w:lineRule="auto"/>
        <w:rPr>
          <w:sz w:val="20"/>
          <w:szCs w:val="20"/>
          <w:color w:val="auto"/>
        </w:rPr>
      </w:pPr>
      <w:r>
        <w:rPr>
          <w:rFonts w:ascii="Arial" w:cs="Arial" w:eastAsia="Arial" w:hAnsi="Arial"/>
          <w:sz w:val="17"/>
          <w:szCs w:val="17"/>
          <w:color w:val="auto"/>
        </w:rPr>
        <w:t>We have limited experience marketing and selling our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71" w:lineRule="exact"/>
        <w:rPr>
          <w:sz w:val="20"/>
          <w:szCs w:val="20"/>
          <w:color w:val="auto"/>
        </w:rPr>
      </w:pPr>
    </w:p>
    <w:p>
      <w:pPr>
        <w:ind w:right="180" w:firstLine="571"/>
        <w:spacing w:after="0" w:line="297" w:lineRule="auto"/>
        <w:rPr>
          <w:sz w:val="20"/>
          <w:szCs w:val="20"/>
          <w:color w:val="auto"/>
        </w:rPr>
      </w:pPr>
      <w:r>
        <w:rPr>
          <w:rFonts w:ascii="Arial" w:cs="Arial" w:eastAsia="Arial" w:hAnsi="Arial"/>
          <w:sz w:val="16"/>
          <w:szCs w:val="16"/>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 key element of our business strategy involves our sales, clinical, marketing and customer service personnel driving adoption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the United States.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6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firstLine="577"/>
        <w:spacing w:after="0" w:line="268" w:lineRule="auto"/>
        <w:rPr>
          <w:sz w:val="20"/>
          <w:szCs w:val="20"/>
          <w:color w:val="auto"/>
        </w:rPr>
      </w:pPr>
      <w:r>
        <w:rPr>
          <w:rFonts w:ascii="Arial" w:cs="Arial" w:eastAsia="Arial" w:hAnsi="Arial"/>
          <w:sz w:val="17"/>
          <w:szCs w:val="17"/>
          <w:color w:val="auto"/>
        </w:rPr>
        <w:t>For the year ended December 31, 2017, sales to approximately 35 independent distributors represented approximately 75% of our sales. While our goal in the United States is to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For example, our dependence upon independent distributors could increase if third-party payors decide to contract with independent distributors directly in lieu of contracting with us to supply our products to their members directly. Our dependence upon independent distributors has also increased following our launch of the t:lock for our insulin cartridge, which may continue to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negative perceptions among independent distributors regarding our financial stability, and our ability to sustain our business operations on a long-term basis, may negatively impact the willingness of our distributors to continue to do business with us. None of our independent distributors in the United States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If we are unable to maintain or expand our network of independent distributors, our sales may be negatively affected.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80" w:firstLine="571"/>
        <w:spacing w:after="0" w:line="255" w:lineRule="auto"/>
        <w:rPr>
          <w:sz w:val="20"/>
          <w:szCs w:val="20"/>
          <w:color w:val="auto"/>
        </w:rPr>
      </w:pPr>
      <w:r>
        <w:rPr>
          <w:rFonts w:ascii="Arial" w:cs="Arial" w:eastAsia="Arial" w:hAnsi="Arial"/>
          <w:sz w:val="18"/>
          <w:szCs w:val="18"/>
          <w:color w:val="auto"/>
        </w:rPr>
        <w:t>For the year ended December 31, 2017, our two largest independent distributors collectively comprised approximately 35.5%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189"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We also intend to market our products internationally primarily through independent distributors and expect we will be similarly dependent on these distributors when we commence international sales.</w:t>
      </w:r>
    </w:p>
    <w:p>
      <w:pPr>
        <w:spacing w:after="0" w:line="3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60" w:firstLine="571"/>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 In particular, we currently expect to rely on data from the U.S. portion of the Clinical Acceptance of the Artificial Pancreas (DCLP3) portion of the IDCL Trial, to support our development of t:slim X2 with Control IQ.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Control IQ may be negatively impacted.</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7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changes specific to our business, such as the recent approval of t:slim X2 with Basal-IQ technology and our commencement of commercial sales in international markets during the third quarter of 2018,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340" w:right="140" w:hanging="387"/>
        <w:spacing w:after="0" w:line="277"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and improve the productivity of our sales, clinical and marketing and customer service to grow sales of our existing and proposed products, and enhance our ability to provide service and support to our customers;</w:t>
      </w:r>
    </w:p>
    <w:p>
      <w:pPr>
        <w:spacing w:after="0" w:line="170" w:lineRule="exact"/>
        <w:rPr>
          <w:rFonts w:ascii="Arial" w:cs="Arial" w:eastAsia="Arial" w:hAnsi="Arial"/>
          <w:sz w:val="18"/>
          <w:szCs w:val="18"/>
          <w:color w:val="auto"/>
        </w:rPr>
      </w:pPr>
    </w:p>
    <w:p>
      <w:pPr>
        <w:ind w:left="1340" w:right="600" w:hanging="387"/>
        <w:spacing w:after="0" w:line="277"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340" w:right="400" w:hanging="387"/>
        <w:spacing w:after="0" w:line="277" w:lineRule="auto"/>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13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26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 directed programs in the future, which may result in similar or additional accounting complexities.</w:t>
      </w:r>
    </w:p>
    <w:p>
      <w:pPr>
        <w:spacing w:after="0" w:line="192"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Despite our efforts to explain the required accounting treatment for the Technology Upgrade Program, it is possible that there may be confusion when comparing our historical and future financial results, which may cause our stock price to decline. For example, any revenue growth in 2018 on a U.S. GAAP basis is expected to be lower than the rate of growth on a product volume basis. In addition, the complexities associated with the Program may cause investors to avoid investing in our common stock until our financial results and trends are more predictable, which may also adversely impact our stock price.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340" w:right="78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jc w:val="both"/>
        <w:ind w:right="120" w:firstLine="571"/>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products, and the loss of any of these suppliers, or their inability to provide us with an adequate supply of components or products, could harm our business.</w:t>
      </w:r>
    </w:p>
    <w:p>
      <w:pPr>
        <w:spacing w:after="0" w:line="170" w:lineRule="exact"/>
        <w:rPr>
          <w:sz w:val="20"/>
          <w:szCs w:val="20"/>
          <w:color w:val="auto"/>
        </w:rPr>
      </w:pPr>
    </w:p>
    <w:p>
      <w:pPr>
        <w:ind w:right="40" w:firstLine="693"/>
        <w:spacing w:after="0" w:line="254" w:lineRule="auto"/>
        <w:rPr>
          <w:sz w:val="20"/>
          <w:szCs w:val="20"/>
          <w:color w:val="auto"/>
        </w:rPr>
      </w:pPr>
      <w:r>
        <w:rPr>
          <w:rFonts w:ascii="Arial" w:cs="Arial" w:eastAsia="Arial" w:hAnsi="Arial"/>
          <w:sz w:val="18"/>
          <w:szCs w:val="18"/>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92" w:lineRule="exact"/>
        <w:rPr>
          <w:sz w:val="20"/>
          <w:szCs w:val="20"/>
          <w:color w:val="auto"/>
        </w:rPr>
      </w:pPr>
    </w:p>
    <w:p>
      <w:pPr>
        <w:ind w:right="120" w:firstLine="693"/>
        <w:spacing w:after="0" w:line="270" w:lineRule="auto"/>
        <w:rPr>
          <w:sz w:val="20"/>
          <w:szCs w:val="20"/>
          <w:color w:val="auto"/>
        </w:rPr>
      </w:pPr>
      <w:r>
        <w:rPr>
          <w:rFonts w:ascii="Arial" w:cs="Arial" w:eastAsia="Arial" w:hAnsi="Arial"/>
          <w:sz w:val="17"/>
          <w:szCs w:val="17"/>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or damage to their manufacturing equipment or facilities.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82" w:lineRule="exact"/>
        <w:rPr>
          <w:sz w:val="20"/>
          <w:szCs w:val="20"/>
          <w:color w:val="auto"/>
        </w:rPr>
      </w:pPr>
    </w:p>
    <w:p>
      <w:pPr>
        <w:ind w:firstLine="700"/>
        <w:spacing w:after="0" w:line="270" w:lineRule="auto"/>
        <w:rPr>
          <w:sz w:val="20"/>
          <w:szCs w:val="20"/>
          <w:color w:val="auto"/>
        </w:rPr>
      </w:pPr>
      <w:r>
        <w:rPr>
          <w:rFonts w:ascii="Arial" w:cs="Arial" w:eastAsia="Arial" w:hAnsi="Arial"/>
          <w:sz w:val="17"/>
          <w:szCs w:val="17"/>
          <w:color w:val="auto"/>
        </w:rPr>
        <w:t>We generally use a small number of suppliers for our components and products. Depending on a limited number of suppliers exposes us to risks, including limited control over cost,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w:t>
      </w:r>
    </w:p>
    <w:p>
      <w:pPr>
        <w:spacing w:after="0" w:line="178" w:lineRule="exact"/>
        <w:rPr>
          <w:sz w:val="20"/>
          <w:szCs w:val="20"/>
          <w:color w:val="auto"/>
        </w:rPr>
      </w:pPr>
    </w:p>
    <w:p>
      <w:pPr>
        <w:ind w:right="20" w:firstLine="693"/>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280" w:firstLine="571"/>
        <w:spacing w:after="0" w:line="257" w:lineRule="auto"/>
        <w:rPr>
          <w:sz w:val="20"/>
          <w:szCs w:val="20"/>
          <w:color w:val="auto"/>
        </w:rPr>
      </w:pPr>
      <w:r>
        <w:rPr>
          <w:rFonts w:ascii="Arial" w:cs="Arial" w:eastAsia="Arial" w:hAnsi="Arial"/>
          <w:sz w:val="18"/>
          <w:szCs w:val="18"/>
          <w:color w:val="auto"/>
        </w:rPr>
        <w:t>In September 2017, we began commercial sales of products with t:lock, which replaced the standard Luer-lok connector that historically joined an infusion set to our proprietary disposable insulin cartridges. Concurrently, we began selling infusion sets that are compatible with t:lock. Our supplier of infusion sets must manufacture a variety of lengths and styles of infusion sets with t:lock that match our cartridges. Failure to do so, or to do so at the necessary production volumes, may result in our inability to convert customers to t:lock when anticipated, which would negatively impact our ability to achieve our financial projections.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right="20" w:firstLine="571"/>
        <w:spacing w:after="0" w:line="290" w:lineRule="auto"/>
        <w:rPr>
          <w:sz w:val="20"/>
          <w:szCs w:val="20"/>
          <w:color w:val="auto"/>
        </w:rPr>
      </w:pPr>
      <w:r>
        <w:rPr>
          <w:rFonts w:ascii="Arial" w:cs="Arial" w:eastAsia="Arial" w:hAnsi="Arial"/>
          <w:sz w:val="16"/>
          <w:szCs w:val="16"/>
          <w:color w:val="auto"/>
        </w:rPr>
        <w:t>In addition, certain independent distributors may need to continue to purchase both styles of insulin cartridges and infusion sets from us to provide to their customers. We believe the transition period for our direct customers and distributors in the United States to utilize their inventory on hand before transitioning to t:lock is substantially complete. However, we are initially offering standard Luer-lok cartridges and infusion sets in select international markets, and expect to transition to our t:lock connector in international markets during 2019. Accordingly, we may continue offering both styles of cartridges and infusion sets to facilitate the transition of customer supplies through 2019, although there may be circumstances that require additional time for some direct customers and distributors to complete the transition.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standard Luer-lok inventory that we cannot sell at standard prices or at all, which would negatively impact our results of operations.</w:t>
      </w:r>
    </w:p>
    <w:p>
      <w:pPr>
        <w:spacing w:after="0" w:line="166"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100" w:firstLine="571"/>
        <w:spacing w:after="0" w:line="286" w:lineRule="auto"/>
        <w:rPr>
          <w:sz w:val="20"/>
          <w:szCs w:val="20"/>
          <w:color w:val="auto"/>
        </w:rPr>
      </w:pPr>
      <w:r>
        <w:rPr>
          <w:rFonts w:ascii="Arial" w:cs="Arial" w:eastAsia="Arial" w:hAnsi="Arial"/>
          <w:sz w:val="16"/>
          <w:szCs w:val="16"/>
          <w:color w:val="auto"/>
        </w:rPr>
        <w:t>Substantially all of our operations are conducted at two locations in San Diego, California, including our manufacturing processes, research and development activities, customer and technical support, and management and administrative functions. In addition, the majority of our inventory of component supplies and finished goods are stored at one of these locations. We also store finished goods at a third-party warehouse operator in Austin, Texas for the fulfillment of certain customer orders. We take precautions to safeguard our facilities, including by acquiring insurance, employing back-</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 generators, adopting health and safety protocols and utilizing off-site storage of computer data. However, vandalism, terrorism or a natural disaster, such as an earthquake, fire or flood, or another catastrophic event, could damage or destroy our manufacturing equipment or our inventory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operations to our new facility.*</w:t>
      </w:r>
    </w:p>
    <w:p>
      <w:pPr>
        <w:spacing w:after="0" w:line="225" w:lineRule="exact"/>
        <w:rPr>
          <w:sz w:val="20"/>
          <w:szCs w:val="20"/>
          <w:color w:val="auto"/>
        </w:rPr>
      </w:pPr>
    </w:p>
    <w:p>
      <w:pPr>
        <w:ind w:right="80" w:firstLine="693"/>
        <w:spacing w:after="0" w:line="279" w:lineRule="auto"/>
        <w:rPr>
          <w:sz w:val="20"/>
          <w:szCs w:val="20"/>
          <w:color w:val="auto"/>
        </w:rPr>
      </w:pPr>
      <w:r>
        <w:rPr>
          <w:rFonts w:ascii="Arial" w:cs="Arial" w:eastAsia="Arial" w:hAnsi="Arial"/>
          <w:sz w:val="17"/>
          <w:szCs w:val="17"/>
          <w:color w:val="auto"/>
        </w:rPr>
        <w:t>At the beginning of 2018, we completed the transition of our manufacturing operations to our Barnes Canyon facility that we expect will allow for future product manufacturing expansion. However, we may not experience the anticipated operating efficiencies at the new facility, or we may experience efficiencies but to a lesser extent than projected. If we fail to achieve the operating efficiencies that we anticipate, our manufacturing and operating costs may be greater than expected, which would have a material adverse impact on our operating results.</w:t>
      </w:r>
    </w:p>
    <w:p>
      <w:pPr>
        <w:spacing w:after="0" w:line="17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If the FDA is not satisfied, it may issue a warning letter to us or may take other actions, any of which could have a material adverse effect on our business. On August 29, 2018, we closed the voluntary recall initiated on April 19, 2018 for 55 t:slim G4 pumps.</w:t>
      </w:r>
    </w:p>
    <w:p>
      <w:pPr>
        <w:spacing w:after="0" w:line="178" w:lineRule="exact"/>
        <w:rPr>
          <w:sz w:val="20"/>
          <w:szCs w:val="20"/>
          <w:color w:val="auto"/>
        </w:rPr>
      </w:pPr>
    </w:p>
    <w:p>
      <w:pPr>
        <w:ind w:right="40" w:firstLine="571"/>
        <w:spacing w:after="0" w:line="312" w:lineRule="auto"/>
        <w:rPr>
          <w:sz w:val="20"/>
          <w:szCs w:val="20"/>
          <w:color w:val="auto"/>
        </w:rPr>
      </w:pPr>
      <w:r>
        <w:rPr>
          <w:rFonts w:ascii="Arial" w:cs="Arial" w:eastAsia="Arial" w:hAnsi="Arial"/>
          <w:sz w:val="16"/>
          <w:szCs w:val="16"/>
          <w:color w:val="auto"/>
        </w:rPr>
        <w:t>We expect that the management and support of our new manufacturing facility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180" w:firstLine="571"/>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340" w:right="300" w:hanging="387"/>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34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Our t:slim X2 insulin pump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X2 with G5 and t:slim X2 with Basal-IQ technology received FDA approval under a Premarket Approval, or PMA, application. However, currently there are only limited published studies to evaluate the safety or effectiveness of our PMA 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3" w:lineRule="exact"/>
        <w:rPr>
          <w:sz w:val="20"/>
          <w:szCs w:val="20"/>
          <w:color w:val="auto"/>
        </w:rPr>
      </w:pPr>
    </w:p>
    <w:p>
      <w:pPr>
        <w:ind w:right="220" w:firstLine="571"/>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40" w:firstLine="571"/>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79"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example, we have entered into multiple development agreements with Dexcom, which provide us non-exclusive licenses to integrate various generations of Dexcom CGM technology with our insulin pump products. Our agreements with Dexcom currently run until June 2020 with automatic one-year renewals. Under certain circumstances, these agreements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60" w:firstLine="571"/>
        <w:spacing w:after="0" w:line="302"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 and are subject to additional regulations relating to the use and protection of personal information.</w:t>
      </w:r>
    </w:p>
    <w:p>
      <w:pPr>
        <w:spacing w:after="0" w:line="167"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The failure of our or our service providers’ information technology systems or our pumps’ software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issued prior to 2017, which generally were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or other personal information, we could be subject to civil or criminal penalties, which could increase our liabilities and harm our reputation or our business.</w:t>
      </w:r>
    </w:p>
    <w:p>
      <w:pPr>
        <w:spacing w:after="0" w:line="170"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There are a number of federal and state laws protecting the confidentiality and security of personal information, including certain patient health information, and restricting the use and disclosure of that protected information. In particular, the U.S. Department of Health and Human Services, or HHS, promulgated privacy and security rules under the Health Insurance Portability and Accountability Act of 1996, or HIPAA, as amended by the Health Information Technology for Economic and Clinical Health Act, or HITECH. The privacy rule protects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The security rule protects protected health information, or PHI, stored electronically by requiring appropriate administrative, physical and technical safeguards to ensure the confidentiality, integrity and security of such PHI. If we, or any of our service providers, are found to be in violation of the promulgated privacy and security rules under HIPAA and HITECH,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also face new risks relating to security laws and privacy rights as individual states adopt new laws and regulations on these topics and as we begin to commercialize our products outside the United States. For example, in the European Union, the General Data Protection Regulation, or GDPR, which came into force on May 25, 2018, introduces new data protection requirements in the European Union. As we expand internationally, our business will need to be adapted to meet these and other similar legal requirements.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During the third quarter of 2018, we began commercialization of the t:slim X2 insulin pump in select geographies outside of the United States. We do not have experience commercializing our products outside of the United States and expect that we will be subject to additional risks related to entering into international business markets, including:</w:t>
      </w:r>
    </w:p>
    <w:p>
      <w:pPr>
        <w:spacing w:after="0" w:line="181" w:lineRule="exact"/>
        <w:rPr>
          <w:sz w:val="20"/>
          <w:szCs w:val="20"/>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the GDPR;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34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340" w:right="18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31"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20" w:firstLine="571"/>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5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70" w:lineRule="exact"/>
        <w:rPr>
          <w:sz w:val="20"/>
          <w:szCs w:val="20"/>
          <w:color w:val="auto"/>
        </w:rPr>
      </w:pPr>
    </w:p>
    <w:p>
      <w:pPr>
        <w:ind w:right="300" w:firstLine="571"/>
        <w:spacing w:after="0" w:line="257" w:lineRule="auto"/>
        <w:rPr>
          <w:sz w:val="20"/>
          <w:szCs w:val="20"/>
          <w:color w:val="auto"/>
        </w:rPr>
      </w:pPr>
      <w:r>
        <w:rPr>
          <w:rFonts w:ascii="Arial" w:cs="Arial" w:eastAsia="Arial" w:hAnsi="Arial"/>
          <w:sz w:val="18"/>
          <w:szCs w:val="18"/>
          <w:color w:val="auto"/>
        </w:rPr>
        <w:t>As of September 30, 2018, we had $113.6 million in cash, cash equivalents and short-term investments. Our management expects the continued growth of our business, including the expansion of our customer service infrastructure to support our growing base of customers our plans to commence commercial sales of our products outside the United States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88" w:lineRule="exact"/>
        <w:rPr>
          <w:sz w:val="20"/>
          <w:szCs w:val="20"/>
          <w:color w:val="auto"/>
        </w:rPr>
      </w:pPr>
    </w:p>
    <w:p>
      <w:pPr>
        <w:ind w:left="1340" w:right="520" w:hanging="387"/>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340" w:right="140" w:hanging="387"/>
        <w:spacing w:after="0" w:line="308" w:lineRule="auto"/>
        <w:tabs>
          <w:tab w:leader="none" w:pos="1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expenses we incur or other capital expenditures we make to maintain or enhance our manufacturing operations, including the hiring of additional personnel, purchasing manufacturing equipment and other measures to add manufacturing capacity;</w:t>
      </w:r>
    </w:p>
    <w:p>
      <w:pPr>
        <w:spacing w:after="0" w:line="146" w:lineRule="exact"/>
        <w:rPr>
          <w:rFonts w:ascii="Arial" w:cs="Arial" w:eastAsia="Arial" w:hAnsi="Arial"/>
          <w:sz w:val="17"/>
          <w:szCs w:val="17"/>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1340" w:right="60" w:hanging="387"/>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As a result of these and other factors we may in the future seek additional capital from public or private offerings of our capital stock,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58" w:lineRule="exact"/>
        <w:rPr>
          <w:sz w:val="20"/>
          <w:szCs w:val="20"/>
          <w:color w:val="auto"/>
        </w:rPr>
      </w:pPr>
    </w:p>
    <w:p>
      <w:pPr>
        <w:ind w:firstLine="571"/>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Our operating results, and the variability of these operating results, will be affected by numerous factors, including:</w:t>
      </w:r>
    </w:p>
    <w:p>
      <w:pPr>
        <w:spacing w:after="0" w:line="181" w:lineRule="exact"/>
        <w:rPr>
          <w:sz w:val="20"/>
          <w:szCs w:val="20"/>
          <w:color w:val="auto"/>
        </w:rPr>
      </w:pPr>
    </w:p>
    <w:p>
      <w:pPr>
        <w:ind w:left="1340" w:right="16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340" w:right="50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340" w:right="4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firstLine="571"/>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September 30, 2018, our patent portfolio consisted of approximately 68 issued U.S. patents and 49 pending U.S. patent applications. Of these, our issued U.S. patents expire between approximately 2021 and 2036. We also have and are seeking patent protection for our proprietary technologies in other countries throughout the world. In addition, we have 17 U.S. trademark registrations and 17 foreign trademark registrations.</w:t>
      </w:r>
    </w:p>
    <w:p>
      <w:pPr>
        <w:spacing w:after="0" w:line="154"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jc w:val="both"/>
        <w:ind w:right="400" w:firstLine="571"/>
        <w:spacing w:after="0" w:line="264"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future products that we are currently developing. Any intellectual property related discussions, disputes or litigation could force us to do one or more of the following:</w:t>
      </w:r>
    </w:p>
    <w:p>
      <w:pPr>
        <w:spacing w:after="0" w:line="181" w:lineRule="exact"/>
        <w:rPr>
          <w:sz w:val="20"/>
          <w:szCs w:val="20"/>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or limit our ability to sell a future product that we are currently developing;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7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increases.</w:t>
      </w:r>
    </w:p>
    <w:p>
      <w:pPr>
        <w:spacing w:after="0" w:line="173"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 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3"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20" w:firstLine="518"/>
        <w:spacing w:after="0" w:line="287"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t:slim X2 with G5 in August 2017. More recently, we received approval of our PMA for t:slim X2 with Basal-IQ technology in June 2018.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certain of our products currently under development will require the more costly, lengthy and uncertain PMA approval process.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5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For example, based on feedback from the FDA we recently submitted a de novo 510(k) for our t:slim X2 insulin pump platform and we intend to separately file a PMA for our implementation of the Control-IQ technology. Ultimately, the FDA may not support our new regulatory filing strategy.</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Further, we commenced commercial sales of our products in select international markets during the third quarter of 2018. As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This is not uncommon in our industry and we currently have ongoing voluntary recalls of products that we initiated during 2018.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280" w:right="160" w:hanging="381"/>
        <w:spacing w:after="0" w:line="259"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280" w:right="120" w:hanging="381"/>
        <w:spacing w:after="0" w:line="264"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federal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81"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280" w:right="520" w:hanging="381"/>
        <w:spacing w:after="0" w:line="342" w:lineRule="auto"/>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23" w:lineRule="exact"/>
        <w:rPr>
          <w:rFonts w:ascii="Arial" w:cs="Arial" w:eastAsia="Arial" w:hAnsi="Arial"/>
          <w:sz w:val="16"/>
          <w:szCs w:val="16"/>
          <w:color w:val="auto"/>
        </w:rPr>
      </w:pPr>
    </w:p>
    <w:p>
      <w:pPr>
        <w:ind w:left="1280" w:hanging="381"/>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280" w:right="300" w:hanging="381"/>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HITECH.</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340" w:firstLine="577"/>
        <w:spacing w:after="0" w:line="277" w:lineRule="auto"/>
        <w:rPr>
          <w:sz w:val="20"/>
          <w:szCs w:val="20"/>
          <w:color w:val="auto"/>
        </w:rPr>
      </w:pPr>
      <w:r>
        <w:rPr>
          <w:rFonts w:ascii="Arial" w:cs="Arial" w:eastAsia="Arial" w:hAnsi="Arial"/>
          <w:sz w:val="18"/>
          <w:szCs w:val="18"/>
          <w:color w:val="auto"/>
        </w:rPr>
        <w:t>The trading price of our common stock has been volatile over the past several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 and perceptions about the dilutive impact of</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ind w:left="1140"/>
        <w:spacing w:after="0"/>
        <w:rPr>
          <w:sz w:val="20"/>
          <w:szCs w:val="20"/>
          <w:color w:val="auto"/>
        </w:rPr>
      </w:pPr>
      <w:r>
        <w:rPr>
          <w:rFonts w:ascii="Arial" w:cs="Arial" w:eastAsia="Arial" w:hAnsi="Arial"/>
          <w:sz w:val="18"/>
          <w:szCs w:val="18"/>
          <w:color w:val="auto"/>
        </w:rPr>
        <w:t>our recent financing transactions (including the exercise of outstanding warrants);</w:t>
      </w:r>
    </w:p>
    <w:p>
      <w:pPr>
        <w:spacing w:after="0" w:line="225" w:lineRule="exact"/>
        <w:rPr>
          <w:sz w:val="20"/>
          <w:szCs w:val="20"/>
          <w:color w:val="auto"/>
        </w:rPr>
      </w:pPr>
    </w:p>
    <w:p>
      <w:pPr>
        <w:ind w:left="1140" w:right="60" w:hanging="376"/>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about our financial stability generally, and relative to our competitors, including our ability to sustain our business operations and achieve profitability;</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140" w:right="180" w:hanging="376"/>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225" w:lineRule="exact"/>
        <w:rPr>
          <w:sz w:val="20"/>
          <w:szCs w:val="20"/>
          <w:color w:val="auto"/>
        </w:rPr>
      </w:pPr>
    </w:p>
    <w:p>
      <w:pPr>
        <w:ind w:right="760" w:firstLine="761"/>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on our stock price may negatively affect the liquidity of our common stock, which could further impact our stock price.</w:t>
      </w:r>
    </w:p>
    <w:p>
      <w:pPr>
        <w:spacing w:after="0" w:line="17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87"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340" w:hanging="387"/>
        <w:spacing w:after="0" w:line="277"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ind w:left="1340" w:hanging="387"/>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the vote of at least two-thirds of the outstanding shares to approve amendments to the certificate of incorporation or bylaws; and</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December 31, 2017, we had federal net operating loss, or NOL, carryforwards of approximately $335.3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Although we have not completed an update of our Section 382 analysis subsequent to December 31, 2017, the recent offerings of our securities,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However, we expect we will cease to qualify as an “emerging growth company” on December 31, 2018, at which point we will become subject to the additional compliance and reporting requirements. In order to meet these additional requirements,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have taken advantage of, and intend to continue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340" w:right="820" w:hanging="387"/>
        <w:spacing w:after="0" w:line="277"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registration statements, periodic reports and proxy statements; and</w:t>
      </w:r>
    </w:p>
    <w:p>
      <w:pPr>
        <w:spacing w:after="0" w:line="170" w:lineRule="exact"/>
        <w:rPr>
          <w:rFonts w:ascii="Arial" w:cs="Arial" w:eastAsia="Arial" w:hAnsi="Arial"/>
          <w:sz w:val="18"/>
          <w:szCs w:val="18"/>
          <w:color w:val="auto"/>
        </w:rPr>
      </w:pPr>
    </w:p>
    <w:p>
      <w:pPr>
        <w:ind w:left="1340" w:right="160" w:hanging="387"/>
        <w:spacing w:after="0" w:line="277"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 or cause our stock price to be more volatile. We expect we will cease to qualify as an “emerging growth company” on December 31, 2018.</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right="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70"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We are a “smaller reporting company” under applicable SEC rules and regulations. Similar to an “emerging growth company”, a “smaller reporting company” is subject to scaled reporting and compliance obligations as compared to other public companies. Specifically, “smaller reporting companies” are able to provide simplified executive compensation disclosures in their filings, are exempt from the auditor attestation requirements of Section 404(b) of the Sarbanes-Oxley Act, and have certain other reduced disclosure obligations in their SEC filings. Reduced disclosures in our SEC filings due to our status as a “smaller reporting company” may make it harder for investors to analyze our financial condition, operating results and prospects. If investors find our common stock less attractive as a result of our reduced disclosures, there may be a less active trading market for our common stock and our stock price may decline or be more volatile. In light of the increase in our stock price during 2018, we expect to cease to qualify as a “smaller reporting company” once our status is reassessed under applicable SEC rules.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100" w:firstLine="571"/>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or a “smaller reporting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However, for as long as we are an “emerging growth company” or a “smaller reporting company” under applicable SEC rules and regulations, our independent registered public accounting firm will not be required to attest to the effectiveness of our internal control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recently and in past years experienced significant stock price volatility.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60" w:type="dxa"/>
            <w:vAlign w:val="bottom"/>
            <w:gridSpan w:val="19"/>
          </w:tcPr>
          <w:p>
            <w:pPr>
              <w:ind w:left="1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1000" w:type="dxa"/>
            <w:vAlign w:val="bottom"/>
          </w:tcPr>
          <w:p>
            <w:pPr>
              <w:ind w:left="520"/>
              <w:spacing w:after="0"/>
              <w:rPr>
                <w:sz w:val="20"/>
                <w:szCs w:val="20"/>
                <w:color w:val="auto"/>
              </w:rPr>
            </w:pPr>
            <w:r>
              <w:rPr>
                <w:rFonts w:ascii="Arial" w:cs="Arial" w:eastAsia="Arial" w:hAnsi="Arial"/>
                <w:sz w:val="18"/>
                <w:szCs w:val="18"/>
                <w:color w:val="auto"/>
                <w:w w:val="95"/>
              </w:rPr>
              <w:t>None.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060" w:type="dxa"/>
            <w:vAlign w:val="bottom"/>
            <w:gridSpan w:val="19"/>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887"/>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060" w:type="dxa"/>
            <w:vAlign w:val="bottom"/>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3920" w:type="dxa"/>
            <w:vAlign w:val="bottom"/>
            <w:gridSpan w:val="16"/>
            <w:vMerge w:val="restart"/>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Amended and Restated Certificate of Incorporation as</w:t>
              </w:r>
            </w:hyperlink>
          </w:p>
        </w:tc>
        <w:tc>
          <w:tcPr>
            <w:tcW w:w="14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3.1</w:t>
            </w:r>
          </w:p>
        </w:tc>
        <w:tc>
          <w:tcPr>
            <w:tcW w:w="3920" w:type="dxa"/>
            <w:vAlign w:val="bottom"/>
            <w:tcBorders>
              <w:bottom w:val="single" w:sz="8" w:color="0000EE"/>
            </w:tcBorders>
            <w:gridSpan w:val="16"/>
            <w:vMerge w:val="continue"/>
          </w:tcPr>
          <w:p>
            <w:pPr>
              <w:spacing w:after="0"/>
              <w:rPr>
                <w:sz w:val="16"/>
                <w:szCs w:val="16"/>
                <w:color w:val="auto"/>
              </w:rPr>
            </w:pPr>
          </w:p>
        </w:tc>
        <w:tc>
          <w:tcPr>
            <w:tcW w:w="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340" w:type="dxa"/>
            <w:vAlign w:val="bottom"/>
            <w:gridSpan w:val="4"/>
            <w:vMerge w:val="restart"/>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currently in effect.</w:t>
              </w:r>
            </w:hyperlink>
          </w:p>
        </w:tc>
        <w:tc>
          <w:tcPr>
            <w:tcW w:w="272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1340" w:type="dxa"/>
            <w:vAlign w:val="bottom"/>
            <w:tcBorders>
              <w:bottom w:val="single" w:sz="8" w:color="0000EE"/>
            </w:tcBorders>
            <w:gridSpan w:val="4"/>
            <w:vMerge w:val="continue"/>
          </w:tcPr>
          <w:p>
            <w:pPr>
              <w:spacing w:after="0"/>
              <w:rPr>
                <w:sz w:val="5"/>
                <w:szCs w:val="5"/>
                <w:color w:val="auto"/>
              </w:rPr>
            </w:pPr>
          </w:p>
        </w:tc>
        <w:tc>
          <w:tcPr>
            <w:tcW w:w="27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3.2</w:t>
            </w:r>
          </w:p>
        </w:tc>
        <w:tc>
          <w:tcPr>
            <w:tcW w:w="4060" w:type="dxa"/>
            <w:vAlign w:val="bottom"/>
            <w:gridSpan w:val="19"/>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Tandem Diabetes Care, Inc. Amended and Restated</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2120" w:type="dxa"/>
            <w:vAlign w:val="bottom"/>
            <w:tcBorders>
              <w:top w:val="single" w:sz="8" w:color="0000EE"/>
            </w:tcBorders>
            <w:gridSpan w:val="7"/>
            <w:vMerge w:val="restart"/>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Bylaws as currently in effect.</w:t>
              </w:r>
            </w:hyperlink>
          </w:p>
        </w:tc>
        <w:tc>
          <w:tcPr>
            <w:tcW w:w="1660" w:type="dxa"/>
            <w:vAlign w:val="bottom"/>
            <w:tcBorders>
              <w:top w:val="single" w:sz="8" w:color="0000EE"/>
            </w:tcBorders>
            <w:gridSpan w:val="4"/>
            <w:vMerge w:val="restart"/>
          </w:tcPr>
          <w:p>
            <w:pPr>
              <w:spacing w:after="0"/>
              <w:rPr>
                <w:sz w:val="11"/>
                <w:szCs w:val="11"/>
                <w:color w:val="auto"/>
              </w:rPr>
            </w:pPr>
          </w:p>
        </w:tc>
        <w:tc>
          <w:tcPr>
            <w:tcW w:w="28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2120" w:type="dxa"/>
            <w:vAlign w:val="bottom"/>
            <w:tcBorders>
              <w:bottom w:val="single" w:sz="8" w:color="0000EE"/>
            </w:tcBorders>
            <w:gridSpan w:val="7"/>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10.1*</w:t>
            </w:r>
          </w:p>
        </w:tc>
        <w:tc>
          <w:tcPr>
            <w:tcW w:w="3780" w:type="dxa"/>
            <w:vAlign w:val="bottom"/>
            <w:tcBorders>
              <w:bottom w:val="single" w:sz="8" w:color="0000EE"/>
            </w:tcBorders>
            <w:gridSpan w:val="11"/>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Tandem Diabetes Care, Inc. Amended And Restated</w:t>
              </w:r>
            </w:hyperlink>
          </w:p>
        </w:tc>
        <w:tc>
          <w:tcPr>
            <w:tcW w:w="2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9"/>
            <w:vMerge w:val="restart"/>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2013 Stock Incentive Plan</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10.2*</w:t>
            </w:r>
          </w:p>
        </w:tc>
        <w:tc>
          <w:tcPr>
            <w:tcW w:w="4060" w:type="dxa"/>
            <w:vAlign w:val="bottom"/>
            <w:tcBorders>
              <w:bottom w:val="single" w:sz="8" w:color="0000EE"/>
            </w:tcBorders>
            <w:gridSpan w:val="19"/>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Amended And Restated 2013 Employee Stock Purchase</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9"/>
            <w:vMerge w:val="restart"/>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Plan</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10.3*</w:t>
            </w:r>
          </w:p>
        </w:tc>
        <w:tc>
          <w:tcPr>
            <w:tcW w:w="4060" w:type="dxa"/>
            <w:vAlign w:val="bottom"/>
            <w:gridSpan w:val="19"/>
          </w:tcPr>
          <w:p>
            <w:pPr>
              <w:spacing w:after="0"/>
              <w:rPr>
                <w:rFonts w:ascii="Arial" w:cs="Arial" w:eastAsia="Arial" w:hAnsi="Arial"/>
                <w:sz w:val="18"/>
                <w:szCs w:val="18"/>
                <w:color w:val="0000EE"/>
              </w:rPr>
            </w:pPr>
            <w:hyperlink r:id="rId83">
              <w:r>
                <w:rPr>
                  <w:rFonts w:ascii="Arial" w:cs="Arial" w:eastAsia="Arial" w:hAnsi="Arial"/>
                  <w:sz w:val="18"/>
                  <w:szCs w:val="18"/>
                  <w:color w:val="0000EE"/>
                </w:rPr>
                <w:t>Kim Blickenstaff Letter Agreement regarding</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360" w:type="dxa"/>
            <w:vAlign w:val="bottom"/>
            <w:tcBorders>
              <w:top w:val="single" w:sz="8" w:color="0000EE"/>
            </w:tcBorders>
            <w:gridSpan w:val="5"/>
            <w:vMerge w:val="restart"/>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employment terms</w:t>
              </w:r>
            </w:hyperlink>
          </w:p>
        </w:tc>
        <w:tc>
          <w:tcPr>
            <w:tcW w:w="1940" w:type="dxa"/>
            <w:vAlign w:val="bottom"/>
            <w:tcBorders>
              <w:top w:val="single" w:sz="8" w:color="0000EE"/>
            </w:tcBorders>
            <w:gridSpan w:val="4"/>
            <w:vMerge w:val="restart"/>
          </w:tcPr>
          <w:p>
            <w:pPr>
              <w:spacing w:after="0"/>
              <w:rPr>
                <w:sz w:val="11"/>
                <w:szCs w:val="11"/>
                <w:color w:val="auto"/>
              </w:rPr>
            </w:pPr>
          </w:p>
        </w:tc>
        <w:tc>
          <w:tcPr>
            <w:tcW w:w="76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1360" w:type="dxa"/>
            <w:vAlign w:val="bottom"/>
            <w:tcBorders>
              <w:bottom w:val="single" w:sz="8" w:color="0000EE"/>
            </w:tcBorders>
            <w:gridSpan w:val="5"/>
            <w:vMerge w:val="continue"/>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7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10.4*</w:t>
            </w:r>
          </w:p>
        </w:tc>
        <w:tc>
          <w:tcPr>
            <w:tcW w:w="2740" w:type="dxa"/>
            <w:vAlign w:val="bottom"/>
            <w:tcBorders>
              <w:bottom w:val="single" w:sz="8" w:color="0000EE"/>
            </w:tcBorders>
            <w:gridSpan w:val="8"/>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2018 Cash Bonus Plan for Executives</w:t>
              </w:r>
            </w:hyperlink>
          </w:p>
        </w:tc>
        <w:tc>
          <w:tcPr>
            <w:tcW w:w="13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rPr>
              <w:t>10.5**</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Development Agreement, dated June 4, 2015 by and</w:t>
              </w:r>
            </w:hyperlink>
          </w:p>
        </w:tc>
        <w:tc>
          <w:tcPr>
            <w:tcW w:w="2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9"/>
            <w:vMerge w:val="restart"/>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between Tandem Diabetes, Care, Inc. and Dexcom, Inc.</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Certification of Kim D. Blickenstaff, Chief Executive</w:t>
              </w:r>
            </w:hyperlink>
          </w:p>
        </w:tc>
        <w:tc>
          <w:tcPr>
            <w:tcW w:w="120" w:type="dxa"/>
            <w:vAlign w:val="bottom"/>
            <w:tcBorders>
              <w:top w:val="single" w:sz="8" w:color="0000EE"/>
            </w:tcBorders>
            <w:gridSpan w:val="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1"/>
              </w:rPr>
              <w:t>31.1</w:t>
            </w:r>
          </w:p>
        </w:tc>
        <w:tc>
          <w:tcPr>
            <w:tcW w:w="4060" w:type="dxa"/>
            <w:vAlign w:val="bottom"/>
            <w:gridSpan w:val="19"/>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Act of 2002.</w:t>
              </w:r>
            </w:hyperlink>
          </w:p>
        </w:tc>
        <w:tc>
          <w:tcPr>
            <w:tcW w:w="304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Leigh A. Vosseller, Chief Financial</w:t>
              </w:r>
            </w:hyperlink>
          </w:p>
        </w:tc>
        <w:tc>
          <w:tcPr>
            <w:tcW w:w="3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1"/>
              </w:rPr>
              <w:t>31.2</w:t>
            </w:r>
          </w:p>
        </w:tc>
        <w:tc>
          <w:tcPr>
            <w:tcW w:w="4060" w:type="dxa"/>
            <w:vAlign w:val="bottom"/>
            <w:gridSpan w:val="19"/>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Act of 2002.</w:t>
              </w:r>
            </w:hyperlink>
          </w:p>
        </w:tc>
        <w:tc>
          <w:tcPr>
            <w:tcW w:w="304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Certification of Kim D. Blickenstaff, Chief Executive</w:t>
              </w:r>
            </w:hyperlink>
          </w:p>
        </w:tc>
        <w:tc>
          <w:tcPr>
            <w:tcW w:w="1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rPr>
              <w:t>32.1***</w:t>
            </w:r>
          </w:p>
        </w:tc>
        <w:tc>
          <w:tcPr>
            <w:tcW w:w="4060" w:type="dxa"/>
            <w:vAlign w:val="bottom"/>
            <w:gridSpan w:val="19"/>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9"/>
            <w:vMerge w:val="restart"/>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2002.</w:t>
              </w:r>
            </w:hyperlink>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of Leigh A. Vosseller, Chief Financial</w:t>
              </w:r>
            </w:hyperlink>
          </w:p>
        </w:tc>
        <w:tc>
          <w:tcPr>
            <w:tcW w:w="3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rPr>
              <w:t>32.2***</w:t>
            </w:r>
          </w:p>
        </w:tc>
        <w:tc>
          <w:tcPr>
            <w:tcW w:w="4060" w:type="dxa"/>
            <w:vAlign w:val="bottom"/>
            <w:gridSpan w:val="19"/>
          </w:tcPr>
          <w:p>
            <w:pPr>
              <w:spacing w:after="0" w:line="196"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9"/>
            <w:vMerge w:val="restart"/>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2002.</w:t>
              </w:r>
            </w:hyperlink>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40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101.SCH</w:t>
            </w:r>
          </w:p>
        </w:tc>
        <w:tc>
          <w:tcPr>
            <w:tcW w:w="40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101.CAL</w:t>
            </w:r>
          </w:p>
        </w:tc>
        <w:tc>
          <w:tcPr>
            <w:tcW w:w="40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9"/>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06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101.DEF</w:t>
            </w:r>
          </w:p>
        </w:tc>
        <w:tc>
          <w:tcPr>
            <w:tcW w:w="406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9"/>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06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4060" w:type="dxa"/>
            <w:vAlign w:val="bottom"/>
            <w:gridSpan w:val="19"/>
          </w:tcPr>
          <w:p>
            <w:pPr>
              <w:spacing w:after="0"/>
              <w:rPr>
                <w:sz w:val="20"/>
                <w:szCs w:val="20"/>
                <w:color w:val="auto"/>
              </w:rPr>
            </w:pPr>
            <w:r>
              <w:rPr>
                <w:rFonts w:ascii="Arial" w:cs="Arial" w:eastAsia="Arial" w:hAnsi="Arial"/>
                <w:sz w:val="18"/>
                <w:szCs w:val="18"/>
                <w:color w:val="auto"/>
                <w:w w:val="92"/>
              </w:rPr>
              <w:t>XBRL Taxonomy Extension Label Linkbase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8"/>
              </w:rPr>
              <w:t>101.PRE</w:t>
            </w:r>
          </w:p>
        </w:tc>
        <w:tc>
          <w:tcPr>
            <w:tcW w:w="40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9"/>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406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Incorporated by Reference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of First</w:t>
            </w:r>
          </w:p>
        </w:tc>
      </w:tr>
      <w:tr>
        <w:trPr>
          <w:trHeight w:val="234"/>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783"/>
        </w:trPr>
        <w:tc>
          <w:tcPr>
            <w:tcW w:w="11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r>
      <w:tr>
        <w:trPr>
          <w:trHeight w:val="44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26-Apr-18</w:t>
            </w:r>
          </w:p>
        </w:tc>
      </w:tr>
      <w:tr>
        <w:trPr>
          <w:trHeight w:val="44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26-Apr-18</w:t>
            </w:r>
          </w:p>
        </w:tc>
      </w:tr>
      <w:tr>
        <w:trPr>
          <w:trHeight w:val="44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30-Jul-18</w:t>
            </w: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30-Jul-18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Provided</w:t>
      </w:r>
    </w:p>
    <w:p>
      <w:pPr>
        <w:spacing w:after="0" w:line="50"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Herewith</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-130810</wp:posOffset>
            </wp:positionV>
            <wp:extent cx="857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C</w:t>
      </w:r>
    </w:p>
    <w:p>
      <w:pPr>
        <w:spacing w:after="0" w:line="11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10.3</w:t>
      </w:r>
    </w:p>
    <w:p>
      <w:pPr>
        <w:spacing w:after="0" w:line="131"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10.4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sectPr>
          <w:pgSz w:w="11900" w:h="16838" w:orient="portrait"/>
          <w:cols w:equalWidth="0" w:num="3">
            <w:col w:w="5060" w:space="140"/>
            <w:col w:w="3820" w:space="160"/>
            <w:col w:w="2240"/>
          </w:cols>
          <w:pgMar w:left="240" w:top="337" w:right="239" w:bottom="1440" w:gutter="0" w:footer="0" w:header="0"/>
        </w:sectPr>
      </w:pPr>
    </w:p>
    <w:p>
      <w:pPr>
        <w:spacing w:after="0" w:line="1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520" w:right="40" w:hanging="512"/>
        <w:spacing w:after="0" w:line="22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ind w:left="520" w:hanging="512"/>
        <w:spacing w:after="0" w:line="232"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7400" w:type="dxa"/>
            <w:vAlign w:val="bottom"/>
            <w:gridSpan w:val="2"/>
          </w:tcPr>
          <w:p>
            <w:pPr>
              <w:ind w:left="2140"/>
              <w:spacing w:after="0"/>
              <w:rPr>
                <w:sz w:val="20"/>
                <w:szCs w:val="20"/>
                <w:color w:val="auto"/>
              </w:rPr>
            </w:pPr>
            <w:r>
              <w:rPr>
                <w:rFonts w:ascii="Arial" w:cs="Arial" w:eastAsia="Arial" w:hAnsi="Arial"/>
                <w:sz w:val="18"/>
                <w:szCs w:val="18"/>
                <w:color w:val="auto"/>
              </w:rPr>
              <w:t>Tandem Diabetes Care, Inc.</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Dated: November 1, 2018</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4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4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4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402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Leigh A. Vosseller</w:t>
            </w:r>
          </w:p>
        </w:tc>
      </w:tr>
      <w:tr>
        <w:trPr>
          <w:trHeight w:val="195"/>
        </w:trPr>
        <w:tc>
          <w:tcPr>
            <w:tcW w:w="4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Leigh A. Vosseller</w:t>
            </w:r>
          </w:p>
        </w:tc>
      </w:tr>
      <w:tr>
        <w:trPr>
          <w:trHeight w:val="230"/>
        </w:trPr>
        <w:tc>
          <w:tcPr>
            <w:tcW w:w="4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Treasurer</w:t>
            </w:r>
          </w:p>
        </w:tc>
      </w:tr>
    </w:tbl>
    <w:p>
      <w:pPr>
        <w:ind w:left="66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Kim D. Blickenstaff hereby certifies that: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He is the President and Chief Executive Officer of Tandem Diabetes Care,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TWO: </w:t>
      </w:r>
      <w:r>
        <w:rPr>
          <w:rFonts w:ascii="Arial" w:cs="Arial" w:eastAsia="Arial" w:hAnsi="Arial"/>
          <w:sz w:val="18"/>
          <w:szCs w:val="18"/>
          <w:color w:val="auto"/>
        </w:rPr>
        <w:t>The Certificate of Incorporation of said Corporation was originally filed with the Secretary of State of Delaware on January 7, 2008.</w:t>
      </w:r>
    </w:p>
    <w:p>
      <w:pPr>
        <w:spacing w:after="0" w:line="225" w:lineRule="exact"/>
        <w:rPr>
          <w:sz w:val="20"/>
          <w:szCs w:val="20"/>
          <w:color w:val="auto"/>
        </w:rPr>
      </w:pPr>
    </w:p>
    <w:p>
      <w:pPr>
        <w:ind w:right="320" w:firstLine="421"/>
        <w:spacing w:after="0" w:line="282" w:lineRule="auto"/>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The Amended and Restated Certificate of Incorporation of this Corporation, as amended through October 9, 2017, is hereby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to read in full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NAME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name of this Corporation is Tandem Diabetes Care,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REGISTERED OFFICE AND AGENT</w:t>
      </w:r>
    </w:p>
    <w:p>
      <w:pPr>
        <w:spacing w:after="0" w:line="229" w:lineRule="exact"/>
        <w:rPr>
          <w:sz w:val="20"/>
          <w:szCs w:val="20"/>
          <w:color w:val="auto"/>
        </w:rPr>
      </w:pPr>
    </w:p>
    <w:p>
      <w:pPr>
        <w:ind w:right="120" w:firstLine="421"/>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2711 Centerville Road, Suite 400, in the City of Wilmington, County of New Castle, 19808. The name of its registered agent at such address is Corporation Service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PURPOSE</w:t>
      </w:r>
    </w:p>
    <w:p>
      <w:pPr>
        <w:spacing w:after="0" w:line="229" w:lineRule="exact"/>
        <w:rPr>
          <w:sz w:val="20"/>
          <w:szCs w:val="20"/>
          <w:color w:val="auto"/>
        </w:rPr>
      </w:pPr>
    </w:p>
    <w:p>
      <w:pPr>
        <w:ind w:right="80" w:firstLine="877"/>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Corporation shall have perpetual existence.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CAPITAL STOCK</w:t>
      </w:r>
    </w:p>
    <w:p>
      <w:pPr>
        <w:spacing w:after="0" w:line="225" w:lineRule="exact"/>
        <w:rPr>
          <w:sz w:val="20"/>
          <w:szCs w:val="20"/>
          <w:color w:val="auto"/>
        </w:rPr>
      </w:pPr>
    </w:p>
    <w:p>
      <w:pPr>
        <w:ind w:firstLine="421"/>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Classes of Stock</w:t>
      </w:r>
      <w:r>
        <w:rPr>
          <w:rFonts w:ascii="Arial" w:cs="Arial" w:eastAsia="Arial" w:hAnsi="Arial"/>
          <w:sz w:val="18"/>
          <w:szCs w:val="18"/>
          <w:color w:val="auto"/>
        </w:rPr>
        <w:t>. This Corporation is authorized to issue two classes of stock to be designated, respectively, “</w:t>
      </w:r>
      <w:r>
        <w:rPr>
          <w:rFonts w:ascii="Arial" w:cs="Arial" w:eastAsia="Arial" w:hAnsi="Arial"/>
          <w:sz w:val="18"/>
          <w:szCs w:val="18"/>
          <w:u w:val="single" w:color="auto"/>
          <w:color w:val="auto"/>
        </w:rPr>
        <w:t>Common Stock</w:t>
      </w:r>
      <w:r>
        <w:rPr>
          <w:rFonts w:ascii="Arial" w:cs="Arial" w:eastAsia="Arial" w:hAnsi="Arial"/>
          <w:sz w:val="18"/>
          <w:szCs w:val="18"/>
          <w:color w:val="auto"/>
        </w:rPr>
        <w:t>” and “</w:t>
      </w:r>
      <w:r>
        <w:rPr>
          <w:rFonts w:ascii="Arial" w:cs="Arial" w:eastAsia="Arial" w:hAnsi="Arial"/>
          <w:sz w:val="18"/>
          <w:szCs w:val="18"/>
          <w:u w:val="single" w:color="auto"/>
          <w:color w:val="auto"/>
        </w:rPr>
        <w:t>Preferred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total number of shares of capital stock which this Corporation has authority to issue is Two Hundred Five Million (205,000,000) shares. Two Hundred Million (200,000,000) shares shall be designated Common Stock, $0.001 par value per share and Five Million (5,000,000) shares shall be designated Preferred Stock, $0.001 par value per share.</w:t>
      </w:r>
    </w:p>
    <w:p>
      <w:pPr>
        <w:spacing w:after="0" w:line="180" w:lineRule="exact"/>
        <w:rPr>
          <w:sz w:val="20"/>
          <w:szCs w:val="20"/>
          <w:color w:val="auto"/>
        </w:rPr>
      </w:pPr>
    </w:p>
    <w:p>
      <w:pPr>
        <w:ind w:right="80" w:firstLine="421"/>
        <w:spacing w:after="0" w:line="295"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is authorized, subject to limitations prescribed by law, to provide for the issuance of the shares of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without limitation, the number of shares constituting that series and the distinctive designation of that series; the dividend rate, if any, on the shares of that series, whether dividends shall be cumulative, and, if so, from which date or dates, and the relative rights of priority, if any, of payment of dividends on shares of that series; whether that series shall have voting rights, in addition to the voting rights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2" w:name="page63"/>
    <w:bookmarkEnd w:id="62"/>
    <w:p>
      <w:pPr>
        <w:ind w:right="40"/>
        <w:spacing w:after="0" w:line="288" w:lineRule="auto"/>
        <w:rPr>
          <w:sz w:val="20"/>
          <w:szCs w:val="20"/>
          <w:color w:val="auto"/>
        </w:rPr>
      </w:pPr>
      <w:r>
        <w:rPr>
          <w:rFonts w:ascii="Arial" w:cs="Arial" w:eastAsia="Arial" w:hAnsi="Arial"/>
          <w:sz w:val="16"/>
          <w:szCs w:val="16"/>
          <w:color w:val="auto"/>
        </w:rPr>
        <w:t>and if so, the terms of such voting rights; whether that series shall have conversion privileges, and, if so, the terms and conditions of such conversion, including provision for adjustment of the conversion rate in such events as the Board of Directors shall determine; whether or not the shares of that series shall be redeemable, and, if so, the terms and conditions of such redemption, including the date upon or after which they shall be redeemable, and the amount per share payable in case of redemption, which amount may vary under different conditions and at different redemption dates; whether that series shall have a sinking fund for the redemption or purchase of shares of that series, and, if so, the terms and amount of such sinking fund; the rights of the shares of that series in the event of voluntary or involuntary liquidation, dissolution or winding up of the Corporation, and the relative rights of priority, if any, of payment of shares of that series; and any other relative rights, preferences and limitations of that series.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69" w:lineRule="exact"/>
        <w:rPr>
          <w:sz w:val="20"/>
          <w:szCs w:val="20"/>
          <w:color w:val="auto"/>
        </w:rPr>
      </w:pPr>
    </w:p>
    <w:p>
      <w:pPr>
        <w:ind w:right="20" w:firstLine="421"/>
        <w:spacing w:after="0" w:line="257" w:lineRule="auto"/>
        <w:rPr>
          <w:sz w:val="20"/>
          <w:szCs w:val="20"/>
          <w:color w:val="auto"/>
        </w:rPr>
      </w:pPr>
      <w:r>
        <w:rPr>
          <w:rFonts w:ascii="Arial" w:cs="Arial" w:eastAsia="Arial" w:hAnsi="Arial"/>
          <w:sz w:val="18"/>
          <w:szCs w:val="18"/>
          <w:color w:val="auto"/>
        </w:rPr>
        <w:t>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84" w:lineRule="exact"/>
        <w:rPr>
          <w:sz w:val="20"/>
          <w:szCs w:val="20"/>
          <w:color w:val="auto"/>
        </w:rPr>
      </w:pPr>
    </w:p>
    <w:p>
      <w:pPr>
        <w:ind w:firstLine="421"/>
        <w:spacing w:after="0" w:line="274" w:lineRule="auto"/>
        <w:rPr>
          <w:sz w:val="20"/>
          <w:szCs w:val="20"/>
          <w:color w:val="auto"/>
        </w:rPr>
      </w:pPr>
      <w:r>
        <w:rPr>
          <w:rFonts w:ascii="Arial" w:cs="Arial" w:eastAsia="Arial" w:hAnsi="Arial"/>
          <w:sz w:val="17"/>
          <w:szCs w:val="17"/>
          <w:b w:val="1"/>
          <w:bCs w:val="1"/>
          <w:color w:val="auto"/>
        </w:rPr>
        <w:t>C</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Effective immediately upon the filing of a Certificate of Amendment of Amended and Restated Certificate of Incorporation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Secretary of State of the State of Delaware on October 9, 2017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ten (10) shares of Common Stock then issued and outstanding, or held in the treasury of the Corporation, immediately prior to the Effective Time shall automatically be reclassified and converted into one (1) share of Common Stock, without any further action by the Corporation or the respective holders of such shares (the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No fractional shares shall be issued in connection with the Reverse Stock Split. A holder of Common Stock who would otherwise be entitled to receive a fractional share as a result of the Reverse Stock Split will receive one whole share of Common Stock in lieu of such fractional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DIRECTORS AND STOCKHOLDERS</w:t>
      </w:r>
    </w:p>
    <w:p>
      <w:pPr>
        <w:spacing w:after="0" w:line="225" w:lineRule="exact"/>
        <w:rPr>
          <w:sz w:val="20"/>
          <w:szCs w:val="20"/>
          <w:color w:val="auto"/>
        </w:rPr>
      </w:pPr>
    </w:p>
    <w:p>
      <w:pPr>
        <w:ind w:right="40" w:firstLine="421"/>
        <w:spacing w:after="0" w:line="269"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business and affairs of the Corporation shall be managed by or under the direction of the Board of Directors and elections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need not be by written ballot unless otherwise provided in the Bylaws. The number of directors of the Corporation shall be fixed from time to time by the Board of Directors either by a resolution or Bylaw adopted by the affirmative vote of a majority of the entire Board of Directors. 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During such time or times that applicable law prohibits a classified Board of Directors as described in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5</w:t>
      </w:r>
      <w:r>
        <w:rPr>
          <w:rFonts w:ascii="Arial" w:cs="Arial" w:eastAsia="Arial" w:hAnsi="Arial"/>
          <w:sz w:val="17"/>
          <w:szCs w:val="17"/>
          <w:color w:val="auto"/>
        </w:rPr>
        <w:t>, all directors shall be elected at each annual meeting of stockholders to hold office until the next annual meeting.</w:t>
      </w:r>
    </w:p>
    <w:p>
      <w:pPr>
        <w:spacing w:after="0" w:line="127" w:lineRule="exact"/>
        <w:rPr>
          <w:sz w:val="20"/>
          <w:szCs w:val="20"/>
          <w:color w:val="auto"/>
        </w:rPr>
      </w:pPr>
    </w:p>
    <w:p>
      <w:pPr>
        <w:ind w:right="40" w:firstLine="421"/>
        <w:spacing w:after="0" w:line="342" w:lineRule="auto"/>
        <w:rPr>
          <w:sz w:val="20"/>
          <w:szCs w:val="20"/>
          <w:color w:val="auto"/>
        </w:rPr>
      </w:pPr>
      <w:r>
        <w:rPr>
          <w:rFonts w:ascii="Arial" w:cs="Arial" w:eastAsia="Arial" w:hAnsi="Arial"/>
          <w:sz w:val="16"/>
          <w:szCs w:val="16"/>
          <w:color w:val="auto"/>
        </w:rPr>
        <w:t>Notwithstanding the foregoing provisions of this section, 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Subject to the rights of any series of Preferred Stock that may be designated from time to time to elect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3" w:name="page64"/>
    <w:bookmarkEnd w:id="63"/>
    <w:p>
      <w:pPr>
        <w:ind w:right="60"/>
        <w:spacing w:after="0" w:line="259" w:lineRule="auto"/>
        <w:rPr>
          <w:sz w:val="20"/>
          <w:szCs w:val="20"/>
          <w:color w:val="auto"/>
        </w:rPr>
      </w:pPr>
      <w:r>
        <w:rPr>
          <w:rFonts w:ascii="Arial" w:cs="Arial" w:eastAsia="Arial" w:hAnsi="Arial"/>
          <w:sz w:val="18"/>
          <w:szCs w:val="18"/>
          <w:color w:val="auto"/>
        </w:rPr>
        <w:t>directors under specified circumstances, neither the Board of Directors nor any individual director may be removed without cause. Subject to any limitation imposed by applicable law, any individual director or directors may be removed with cause by the affirmative vote of the holders of a majority of the voting power of all of the then outstanding shares of capital stock of the Corporation entitled to vote generally in the election of directors, voting together as a single class.</w:t>
      </w:r>
    </w:p>
    <w:p>
      <w:pPr>
        <w:spacing w:after="0" w:line="187" w:lineRule="exact"/>
        <w:rPr>
          <w:sz w:val="20"/>
          <w:szCs w:val="20"/>
          <w:color w:val="auto"/>
        </w:rPr>
      </w:pPr>
    </w:p>
    <w:p>
      <w:pPr>
        <w:ind w:right="140" w:firstLine="421"/>
        <w:spacing w:after="0" w:line="255" w:lineRule="auto"/>
        <w:rPr>
          <w:sz w:val="20"/>
          <w:szCs w:val="20"/>
          <w:color w:val="auto"/>
        </w:rPr>
      </w:pPr>
      <w:r>
        <w:rPr>
          <w:rFonts w:ascii="Arial" w:cs="Arial" w:eastAsia="Arial" w:hAnsi="Arial"/>
          <w:sz w:val="18"/>
          <w:szCs w:val="18"/>
          <w:color w:val="auto"/>
        </w:rPr>
        <w:t>Subject to the rights of the holders of any series of Preferred Stock that may be designated from time to time,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5" w:lineRule="exact"/>
        <w:rPr>
          <w:sz w:val="20"/>
          <w:szCs w:val="20"/>
          <w:color w:val="auto"/>
        </w:rPr>
      </w:pPr>
    </w:p>
    <w:p>
      <w:pPr>
        <w:ind w:right="40" w:firstLine="421"/>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 Meetings of the stockholders may be held within or without the State of Delaware, as the Bylaws may provide. The books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may be kept (subject to any provision contained in the Delaware statutes) outside the State of Delaware at such place or places as may be designated from time to time by the Board of Directors or by the Bylaws of the Corporation.</w:t>
      </w:r>
    </w:p>
    <w:p>
      <w:pPr>
        <w:spacing w:after="0" w:line="176" w:lineRule="exact"/>
        <w:rPr>
          <w:sz w:val="20"/>
          <w:szCs w:val="20"/>
          <w:color w:val="auto"/>
        </w:rPr>
      </w:pPr>
    </w:p>
    <w:p>
      <w:pPr>
        <w:ind w:right="40" w:firstLine="421"/>
        <w:spacing w:after="0" w:line="303"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u w:val="single" w:color="auto"/>
          <w:color w:val="auto"/>
        </w:rPr>
        <w:t>Special Meetings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required by statute and subject to the rights, if any, of the holders of any series of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special meetings of the stockholders of the Corporation may be called only by the Board of Directors acting pursuant to a resolution approved by the affirmative vote of a majority of the Board of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1" w:lineRule="exact"/>
        <w:rPr>
          <w:sz w:val="20"/>
          <w:szCs w:val="20"/>
          <w:color w:val="auto"/>
        </w:rPr>
      </w:pPr>
    </w:p>
    <w:p>
      <w:pPr>
        <w:ind w:right="760" w:firstLine="421"/>
        <w:spacing w:after="0" w:line="26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u w:val="single" w:color="auto"/>
          <w:color w:val="auto"/>
        </w:rPr>
        <w:t>Advance Notice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 the election of directors and of business to be brought by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before any meeting of the stockholders of the Corporation shall be given in the manner and to the extent provided in the Bylaws of the Corporation.</w:t>
      </w:r>
    </w:p>
    <w:p>
      <w:pPr>
        <w:spacing w:after="0" w:line="176" w:lineRule="exact"/>
        <w:rPr>
          <w:sz w:val="20"/>
          <w:szCs w:val="20"/>
          <w:color w:val="auto"/>
        </w:rPr>
      </w:pPr>
    </w:p>
    <w:p>
      <w:pPr>
        <w:ind w:right="20" w:firstLine="421"/>
        <w:spacing w:after="0" w:line="313" w:lineRule="auto"/>
        <w:rPr>
          <w:sz w:val="20"/>
          <w:szCs w:val="20"/>
          <w:color w:val="auto"/>
        </w:rPr>
      </w:pPr>
      <w:r>
        <w:rPr>
          <w:rFonts w:ascii="Arial" w:cs="Arial" w:eastAsia="Arial" w:hAnsi="Arial"/>
          <w:sz w:val="17"/>
          <w:szCs w:val="17"/>
          <w:b w:val="1"/>
          <w:bCs w:val="1"/>
          <w:color w:val="auto"/>
        </w:rPr>
        <w: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Stockholder Action by Written Consent</w:t>
      </w:r>
      <w:r>
        <w:rPr>
          <w:rFonts w:ascii="Arial" w:cs="Arial" w:eastAsia="Arial" w:hAnsi="Arial"/>
          <w:sz w:val="17"/>
          <w:szCs w:val="17"/>
          <w:color w:val="auto"/>
        </w:rPr>
        <w:t>. Any action required or permitted to be taken by stockholders may be effected only at a duly called annual or</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 of stockholders and may not be effected by a written consent or consents by stockholders in lieu of such a meeting.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LIMITATION OF DIRECTORS’ LIABILITY</w:t>
      </w:r>
    </w:p>
    <w:p>
      <w:pPr>
        <w:spacing w:after="0" w:line="229" w:lineRule="exact"/>
        <w:rPr>
          <w:sz w:val="20"/>
          <w:szCs w:val="20"/>
          <w:color w:val="auto"/>
        </w:rPr>
      </w:pPr>
    </w:p>
    <w:p>
      <w:pPr>
        <w:ind w:firstLine="421"/>
        <w:spacing w:after="0" w:line="257" w:lineRule="auto"/>
        <w:rPr>
          <w:sz w:val="20"/>
          <w:szCs w:val="20"/>
          <w:color w:val="auto"/>
        </w:rPr>
      </w:pPr>
      <w:r>
        <w:rPr>
          <w:rFonts w:ascii="Arial" w:cs="Arial" w:eastAsia="Arial" w:hAnsi="Arial"/>
          <w:sz w:val="18"/>
          <w:szCs w:val="18"/>
          <w:color w:val="auto"/>
        </w:rPr>
        <w:t xml:space="preserve">The liability of a director of the Corporation for monetary damages shall be eliminated to the fullest extent permitted by applicable law. If the Delaware General Corporation Law is amended to authorize corporate action further eliminating or limiting the personal liability of directors, then the liability of a director of the Corporation shall be eliminated to the fullest extent permitted by the Delaware General Corporation Law, as so amended. Any repeal or modification of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only be prospective and shall not affect the rights or increase the liability of any director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 effect at the time of the alleged occurrence of any action or omission to act giving rise to such liability.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INDEMNIFICATION</w:t>
      </w:r>
    </w:p>
    <w:p>
      <w:pPr>
        <w:spacing w:after="0" w:line="229" w:lineRule="exact"/>
        <w:rPr>
          <w:sz w:val="20"/>
          <w:szCs w:val="20"/>
          <w:color w:val="auto"/>
        </w:rPr>
      </w:pPr>
    </w:p>
    <w:p>
      <w:pPr>
        <w:ind w:right="100" w:firstLine="421"/>
        <w:spacing w:after="0" w:line="255" w:lineRule="auto"/>
        <w:rPr>
          <w:sz w:val="20"/>
          <w:szCs w:val="20"/>
          <w:color w:val="auto"/>
        </w:rPr>
      </w:pPr>
      <w:r>
        <w:rPr>
          <w:rFonts w:ascii="Arial" w:cs="Arial" w:eastAsia="Arial" w:hAnsi="Arial"/>
          <w:sz w:val="18"/>
          <w:szCs w:val="18"/>
          <w:color w:val="auto"/>
        </w:rPr>
        <w:t xml:space="preserve">To the fullest extent permitted by applicable law, the Corporation is authorized to provide indemnification of (and advancement of expenses to) its directors, officers, employees and agents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authorize corporate action further eliminating or limiting the personal liability of directors, then the liability of a director to the Corporation shall be eliminated or limited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4" w:name="page65"/>
    <w:bookmarkEnd w:id="64"/>
    <w:p>
      <w:pPr>
        <w:ind w:right="140"/>
        <w:spacing w:after="0" w:line="264" w:lineRule="auto"/>
        <w:rPr>
          <w:sz w:val="20"/>
          <w:szCs w:val="20"/>
          <w:color w:val="auto"/>
        </w:rPr>
      </w:pPr>
      <w:r>
        <w:rPr>
          <w:rFonts w:ascii="Arial" w:cs="Arial" w:eastAsia="Arial" w:hAnsi="Arial"/>
          <w:sz w:val="18"/>
          <w:szCs w:val="18"/>
          <w:color w:val="auto"/>
        </w:rPr>
        <w:t xml:space="preserve">permitted by applicable law as so amended. Any repeal or modification of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only be prospective and shall not affect the rights or limit the indemnification of any director, officer, employee or agent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in effect at the time of the alleged occurrence of any action or omission to act giving rise to such indemnification.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EXCLUSIVE JURISDICTION OF DELAWARE COURTS</w:t>
      </w:r>
    </w:p>
    <w:p>
      <w:pPr>
        <w:spacing w:after="0" w:line="229" w:lineRule="exact"/>
        <w:rPr>
          <w:sz w:val="20"/>
          <w:szCs w:val="20"/>
          <w:color w:val="auto"/>
        </w:rPr>
      </w:pPr>
    </w:p>
    <w:p>
      <w:pPr>
        <w:ind w:right="40" w:firstLine="421"/>
        <w:spacing w:after="0" w:line="273" w:lineRule="auto"/>
        <w:rPr>
          <w:sz w:val="20"/>
          <w:szCs w:val="20"/>
          <w:color w:val="auto"/>
        </w:rPr>
      </w:pPr>
      <w:r>
        <w:rPr>
          <w:rFonts w:ascii="Arial" w:cs="Arial" w:eastAsia="Arial" w:hAnsi="Arial"/>
          <w:sz w:val="17"/>
          <w:szCs w:val="17"/>
          <w:color w:val="auto"/>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AMENDMENT OF CERTIFICATE OF INCORPORATION</w:t>
      </w:r>
    </w:p>
    <w:p>
      <w:pPr>
        <w:spacing w:after="0" w:line="229" w:lineRule="exact"/>
        <w:rPr>
          <w:sz w:val="20"/>
          <w:szCs w:val="20"/>
          <w:color w:val="auto"/>
        </w:rPr>
      </w:pPr>
    </w:p>
    <w:p>
      <w:pPr>
        <w:ind w:right="40" w:firstLine="421"/>
        <w:spacing w:after="0" w:line="257" w:lineRule="auto"/>
        <w:rPr>
          <w:sz w:val="20"/>
          <w:szCs w:val="20"/>
          <w:color w:val="auto"/>
        </w:rPr>
      </w:pPr>
      <w:r>
        <w:rPr>
          <w:rFonts w:ascii="Arial" w:cs="Arial" w:eastAsia="Arial" w:hAnsi="Arial"/>
          <w:sz w:val="18"/>
          <w:szCs w:val="18"/>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which might otherwise permit a lesser vote or no vote, but in addition to any affirmative vote of the holders of any particular class or series of the Corporation required by law or by this Certificate of Incorporation or any certificate of designation filed with respect to a series of Preferred Stock, the</w:t>
      </w:r>
    </w:p>
    <w:p>
      <w:pPr>
        <w:spacing w:after="0" w:line="1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affirmative vote of the holders of at least sixty-six and two-thirds percent (66 2/3%) of the voting power of all of the then outstanding shares of capital stock of the Corporation entitled to vote generally in the election of directors, voting together as a single class, shall be required to alter, amend or repeal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Certificate of Incorporation.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OF BYLAWS</w:t>
      </w:r>
    </w:p>
    <w:p>
      <w:pPr>
        <w:spacing w:after="0" w:line="229" w:lineRule="exact"/>
        <w:rPr>
          <w:sz w:val="20"/>
          <w:szCs w:val="20"/>
          <w:color w:val="auto"/>
        </w:rPr>
      </w:pPr>
    </w:p>
    <w:p>
      <w:pPr>
        <w:ind w:firstLine="421"/>
        <w:spacing w:after="0" w:line="254" w:lineRule="auto"/>
        <w:rPr>
          <w:sz w:val="20"/>
          <w:szCs w:val="20"/>
          <w:color w:val="auto"/>
        </w:rPr>
      </w:pPr>
      <w:r>
        <w:rPr>
          <w:rFonts w:ascii="Arial" w:cs="Arial" w:eastAsia="Arial" w:hAnsi="Arial"/>
          <w:sz w:val="18"/>
          <w:szCs w:val="18"/>
          <w:color w:val="auto"/>
        </w:rPr>
        <w:t>Subject to the rights of the holders of any series of Preferred Stock that may be designated from time to time, the Board of Directors is expressly empowered to adopt, amend or repeal the Bylaws of the Corporation. Any adoption, amendment or repeal of the Bylaws by the Board of Directors shall require the approval of a majority of the authorized number of directors. The stockholders shall also have power to adopt, amend or repeal the Bylaws, subject to any restrictions which may be set forth in this Certificate of Incorporation (including any certificate of designation that may be filed from time to time); provided, however, that, in addition to any vote of the holders of any class or series of stock of the Corporation required by law or by this Certificate of Incorporation, such action by stockholders shall require the affirmative vote of the holders of at least sixty-six and two-thirds percent (66 2/3%) of the voting power of all of the then outstanding shares of capital stock of the Corporation entitled to vote generally in the election of directors, voting together as a single class.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ind w:right="320" w:firstLine="421"/>
        <w:spacing w:after="0" w:line="313" w:lineRule="auto"/>
        <w:rPr>
          <w:sz w:val="20"/>
          <w:szCs w:val="20"/>
          <w:color w:val="auto"/>
        </w:rPr>
      </w:pPr>
      <w:r>
        <w:rPr>
          <w:rFonts w:ascii="Arial" w:cs="Arial" w:eastAsia="Arial" w:hAnsi="Arial"/>
          <w:sz w:val="17"/>
          <w:szCs w:val="17"/>
          <w:b w:val="1"/>
          <w:bCs w:val="1"/>
          <w:color w:val="auto"/>
        </w:rPr>
        <w:t>FOUR</w:t>
      </w:r>
      <w:r>
        <w:rPr>
          <w:rFonts w:ascii="Arial" w:cs="Arial" w:eastAsia="Arial" w:hAnsi="Arial"/>
          <w:sz w:val="17"/>
          <w:szCs w:val="17"/>
          <w:color w:val="auto"/>
        </w:rPr>
        <w:t>: This Amended and Restated Certificate of Incorporation has been duly adopted by the Corporation’s Board of Directors and stockholders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applicable provisions of Sections 228, 242 and 245 of the General Corporation Law of the State of Delaware.</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5" w:name="page66"/>
    <w:bookmarkEnd w:id="65"/>
    <w:p>
      <w:pPr>
        <w:ind w:firstLine="421"/>
        <w:spacing w:after="0" w:line="342" w:lineRule="auto"/>
        <w:rPr>
          <w:sz w:val="20"/>
          <w:szCs w:val="20"/>
          <w:color w:val="auto"/>
        </w:rPr>
      </w:pPr>
      <w:r>
        <w:rPr>
          <w:rFonts w:ascii="Arial" w:cs="Arial" w:eastAsia="Arial" w:hAnsi="Arial"/>
          <w:sz w:val="16"/>
          <w:szCs w:val="16"/>
          <w:color w:val="auto"/>
        </w:rPr>
        <w:t>IN WITNESS WHEREOF, Tandem Diabetes Care, Inc. has caused this Amended and Restated Certificate of Incorporation to be executed by the undersigned, and the undersigned has executed this certificate and affirms the foregoing as true under penalty of perjury this day of October 9, 2017.</w:t>
      </w:r>
    </w:p>
    <w:p>
      <w:pPr>
        <w:spacing w:after="0" w:line="376"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Tandem Diabetes Care, Inc.</w:t>
      </w:r>
    </w:p>
    <w:p>
      <w:pPr>
        <w:spacing w:after="0" w:line="243" w:lineRule="exact"/>
        <w:rPr>
          <w:sz w:val="20"/>
          <w:szCs w:val="20"/>
          <w:color w:val="auto"/>
        </w:rPr>
      </w:pPr>
    </w:p>
    <w:p>
      <w:pPr>
        <w:ind w:left="7660"/>
        <w:spacing w:after="0"/>
        <w:tabs>
          <w:tab w:leader="none" w:pos="8100" w:val="left"/>
        </w:tabs>
        <w:rPr>
          <w:sz w:val="20"/>
          <w:szCs w:val="20"/>
          <w:color w:val="auto"/>
        </w:rPr>
      </w:pPr>
      <w:r>
        <w:rPr>
          <w:rFonts w:ascii="Arial" w:cs="Arial" w:eastAsia="Arial" w:hAnsi="Arial"/>
          <w:sz w:val="18"/>
          <w:szCs w:val="18"/>
          <w:color w:val="auto"/>
        </w:rPr>
        <w:t>By:</w:t>
        <w:tab/>
        <w:t>/s/ 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Kim D. Blickenstaff</w:t>
      </w:r>
    </w:p>
    <w:p>
      <w:pPr>
        <w:spacing w:after="0" w:line="23"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0880"/>
          </w:cols>
          <w:pgMar w:left="240" w:top="355" w:right="779" w:bottom="1440" w:gutter="0" w:footer="0" w:header="0"/>
        </w:sectPr>
      </w:pPr>
    </w:p>
    <w:bookmarkStart w:id="66" w:name="page67"/>
    <w:bookmarkEnd w:id="66"/>
    <w:p>
      <w:pPr>
        <w:jc w:val="right"/>
        <w:spacing w:after="0"/>
        <w:rPr>
          <w:sz w:val="20"/>
          <w:szCs w:val="20"/>
          <w:color w:val="auto"/>
        </w:rPr>
      </w:pPr>
      <w:r>
        <w:rPr>
          <w:rFonts w:ascii="Arial" w:cs="Arial" w:eastAsia="Arial" w:hAnsi="Arial"/>
          <w:sz w:val="21"/>
          <w:szCs w:val="21"/>
          <w:color w:val="auto"/>
        </w:rPr>
        <w:t>Exhibit 10.5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CONFIDENTIAL PORTIONS OMITTED AND FILED SEPARATELY WITH THE COMMISSION.</w:t>
      </w:r>
    </w:p>
    <w:p>
      <w:pPr>
        <w:spacing w:after="0" w:line="2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This Development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on June 4, 2015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Tandem Diabetes Care, Inc., a Delaware corporation, having a principal place of business at 11045 Roselle St., San Diego, CA 92121 (“</w:t>
      </w:r>
      <w:r>
        <w:rPr>
          <w:rFonts w:ascii="Arial" w:cs="Arial" w:eastAsia="Arial" w:hAnsi="Arial"/>
          <w:sz w:val="21"/>
          <w:szCs w:val="21"/>
          <w:b w:val="1"/>
          <w:bCs w:val="1"/>
          <w:color w:val="auto"/>
        </w:rPr>
        <w:t>Tandem</w:t>
      </w:r>
      <w:r>
        <w:rPr>
          <w:rFonts w:ascii="Arial" w:cs="Arial" w:eastAsia="Arial" w:hAnsi="Arial"/>
          <w:sz w:val="21"/>
          <w:szCs w:val="21"/>
          <w:color w:val="auto"/>
        </w:rPr>
        <w:t>”) and DexCom, Inc., a Delaware corporation, having a principal place of business at 6340 Sequence Drive, San Diego, CA 92121 (“</w:t>
      </w:r>
      <w:r>
        <w:rPr>
          <w:rFonts w:ascii="Arial" w:cs="Arial" w:eastAsia="Arial" w:hAnsi="Arial"/>
          <w:sz w:val="21"/>
          <w:szCs w:val="21"/>
          <w:b w:val="1"/>
          <w:bCs w:val="1"/>
          <w:color w:val="auto"/>
        </w:rPr>
        <w:t>DexCom</w:t>
      </w:r>
      <w:r>
        <w:rPr>
          <w:rFonts w:ascii="Arial" w:cs="Arial" w:eastAsia="Arial" w:hAnsi="Arial"/>
          <w:sz w:val="21"/>
          <w:szCs w:val="21"/>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20" w:lineRule="exact"/>
        <w:rPr>
          <w:sz w:val="20"/>
          <w:szCs w:val="20"/>
          <w:color w:val="auto"/>
        </w:rPr>
      </w:pPr>
    </w:p>
    <w:p>
      <w:pPr>
        <w:ind w:left="1260" w:hanging="415"/>
        <w:spacing w:after="0" w:line="264" w:lineRule="auto"/>
        <w:tabs>
          <w:tab w:leader="none" w:pos="12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DexCom is in the business of developing and commercializing continuous glucose monitoring systems, and is currently developing the DexCom G6 System (as defined below).</w:t>
      </w:r>
    </w:p>
    <w:p>
      <w:pPr>
        <w:spacing w:after="0" w:line="171" w:lineRule="exact"/>
        <w:rPr>
          <w:rFonts w:ascii="Arial" w:cs="Arial" w:eastAsia="Arial" w:hAnsi="Arial"/>
          <w:sz w:val="21"/>
          <w:szCs w:val="21"/>
          <w:color w:val="auto"/>
        </w:rPr>
      </w:pPr>
    </w:p>
    <w:p>
      <w:pPr>
        <w:ind w:left="1260" w:hanging="415"/>
        <w:spacing w:after="0"/>
        <w:tabs>
          <w:tab w:leader="none" w:pos="12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Tandem has developed, and is developing, current and next generations of insulin infusion pump systems.</w:t>
      </w:r>
    </w:p>
    <w:p>
      <w:pPr>
        <w:spacing w:after="0" w:line="217" w:lineRule="exact"/>
        <w:rPr>
          <w:rFonts w:ascii="Arial" w:cs="Arial" w:eastAsia="Arial" w:hAnsi="Arial"/>
          <w:sz w:val="21"/>
          <w:szCs w:val="21"/>
          <w:color w:val="auto"/>
        </w:rPr>
      </w:pPr>
    </w:p>
    <w:p>
      <w:pPr>
        <w:jc w:val="both"/>
        <w:ind w:left="1260" w:hanging="415"/>
        <w:spacing w:after="0" w:line="273" w:lineRule="auto"/>
        <w:tabs>
          <w:tab w:leader="none" w:pos="12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parties believe it is in each of their best interests to enable Tandem to adapt the Tandem Display Device (defined below) to identify, receive, and display information from the DexCom G6 System, which is adapted to communicate information on a one-way basis between a DexCom Sensor (defined below) via the DexCom BT CGM Transmitter</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(defined below) to an external receiver or other display, such as the Tandem Display Device.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21"/>
          <w:szCs w:val="21"/>
          <w:color w:val="auto"/>
        </w:rPr>
        <w:t>The parties therefore agree as follows:</w:t>
      </w:r>
    </w:p>
    <w:p>
      <w:pPr>
        <w:spacing w:after="0" w:line="200" w:lineRule="exact"/>
        <w:rPr>
          <w:sz w:val="20"/>
          <w:szCs w:val="20"/>
          <w:color w:val="auto"/>
        </w:rPr>
      </w:pPr>
    </w:p>
    <w:p>
      <w:pPr>
        <w:spacing w:after="0" w:line="210" w:lineRule="exact"/>
        <w:rPr>
          <w:sz w:val="20"/>
          <w:szCs w:val="20"/>
          <w:color w:val="auto"/>
        </w:rPr>
      </w:pPr>
    </w:p>
    <w:p>
      <w:pPr>
        <w:ind w:left="840" w:hanging="832"/>
        <w:spacing w:after="0"/>
        <w:tabs>
          <w:tab w:leader="none" w:pos="84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p>
    <w:p>
      <w:pPr>
        <w:spacing w:after="0" w:line="217" w:lineRule="exact"/>
        <w:rPr>
          <w:rFonts w:ascii="Arial" w:cs="Arial" w:eastAsia="Arial" w:hAnsi="Arial"/>
          <w:sz w:val="21"/>
          <w:szCs w:val="21"/>
          <w:b w:val="1"/>
          <w:bCs w:val="1"/>
          <w:color w:val="auto"/>
        </w:rPr>
      </w:pPr>
    </w:p>
    <w:p>
      <w:pPr>
        <w:ind w:left="1680" w:hanging="837"/>
        <w:spacing w:after="0" w:line="248" w:lineRule="auto"/>
        <w:rPr>
          <w:rFonts w:ascii="Arial" w:cs="Arial" w:eastAsia="Arial" w:hAnsi="Arial"/>
          <w:sz w:val="21"/>
          <w:szCs w:val="21"/>
          <w:b w:val="1"/>
          <w:bCs w:val="1"/>
          <w:color w:val="auto"/>
        </w:rPr>
      </w:pPr>
      <w:r>
        <w:rPr>
          <w:rFonts w:ascii="Arial" w:cs="Arial" w:eastAsia="Arial" w:hAnsi="Arial"/>
          <w:sz w:val="21"/>
          <w:szCs w:val="21"/>
          <w:color w:val="auto"/>
        </w:rPr>
        <w:t>1.1.“</w:t>
      </w:r>
      <w:r>
        <w:rPr>
          <w:rFonts w:ascii="Arial" w:cs="Arial" w:eastAsia="Arial" w:hAnsi="Arial"/>
          <w:sz w:val="21"/>
          <w:szCs w:val="21"/>
          <w:b w:val="1"/>
          <w:bCs w:val="1"/>
          <w:color w:val="auto"/>
        </w:rPr>
        <w:t>Affiliates</w:t>
      </w:r>
      <w:r>
        <w:rPr>
          <w:rFonts w:ascii="Arial" w:cs="Arial" w:eastAsia="Arial" w:hAnsi="Arial"/>
          <w:sz w:val="21"/>
          <w:szCs w:val="21"/>
          <w:color w:val="auto"/>
        </w:rPr>
        <w:t>” means any corporation or other entity that is directly or indirectly controlling, controlled by or under common control with a party. For the purpose of this definition, “control” means the direct or indirect ownership of more than fifty percent (50%) of the capital stock of the subject entity entitled to vote in the election of directors (or, in the case of an entity that is not a corporation, interests entitled to vote in the election of the corresponding managing authority).</w:t>
      </w:r>
    </w:p>
    <w:p>
      <w:pPr>
        <w:spacing w:after="0" w:line="183" w:lineRule="exact"/>
        <w:rPr>
          <w:rFonts w:ascii="Arial" w:cs="Arial" w:eastAsia="Arial" w:hAnsi="Arial"/>
          <w:sz w:val="21"/>
          <w:szCs w:val="21"/>
          <w:b w:val="1"/>
          <w:bCs w:val="1"/>
          <w:color w:val="auto"/>
        </w:rPr>
      </w:pPr>
    </w:p>
    <w:p>
      <w:pPr>
        <w:ind w:left="840"/>
        <w:spacing w:after="0"/>
        <w:rPr>
          <w:rFonts w:ascii="Arial" w:cs="Arial" w:eastAsia="Arial" w:hAnsi="Arial"/>
          <w:sz w:val="21"/>
          <w:szCs w:val="21"/>
          <w:b w:val="1"/>
          <w:bCs w:val="1"/>
          <w:color w:val="auto"/>
        </w:rPr>
      </w:pPr>
      <w:r>
        <w:rPr>
          <w:rFonts w:ascii="Arial" w:cs="Arial" w:eastAsia="Arial" w:hAnsi="Arial"/>
          <w:sz w:val="21"/>
          <w:szCs w:val="21"/>
          <w:color w:val="auto"/>
        </w:rPr>
        <w:t>1.2.</w:t>
      </w:r>
      <w:r>
        <w:rPr>
          <w:rFonts w:ascii="Arial" w:cs="Arial" w:eastAsia="Arial" w:hAnsi="Arial"/>
          <w:sz w:val="18"/>
          <w:szCs w:val="18"/>
          <w:b w:val="1"/>
          <w:bCs w:val="1"/>
          <w:color w:val="auto"/>
        </w:rPr>
        <w:t xml:space="preserve">“Communication Protocol” </w:t>
      </w:r>
      <w:r>
        <w:rPr>
          <w:rFonts w:ascii="Arial" w:cs="Arial" w:eastAsia="Arial" w:hAnsi="Arial"/>
          <w:sz w:val="18"/>
          <w:szCs w:val="18"/>
          <w:color w:val="auto"/>
        </w:rPr>
        <w:t>will have the meaning given to that term in Section 2.2 below.</w:t>
      </w:r>
    </w:p>
    <w:p>
      <w:pPr>
        <w:spacing w:after="0" w:line="217" w:lineRule="exact"/>
        <w:rPr>
          <w:rFonts w:ascii="Arial" w:cs="Arial" w:eastAsia="Arial" w:hAnsi="Arial"/>
          <w:sz w:val="21"/>
          <w:szCs w:val="21"/>
          <w:b w:val="1"/>
          <w:bCs w:val="1"/>
          <w:color w:val="auto"/>
        </w:rPr>
      </w:pPr>
    </w:p>
    <w:p>
      <w:pPr>
        <w:ind w:left="1680" w:hanging="837"/>
        <w:spacing w:after="0" w:line="251" w:lineRule="auto"/>
        <w:rPr>
          <w:rFonts w:ascii="Arial" w:cs="Arial" w:eastAsia="Arial" w:hAnsi="Arial"/>
          <w:sz w:val="21"/>
          <w:szCs w:val="21"/>
          <w:b w:val="1"/>
          <w:bCs w:val="1"/>
          <w:color w:val="auto"/>
        </w:rPr>
      </w:pPr>
      <w:r>
        <w:rPr>
          <w:rFonts w:ascii="Arial" w:cs="Arial" w:eastAsia="Arial" w:hAnsi="Arial"/>
          <w:sz w:val="21"/>
          <w:szCs w:val="21"/>
          <w:color w:val="auto"/>
        </w:rPr>
        <w:t>1.3.“</w:t>
      </w:r>
      <w:r>
        <w:rPr>
          <w:rFonts w:ascii="Arial" w:cs="Arial" w:eastAsia="Arial" w:hAnsi="Arial"/>
          <w:sz w:val="21"/>
          <w:szCs w:val="21"/>
          <w:b w:val="1"/>
          <w:bCs w:val="1"/>
          <w:color w:val="auto"/>
        </w:rPr>
        <w:t>DexCom BT CGM Transmitter</w:t>
      </w:r>
      <w:r>
        <w:rPr>
          <w:rFonts w:ascii="Arial" w:cs="Arial" w:eastAsia="Arial" w:hAnsi="Arial"/>
          <w:sz w:val="21"/>
          <w:szCs w:val="21"/>
          <w:color w:val="auto"/>
        </w:rPr>
        <w:t>” means the transmitter component of the DexCom G6 System that is configured to transmit information from a DexCom Sensor via Bluetooth to any receiver adapted to identify, receive, and display such information, and is also controlled from an authenticated receiver, such as the DexCom Receiver, and the DexCom CGM Smartphone App.</w:t>
      </w:r>
    </w:p>
    <w:p>
      <w:pPr>
        <w:spacing w:after="0" w:line="178" w:lineRule="exact"/>
        <w:rPr>
          <w:rFonts w:ascii="Arial" w:cs="Arial" w:eastAsia="Arial" w:hAnsi="Arial"/>
          <w:sz w:val="21"/>
          <w:szCs w:val="21"/>
          <w:b w:val="1"/>
          <w:bCs w:val="1"/>
          <w:color w:val="auto"/>
        </w:rPr>
      </w:pPr>
    </w:p>
    <w:p>
      <w:pPr>
        <w:ind w:left="1680" w:hanging="837"/>
        <w:spacing w:after="0" w:line="270" w:lineRule="auto"/>
        <w:rPr>
          <w:rFonts w:ascii="Arial" w:cs="Arial" w:eastAsia="Arial" w:hAnsi="Arial"/>
          <w:sz w:val="21"/>
          <w:szCs w:val="21"/>
          <w:b w:val="1"/>
          <w:bCs w:val="1"/>
          <w:color w:val="auto"/>
        </w:rPr>
      </w:pPr>
      <w:r>
        <w:rPr>
          <w:rFonts w:ascii="Arial" w:cs="Arial" w:eastAsia="Arial" w:hAnsi="Arial"/>
          <w:sz w:val="21"/>
          <w:szCs w:val="21"/>
          <w:color w:val="auto"/>
        </w:rPr>
        <w:t>1.4.“</w:t>
      </w:r>
      <w:r>
        <w:rPr>
          <w:rFonts w:ascii="Arial" w:cs="Arial" w:eastAsia="Arial" w:hAnsi="Arial"/>
          <w:sz w:val="21"/>
          <w:szCs w:val="21"/>
          <w:b w:val="1"/>
          <w:bCs w:val="1"/>
          <w:color w:val="auto"/>
        </w:rPr>
        <w:t>DexCom CGM-Enabled Tandem Display Device</w:t>
      </w:r>
      <w:r>
        <w:rPr>
          <w:rFonts w:ascii="Arial" w:cs="Arial" w:eastAsia="Arial" w:hAnsi="Arial"/>
          <w:sz w:val="21"/>
          <w:szCs w:val="21"/>
          <w:color w:val="auto"/>
        </w:rPr>
        <w:t>” means a Tandem Display Device comprising a receiver or other component of the Tandem Insulin Infusion Pump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7" w:name="page68"/>
    <w:bookmarkEnd w:id="67"/>
    <w:p>
      <w:pPr>
        <w:jc w:val="both"/>
        <w:ind w:left="840"/>
        <w:spacing w:after="0" w:line="249" w:lineRule="auto"/>
        <w:rPr>
          <w:sz w:val="20"/>
          <w:szCs w:val="20"/>
          <w:color w:val="auto"/>
        </w:rPr>
      </w:pPr>
      <w:r>
        <w:rPr>
          <w:rFonts w:ascii="Arial" w:cs="Arial" w:eastAsia="Arial" w:hAnsi="Arial"/>
          <w:sz w:val="21"/>
          <w:szCs w:val="21"/>
          <w:color w:val="auto"/>
        </w:rPr>
        <w:t>configured to identify, receive, interpret, process and/or display DexCom Sensor Information from a DexCom BT CGM Transmitter and control the DexCom BT CGM Transmitter. A DexCom CGM-Enabled Tandem Display Device will be independently developed by Tandem pursuant to Section 2.1 and is not, and will not be, a component of a DexCom G6 System.</w:t>
      </w:r>
    </w:p>
    <w:p>
      <w:pPr>
        <w:spacing w:after="0" w:line="180" w:lineRule="exact"/>
        <w:rPr>
          <w:sz w:val="20"/>
          <w:szCs w:val="20"/>
          <w:color w:val="auto"/>
        </w:rPr>
      </w:pPr>
    </w:p>
    <w:p>
      <w:pPr>
        <w:jc w:val="both"/>
        <w:ind w:left="840" w:hanging="836"/>
        <w:spacing w:after="0" w:line="267" w:lineRule="auto"/>
        <w:tabs>
          <w:tab w:leader="none" w:pos="8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20"/>
          <w:szCs w:val="20"/>
          <w:b w:val="1"/>
          <w:bCs w:val="1"/>
          <w:color w:val="auto"/>
        </w:rPr>
        <w:t>DexCom CGM Smartphone App</w:t>
      </w:r>
      <w:r>
        <w:rPr>
          <w:rFonts w:ascii="Arial" w:cs="Arial" w:eastAsia="Arial" w:hAnsi="Arial"/>
          <w:sz w:val="20"/>
          <w:szCs w:val="20"/>
          <w:color w:val="auto"/>
        </w:rPr>
        <w:t>” means the smartphone application component of the DexCom G6 System that</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identifies, receives, deciphers and displays information transmitted by a DexCom BT CGM Transmitter from a DexCom Sensor, and also enables control of the DexCom BT CGM Transmitter by receiving and transmitting data to the DexCom G6 System, such as configuration settings and calibration values.</w:t>
      </w:r>
    </w:p>
    <w:p>
      <w:pPr>
        <w:spacing w:after="0" w:line="165" w:lineRule="exact"/>
        <w:rPr>
          <w:sz w:val="20"/>
          <w:szCs w:val="20"/>
          <w:color w:val="auto"/>
        </w:rPr>
      </w:pPr>
    </w:p>
    <w:p>
      <w:pPr>
        <w:jc w:val="both"/>
        <w:ind w:left="840" w:hanging="836"/>
        <w:spacing w:after="0" w:line="251" w:lineRule="auto"/>
        <w:tabs>
          <w:tab w:leader="none" w:pos="8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DexCom G6 System</w:t>
      </w:r>
      <w:r>
        <w:rPr>
          <w:rFonts w:ascii="Arial" w:cs="Arial" w:eastAsia="Arial" w:hAnsi="Arial"/>
          <w:sz w:val="21"/>
          <w:szCs w:val="21"/>
          <w:color w:val="auto"/>
        </w:rPr>
        <w:t>” means DexCom’s sixth generation continuous glucose monitoring system comprised of the following components, all designed, developed and manufactured by DexCom: a DexCom Sensor, a DexCom BT CGM Transmitter, DexCom Sensor Information, the Communication Protocol, a DexCom Receiver, and the DexCom CGM Smartphone App.</w:t>
      </w:r>
    </w:p>
    <w:p>
      <w:pPr>
        <w:spacing w:after="0" w:line="178" w:lineRule="exact"/>
        <w:rPr>
          <w:sz w:val="20"/>
          <w:szCs w:val="20"/>
          <w:color w:val="auto"/>
        </w:rPr>
      </w:pPr>
    </w:p>
    <w:p>
      <w:pPr>
        <w:jc w:val="both"/>
        <w:ind w:left="840" w:hanging="836"/>
        <w:spacing w:after="0" w:line="251" w:lineRule="auto"/>
        <w:tabs>
          <w:tab w:leader="none" w:pos="8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DexCom Receiver</w:t>
      </w:r>
      <w:r>
        <w:rPr>
          <w:rFonts w:ascii="Arial" w:cs="Arial" w:eastAsia="Arial" w:hAnsi="Arial"/>
          <w:sz w:val="21"/>
          <w:szCs w:val="21"/>
          <w:color w:val="auto"/>
        </w:rPr>
        <w:t>” means a component of the DexCom G6 System that identifies, receives, deciphers and displays information transmitted by a DexCom BT CGM Transmitter from a DexCom Sensor, and also enables control of the DexCom Transmitter by receiving and transmitting data to the DexCom G6 System, such as configuration settings and calibration values.</w:t>
      </w:r>
    </w:p>
    <w:p>
      <w:pPr>
        <w:spacing w:after="0" w:line="178" w:lineRule="exact"/>
        <w:rPr>
          <w:sz w:val="20"/>
          <w:szCs w:val="20"/>
          <w:color w:val="auto"/>
        </w:rPr>
      </w:pPr>
    </w:p>
    <w:p>
      <w:pPr>
        <w:jc w:val="both"/>
        <w:ind w:left="840" w:hanging="836"/>
        <w:spacing w:after="0" w:line="286" w:lineRule="auto"/>
        <w:tabs>
          <w:tab w:leader="none" w:pos="8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DexCom Sensor</w:t>
      </w:r>
      <w:r>
        <w:rPr>
          <w:rFonts w:ascii="Arial" w:cs="Arial" w:eastAsia="Arial" w:hAnsi="Arial"/>
          <w:sz w:val="19"/>
          <w:szCs w:val="19"/>
          <w:color w:val="auto"/>
        </w:rPr>
        <w:t>” means the component of the DexCom G6 System comprising a continuous glucose monitoring electrode sensor, adapted to (i) penetrate the patient’s skin to come into contact with the patient’s interstitial fluid, (ii) measure interstitial fluid glucose level, and (iii) be operably coupled to a DexCom BT CGM Transmitter to communicate the blood glucose value as measured by the DexCom Sensor to a separate receiver.</w:t>
      </w:r>
    </w:p>
    <w:p>
      <w:pPr>
        <w:spacing w:after="0" w:line="147" w:lineRule="exact"/>
        <w:rPr>
          <w:sz w:val="20"/>
          <w:szCs w:val="20"/>
          <w:color w:val="auto"/>
        </w:rPr>
      </w:pPr>
    </w:p>
    <w:p>
      <w:pPr>
        <w:jc w:val="both"/>
        <w:ind w:left="840" w:hanging="836"/>
        <w:spacing w:after="0" w:line="259" w:lineRule="auto"/>
        <w:tabs>
          <w:tab w:leader="none" w:pos="8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DexCom Sensor Information</w:t>
      </w:r>
      <w:r>
        <w:rPr>
          <w:rFonts w:ascii="Arial" w:cs="Arial" w:eastAsia="Arial" w:hAnsi="Arial"/>
          <w:sz w:val="20"/>
          <w:szCs w:val="20"/>
          <w:color w:val="auto"/>
        </w:rPr>
        <w:t>” consists of a DexCom BT CGM Transmitter interface spec that specifies contents of the transmitter broadcast message and the available control functions (the “</w:t>
      </w:r>
      <w:r>
        <w:rPr>
          <w:rFonts w:ascii="Arial" w:cs="Arial" w:eastAsia="Arial" w:hAnsi="Arial"/>
          <w:sz w:val="20"/>
          <w:szCs w:val="20"/>
          <w:b w:val="1"/>
          <w:bCs w:val="1"/>
          <w:color w:val="auto"/>
        </w:rPr>
        <w:t>Specification</w:t>
      </w:r>
      <w:r>
        <w:rPr>
          <w:rFonts w:ascii="Arial" w:cs="Arial" w:eastAsia="Arial" w:hAnsi="Arial"/>
          <w:sz w:val="20"/>
          <w:szCs w:val="20"/>
          <w:color w:val="auto"/>
        </w:rPr>
        <w:t>”). The transmitter broadcast message will contains items such as estimated glucose value, device display time stamp information, the trend arrow and calibration confidence intervals as stored in the DexCom BT CGM Transmitter. The control functions provide the commands required to start session, stop session and calibrate. Any additional sensor information to be shared must be agreed in writing by both parties or shall be the result of DexCom’s updating of the Specification, which shall be permitted without requiring compliance with Section 10.7. The term “DexCom Sensor Information” shall in no way be construed to include the Raw Data.</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the date set forth in the preamble above.</w:t>
      </w:r>
    </w:p>
    <w:p>
      <w:pPr>
        <w:spacing w:after="0" w:line="200" w:lineRule="exact"/>
        <w:rPr>
          <w:sz w:val="20"/>
          <w:szCs w:val="20"/>
          <w:color w:val="auto"/>
        </w:rPr>
      </w:pPr>
    </w:p>
    <w:p>
      <w:pPr>
        <w:spacing w:after="0" w:line="23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558" w:right="239" w:bottom="1440" w:gutter="0" w:footer="0" w:header="0"/>
        </w:sectPr>
      </w:pPr>
    </w:p>
    <w:bookmarkStart w:id="68" w:name="page69"/>
    <w:bookmarkEnd w:id="68"/>
    <w:p>
      <w:pPr>
        <w:jc w:val="both"/>
        <w:ind w:left="1680" w:right="20" w:hanging="836"/>
        <w:spacing w:after="0" w:line="256" w:lineRule="auto"/>
        <w:tabs>
          <w:tab w:leader="none" w:pos="166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Integrated System</w:t>
      </w:r>
      <w:r>
        <w:rPr>
          <w:rFonts w:ascii="Arial" w:cs="Arial" w:eastAsia="Arial" w:hAnsi="Arial"/>
          <w:sz w:val="21"/>
          <w:szCs w:val="21"/>
          <w:color w:val="auto"/>
        </w:rPr>
        <w:t>" shall mean a Tandem System that implements the Communication Protocol and is capable, among other things, of receiving and displaying continuous glucose monitoring data generated by the DexCom G6 System.</w:t>
      </w:r>
    </w:p>
    <w:p>
      <w:pPr>
        <w:spacing w:after="0" w:line="173" w:lineRule="exact"/>
        <w:rPr>
          <w:sz w:val="20"/>
          <w:szCs w:val="20"/>
          <w:color w:val="auto"/>
        </w:rPr>
      </w:pPr>
    </w:p>
    <w:p>
      <w:pPr>
        <w:jc w:val="both"/>
        <w:ind w:left="1680" w:hanging="836"/>
        <w:spacing w:after="0" w:line="276" w:lineRule="auto"/>
        <w:tabs>
          <w:tab w:leader="none" w:pos="166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(collectively): copyright rights (including, without limitation, the exclusive right to use, reproduce, modify, distribute, publicly display and publicly perform the copyrighted work), trademark rights (including, without limitation trade names, trademarks, service marks, and trade dress), patent rights (including, without limitation, the exclusive right to make, have made, import, use, sell and offer to sell), trade secrets, rights of publicity, authors’ and moral rights, goodwill and all other intellectual and industrial property rights as may exist now and/or hereafter come into existence and all renewals, reissues and extensions thereof, regardless of whether such rights arise under the laws of the United States or any other U.S. state or other country or jurisdiction.</w:t>
      </w:r>
    </w:p>
    <w:p>
      <w:pPr>
        <w:spacing w:after="0" w:line="159" w:lineRule="exact"/>
        <w:rPr>
          <w:sz w:val="20"/>
          <w:szCs w:val="20"/>
          <w:color w:val="auto"/>
        </w:rPr>
      </w:pPr>
    </w:p>
    <w:p>
      <w:pPr>
        <w:jc w:val="both"/>
        <w:ind w:left="1680" w:hanging="836"/>
        <w:spacing w:after="0" w:line="270" w:lineRule="auto"/>
        <w:tabs>
          <w:tab w:leader="none" w:pos="166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Raw Data</w:t>
      </w:r>
      <w:r>
        <w:rPr>
          <w:rFonts w:ascii="Arial" w:cs="Arial" w:eastAsia="Arial" w:hAnsi="Arial"/>
          <w:sz w:val="21"/>
          <w:szCs w:val="21"/>
          <w:color w:val="auto"/>
        </w:rPr>
        <w:t>” means any raw data used by the DexCom G6 System or any other data generated or stored by the DexCom G6 System that is not included in the definition of DexCom Sensor Information.</w:t>
      </w:r>
    </w:p>
    <w:p>
      <w:pPr>
        <w:spacing w:after="0" w:line="159" w:lineRule="exact"/>
        <w:rPr>
          <w:sz w:val="20"/>
          <w:szCs w:val="20"/>
          <w:color w:val="auto"/>
        </w:rPr>
      </w:pPr>
    </w:p>
    <w:p>
      <w:pPr>
        <w:jc w:val="both"/>
        <w:ind w:left="1680" w:hanging="836"/>
        <w:spacing w:after="0" w:line="256" w:lineRule="auto"/>
        <w:tabs>
          <w:tab w:leader="none" w:pos="166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Tandem Display Device</w:t>
      </w:r>
      <w:r>
        <w:rPr>
          <w:rFonts w:ascii="Arial" w:cs="Arial" w:eastAsia="Arial" w:hAnsi="Arial"/>
          <w:sz w:val="21"/>
          <w:szCs w:val="21"/>
          <w:color w:val="auto"/>
        </w:rPr>
        <w:t>” means a device used in connection with, or component of the, Tandem Insulin Infusion Pump that communicates with and controls the Tandem Insulin Infusion Pump and which also stores and processes data related to the Tandem System.</w:t>
      </w:r>
    </w:p>
    <w:p>
      <w:pPr>
        <w:spacing w:after="0" w:line="173" w:lineRule="exact"/>
        <w:rPr>
          <w:sz w:val="20"/>
          <w:szCs w:val="20"/>
          <w:color w:val="auto"/>
        </w:rPr>
      </w:pPr>
    </w:p>
    <w:p>
      <w:pPr>
        <w:jc w:val="both"/>
        <w:ind w:left="1680" w:hanging="836"/>
        <w:spacing w:after="0" w:line="270" w:lineRule="auto"/>
        <w:tabs>
          <w:tab w:leader="none" w:pos="166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Tandem Insulin Infusion Pump</w:t>
      </w:r>
      <w:r>
        <w:rPr>
          <w:rFonts w:ascii="Arial" w:cs="Arial" w:eastAsia="Arial" w:hAnsi="Arial"/>
          <w:sz w:val="21"/>
          <w:szCs w:val="21"/>
          <w:color w:val="auto"/>
        </w:rPr>
        <w:t>” means a subcutaneous infusion pump for insulin delivery, either alone or together with other medicaments.</w:t>
      </w:r>
    </w:p>
    <w:p>
      <w:pPr>
        <w:spacing w:after="0" w:line="159" w:lineRule="exact"/>
        <w:rPr>
          <w:sz w:val="20"/>
          <w:szCs w:val="20"/>
          <w:color w:val="auto"/>
        </w:rPr>
      </w:pPr>
    </w:p>
    <w:p>
      <w:pPr>
        <w:jc w:val="both"/>
        <w:ind w:left="1680" w:hanging="836"/>
        <w:spacing w:after="0" w:line="270" w:lineRule="auto"/>
        <w:tabs>
          <w:tab w:leader="none" w:pos="166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Tandem System</w:t>
      </w:r>
      <w:r>
        <w:rPr>
          <w:rFonts w:ascii="Arial" w:cs="Arial" w:eastAsia="Arial" w:hAnsi="Arial"/>
          <w:sz w:val="21"/>
          <w:szCs w:val="21"/>
          <w:color w:val="auto"/>
        </w:rPr>
        <w:t>” means a subcutaneous infusion system comprised of the following components: a Tandem Insulin Infusion Pump and a Tandem Display Device.</w:t>
      </w:r>
    </w:p>
    <w:p>
      <w:pPr>
        <w:spacing w:after="0" w:line="375" w:lineRule="exact"/>
        <w:rPr>
          <w:sz w:val="20"/>
          <w:szCs w:val="20"/>
          <w:color w:val="auto"/>
        </w:rPr>
      </w:pPr>
    </w:p>
    <w:p>
      <w:pPr>
        <w:ind w:left="840" w:hanging="832"/>
        <w:spacing w:after="0"/>
        <w:tabs>
          <w:tab w:leader="none" w:pos="84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Development &amp; Regulatory</w:t>
      </w:r>
    </w:p>
    <w:p>
      <w:pPr>
        <w:spacing w:after="0" w:line="223" w:lineRule="exact"/>
        <w:rPr>
          <w:rFonts w:ascii="Arial" w:cs="Arial" w:eastAsia="Arial" w:hAnsi="Arial"/>
          <w:sz w:val="21"/>
          <w:szCs w:val="21"/>
          <w:b w:val="1"/>
          <w:bCs w:val="1"/>
          <w:color w:val="auto"/>
        </w:rPr>
      </w:pPr>
    </w:p>
    <w:p>
      <w:pPr>
        <w:jc w:val="both"/>
        <w:ind w:left="1680" w:hanging="835"/>
        <w:spacing w:after="0" w:line="260" w:lineRule="auto"/>
        <w:tabs>
          <w:tab w:leader="none" w:pos="168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Tandem Responsibilities</w:t>
      </w:r>
      <w:r>
        <w:rPr>
          <w:rFonts w:ascii="Arial" w:cs="Arial" w:eastAsia="Arial" w:hAnsi="Arial"/>
          <w:sz w:val="20"/>
          <w:szCs w:val="20"/>
          <w:color w:val="auto"/>
        </w:rPr>
        <w:t>. At Tandem’s sole cost, Tandem intends to develop a version of the Tandem System comprising a DexCom CGM-Enabled Tandem Display Device. Tandem shall be solely responsible for all design, development, regulatory and commercialization activities associated with such DexCom CGM-Enabled Tandem Display Device. Tandem shall ensure that any DexCom CGM-Enabled Tandem Device shall not interfere with the ability of the DexCom BT CGM Transmitter to remain paired and communicate with the DexCom CGM Smartphone App at all times, notwithstanding any pairing with the Tandem System.</w:t>
      </w:r>
    </w:p>
    <w:p>
      <w:pPr>
        <w:spacing w:after="0" w:line="179" w:lineRule="exact"/>
        <w:rPr>
          <w:rFonts w:ascii="Arial" w:cs="Arial" w:eastAsia="Arial" w:hAnsi="Arial"/>
          <w:sz w:val="20"/>
          <w:szCs w:val="20"/>
          <w:color w:val="auto"/>
        </w:rPr>
      </w:pPr>
    </w:p>
    <w:p>
      <w:pPr>
        <w:jc w:val="both"/>
        <w:ind w:left="1680" w:hanging="835"/>
        <w:spacing w:after="0" w:line="247" w:lineRule="auto"/>
        <w:tabs>
          <w:tab w:leader="none" w:pos="1680"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DexCom Responsibilities</w:t>
      </w:r>
      <w:r>
        <w:rPr>
          <w:rFonts w:ascii="Arial" w:cs="Arial" w:eastAsia="Arial" w:hAnsi="Arial"/>
          <w:sz w:val="21"/>
          <w:szCs w:val="21"/>
          <w:color w:val="auto"/>
        </w:rPr>
        <w:t>. At DexCom’s sole cost, DexCom intends to develop a DexCom G6 System. DexCom shall be solely responsible for all design, development, regulatory and commercialization activities associated with such DexCom G6 System. Upon completion of such development, DexCom will provide Tandem with a communication protocol that permits a DexCom CGM-Enabled Tandem Display Device to identify, receive and display DexCom Sensor Information and to control the DexCom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9" w:name="page70"/>
    <w:bookmarkEnd w:id="69"/>
    <w:p>
      <w:pPr>
        <w:jc w:val="both"/>
        <w:ind w:left="1680"/>
        <w:spacing w:after="0" w:line="264" w:lineRule="auto"/>
        <w:rPr>
          <w:sz w:val="20"/>
          <w:szCs w:val="20"/>
          <w:color w:val="auto"/>
        </w:rPr>
      </w:pPr>
      <w:r>
        <w:rPr>
          <w:rFonts w:ascii="Arial" w:cs="Arial" w:eastAsia="Arial" w:hAnsi="Arial"/>
          <w:sz w:val="20"/>
          <w:szCs w:val="20"/>
          <w:color w:val="auto"/>
        </w:rPr>
        <w:t>BT CGM Transmitter (the “</w:t>
      </w:r>
      <w:r>
        <w:rPr>
          <w:rFonts w:ascii="Arial" w:cs="Arial" w:eastAsia="Arial" w:hAnsi="Arial"/>
          <w:sz w:val="20"/>
          <w:szCs w:val="20"/>
          <w:b w:val="1"/>
          <w:bCs w:val="1"/>
          <w:color w:val="auto"/>
        </w:rPr>
        <w:t>Communication Protocol</w:t>
      </w:r>
      <w:r>
        <w:rPr>
          <w:rFonts w:ascii="Arial" w:cs="Arial" w:eastAsia="Arial" w:hAnsi="Arial"/>
          <w:sz w:val="20"/>
          <w:szCs w:val="20"/>
          <w:color w:val="auto"/>
        </w:rPr>
        <w:t>”). Upon request, DexCom agrees to provide commercially reasonable assistance in response to questions from Tandem to facilitate Tandem’s implementation of the Communication Protocol. In addition, if reasonably necessary for Tandem to secure regulatory approval for the commercialization of a Tandem System, or a component thereof, DexCom agrees to permit Tandem to reference DexCom’s own regulatory filings for the DexCom G6 System.</w:t>
      </w:r>
    </w:p>
    <w:p>
      <w:pPr>
        <w:spacing w:after="0" w:line="173" w:lineRule="exact"/>
        <w:rPr>
          <w:sz w:val="20"/>
          <w:szCs w:val="20"/>
          <w:color w:val="auto"/>
        </w:rPr>
      </w:pPr>
    </w:p>
    <w:p>
      <w:pPr>
        <w:ind w:left="1680" w:hanging="835"/>
        <w:spacing w:after="0"/>
        <w:tabs>
          <w:tab w:leader="none" w:pos="1680"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Costs</w:t>
      </w:r>
      <w:r>
        <w:rPr>
          <w:rFonts w:ascii="Arial" w:cs="Arial" w:eastAsia="Arial" w:hAnsi="Arial"/>
          <w:sz w:val="21"/>
          <w:szCs w:val="21"/>
          <w:color w:val="auto"/>
        </w:rPr>
        <w:t>. Each party shall bear its own costs.</w:t>
      </w:r>
    </w:p>
    <w:p>
      <w:pPr>
        <w:spacing w:after="0" w:line="200" w:lineRule="exact"/>
        <w:rPr>
          <w:rFonts w:ascii="Arial" w:cs="Arial" w:eastAsia="Arial" w:hAnsi="Arial"/>
          <w:sz w:val="21"/>
          <w:szCs w:val="21"/>
          <w:color w:val="auto"/>
        </w:rPr>
      </w:pPr>
    </w:p>
    <w:p>
      <w:pPr>
        <w:spacing w:after="0" w:line="227" w:lineRule="exact"/>
        <w:rPr>
          <w:rFonts w:ascii="Arial" w:cs="Arial" w:eastAsia="Arial" w:hAnsi="Arial"/>
          <w:sz w:val="21"/>
          <w:szCs w:val="21"/>
          <w:color w:val="auto"/>
        </w:rPr>
      </w:pPr>
    </w:p>
    <w:p>
      <w:pPr>
        <w:ind w:left="840" w:hanging="832"/>
        <w:spacing w:after="0"/>
        <w:tabs>
          <w:tab w:leader="none" w:pos="84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Ownership &amp; License</w:t>
      </w:r>
    </w:p>
    <w:p>
      <w:pPr>
        <w:spacing w:after="0" w:line="223" w:lineRule="exact"/>
        <w:rPr>
          <w:rFonts w:ascii="Arial" w:cs="Arial" w:eastAsia="Arial" w:hAnsi="Arial"/>
          <w:sz w:val="21"/>
          <w:szCs w:val="21"/>
          <w:b w:val="1"/>
          <w:bCs w:val="1"/>
          <w:color w:val="auto"/>
        </w:rPr>
      </w:pPr>
    </w:p>
    <w:p>
      <w:pPr>
        <w:jc w:val="both"/>
        <w:ind w:left="1680" w:hanging="835"/>
        <w:spacing w:after="0" w:line="247" w:lineRule="auto"/>
        <w:tabs>
          <w:tab w:leader="none" w:pos="168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Ownership</w:t>
      </w:r>
      <w:r>
        <w:rPr>
          <w:rFonts w:ascii="Arial" w:cs="Arial" w:eastAsia="Arial" w:hAnsi="Arial"/>
          <w:sz w:val="21"/>
          <w:szCs w:val="21"/>
          <w:color w:val="auto"/>
        </w:rPr>
        <w:t>. The parties do not intend for there to be any “joint inventions” under this Agreement and, except as set forth in Section 3.2, this Agreement does not comprise an assignment or license of any intellectual property, trade secrets or confidential information by either party to the other. DexCom (and/or its Affiliates) will own and retain their Intellectual Property Rights. Tandem (and/or its Affiliates) will own and retain their Intellectual Property Rights.</w:t>
      </w:r>
    </w:p>
    <w:p>
      <w:pPr>
        <w:spacing w:after="0" w:line="188" w:lineRule="exact"/>
        <w:rPr>
          <w:rFonts w:ascii="Arial" w:cs="Arial" w:eastAsia="Arial" w:hAnsi="Arial"/>
          <w:sz w:val="21"/>
          <w:szCs w:val="21"/>
          <w:color w:val="auto"/>
        </w:rPr>
      </w:pPr>
    </w:p>
    <w:p>
      <w:pPr>
        <w:jc w:val="both"/>
        <w:ind w:left="1680" w:hanging="835"/>
        <w:spacing w:after="0" w:line="275" w:lineRule="auto"/>
        <w:tabs>
          <w:tab w:leader="none" w:pos="168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License</w:t>
      </w:r>
      <w:r>
        <w:rPr>
          <w:rFonts w:ascii="Arial" w:cs="Arial" w:eastAsia="Arial" w:hAnsi="Arial"/>
          <w:sz w:val="19"/>
          <w:szCs w:val="19"/>
          <w:color w:val="auto"/>
        </w:rPr>
        <w:t>. DexCom hereby grants Tandem a royalty-free, worldwide, non-exclusive license to (i) use the Communication Protocol for the purpose of developing and commercializing a DexCom CGM-Enabled Tandem Display Device, including the right to make, have made, use, sell, offer to sell, have sold and import the DexCom CGM-Enabled Tandem Display Device; and (ii) use the trademarks, trade names and other marketing names used by DexCom for the DexCom G6 System solely in connection with Tandem’s advertising, promotion, marketing and sale of the Tandem System, and in related brochures and other materials, in full accordance with all guidelines and instructions as DexCom may deliver to Tandem from time to time in DexCom’s sole discretion.</w:t>
      </w:r>
    </w:p>
    <w:p>
      <w:pPr>
        <w:spacing w:after="0" w:line="165" w:lineRule="exact"/>
        <w:rPr>
          <w:rFonts w:ascii="Arial" w:cs="Arial" w:eastAsia="Arial" w:hAnsi="Arial"/>
          <w:sz w:val="19"/>
          <w:szCs w:val="19"/>
          <w:color w:val="auto"/>
        </w:rPr>
      </w:pPr>
    </w:p>
    <w:p>
      <w:pPr>
        <w:jc w:val="both"/>
        <w:ind w:left="1680" w:hanging="835"/>
        <w:spacing w:after="0" w:line="257" w:lineRule="auto"/>
        <w:tabs>
          <w:tab w:leader="none" w:pos="1680"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Limitations on Use</w:t>
      </w:r>
      <w:r>
        <w:rPr>
          <w:rFonts w:ascii="Arial" w:cs="Arial" w:eastAsia="Arial" w:hAnsi="Arial"/>
          <w:sz w:val="20"/>
          <w:szCs w:val="20"/>
          <w:color w:val="auto"/>
        </w:rPr>
        <w:t>. Tandem agrees not to distribute, license, sublicense or otherwise transfer the Communication Protocol to any third party. Tandem shall have no right under this Agreement to in any way distribute the Communication Protocol, or to intercept, propagate, reverse engineer, disassemble, de-encrypt, or derive the source code for the software or bios included in any DexCom G6 System, or any component thereof. Tandem is not granted any right to the Raw Data received or generated by any DexCom G6 System and/or used by it to produce output such as timestamps, measurements or other data, and will not try to derive, de-encrypt or intercept any of such Raw Data. Tandem shall not access or use any information within the DexCom G6 System other than the information contained in the Specification. Tandem shall be prohibited from using the Communication Protocol for any purposes other than as set forth in this Agreement. DexCom shall not access or use any information within the Tandem System other than as set forth in this Agreement.</w:t>
      </w:r>
    </w:p>
    <w:p>
      <w:pPr>
        <w:spacing w:after="0" w:line="184" w:lineRule="exact"/>
        <w:rPr>
          <w:rFonts w:ascii="Arial" w:cs="Arial" w:eastAsia="Arial" w:hAnsi="Arial"/>
          <w:sz w:val="20"/>
          <w:szCs w:val="20"/>
          <w:color w:val="auto"/>
        </w:rPr>
      </w:pPr>
    </w:p>
    <w:p>
      <w:pPr>
        <w:ind w:left="1680" w:hanging="835"/>
        <w:spacing w:after="0" w:line="264" w:lineRule="auto"/>
        <w:tabs>
          <w:tab w:leader="none" w:pos="168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No Other Restrictions</w:t>
      </w:r>
      <w:r>
        <w:rPr>
          <w:rFonts w:ascii="Arial" w:cs="Arial" w:eastAsia="Arial" w:hAnsi="Arial"/>
          <w:sz w:val="21"/>
          <w:szCs w:val="21"/>
          <w:color w:val="auto"/>
        </w:rPr>
        <w:t>. For the avoidance of doubt, except as expressly agreed by the parties in writing, (i) DexCom will not be restricted from distributing, licensing,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0" w:name="page71"/>
    <w:bookmarkEnd w:id="70"/>
    <w:p>
      <w:pPr>
        <w:jc w:val="both"/>
        <w:ind w:left="1680" w:right="20"/>
        <w:spacing w:after="0" w:line="292" w:lineRule="auto"/>
        <w:rPr>
          <w:sz w:val="20"/>
          <w:szCs w:val="20"/>
          <w:color w:val="auto"/>
        </w:rPr>
      </w:pPr>
      <w:r>
        <w:rPr>
          <w:rFonts w:ascii="Arial" w:cs="Arial" w:eastAsia="Arial" w:hAnsi="Arial"/>
          <w:sz w:val="19"/>
          <w:szCs w:val="19"/>
          <w:color w:val="auto"/>
        </w:rPr>
        <w:t>transferring, or otherwise exploiting the DexCom G6 System or any component thereof, or any Intellectual Property Rights therein, and (ii) Tandem will not be restricted from distributing, licensing, transferring, or otherwise exploiting the Tandem System or any component thereof, or any Tandem Intellectual Property Rights therein.</w:t>
      </w:r>
    </w:p>
    <w:p>
      <w:pPr>
        <w:spacing w:after="0" w:line="358"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u w:val="single" w:color="auto"/>
          <w:color w:val="auto"/>
        </w:rPr>
        <w:t>Commercialization</w:t>
      </w:r>
    </w:p>
    <w:p>
      <w:pPr>
        <w:spacing w:after="0" w:line="224" w:lineRule="exact"/>
        <w:rPr>
          <w:sz w:val="20"/>
          <w:szCs w:val="20"/>
          <w:color w:val="auto"/>
        </w:rPr>
      </w:pPr>
    </w:p>
    <w:p>
      <w:pPr>
        <w:jc w:val="both"/>
        <w:ind w:left="1680" w:hanging="835"/>
        <w:spacing w:after="0" w:line="253" w:lineRule="auto"/>
        <w:tabs>
          <w:tab w:leader="none" w:pos="1680" w:val="left"/>
        </w:tabs>
        <w:numPr>
          <w:ilvl w:val="1"/>
          <w:numId w:val="39"/>
        </w:numPr>
        <w:rPr>
          <w:rFonts w:ascii="Arial" w:cs="Arial" w:eastAsia="Arial" w:hAnsi="Arial"/>
          <w:sz w:val="21"/>
          <w:szCs w:val="21"/>
          <w:color w:val="auto"/>
        </w:rPr>
      </w:pPr>
      <w:r>
        <w:rPr>
          <w:rFonts w:ascii="Arial" w:cs="Arial" w:eastAsia="Arial" w:hAnsi="Arial"/>
          <w:sz w:val="21"/>
          <w:szCs w:val="21"/>
          <w:color w:val="auto"/>
        </w:rPr>
        <w:t>DexCom shall have sole discretion to decide whether to complete development of and commercialize the DexCom G6 System and shall be under no obligation to complete such development or commercialization as a result of this Agreement.</w:t>
      </w:r>
    </w:p>
    <w:p>
      <w:pPr>
        <w:spacing w:after="0" w:line="181" w:lineRule="exact"/>
        <w:rPr>
          <w:rFonts w:ascii="Arial" w:cs="Arial" w:eastAsia="Arial" w:hAnsi="Arial"/>
          <w:sz w:val="21"/>
          <w:szCs w:val="21"/>
          <w:color w:val="auto"/>
        </w:rPr>
      </w:pPr>
    </w:p>
    <w:p>
      <w:pPr>
        <w:jc w:val="both"/>
        <w:ind w:left="1680" w:hanging="835"/>
        <w:spacing w:after="0" w:line="277" w:lineRule="auto"/>
        <w:tabs>
          <w:tab w:leader="none" w:pos="16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Tandem shall have sole discretion to decide whether to complete development of and commercialize a version of the Tandem System comprising a DexCom CGM-Enabled Tandem Display Device and shall be under no obligation to complete such development or commercialization as a result of this Agreement. Tandem and DexCom will use commercially reasonable efforts to develop a mutually acceptable written plan to provide training and customer and technical support for any mutual customers prior to Tandem’s submission of any application to regulatory authorities to secure regulatory approval for the commercialization of a DexCom CGM-Enabled Tandem Display Device.</w:t>
      </w:r>
    </w:p>
    <w:p>
      <w:pPr>
        <w:spacing w:after="0" w:line="161" w:lineRule="exact"/>
        <w:rPr>
          <w:rFonts w:ascii="Arial" w:cs="Arial" w:eastAsia="Arial" w:hAnsi="Arial"/>
          <w:sz w:val="19"/>
          <w:szCs w:val="19"/>
          <w:color w:val="auto"/>
        </w:rPr>
      </w:pPr>
    </w:p>
    <w:p>
      <w:pPr>
        <w:jc w:val="both"/>
        <w:ind w:left="1680" w:hanging="835"/>
        <w:spacing w:after="0" w:line="271" w:lineRule="auto"/>
        <w:tabs>
          <w:tab w:leader="none" w:pos="1680" w:val="left"/>
        </w:tabs>
        <w:numPr>
          <w:ilvl w:val="1"/>
          <w:numId w:val="39"/>
        </w:numPr>
        <w:rPr>
          <w:rFonts w:ascii="Arial" w:cs="Arial" w:eastAsia="Arial" w:hAnsi="Arial"/>
          <w:sz w:val="20"/>
          <w:szCs w:val="20"/>
          <w:color w:val="auto"/>
        </w:rPr>
      </w:pPr>
      <w:r>
        <w:rPr>
          <w:rFonts w:ascii="Arial" w:cs="Arial" w:eastAsia="Arial" w:hAnsi="Arial"/>
          <w:sz w:val="20"/>
          <w:szCs w:val="20"/>
          <w:color w:val="auto"/>
        </w:rPr>
        <w:t>If DexCom and Tandem, respectively, complete the development and commercialization of (i) the DexCom G6 System, and (ii) a DexCom CGM-Enabled Tandem Display Device, then the parties will use commercially reasonable efforts to develop a plan to cooperate on marketing such products to their respective customers.</w:t>
      </w:r>
    </w:p>
    <w:p>
      <w:pPr>
        <w:spacing w:after="0" w:line="166" w:lineRule="exact"/>
        <w:rPr>
          <w:rFonts w:ascii="Arial" w:cs="Arial" w:eastAsia="Arial" w:hAnsi="Arial"/>
          <w:sz w:val="20"/>
          <w:szCs w:val="20"/>
          <w:color w:val="auto"/>
        </w:rPr>
      </w:pPr>
    </w:p>
    <w:p>
      <w:pPr>
        <w:ind w:left="1680" w:right="20" w:hanging="835"/>
        <w:spacing w:after="0" w:line="264" w:lineRule="auto"/>
        <w:tabs>
          <w:tab w:leader="none" w:pos="1680" w:val="left"/>
        </w:tabs>
        <w:numPr>
          <w:ilvl w:val="1"/>
          <w:numId w:val="39"/>
        </w:numPr>
        <w:rPr>
          <w:rFonts w:ascii="Arial" w:cs="Arial" w:eastAsia="Arial" w:hAnsi="Arial"/>
          <w:sz w:val="21"/>
          <w:szCs w:val="21"/>
          <w:color w:val="auto"/>
        </w:rPr>
      </w:pPr>
      <w:r>
        <w:rPr>
          <w:rFonts w:ascii="Arial" w:cs="Arial" w:eastAsia="Arial" w:hAnsi="Arial"/>
          <w:sz w:val="21"/>
          <w:szCs w:val="21"/>
          <w:color w:val="auto"/>
        </w:rPr>
        <w:t>Tandem hereby acknowledges that DexCom may discontinue its support of the DexCom G6 System [***]. DexCom agrees to[***]. Tandem further acknowledges that DexCom has no obligation to[***].</w:t>
      </w:r>
    </w:p>
    <w:p>
      <w:pPr>
        <w:spacing w:after="0" w:line="381" w:lineRule="exact"/>
        <w:rPr>
          <w:rFonts w:ascii="Arial" w:cs="Arial" w:eastAsia="Arial" w:hAnsi="Arial"/>
          <w:sz w:val="21"/>
          <w:szCs w:val="21"/>
          <w:color w:val="auto"/>
        </w:rPr>
      </w:pPr>
    </w:p>
    <w:p>
      <w:pPr>
        <w:ind w:left="840" w:hanging="832"/>
        <w:spacing w:after="0"/>
        <w:tabs>
          <w:tab w:leader="none" w:pos="84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Representations and Warranties</w:t>
      </w:r>
    </w:p>
    <w:p>
      <w:pPr>
        <w:spacing w:after="0" w:line="223" w:lineRule="exact"/>
        <w:rPr>
          <w:rFonts w:ascii="Arial" w:cs="Arial" w:eastAsia="Arial" w:hAnsi="Arial"/>
          <w:sz w:val="21"/>
          <w:szCs w:val="21"/>
          <w:b w:val="1"/>
          <w:bCs w:val="1"/>
          <w:color w:val="auto"/>
        </w:rPr>
      </w:pPr>
    </w:p>
    <w:p>
      <w:pPr>
        <w:jc w:val="both"/>
        <w:ind w:left="1680" w:hanging="835"/>
        <w:spacing w:after="0" w:line="247" w:lineRule="auto"/>
        <w:tabs>
          <w:tab w:leader="none" w:pos="1680"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By Tandem</w:t>
      </w:r>
      <w:r>
        <w:rPr>
          <w:rFonts w:ascii="Arial" w:cs="Arial" w:eastAsia="Arial" w:hAnsi="Arial"/>
          <w:sz w:val="21"/>
          <w:szCs w:val="21"/>
          <w:color w:val="auto"/>
        </w:rPr>
        <w:t>. Tandem warrants and represents to DexCom that (i) Tandem has the full right and authority to enter into this Agreement and grant the rights granted herein; (ii) Tandem has not previously granted and will not grant any right in conflict with any of the rights granted herein; (iii) to Tandem’s knowledge on the Effective Date, there is no existing or threatened action, suit or claim pending against it with respect to its right to enter into and perform any of its obligations under this Agreement.</w:t>
      </w:r>
    </w:p>
    <w:p>
      <w:pPr>
        <w:spacing w:after="0" w:line="188" w:lineRule="exact"/>
        <w:rPr>
          <w:rFonts w:ascii="Arial" w:cs="Arial" w:eastAsia="Arial" w:hAnsi="Arial"/>
          <w:sz w:val="21"/>
          <w:szCs w:val="21"/>
          <w:color w:val="auto"/>
        </w:rPr>
      </w:pPr>
    </w:p>
    <w:p>
      <w:pPr>
        <w:jc w:val="both"/>
        <w:ind w:left="1680" w:hanging="835"/>
        <w:spacing w:after="0" w:line="247" w:lineRule="auto"/>
        <w:tabs>
          <w:tab w:leader="none" w:pos="1680"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By DexCom</w:t>
      </w:r>
      <w:r>
        <w:rPr>
          <w:rFonts w:ascii="Arial" w:cs="Arial" w:eastAsia="Arial" w:hAnsi="Arial"/>
          <w:sz w:val="21"/>
          <w:szCs w:val="21"/>
          <w:color w:val="auto"/>
        </w:rPr>
        <w:t>. DexCom warrants and represents to Tandem that (i) DexCom has the full right and authority to enter into this Agreement and grant the rights granted herein; (ii) DexCom has not previously granted and will not grant any right in conflict with any of the rights granted herein; (iii) to DexCom’s knowledge on the Effective Date, there is no existing or threatened action, suit or claim pending against it with respect to its right to enter into and perform its obligations under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1" w:name="page72"/>
    <w:bookmarkEnd w:id="71"/>
    <w:p>
      <w:pPr>
        <w:jc w:val="both"/>
        <w:ind w:left="1680" w:hanging="835"/>
        <w:spacing w:after="0" w:line="247" w:lineRule="auto"/>
        <w:tabs>
          <w:tab w:leader="none" w:pos="16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Disclaimer of Warranties</w:t>
      </w:r>
      <w:r>
        <w:rPr>
          <w:rFonts w:ascii="Arial" w:cs="Arial" w:eastAsia="Arial" w:hAnsi="Arial"/>
          <w:sz w:val="21"/>
          <w:szCs w:val="21"/>
          <w:color w:val="auto"/>
        </w:rPr>
        <w:t>. EXCEPT AS EXPRESSLY SET FORTH IN THIS SECTION 5, EACH OF TANDEM AND DEXCOM MAKES NO REPRESENTATIONS OR WARRANTIES UNDER THIS AGREEMENT, AND EXPRESSLY DISCLAIMS ANY WARRANTIES EXPRESS, IMPLIED, STATUTORY OR OTHERWISE, INCLUDING, WITHOUT LIMITATION, ANY WARRANTY OF MERCHANTABILITY, FITNESS FOR A PARTICULAR PURPOSE, VALIDITY, AND NON-INFRINGEMENT.</w:t>
      </w: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u w:val="single" w:color="auto"/>
          <w:color w:val="auto"/>
        </w:rPr>
        <w:t>Confidentiality</w:t>
      </w:r>
    </w:p>
    <w:p>
      <w:pPr>
        <w:spacing w:after="0" w:line="224" w:lineRule="exact"/>
        <w:rPr>
          <w:sz w:val="20"/>
          <w:szCs w:val="20"/>
          <w:color w:val="auto"/>
        </w:rPr>
      </w:pPr>
    </w:p>
    <w:p>
      <w:pPr>
        <w:jc w:val="both"/>
        <w:ind w:left="1680" w:hanging="835"/>
        <w:spacing w:after="0" w:line="244" w:lineRule="auto"/>
        <w:tabs>
          <w:tab w:leader="none" w:pos="168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Except as expressly provided in this Agreement, during the Term and for[***], any party receiving Confidential Information, as defined below (the “</w:t>
      </w:r>
      <w:r>
        <w:rPr>
          <w:rFonts w:ascii="Arial" w:cs="Arial" w:eastAsia="Arial" w:hAnsi="Arial"/>
          <w:sz w:val="21"/>
          <w:szCs w:val="21"/>
          <w:b w:val="1"/>
          <w:bCs w:val="1"/>
          <w:color w:val="auto"/>
        </w:rPr>
        <w:t>Receiving Party</w:t>
      </w:r>
      <w:r>
        <w:rPr>
          <w:rFonts w:ascii="Arial" w:cs="Arial" w:eastAsia="Arial" w:hAnsi="Arial"/>
          <w:sz w:val="21"/>
          <w:szCs w:val="21"/>
          <w:color w:val="auto"/>
        </w:rPr>
        <w:t>”), will not publish or otherwise disclose and will not use such Confidential Information for any purpose other than carrying out Receiving Party’s obligations under this Agreement. For purposes of this Agreement,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any information furnished by a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pursuant to this Agreement which is confidential or proprietary to the Disclosing Party, including, without limitation, the Specifications. Notwithstanding the foregoing, Confidential Information will not include information that, in each case as demonstrated by the Receiving Party with reliable written documentation:</w:t>
      </w:r>
    </w:p>
    <w:p>
      <w:pPr>
        <w:spacing w:after="0" w:line="190" w:lineRule="exact"/>
        <w:rPr>
          <w:rFonts w:ascii="Arial" w:cs="Arial" w:eastAsia="Arial" w:hAnsi="Arial"/>
          <w:sz w:val="21"/>
          <w:szCs w:val="21"/>
          <w:color w:val="auto"/>
        </w:rPr>
      </w:pPr>
    </w:p>
    <w:p>
      <w:pPr>
        <w:ind w:left="2540" w:hanging="844"/>
        <w:spacing w:after="0" w:line="270" w:lineRule="auto"/>
        <w:tabs>
          <w:tab w:leader="none" w:pos="2540"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was already known to the Receiving Party, other than under an obligation of confidentiality, at the time of disclosure;</w:t>
      </w:r>
    </w:p>
    <w:p>
      <w:pPr>
        <w:spacing w:after="0" w:line="158" w:lineRule="exact"/>
        <w:rPr>
          <w:rFonts w:ascii="Arial" w:cs="Arial" w:eastAsia="Arial" w:hAnsi="Arial"/>
          <w:sz w:val="21"/>
          <w:szCs w:val="21"/>
          <w:b w:val="1"/>
          <w:bCs w:val="1"/>
          <w:color w:val="auto"/>
        </w:rPr>
      </w:pPr>
    </w:p>
    <w:p>
      <w:pPr>
        <w:ind w:left="2540" w:hanging="844"/>
        <w:spacing w:after="0" w:line="270" w:lineRule="auto"/>
        <w:tabs>
          <w:tab w:leader="none" w:pos="2540"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was generally available to the public or otherwise part of the public domain at the time of its disclosure to the Receiving party;</w:t>
      </w:r>
    </w:p>
    <w:p>
      <w:pPr>
        <w:spacing w:after="0" w:line="158" w:lineRule="exact"/>
        <w:rPr>
          <w:rFonts w:ascii="Arial" w:cs="Arial" w:eastAsia="Arial" w:hAnsi="Arial"/>
          <w:sz w:val="21"/>
          <w:szCs w:val="21"/>
          <w:b w:val="1"/>
          <w:bCs w:val="1"/>
          <w:color w:val="auto"/>
        </w:rPr>
      </w:pPr>
    </w:p>
    <w:p>
      <w:pPr>
        <w:jc w:val="both"/>
        <w:ind w:left="2540" w:hanging="844"/>
        <w:spacing w:after="0" w:line="256" w:lineRule="auto"/>
        <w:tabs>
          <w:tab w:leader="none" w:pos="2540"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became generally available to the public or otherwise part of the public domain after its disclosure hereunder and other than through any act or omission of the Receiving Party in breach of this Agreement; or</w:t>
      </w:r>
    </w:p>
    <w:p>
      <w:pPr>
        <w:spacing w:after="0" w:line="172" w:lineRule="exact"/>
        <w:rPr>
          <w:rFonts w:ascii="Arial" w:cs="Arial" w:eastAsia="Arial" w:hAnsi="Arial"/>
          <w:sz w:val="21"/>
          <w:szCs w:val="21"/>
          <w:b w:val="1"/>
          <w:bCs w:val="1"/>
          <w:color w:val="auto"/>
        </w:rPr>
      </w:pPr>
    </w:p>
    <w:p>
      <w:pPr>
        <w:jc w:val="both"/>
        <w:ind w:left="2540" w:hanging="844"/>
        <w:spacing w:after="0" w:line="274" w:lineRule="auto"/>
        <w:tabs>
          <w:tab w:leader="none" w:pos="2540"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was subsequently lawfully disclosed to the Receiving Party by a person without breaching a duty of confidentiality or developed by the Receiving Party without use of, reliance on, or reference to any information or materials disclosed by the Disclosing Party.</w:t>
      </w:r>
    </w:p>
    <w:p>
      <w:pPr>
        <w:spacing w:after="0" w:line="163" w:lineRule="exact"/>
        <w:rPr>
          <w:rFonts w:ascii="Arial" w:cs="Arial" w:eastAsia="Arial" w:hAnsi="Arial"/>
          <w:sz w:val="20"/>
          <w:szCs w:val="20"/>
          <w:b w:val="1"/>
          <w:bCs w:val="1"/>
          <w:color w:val="auto"/>
        </w:rPr>
      </w:pPr>
    </w:p>
    <w:p>
      <w:pPr>
        <w:jc w:val="both"/>
        <w:ind w:left="1680" w:hanging="835"/>
        <w:spacing w:after="0" w:line="259" w:lineRule="auto"/>
        <w:tabs>
          <w:tab w:leader="none" w:pos="168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Permitted Disclosures</w:t>
      </w:r>
      <w:r>
        <w:rPr>
          <w:rFonts w:ascii="Arial" w:cs="Arial" w:eastAsia="Arial" w:hAnsi="Arial"/>
          <w:sz w:val="20"/>
          <w:szCs w:val="20"/>
          <w:color w:val="auto"/>
        </w:rPr>
        <w:t>. Notwithstanding Section 6.1, a Receiving Party may use or disclose Confidential 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trials, provided that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2" w:name="page73"/>
    <w:bookmarkEnd w:id="72"/>
    <w:p>
      <w:pPr>
        <w:jc w:val="both"/>
        <w:ind w:left="1680" w:hanging="835"/>
        <w:spacing w:after="0" w:line="247" w:lineRule="auto"/>
        <w:tabs>
          <w:tab w:leader="none" w:pos="168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Return of Confidential Information</w:t>
      </w:r>
      <w:r>
        <w:rPr>
          <w:rFonts w:ascii="Arial" w:cs="Arial" w:eastAsia="Arial" w:hAnsi="Arial"/>
          <w:sz w:val="21"/>
          <w:szCs w:val="21"/>
          <w:color w:val="auto"/>
        </w:rPr>
        <w:t>. Within 30 days after the effective date of any termination of this Agreement, except to the extent reasonably necessary for a party to exercise any rights that expressly survive the termination of the Agreement, each party will return to the other party (where practicable), or at the Receiving Party’s option, destroy and provide written certification of the destruction of, all tangible materials that contain the Disclosing Party’s Confidential Information.</w:t>
      </w:r>
    </w:p>
    <w:p>
      <w:pPr>
        <w:spacing w:after="0" w:line="188" w:lineRule="exact"/>
        <w:rPr>
          <w:rFonts w:ascii="Arial" w:cs="Arial" w:eastAsia="Arial" w:hAnsi="Arial"/>
          <w:sz w:val="21"/>
          <w:szCs w:val="21"/>
          <w:color w:val="auto"/>
        </w:rPr>
      </w:pPr>
    </w:p>
    <w:p>
      <w:pPr>
        <w:jc w:val="both"/>
        <w:ind w:left="1680" w:hanging="835"/>
        <w:spacing w:after="0" w:line="249" w:lineRule="auto"/>
        <w:tabs>
          <w:tab w:leader="none" w:pos="168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Confidentiality of Agreement; No Press Release</w:t>
      </w:r>
      <w:r>
        <w:rPr>
          <w:rFonts w:ascii="Arial" w:cs="Arial" w:eastAsia="Arial" w:hAnsi="Arial"/>
          <w:sz w:val="21"/>
          <w:szCs w:val="21"/>
          <w:color w:val="auto"/>
        </w:rPr>
        <w:t>. Except to the extent required to comply with applicable law, and subject to the requirements of Section 6.2, neither party will make any disclosure to any third party, and no press release will issue, relating to the existence of this Agreement, any term hereof, or any transaction contemplated herein without prior written agreement of the other party.</w:t>
      </w:r>
    </w:p>
    <w:p>
      <w:pPr>
        <w:spacing w:after="0" w:line="396"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b w:val="1"/>
          <w:bCs w:val="1"/>
          <w:color w:val="auto"/>
        </w:rPr>
        <w:t>VII.</w:t>
      </w:r>
      <w:r>
        <w:rPr>
          <w:sz w:val="20"/>
          <w:szCs w:val="20"/>
          <w:color w:val="auto"/>
        </w:rPr>
        <w:tab/>
      </w:r>
      <w:r>
        <w:rPr>
          <w:rFonts w:ascii="Arial" w:cs="Arial" w:eastAsia="Arial" w:hAnsi="Arial"/>
          <w:sz w:val="21"/>
          <w:szCs w:val="21"/>
          <w:b w:val="1"/>
          <w:bCs w:val="1"/>
          <w:u w:val="single" w:color="auto"/>
          <w:color w:val="auto"/>
        </w:rPr>
        <w:t>Indemnification and Defense of Infringement</w:t>
      </w:r>
    </w:p>
    <w:p>
      <w:pPr>
        <w:spacing w:after="0" w:line="224" w:lineRule="exact"/>
        <w:rPr>
          <w:sz w:val="20"/>
          <w:szCs w:val="20"/>
          <w:color w:val="auto"/>
        </w:rPr>
      </w:pPr>
    </w:p>
    <w:p>
      <w:pPr>
        <w:jc w:val="both"/>
        <w:ind w:left="1680" w:hanging="835"/>
        <w:spacing w:after="0" w:line="270" w:lineRule="auto"/>
        <w:tabs>
          <w:tab w:leader="none" w:pos="16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DexCom will defend and indemnify Tandem, its Affiliates, and each of its directors, officers, employees, agents, successors and assigns (collectively, “</w:t>
      </w:r>
      <w:r>
        <w:rPr>
          <w:rFonts w:ascii="Arial" w:cs="Arial" w:eastAsia="Arial" w:hAnsi="Arial"/>
          <w:sz w:val="19"/>
          <w:szCs w:val="19"/>
          <w:b w:val="1"/>
          <w:bCs w:val="1"/>
          <w:color w:val="auto"/>
        </w:rPr>
        <w:t>Tandem Indemnitees</w:t>
      </w:r>
      <w:r>
        <w:rPr>
          <w:rFonts w:ascii="Arial" w:cs="Arial" w:eastAsia="Arial" w:hAnsi="Arial"/>
          <w:sz w:val="19"/>
          <w:szCs w:val="19"/>
          <w:color w:val="auto"/>
        </w:rPr>
        <w:t>”), against all third-party claims, suits and proceedings, and will hold the Tandem Indemnitees harmless against all judgments, settlements, costs, liabilities and expenses (including without limitation, reasonable attorneys’ fees and litigation costs) (collectively, “</w:t>
      </w:r>
      <w:r>
        <w:rPr>
          <w:rFonts w:ascii="Arial" w:cs="Arial" w:eastAsia="Arial" w:hAnsi="Arial"/>
          <w:sz w:val="19"/>
          <w:szCs w:val="19"/>
          <w:b w:val="1"/>
          <w:bCs w:val="1"/>
          <w:color w:val="auto"/>
        </w:rPr>
        <w:t>Losses</w:t>
      </w:r>
      <w:r>
        <w:rPr>
          <w:rFonts w:ascii="Arial" w:cs="Arial" w:eastAsia="Arial" w:hAnsi="Arial"/>
          <w:sz w:val="19"/>
          <w:szCs w:val="19"/>
          <w:color w:val="auto"/>
        </w:rPr>
        <w:t>”) payable to third parties in connection with such claims, suits and proceedings, to the extent arising from or occurring as a result of:</w:t>
      </w:r>
    </w:p>
    <w:p>
      <w:pPr>
        <w:spacing w:after="0" w:line="4" w:lineRule="exact"/>
        <w:rPr>
          <w:rFonts w:ascii="Arial" w:cs="Arial" w:eastAsia="Arial" w:hAnsi="Arial"/>
          <w:sz w:val="19"/>
          <w:szCs w:val="19"/>
          <w:color w:val="auto"/>
        </w:rPr>
      </w:pPr>
    </w:p>
    <w:p>
      <w:pPr>
        <w:ind w:left="1680" w:firstLine="3"/>
        <w:spacing w:after="0" w:line="246" w:lineRule="auto"/>
        <w:tabs>
          <w:tab w:leader="none" w:pos="2011" w:val="left"/>
        </w:tabs>
        <w:numPr>
          <w:ilvl w:val="1"/>
          <w:numId w:val="44"/>
        </w:numPr>
        <w:rPr>
          <w:rFonts w:ascii="Arial" w:cs="Arial" w:eastAsia="Arial" w:hAnsi="Arial"/>
          <w:sz w:val="21"/>
          <w:szCs w:val="21"/>
          <w:color w:val="auto"/>
        </w:rPr>
      </w:pPr>
      <w:r>
        <w:rPr>
          <w:rFonts w:ascii="Arial" w:cs="Arial" w:eastAsia="Arial" w:hAnsi="Arial"/>
          <w:sz w:val="21"/>
          <w:szCs w:val="21"/>
          <w:color w:val="auto"/>
        </w:rPr>
        <w:t>DexCom’s breach of the[***],(ii) the [***], or (iii) physical injury (including death) and/or property damage[***], excluding[***].</w:t>
      </w:r>
    </w:p>
    <w:p>
      <w:pPr>
        <w:spacing w:after="0" w:line="189" w:lineRule="exact"/>
        <w:rPr>
          <w:rFonts w:ascii="Arial" w:cs="Arial" w:eastAsia="Arial" w:hAnsi="Arial"/>
          <w:sz w:val="21"/>
          <w:szCs w:val="21"/>
          <w:color w:val="auto"/>
        </w:rPr>
      </w:pPr>
    </w:p>
    <w:p>
      <w:pPr>
        <w:jc w:val="both"/>
        <w:ind w:left="1680" w:hanging="835"/>
        <w:spacing w:after="0" w:line="287"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Tandem will defend and indemnify DexCom, its Affiliates, and each of its directors, officers, employees, agents, successors and assigns (collectively, “</w:t>
      </w:r>
      <w:r>
        <w:rPr>
          <w:rFonts w:ascii="Arial" w:cs="Arial" w:eastAsia="Arial" w:hAnsi="Arial"/>
          <w:sz w:val="18"/>
          <w:szCs w:val="18"/>
          <w:b w:val="1"/>
          <w:bCs w:val="1"/>
          <w:color w:val="auto"/>
        </w:rPr>
        <w:t>DexCom Indemnitees</w:t>
      </w:r>
      <w:r>
        <w:rPr>
          <w:rFonts w:ascii="Arial" w:cs="Arial" w:eastAsia="Arial" w:hAnsi="Arial"/>
          <w:sz w:val="18"/>
          <w:szCs w:val="18"/>
          <w:color w:val="auto"/>
        </w:rPr>
        <w:t>”), against all third-party claims, suits and proceedings, and will hold the DexCom Indemnitees harmless against all Losses payable to third parties in connection with such claims, suits and proceedings, to the extent arising from or occurring as a result of: (i) Tandem’s breach of the[***],</w:t>
      </w:r>
    </w:p>
    <w:p>
      <w:pPr>
        <w:ind w:left="1980" w:hanging="297"/>
        <w:spacing w:after="0"/>
        <w:tabs>
          <w:tab w:leader="none" w:pos="1980"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or (iii) physical injury (including death) and/or property damage[***], excluding[***].</w:t>
      </w:r>
    </w:p>
    <w:p>
      <w:pPr>
        <w:spacing w:after="0" w:line="199" w:lineRule="exact"/>
        <w:rPr>
          <w:rFonts w:ascii="Arial" w:cs="Arial" w:eastAsia="Arial" w:hAnsi="Arial"/>
          <w:sz w:val="21"/>
          <w:szCs w:val="21"/>
          <w:color w:val="auto"/>
        </w:rPr>
      </w:pPr>
    </w:p>
    <w:p>
      <w:pPr>
        <w:jc w:val="both"/>
        <w:ind w:left="1680" w:hanging="835"/>
        <w:spacing w:after="0" w:line="265" w:lineRule="auto"/>
        <w:tabs>
          <w:tab w:leader="none" w:pos="16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manufacture or use of the Integrated System results in a claim, suit or proceeding in which DexCom and Tandem are both entitled to indemnification by the other party pursuant to Sections 7.1 and 7.2, then the parties will discuss in good faith their cooperation in connection with such matter, and shall discuss in good faith an equitable allocation of each party’s indemnification obligations under this Section 7.</w:t>
      </w:r>
    </w:p>
    <w:p>
      <w:pPr>
        <w:spacing w:after="0" w:line="172" w:lineRule="exact"/>
        <w:rPr>
          <w:rFonts w:ascii="Arial" w:cs="Arial" w:eastAsia="Arial" w:hAnsi="Arial"/>
          <w:sz w:val="20"/>
          <w:szCs w:val="20"/>
          <w:color w:val="auto"/>
        </w:rPr>
      </w:pPr>
    </w:p>
    <w:p>
      <w:pPr>
        <w:jc w:val="both"/>
        <w:ind w:left="1680" w:hanging="835"/>
        <w:spacing w:after="0" w:line="247" w:lineRule="auto"/>
        <w:tabs>
          <w:tab w:leader="none" w:pos="16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If the manufacture or use of the Integrated System results in a third-party claim, suit, allegation, action or proceeding against Tandem or DexCom alleging infringement of a claim of a patent or alleges infringement or misappropriation of some other intellectual property right of such third party and neither DexCom nor Tandem is entitled to indemnification pursuant to Sections 7.1 and 7.2 (an "</w:t>
      </w:r>
      <w:r>
        <w:rPr>
          <w:rFonts w:ascii="Arial" w:cs="Arial" w:eastAsia="Arial" w:hAnsi="Arial"/>
          <w:sz w:val="21"/>
          <w:szCs w:val="21"/>
          <w:b w:val="1"/>
          <w:bCs w:val="1"/>
          <w:color w:val="auto"/>
        </w:rPr>
        <w:t>Integrated System Infringement Action</w:t>
      </w:r>
      <w:r>
        <w:rPr>
          <w:rFonts w:ascii="Arial" w:cs="Arial" w:eastAsia="Arial" w:hAnsi="Arial"/>
          <w:sz w:val="21"/>
          <w:szCs w:val="21"/>
          <w:color w:val="auto"/>
        </w:rPr>
        <w:t>"), such party will promptly notify the other party in writing. The parties will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ind w:left="1680" w:firstLine="3"/>
        <w:spacing w:after="0" w:line="264" w:lineRule="auto"/>
        <w:tabs>
          <w:tab w:leader="none" w:pos="221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and [***] of any Integrated System Infringement Action. The parties will [***] concerning any Integrated System Infringement Action and, in the [***] that the[***], the parties[***].</w:t>
      </w:r>
    </w:p>
    <w:p>
      <w:pPr>
        <w:spacing w:after="0" w:line="165" w:lineRule="exact"/>
        <w:rPr>
          <w:rFonts w:ascii="Arial" w:cs="Arial" w:eastAsia="Arial" w:hAnsi="Arial"/>
          <w:sz w:val="21"/>
          <w:szCs w:val="21"/>
          <w:color w:val="auto"/>
        </w:rPr>
      </w:pPr>
    </w:p>
    <w:p>
      <w:pPr>
        <w:jc w:val="both"/>
        <w:ind w:left="1680" w:hanging="835"/>
        <w:spacing w:after="0" w:line="251" w:lineRule="auto"/>
        <w:tabs>
          <w:tab w:leader="none" w:pos="16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party seeking indemnification hereunder (the “</w:t>
      </w:r>
      <w:r>
        <w:rPr>
          <w:rFonts w:ascii="Arial" w:cs="Arial" w:eastAsia="Arial" w:hAnsi="Arial"/>
          <w:sz w:val="21"/>
          <w:szCs w:val="21"/>
          <w:b w:val="1"/>
          <w:bCs w:val="1"/>
          <w:color w:val="auto"/>
        </w:rPr>
        <w:t>Indemnitee</w:t>
      </w:r>
      <w:r>
        <w:rPr>
          <w:rFonts w:ascii="Arial" w:cs="Arial" w:eastAsia="Arial" w:hAnsi="Arial"/>
          <w:sz w:val="21"/>
          <w:szCs w:val="21"/>
          <w:color w:val="auto"/>
        </w:rPr>
        <w:t>”) will promptly notify the indemnifying party (the “</w:t>
      </w:r>
      <w:r>
        <w:rPr>
          <w:rFonts w:ascii="Arial" w:cs="Arial" w:eastAsia="Arial" w:hAnsi="Arial"/>
          <w:sz w:val="21"/>
          <w:szCs w:val="21"/>
          <w:b w:val="1"/>
          <w:bCs w:val="1"/>
          <w:color w:val="auto"/>
        </w:rPr>
        <w:t>Indemnitor</w:t>
      </w:r>
      <w:r>
        <w:rPr>
          <w:rFonts w:ascii="Arial" w:cs="Arial" w:eastAsia="Arial" w:hAnsi="Arial"/>
          <w:sz w:val="21"/>
          <w:szCs w:val="21"/>
          <w:color w:val="auto"/>
        </w:rPr>
        <w:t>”) of any claim, loss, or expense likely to lead to a claim for indemnification, along with all material related information. The Indemnitor will[***], except that[***]. The Indemnitee may[***]. The Indemnitee will[***]. The Indemnitee may[***]. In addition, the Indemnitee may[***].</w:t>
      </w:r>
    </w:p>
    <w:p>
      <w:pPr>
        <w:spacing w:after="0" w:line="184" w:lineRule="exact"/>
        <w:rPr>
          <w:rFonts w:ascii="Arial" w:cs="Arial" w:eastAsia="Arial" w:hAnsi="Arial"/>
          <w:sz w:val="21"/>
          <w:szCs w:val="21"/>
          <w:color w:val="auto"/>
        </w:rPr>
      </w:pPr>
    </w:p>
    <w:p>
      <w:pPr>
        <w:ind w:left="1680" w:hanging="835"/>
        <w:spacing w:after="0" w:line="264" w:lineRule="auto"/>
        <w:tabs>
          <w:tab w:leader="none" w:pos="16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Notwithstanding the foregoing, an Indemnitor under this Section 7 has no obligation for any Losses to the extent resulting from (i)[***], or (ii)[***].</w:t>
      </w: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b w:val="1"/>
          <w:bCs w:val="1"/>
          <w:color w:val="auto"/>
        </w:rPr>
        <w:t>VIII.</w:t>
      </w:r>
      <w:r>
        <w:rPr>
          <w:sz w:val="20"/>
          <w:szCs w:val="20"/>
          <w:color w:val="auto"/>
        </w:rPr>
        <w:tab/>
      </w:r>
      <w:r>
        <w:rPr>
          <w:rFonts w:ascii="Arial" w:cs="Arial" w:eastAsia="Arial" w:hAnsi="Arial"/>
          <w:sz w:val="21"/>
          <w:szCs w:val="21"/>
          <w:b w:val="1"/>
          <w:bCs w:val="1"/>
          <w:u w:val="single" w:color="auto"/>
          <w:color w:val="auto"/>
        </w:rPr>
        <w:t>Term and Termination</w:t>
      </w:r>
    </w:p>
    <w:p>
      <w:pPr>
        <w:spacing w:after="0" w:line="224" w:lineRule="exact"/>
        <w:rPr>
          <w:sz w:val="20"/>
          <w:szCs w:val="20"/>
          <w:color w:val="auto"/>
        </w:rPr>
      </w:pPr>
    </w:p>
    <w:p>
      <w:pPr>
        <w:jc w:val="both"/>
        <w:ind w:left="1680" w:hanging="835"/>
        <w:spacing w:after="0" w:line="247" w:lineRule="auto"/>
        <w:tabs>
          <w:tab w:leader="none" w:pos="168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initial term of this Agreement will commence on the Effective Date and will continue for five (5) years thereafter (the “</w:t>
      </w:r>
      <w:r>
        <w:rPr>
          <w:rFonts w:ascii="Arial" w:cs="Arial" w:eastAsia="Arial" w:hAnsi="Arial"/>
          <w:sz w:val="21"/>
          <w:szCs w:val="21"/>
          <w:b w:val="1"/>
          <w:bCs w:val="1"/>
          <w:color w:val="auto"/>
        </w:rPr>
        <w:t>Initial Term</w:t>
      </w:r>
      <w:r>
        <w:rPr>
          <w:rFonts w:ascii="Arial" w:cs="Arial" w:eastAsia="Arial" w:hAnsi="Arial"/>
          <w:sz w:val="21"/>
          <w:szCs w:val="21"/>
          <w:color w:val="auto"/>
        </w:rPr>
        <w:t>”). Subsequent to the Initial Term, the term of this Agreement shall automatically renew and be extended for additional one (1) year periods, unless either party notifies the other at least ninety (90) days prior to the expiration of the then current term (the total period during which this Agreement is effective being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jc w:val="both"/>
        <w:ind w:left="1680" w:hanging="835"/>
        <w:spacing w:after="0" w:line="246" w:lineRule="auto"/>
        <w:tabs>
          <w:tab w:leader="none" w:pos="168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Termination With Cause or Due to Bankruptcy</w:t>
      </w:r>
      <w:r>
        <w:rPr>
          <w:rFonts w:ascii="Arial" w:cs="Arial" w:eastAsia="Arial" w:hAnsi="Arial"/>
          <w:sz w:val="21"/>
          <w:szCs w:val="21"/>
          <w:color w:val="auto"/>
        </w:rPr>
        <w:t>. Either DexCom or Tandem may terminate this Agreement by written notice if the other materially breaches or defaults in the performance of any of its material obligations hereunder, and such default continues for [***] after the non-breaching party provides written notice of the breach to the breaching party. Either party may terminate this Agreement immediately if the other party: (i) liquidates or dissolves, or (ii) becomes subject to any bankruptcy or insolvency proceeding under federal or state law that is not dismissed within[***].</w:t>
      </w:r>
    </w:p>
    <w:p>
      <w:pPr>
        <w:spacing w:after="0" w:line="189" w:lineRule="exact"/>
        <w:rPr>
          <w:rFonts w:ascii="Arial" w:cs="Arial" w:eastAsia="Arial" w:hAnsi="Arial"/>
          <w:sz w:val="21"/>
          <w:szCs w:val="21"/>
          <w:color w:val="auto"/>
        </w:rPr>
      </w:pPr>
    </w:p>
    <w:p>
      <w:pPr>
        <w:ind w:left="1680" w:hanging="835"/>
        <w:spacing w:after="0"/>
        <w:tabs>
          <w:tab w:leader="none" w:pos="168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Effect of Termination</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left="2540" w:hanging="844"/>
        <w:spacing w:after="0" w:line="256" w:lineRule="auto"/>
        <w:tabs>
          <w:tab w:leader="none" w:pos="2540" w:val="left"/>
        </w:tabs>
        <w:numPr>
          <w:ilvl w:val="1"/>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Accrued Rights and Obligations. Termination of this Agreement will not relieve either party for liabilities or obligations incurred pursuant to the terms and conditions of this Agreement prior to termination.</w:t>
      </w:r>
    </w:p>
    <w:p>
      <w:pPr>
        <w:spacing w:after="0" w:line="172" w:lineRule="exact"/>
        <w:rPr>
          <w:rFonts w:ascii="Arial" w:cs="Arial" w:eastAsia="Arial" w:hAnsi="Arial"/>
          <w:sz w:val="21"/>
          <w:szCs w:val="21"/>
          <w:b w:val="1"/>
          <w:bCs w:val="1"/>
          <w:color w:val="auto"/>
        </w:rPr>
      </w:pPr>
    </w:p>
    <w:p>
      <w:pPr>
        <w:jc w:val="both"/>
        <w:ind w:left="2540" w:hanging="844"/>
        <w:spacing w:after="0" w:line="281" w:lineRule="auto"/>
        <w:tabs>
          <w:tab w:leader="none" w:pos="2540"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Survival. In addition, Articles 1, 3.1, 3.3, 3.4, 4.4, 5, 6, 7, 8, 9 and 10 will survive expiration or termination of this Agreement. Further, Section 3.2 will survive expiration or termination of this Agreement to the extent reasonably necessary for Tandem to satisfy ongoing warranty obligations and to provide ongoing service and support to any customer who originally acquired a DexCom CGM-Enabled Tandem Display Device during the Term of this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Arial" w:cs="Arial" w:eastAsia="Arial" w:hAnsi="Arial"/>
                <w:sz w:val="21"/>
                <w:szCs w:val="21"/>
                <w:b w:val="1"/>
                <w:bCs w:val="1"/>
                <w:color w:val="auto"/>
              </w:rPr>
              <w:t>IX.</w:t>
            </w:r>
          </w:p>
        </w:tc>
        <w:tc>
          <w:tcPr>
            <w:tcW w:w="10580" w:type="dxa"/>
            <w:vAlign w:val="bottom"/>
            <w:gridSpan w:val="2"/>
          </w:tcPr>
          <w:p>
            <w:pPr>
              <w:spacing w:after="0"/>
              <w:rPr>
                <w:sz w:val="20"/>
                <w:szCs w:val="20"/>
                <w:color w:val="auto"/>
              </w:rPr>
            </w:pPr>
            <w:r>
              <w:rPr>
                <w:rFonts w:ascii="Arial" w:cs="Arial" w:eastAsia="Arial" w:hAnsi="Arial"/>
                <w:sz w:val="21"/>
                <w:szCs w:val="21"/>
                <w:b w:val="1"/>
                <w:bCs w:val="1"/>
                <w:color w:val="auto"/>
              </w:rPr>
              <w:t>Limitation of Liability</w:t>
            </w:r>
          </w:p>
        </w:tc>
      </w:tr>
      <w:tr>
        <w:trPr>
          <w:trHeight w:val="20"/>
        </w:trPr>
        <w:tc>
          <w:tcPr>
            <w:tcW w:w="8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EXCEPT WITH RESPECT TO A BREACH OF AN OBLIGATION UNDER SECTION 6 OR 10.7, OR CLAIMS</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8"/>
              </w:rPr>
              <w:t>REQUIRING INDEMNIFICATION PURSUANT TO SECTIONS 7.1, 7.2, 7.3 OR 7.4, IN NO EVENT SHALL EITHER</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6"/>
              </w:rPr>
              <w:t>PARTY BE LIABLE TO THE OTHER OR ANY OTHER ENTITY FOR COSTS OF PROCUREMENT OF SUBSTITUTE</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5"/>
              </w:rPr>
              <w:t>GOODS, LOST PROFITS, OR ANY OTHER SPECIAL, CONSEQUENTIAL, OR INCIDENTAL DAMAGES, HOWEVER</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7"/>
              </w:rPr>
              <w:t>CAUSED AND UNDER ANY THEORY OF LIABILITY ARISING OUT OF THIS AGREEMENT WHETHER BASED IN</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9"/>
              </w:rPr>
              <w:t>CONTRACT,  TORT  (INCLUDING  NEGLIGENCE),  OR  OTHERWISE.   THESE  LIMITATIONS  SHALL  APPLY</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7"/>
              </w:rPr>
              <w:t>WHETHER OR NOT THE BREACHING PARTY HAS BEEN ADVISED OF THE POSSIBILITY OF SUCH DAMAGES</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AND NOTWITHSTANDING ANY FAILURE OF ESSENTIAL PURPOSE OF ANY LIMITED REMEDY PROVIDED</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HEREIN.</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IF EITHER PARTY TERMINATES THIS AGREEMENT IN ACCORDANCE WITH ANY OF ITS PROVISIONS,</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NEITHER  PARTY  SHALL  BE  LIABLE  TO  THE  OTHER,  BECAUSE  OF  SUCH  TERMINATION,  FOR</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6"/>
              </w:rPr>
              <w:t>COMPENSATION, REIMBURSEMENT OR DAMAGES ON ACCOUNT OF THE LOSS OF PROSPECTIVE PROFITS</w:t>
            </w:r>
          </w:p>
        </w:tc>
      </w:tr>
      <w:tr>
        <w:trPr>
          <w:trHeight w:val="243"/>
        </w:trPr>
        <w:tc>
          <w:tcPr>
            <w:tcW w:w="840" w:type="dxa"/>
            <w:vAlign w:val="bottom"/>
          </w:tcPr>
          <w:p>
            <w:pPr>
              <w:spacing w:after="0"/>
              <w:rPr>
                <w:sz w:val="21"/>
                <w:szCs w:val="21"/>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w w:val="99"/>
              </w:rPr>
              <w:t>OR ANTICIPATED SALES OR ON ACCOUNT OF EXPENDITURES, INVENTORY, INVESTMENTS, LEASES OR</w:t>
            </w:r>
          </w:p>
        </w:tc>
      </w:tr>
      <w:tr>
        <w:trPr>
          <w:trHeight w:val="264"/>
        </w:trPr>
        <w:tc>
          <w:tcPr>
            <w:tcW w:w="840" w:type="dxa"/>
            <w:vAlign w:val="bottom"/>
          </w:tcPr>
          <w:p>
            <w:pPr>
              <w:spacing w:after="0"/>
              <w:rPr>
                <w:sz w:val="22"/>
                <w:szCs w:val="22"/>
                <w:color w:val="auto"/>
              </w:rPr>
            </w:pPr>
          </w:p>
        </w:tc>
        <w:tc>
          <w:tcPr>
            <w:tcW w:w="10580" w:type="dxa"/>
            <w:vAlign w:val="bottom"/>
            <w:gridSpan w:val="2"/>
          </w:tcPr>
          <w:p>
            <w:pPr>
              <w:ind w:left="20"/>
              <w:spacing w:after="0"/>
              <w:rPr>
                <w:sz w:val="20"/>
                <w:szCs w:val="20"/>
                <w:color w:val="auto"/>
              </w:rPr>
            </w:pPr>
            <w:r>
              <w:rPr>
                <w:rFonts w:ascii="Arial" w:cs="Arial" w:eastAsia="Arial" w:hAnsi="Arial"/>
                <w:sz w:val="21"/>
                <w:szCs w:val="21"/>
                <w:color w:val="auto"/>
              </w:rPr>
              <w:t>COMMITMENTS IN CONNECTION WITH THE BUSINESS OR GOODWILL OF TANDEM OR DEXCOM.</w:t>
            </w:r>
          </w:p>
        </w:tc>
      </w:tr>
    </w:tbl>
    <w:p>
      <w:pPr>
        <w:spacing w:after="0" w:line="200" w:lineRule="exact"/>
        <w:rPr>
          <w:sz w:val="20"/>
          <w:szCs w:val="20"/>
          <w:color w:val="auto"/>
        </w:rPr>
      </w:pPr>
    </w:p>
    <w:p>
      <w:pPr>
        <w:spacing w:after="0" w:line="205" w:lineRule="exact"/>
        <w:rPr>
          <w:sz w:val="20"/>
          <w:szCs w:val="20"/>
          <w:color w:val="auto"/>
        </w:rPr>
      </w:pPr>
    </w:p>
    <w:p>
      <w:pPr>
        <w:ind w:left="840" w:hanging="832"/>
        <w:spacing w:after="0"/>
        <w:tabs>
          <w:tab w:leader="none" w:pos="84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p>
    <w:p>
      <w:pPr>
        <w:spacing w:after="0" w:line="223" w:lineRule="exact"/>
        <w:rPr>
          <w:rFonts w:ascii="Arial" w:cs="Arial" w:eastAsia="Arial" w:hAnsi="Arial"/>
          <w:sz w:val="21"/>
          <w:szCs w:val="21"/>
          <w:b w:val="1"/>
          <w:bCs w:val="1"/>
          <w:color w:val="auto"/>
        </w:rPr>
      </w:pPr>
    </w:p>
    <w:p>
      <w:pPr>
        <w:jc w:val="both"/>
        <w:ind w:left="1680" w:hanging="835"/>
        <w:spacing w:after="0" w:line="283" w:lineRule="auto"/>
        <w:tabs>
          <w:tab w:leader="none" w:pos="168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Subcontractors</w:t>
      </w:r>
      <w:r>
        <w:rPr>
          <w:rFonts w:ascii="Arial" w:cs="Arial" w:eastAsia="Arial" w:hAnsi="Arial"/>
          <w:sz w:val="19"/>
          <w:szCs w:val="19"/>
          <w:color w:val="auto"/>
        </w:rPr>
        <w:t>. Either party may subcontract the performance of its obligations under this Agreement to third parties, provided that such third parties are bound by terms and conditions consistent with this Agreement, including restrictions with respect to the protection and use of Confidential Information which are no less stringent than those set forth in this Agreement and each party shall be fully responsible for the performance of its subcontractor(s).</w:t>
      </w:r>
    </w:p>
    <w:p>
      <w:pPr>
        <w:spacing w:after="0" w:line="157" w:lineRule="exact"/>
        <w:rPr>
          <w:rFonts w:ascii="Arial" w:cs="Arial" w:eastAsia="Arial" w:hAnsi="Arial"/>
          <w:sz w:val="19"/>
          <w:szCs w:val="19"/>
          <w:color w:val="auto"/>
        </w:rPr>
      </w:pPr>
    </w:p>
    <w:p>
      <w:pPr>
        <w:jc w:val="both"/>
        <w:ind w:left="1680" w:hanging="835"/>
        <w:spacing w:after="0" w:line="249" w:lineRule="auto"/>
        <w:tabs>
          <w:tab w:leader="none" w:pos="168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Force Majeure</w:t>
      </w:r>
      <w:r>
        <w:rPr>
          <w:rFonts w:ascii="Arial" w:cs="Arial" w:eastAsia="Arial" w:hAnsi="Arial"/>
          <w:sz w:val="21"/>
          <w:szCs w:val="21"/>
          <w:color w:val="auto"/>
        </w:rPr>
        <w:t>. Nonperformance of any party (except for payment obligations) will be excused to the extent that performance is rendered impossible by strike, fire, earthquake, flood, governmental acts or orders or restrictions, or any other reason where failure to perform is beyond the reasonable control and not caused by the gross negligence or willful misconduct of the nonperforming party.</w:t>
      </w:r>
    </w:p>
    <w:p>
      <w:pPr>
        <w:spacing w:after="0" w:line="186" w:lineRule="exact"/>
        <w:rPr>
          <w:rFonts w:ascii="Arial" w:cs="Arial" w:eastAsia="Arial" w:hAnsi="Arial"/>
          <w:sz w:val="21"/>
          <w:szCs w:val="21"/>
          <w:color w:val="auto"/>
        </w:rPr>
      </w:pPr>
    </w:p>
    <w:p>
      <w:pPr>
        <w:jc w:val="both"/>
        <w:ind w:left="1680" w:hanging="835"/>
        <w:spacing w:after="0" w:line="249" w:lineRule="auto"/>
        <w:tabs>
          <w:tab w:leader="none" w:pos="168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No Implied Waivers; Rights Cumulative</w:t>
      </w:r>
      <w:r>
        <w:rPr>
          <w:rFonts w:ascii="Arial" w:cs="Arial" w:eastAsia="Arial" w:hAnsi="Arial"/>
          <w:sz w:val="21"/>
          <w:szCs w:val="21"/>
          <w:color w:val="auto"/>
        </w:rPr>
        <w:t>. No failure on the part of DexCom or Tandem to exercise and no delay in exercising any right under this Agreement, or 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186" w:lineRule="exact"/>
        <w:rPr>
          <w:rFonts w:ascii="Arial" w:cs="Arial" w:eastAsia="Arial" w:hAnsi="Arial"/>
          <w:sz w:val="21"/>
          <w:szCs w:val="21"/>
          <w:color w:val="auto"/>
        </w:rPr>
      </w:pPr>
    </w:p>
    <w:p>
      <w:pPr>
        <w:jc w:val="both"/>
        <w:ind w:left="1680" w:hanging="835"/>
        <w:spacing w:after="0" w:line="253" w:lineRule="auto"/>
        <w:tabs>
          <w:tab w:leader="none" w:pos="168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Independent Contractors</w:t>
      </w:r>
      <w:r>
        <w:rPr>
          <w:rFonts w:ascii="Arial" w:cs="Arial" w:eastAsia="Arial" w:hAnsi="Arial"/>
          <w:sz w:val="21"/>
          <w:szCs w:val="21"/>
          <w:color w:val="auto"/>
        </w:rPr>
        <w:t>. Nothing contained in this Agreement is intended implicitly, or is to be construed, to constitute DexCom or Tandem as partners in the legal sense. No party hereto will have any express or implied right or authority to assume or create 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49" w:right="239" w:bottom="1440" w:gutter="0" w:footer="0" w:header="0"/>
        </w:sectPr>
      </w:pPr>
    </w:p>
    <w:bookmarkStart w:id="75" w:name="page76"/>
    <w:bookmarkEnd w:id="75"/>
    <w:p>
      <w:pPr>
        <w:ind w:left="835" w:right="20"/>
        <w:spacing w:after="0" w:line="264" w:lineRule="auto"/>
        <w:rPr>
          <w:sz w:val="20"/>
          <w:szCs w:val="20"/>
          <w:color w:val="auto"/>
        </w:rPr>
      </w:pPr>
      <w:r>
        <w:rPr>
          <w:rFonts w:ascii="Arial" w:cs="Arial" w:eastAsia="Arial" w:hAnsi="Arial"/>
          <w:sz w:val="21"/>
          <w:szCs w:val="21"/>
          <w:color w:val="auto"/>
        </w:rPr>
        <w:t>obligations on behalf of or in the name of any other party or to bind any other party to any contract, agreement or undertaking with any third party.</w:t>
      </w:r>
    </w:p>
    <w:p>
      <w:pPr>
        <w:spacing w:after="0" w:line="171" w:lineRule="exact"/>
        <w:rPr>
          <w:sz w:val="20"/>
          <w:szCs w:val="20"/>
          <w:color w:val="auto"/>
        </w:rPr>
      </w:pPr>
    </w:p>
    <w:p>
      <w:pPr>
        <w:jc w:val="both"/>
        <w:ind w:left="835" w:hanging="835"/>
        <w:spacing w:after="0" w:line="292" w:lineRule="auto"/>
        <w:tabs>
          <w:tab w:leader="none" w:pos="83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hereunder will be in writing and will be personally delivered or sent by 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0575"/>
          </w:cols>
          <w:pgMar w:left="1085" w:top="558" w:right="239" w:bottom="1440" w:gutter="0" w:footer="0" w:header="0"/>
        </w:sectPr>
      </w:pPr>
    </w:p>
    <w:p>
      <w:pPr>
        <w:spacing w:after="0" w:line="148" w:lineRule="exact"/>
        <w:rPr>
          <w:sz w:val="20"/>
          <w:szCs w:val="20"/>
          <w:color w:val="auto"/>
        </w:rPr>
      </w:pPr>
    </w:p>
    <w:p>
      <w:pPr>
        <w:ind w:left="855"/>
        <w:spacing w:after="0"/>
        <w:rPr>
          <w:sz w:val="20"/>
          <w:szCs w:val="20"/>
          <w:color w:val="auto"/>
        </w:rPr>
      </w:pPr>
      <w:r>
        <w:rPr>
          <w:rFonts w:ascii="Arial" w:cs="Arial" w:eastAsia="Arial" w:hAnsi="Arial"/>
          <w:sz w:val="20"/>
          <w:szCs w:val="20"/>
          <w:color w:val="auto"/>
        </w:rPr>
        <w:t>Tandem: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55"/>
        <w:spacing w:after="0"/>
        <w:rPr>
          <w:sz w:val="20"/>
          <w:szCs w:val="20"/>
          <w:color w:val="auto"/>
        </w:rPr>
      </w:pPr>
      <w:r>
        <w:rPr>
          <w:rFonts w:ascii="Arial" w:cs="Arial" w:eastAsia="Arial" w:hAnsi="Arial"/>
          <w:sz w:val="19"/>
          <w:szCs w:val="19"/>
          <w:color w:val="auto"/>
        </w:rPr>
        <w:t>DexCom:</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color w:val="auto"/>
        </w:rPr>
        <w:t>Tandem Diabetes Care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11045 Roselle St.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San Diego, CA 92121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Attn: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with copy to: General Counsel</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DexCom,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6340 Sequence Drive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San Diego, CA 92121</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Attn: Legal Department</w:t>
      </w:r>
    </w:p>
    <w:p>
      <w:pPr>
        <w:spacing w:after="0" w:line="200" w:lineRule="exact"/>
        <w:rPr>
          <w:sz w:val="20"/>
          <w:szCs w:val="20"/>
          <w:color w:val="auto"/>
        </w:rPr>
      </w:pPr>
    </w:p>
    <w:p>
      <w:pPr>
        <w:sectPr>
          <w:pgSz w:w="11900" w:h="16838" w:orient="portrait"/>
          <w:cols w:equalWidth="0" w:num="2">
            <w:col w:w="3515" w:space="720"/>
            <w:col w:w="6340"/>
          </w:cols>
          <w:pgMar w:left="1085" w:top="558" w:right="239" w:bottom="1440" w:gutter="0" w:footer="0" w:header="0"/>
          <w:type w:val="continuous"/>
        </w:sectPr>
      </w:pPr>
    </w:p>
    <w:p>
      <w:pPr>
        <w:jc w:val="both"/>
        <w:ind w:left="835" w:hanging="835"/>
        <w:spacing w:after="0" w:line="277" w:lineRule="auto"/>
        <w:tabs>
          <w:tab w:leader="none" w:pos="83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will not be assignable by either party to any third party without the written consent of the other party hereto; provided that either party may assign this Agreement to a third party acquiring all or substantially all of the business or assets of such party, including by way of merger, sale of assets, consolidation, change of control or operation of law upon written notice to the other party to this Agreement; provided further however, that Tandem shall make no such assignment to a competitor of DexCom without DexCom’s written consent, which determination and consent shall be made by DexCom in its sole discretion.</w:t>
      </w:r>
    </w:p>
    <w:p>
      <w:pPr>
        <w:spacing w:after="0" w:line="161" w:lineRule="exact"/>
        <w:rPr>
          <w:rFonts w:ascii="Arial" w:cs="Arial" w:eastAsia="Arial" w:hAnsi="Arial"/>
          <w:sz w:val="19"/>
          <w:szCs w:val="19"/>
          <w:color w:val="auto"/>
        </w:rPr>
      </w:pPr>
    </w:p>
    <w:p>
      <w:pPr>
        <w:jc w:val="both"/>
        <w:ind w:left="835" w:hanging="835"/>
        <w:spacing w:after="0" w:line="270" w:lineRule="auto"/>
        <w:tabs>
          <w:tab w:leader="none" w:pos="83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Standstill</w:t>
      </w:r>
      <w:r>
        <w:rPr>
          <w:rFonts w:ascii="Arial" w:cs="Arial" w:eastAsia="Arial" w:hAnsi="Arial"/>
          <w:sz w:val="19"/>
          <w:szCs w:val="19"/>
          <w:color w:val="auto"/>
        </w:rPr>
        <w:t>. Except as permitted by the last sentence of this Section 10.7, during the Term of this Agreement and for a period of twelve (12) months thereafter, without the prior written consent of the Board of Directors of Tandem, DexCom and its officers, directors and Affiliates, will not directly or indirectly in any manner: (i) acquire, announce an intention to acquire, or agree to acquire, directly or indirectly, alone or in concert with others, by purchase, gift or otherwise, any direct or indirect beneficial ownership (within the meaning of Rule 13d-3 under the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 or interest in any securities or direct or indirect rights, warrants or options to acquire, or securities convertible into or exchangeable for, any securities of Tandem (ii) make, or in any way participate in, directly or indirectly, alone or in concert with others, any “solicitation” of “proxies” to vote (as such terms are used in the proxy rules of the SEC promulgated pursuant to Section 14 of the Exchange Act) any securities of Tandem with respect to any business combination, restructuring, recapitalization or similar transaction; (iii) form, join or in any way participate in a “group” within the meaning of Section 13(d)(3) of the Exchange Act with respect to any voting securities of Tandem; (iv) acquire, announce an intention to acquire, or agree to acquire, directly or indirectly, alone or in concert with others, by purchase, exchange or otherwise, (a) any of the assets, tangible or intangible, of Tandem or (b) direct or indirect rights, warrants or options to acquire any assets of Tandem, other than in the ordinary course of business; (v) enter into</w:t>
      </w:r>
    </w:p>
    <w:p>
      <w:pPr>
        <w:spacing w:after="0" w:line="391" w:lineRule="exact"/>
        <w:rPr>
          <w:sz w:val="20"/>
          <w:szCs w:val="20"/>
          <w:color w:val="auto"/>
        </w:rPr>
      </w:pPr>
    </w:p>
    <w:p>
      <w:pPr>
        <w:ind w:left="4755"/>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75"/>
          </w:cols>
          <w:pgMar w:left="1085" w:top="558" w:right="239" w:bottom="1440" w:gutter="0" w:footer="0" w:header="0"/>
          <w:type w:val="continuous"/>
        </w:sectPr>
      </w:pPr>
    </w:p>
    <w:bookmarkStart w:id="76" w:name="page77"/>
    <w:bookmarkEnd w:id="76"/>
    <w:p>
      <w:pPr>
        <w:jc w:val="both"/>
        <w:ind w:left="835"/>
        <w:spacing w:after="0" w:line="277" w:lineRule="auto"/>
        <w:rPr>
          <w:sz w:val="20"/>
          <w:szCs w:val="20"/>
          <w:color w:val="auto"/>
        </w:rPr>
      </w:pPr>
      <w:r>
        <w:rPr>
          <w:rFonts w:ascii="Arial" w:cs="Arial" w:eastAsia="Arial" w:hAnsi="Arial"/>
          <w:sz w:val="19"/>
          <w:szCs w:val="19"/>
          <w:color w:val="auto"/>
        </w:rPr>
        <w:t>any arrangement or understanding with, or otherwise assist or encourage, others to do any of the actions restricted or prohibited under clauses (i), (ii), (iii) or (iv) of this Section 10.7; (vi) otherwise act in concert with others, to seek to offer to Tandem or any of its stockholders any business combination, restructuring, recapitalization or similar transaction to or with Tandem, or (vii) take any action to control the management, Board of Directors or policies of Tandem. Notwithstanding the above, cumulative acquisitions by DexCom, including any Affiliate of DexCom, of less than one percent (1%) of Tandem's outstanding common shares shall not be deemed a breach of this provision.</w:t>
      </w:r>
    </w:p>
    <w:p>
      <w:pPr>
        <w:spacing w:after="0" w:line="162" w:lineRule="exact"/>
        <w:rPr>
          <w:sz w:val="20"/>
          <w:szCs w:val="20"/>
          <w:color w:val="auto"/>
        </w:rPr>
      </w:pPr>
    </w:p>
    <w:p>
      <w:pPr>
        <w:jc w:val="both"/>
        <w:ind w:left="835" w:hanging="835"/>
        <w:spacing w:after="0" w:line="249" w:lineRule="auto"/>
        <w:tabs>
          <w:tab w:leader="none" w:pos="83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Modifications</w:t>
      </w:r>
      <w:r>
        <w:rPr>
          <w:rFonts w:ascii="Arial" w:cs="Arial" w:eastAsia="Arial" w:hAnsi="Arial"/>
          <w:sz w:val="21"/>
          <w:szCs w:val="21"/>
          <w:color w:val="auto"/>
        </w:rPr>
        <w:t>. No amendment or modification of any provision of this Agreement will be effective unless in writing signed by all parties hereto. No provision of this Agreement will be varied, contradicted or explained by any oral agreement, course of dealing or performance or any other matter not set forth in an agreement in writing and signed by all parties.</w:t>
      </w:r>
    </w:p>
    <w:p>
      <w:pPr>
        <w:spacing w:after="0" w:line="186" w:lineRule="exact"/>
        <w:rPr>
          <w:rFonts w:ascii="Arial" w:cs="Arial" w:eastAsia="Arial" w:hAnsi="Arial"/>
          <w:sz w:val="21"/>
          <w:szCs w:val="21"/>
          <w:color w:val="auto"/>
        </w:rPr>
      </w:pPr>
    </w:p>
    <w:p>
      <w:pPr>
        <w:jc w:val="both"/>
        <w:ind w:left="835" w:hanging="835"/>
        <w:spacing w:after="0" w:line="265" w:lineRule="auto"/>
        <w:tabs>
          <w:tab w:leader="none" w:pos="835"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hereof should be held invalid, illegal or unenforceable in any jurisdiction, all 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72" w:lineRule="exact"/>
        <w:rPr>
          <w:rFonts w:ascii="Arial" w:cs="Arial" w:eastAsia="Arial" w:hAnsi="Arial"/>
          <w:sz w:val="20"/>
          <w:szCs w:val="20"/>
          <w:color w:val="auto"/>
        </w:rPr>
      </w:pPr>
    </w:p>
    <w:p>
      <w:pPr>
        <w:jc w:val="both"/>
        <w:ind w:left="835" w:hanging="835"/>
        <w:spacing w:after="0" w:line="253" w:lineRule="auto"/>
        <w:tabs>
          <w:tab w:leader="none" w:pos="83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dispute arising from the performance or breach hereof will be governed by and construed and enforced in accordance with, the laws of the State of Delaware without regard for conflicts of laws principles.</w:t>
      </w:r>
    </w:p>
    <w:p>
      <w:pPr>
        <w:spacing w:after="0" w:line="181" w:lineRule="exact"/>
        <w:rPr>
          <w:rFonts w:ascii="Arial" w:cs="Arial" w:eastAsia="Arial" w:hAnsi="Arial"/>
          <w:sz w:val="21"/>
          <w:szCs w:val="21"/>
          <w:color w:val="auto"/>
        </w:rPr>
      </w:pPr>
    </w:p>
    <w:p>
      <w:pPr>
        <w:ind w:left="835" w:hanging="835"/>
        <w:spacing w:after="0" w:line="264" w:lineRule="auto"/>
        <w:tabs>
          <w:tab w:leader="none" w:pos="83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each of which will be deemed an original, and all of which together, will constitute one and the same instrument.</w:t>
      </w:r>
    </w:p>
    <w:p>
      <w:pPr>
        <w:spacing w:after="0" w:line="171" w:lineRule="exact"/>
        <w:rPr>
          <w:rFonts w:ascii="Arial" w:cs="Arial" w:eastAsia="Arial" w:hAnsi="Arial"/>
          <w:sz w:val="21"/>
          <w:szCs w:val="21"/>
          <w:color w:val="auto"/>
        </w:rPr>
      </w:pPr>
    </w:p>
    <w:p>
      <w:pPr>
        <w:ind w:left="835" w:hanging="835"/>
        <w:spacing w:after="0" w:line="264" w:lineRule="auto"/>
        <w:tabs>
          <w:tab w:leader="none" w:pos="83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Headings used herein are for convenience only and will not in any way affect the construction of or be taken into consideration in interpreting this Agreement.</w:t>
      </w:r>
    </w:p>
    <w:p>
      <w:pPr>
        <w:spacing w:after="0" w:line="171" w:lineRule="exact"/>
        <w:rPr>
          <w:rFonts w:ascii="Arial" w:cs="Arial" w:eastAsia="Arial" w:hAnsi="Arial"/>
          <w:sz w:val="21"/>
          <w:szCs w:val="21"/>
          <w:color w:val="auto"/>
        </w:rPr>
      </w:pPr>
    </w:p>
    <w:p>
      <w:pPr>
        <w:jc w:val="both"/>
        <w:ind w:left="835" w:hanging="835"/>
        <w:spacing w:after="0" w:line="287" w:lineRule="auto"/>
        <w:tabs>
          <w:tab w:leader="none" w:pos="83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Attachments attached hereto, constitutes the entire agreement with respect to the subject matter hereof, and supersedes all prior or contemporaneous understandings or agreements, whether written or oral, between DexCom and Tandem with respect to such subject matter. For the avoidance of doubt, DexCom and Tandem acknowledge and agree that this Agreement does not terminate, amend or otherwise</w:t>
      </w:r>
    </w:p>
    <w:p>
      <w:pPr>
        <w:jc w:val="both"/>
        <w:ind w:left="835"/>
        <w:spacing w:after="0" w:line="241" w:lineRule="auto"/>
        <w:rPr>
          <w:sz w:val="20"/>
          <w:szCs w:val="20"/>
          <w:color w:val="auto"/>
        </w:rPr>
      </w:pPr>
      <w:r>
        <w:rPr>
          <w:rFonts w:ascii="Arial" w:cs="Arial" w:eastAsia="Arial" w:hAnsi="Arial"/>
          <w:sz w:val="21"/>
          <w:szCs w:val="21"/>
          <w:color w:val="auto"/>
        </w:rPr>
        <w:t>modify either (i) the Amended and Restated Development and Commercialization Agreement between the parties dated as of January 4, 2013 or (ii) the G5 Development Agreement between the parties entered into concurrently with this Agreement.</w:t>
      </w:r>
    </w:p>
    <w:p>
      <w:pPr>
        <w:spacing w:after="0" w:line="2" w:lineRule="exact"/>
        <w:rPr>
          <w:sz w:val="20"/>
          <w:szCs w:val="20"/>
          <w:color w:val="auto"/>
        </w:rPr>
      </w:pPr>
    </w:p>
    <w:p>
      <w:pPr>
        <w:ind w:left="3775"/>
        <w:spacing w:after="0"/>
        <w:rPr>
          <w:sz w:val="20"/>
          <w:szCs w:val="20"/>
          <w:color w:val="auto"/>
        </w:rPr>
      </w:pPr>
      <w:r>
        <w:rPr>
          <w:rFonts w:ascii="Arial" w:cs="Arial" w:eastAsia="Arial" w:hAnsi="Arial"/>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5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75"/>
          </w:cols>
          <w:pgMar w:left="1085" w:top="558" w:right="23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21"/>
          <w:szCs w:val="21"/>
          <w:color w:val="auto"/>
        </w:rPr>
        <w:t>IN WITNESS WHEREOF, the parties hereto have caused this Agreement to be signed by 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100" w:type="dxa"/>
        <w:tblCellMar>
          <w:top w:w="0" w:type="dxa"/>
          <w:left w:w="0" w:type="dxa"/>
          <w:bottom w:w="0" w:type="dxa"/>
          <w:right w:w="0" w:type="dxa"/>
        </w:tblCellMar>
      </w:tblPr>
      <w:tr>
        <w:trPr>
          <w:trHeight w:val="243"/>
        </w:trPr>
        <w:tc>
          <w:tcPr>
            <w:tcW w:w="2720" w:type="dxa"/>
            <w:vAlign w:val="bottom"/>
            <w:gridSpan w:val="4"/>
          </w:tcPr>
          <w:p>
            <w:pPr>
              <w:spacing w:after="0"/>
              <w:rPr>
                <w:sz w:val="20"/>
                <w:szCs w:val="20"/>
                <w:color w:val="auto"/>
              </w:rPr>
            </w:pPr>
            <w:r>
              <w:rPr>
                <w:rFonts w:ascii="Arial" w:cs="Arial" w:eastAsia="Arial" w:hAnsi="Arial"/>
                <w:sz w:val="21"/>
                <w:szCs w:val="21"/>
                <w:color w:val="auto"/>
              </w:rPr>
              <w:t>D</w:t>
            </w:r>
            <w:r>
              <w:rPr>
                <w:rFonts w:ascii="Arial" w:cs="Arial" w:eastAsia="Arial" w:hAnsi="Arial"/>
                <w:sz w:val="14"/>
                <w:szCs w:val="14"/>
                <w:color w:val="auto"/>
              </w:rPr>
              <w:t>EX</w:t>
            </w:r>
            <w:r>
              <w:rPr>
                <w:rFonts w:ascii="Arial" w:cs="Arial" w:eastAsia="Arial" w:hAnsi="Arial"/>
                <w:sz w:val="21"/>
                <w:szCs w:val="21"/>
                <w:color w:val="auto"/>
              </w:rPr>
              <w:t>C</w:t>
            </w:r>
            <w:r>
              <w:rPr>
                <w:rFonts w:ascii="Arial" w:cs="Arial" w:eastAsia="Arial" w:hAnsi="Arial"/>
                <w:sz w:val="14"/>
                <w:szCs w:val="14"/>
                <w:color w:val="auto"/>
              </w:rPr>
              <w:t>OM</w:t>
            </w:r>
            <w:r>
              <w:rPr>
                <w:rFonts w:ascii="Arial" w:cs="Arial" w:eastAsia="Arial" w:hAnsi="Arial"/>
                <w:sz w:val="21"/>
                <w:szCs w:val="21"/>
                <w:color w:val="auto"/>
              </w:rPr>
              <w:t>, I</w:t>
            </w:r>
            <w:r>
              <w:rPr>
                <w:rFonts w:ascii="Arial" w:cs="Arial" w:eastAsia="Arial" w:hAnsi="Arial"/>
                <w:sz w:val="14"/>
                <w:szCs w:val="14"/>
                <w:color w:val="auto"/>
              </w:rPr>
              <w:t>NC</w:t>
            </w:r>
            <w:r>
              <w:rPr>
                <w:rFonts w:ascii="Arial" w:cs="Arial" w:eastAsia="Arial" w:hAnsi="Arial"/>
                <w:sz w:val="21"/>
                <w:szCs w:val="21"/>
                <w:color w:val="auto"/>
              </w:rPr>
              <w:t>.</w:t>
            </w:r>
          </w:p>
        </w:tc>
        <w:tc>
          <w:tcPr>
            <w:tcW w:w="4480" w:type="dxa"/>
            <w:vAlign w:val="bottom"/>
            <w:gridSpan w:val="8"/>
          </w:tcPr>
          <w:p>
            <w:pPr>
              <w:ind w:left="980"/>
              <w:spacing w:after="0"/>
              <w:rPr>
                <w:sz w:val="20"/>
                <w:szCs w:val="20"/>
                <w:color w:val="auto"/>
              </w:rPr>
            </w:pPr>
            <w:r>
              <w:rPr>
                <w:rFonts w:ascii="Arial" w:cs="Arial" w:eastAsia="Arial" w:hAnsi="Arial"/>
                <w:sz w:val="21"/>
                <w:szCs w:val="21"/>
                <w:color w:val="auto"/>
              </w:rPr>
              <w:t>T</w:t>
            </w:r>
            <w:r>
              <w:rPr>
                <w:rFonts w:ascii="Arial" w:cs="Arial" w:eastAsia="Arial" w:hAnsi="Arial"/>
                <w:sz w:val="14"/>
                <w:szCs w:val="14"/>
                <w:color w:val="auto"/>
              </w:rPr>
              <w:t>ANDEM</w:t>
            </w:r>
            <w:r>
              <w:rPr>
                <w:rFonts w:ascii="Arial" w:cs="Arial" w:eastAsia="Arial" w:hAnsi="Arial"/>
                <w:sz w:val="21"/>
                <w:szCs w:val="21"/>
                <w:color w:val="auto"/>
              </w:rPr>
              <w:t xml:space="preserve"> D</w:t>
            </w:r>
            <w:r>
              <w:rPr>
                <w:rFonts w:ascii="Arial" w:cs="Arial" w:eastAsia="Arial" w:hAnsi="Arial"/>
                <w:sz w:val="14"/>
                <w:szCs w:val="14"/>
                <w:color w:val="auto"/>
              </w:rPr>
              <w:t>IABETES</w:t>
            </w:r>
            <w:r>
              <w:rPr>
                <w:rFonts w:ascii="Arial" w:cs="Arial" w:eastAsia="Arial" w:hAnsi="Arial"/>
                <w:sz w:val="21"/>
                <w:szCs w:val="21"/>
                <w:color w:val="auto"/>
              </w:rPr>
              <w:t xml:space="preserve"> C</w:t>
            </w:r>
            <w:r>
              <w:rPr>
                <w:rFonts w:ascii="Arial" w:cs="Arial" w:eastAsia="Arial" w:hAnsi="Arial"/>
                <w:sz w:val="14"/>
                <w:szCs w:val="14"/>
                <w:color w:val="auto"/>
              </w:rPr>
              <w:t>ARE</w:t>
            </w:r>
            <w:r>
              <w:rPr>
                <w:rFonts w:ascii="Arial" w:cs="Arial" w:eastAsia="Arial" w:hAnsi="Arial"/>
                <w:sz w:val="21"/>
                <w:szCs w:val="21"/>
                <w:color w:val="auto"/>
              </w:rPr>
              <w:t>, I</w:t>
            </w:r>
            <w:r>
              <w:rPr>
                <w:rFonts w:ascii="Arial" w:cs="Arial" w:eastAsia="Arial" w:hAnsi="Arial"/>
                <w:sz w:val="14"/>
                <w:szCs w:val="14"/>
                <w:color w:val="auto"/>
              </w:rPr>
              <w:t>NC</w:t>
            </w:r>
            <w:r>
              <w:rPr>
                <w:rFonts w:ascii="Arial" w:cs="Arial" w:eastAsia="Arial" w:hAnsi="Arial"/>
                <w:sz w:val="21"/>
                <w:szCs w:val="21"/>
                <w:color w:val="auto"/>
              </w:rPr>
              <w:t>.</w:t>
            </w:r>
          </w:p>
        </w:tc>
      </w:tr>
      <w:tr>
        <w:trPr>
          <w:trHeight w:val="216"/>
        </w:trPr>
        <w:tc>
          <w:tcPr>
            <w:tcW w:w="2720" w:type="dxa"/>
            <w:vAlign w:val="bottom"/>
            <w:gridSpan w:val="4"/>
          </w:tcPr>
          <w:p>
            <w:pPr>
              <w:spacing w:after="0" w:line="216" w:lineRule="exact"/>
              <w:rPr>
                <w:sz w:val="20"/>
                <w:szCs w:val="20"/>
                <w:color w:val="auto"/>
              </w:rPr>
            </w:pPr>
            <w:r>
              <w:rPr>
                <w:rFonts w:ascii="Arial" w:cs="Arial" w:eastAsia="Arial" w:hAnsi="Arial"/>
                <w:sz w:val="21"/>
                <w:szCs w:val="21"/>
                <w:color w:val="auto"/>
                <w:w w:val="89"/>
              </w:rPr>
              <w:t>By: /s/ Kevin Sun for Jess Roper</w:t>
            </w:r>
          </w:p>
        </w:tc>
        <w:tc>
          <w:tcPr>
            <w:tcW w:w="4480" w:type="dxa"/>
            <w:vAlign w:val="bottom"/>
            <w:gridSpan w:val="8"/>
          </w:tcPr>
          <w:p>
            <w:pPr>
              <w:ind w:left="980"/>
              <w:spacing w:after="0" w:line="216" w:lineRule="exact"/>
              <w:rPr>
                <w:sz w:val="20"/>
                <w:szCs w:val="20"/>
                <w:color w:val="auto"/>
              </w:rPr>
            </w:pPr>
            <w:r>
              <w:rPr>
                <w:rFonts w:ascii="Arial" w:cs="Arial" w:eastAsia="Arial" w:hAnsi="Arial"/>
                <w:sz w:val="21"/>
                <w:szCs w:val="21"/>
                <w:color w:val="auto"/>
              </w:rPr>
              <w:t>By: /s/ Kim D. Blickenstaff</w:t>
            </w:r>
          </w:p>
        </w:tc>
      </w:tr>
      <w:tr>
        <w:trPr>
          <w:trHeight w:val="20"/>
        </w:trPr>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720" w:type="dxa"/>
            <w:vAlign w:val="bottom"/>
            <w:gridSpan w:val="4"/>
          </w:tcPr>
          <w:p>
            <w:pPr>
              <w:spacing w:after="0" w:line="223" w:lineRule="exact"/>
              <w:rPr>
                <w:sz w:val="20"/>
                <w:szCs w:val="20"/>
                <w:color w:val="auto"/>
              </w:rPr>
            </w:pPr>
            <w:r>
              <w:rPr>
                <w:rFonts w:ascii="Arial" w:cs="Arial" w:eastAsia="Arial" w:hAnsi="Arial"/>
                <w:sz w:val="21"/>
                <w:szCs w:val="21"/>
                <w:color w:val="auto"/>
              </w:rPr>
              <w:t>Jess Roper</w:t>
            </w:r>
          </w:p>
        </w:tc>
        <w:tc>
          <w:tcPr>
            <w:tcW w:w="4480" w:type="dxa"/>
            <w:vAlign w:val="bottom"/>
            <w:gridSpan w:val="8"/>
          </w:tcPr>
          <w:p>
            <w:pPr>
              <w:ind w:left="980"/>
              <w:spacing w:after="0" w:line="223" w:lineRule="exact"/>
              <w:rPr>
                <w:sz w:val="20"/>
                <w:szCs w:val="20"/>
                <w:color w:val="auto"/>
              </w:rPr>
            </w:pPr>
            <w:r>
              <w:rPr>
                <w:rFonts w:ascii="Arial" w:cs="Arial" w:eastAsia="Arial" w:hAnsi="Arial"/>
                <w:sz w:val="21"/>
                <w:szCs w:val="21"/>
                <w:color w:val="auto"/>
              </w:rPr>
              <w:t>Print Name: Kim D. Blickenstaff</w:t>
            </w:r>
          </w:p>
        </w:tc>
      </w:tr>
      <w:tr>
        <w:trPr>
          <w:trHeight w:val="20"/>
        </w:trPr>
        <w:tc>
          <w:tcPr>
            <w:tcW w:w="5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2720" w:type="dxa"/>
            <w:vAlign w:val="bottom"/>
            <w:gridSpan w:val="4"/>
          </w:tcPr>
          <w:p>
            <w:pPr>
              <w:spacing w:after="0"/>
              <w:rPr>
                <w:sz w:val="20"/>
                <w:szCs w:val="20"/>
                <w:color w:val="auto"/>
              </w:rPr>
            </w:pPr>
            <w:r>
              <w:rPr>
                <w:rFonts w:ascii="Arial" w:cs="Arial" w:eastAsia="Arial" w:hAnsi="Arial"/>
                <w:sz w:val="21"/>
                <w:szCs w:val="21"/>
                <w:color w:val="auto"/>
              </w:rPr>
              <w:t>Title: Senior Vice President</w:t>
            </w:r>
          </w:p>
        </w:tc>
        <w:tc>
          <w:tcPr>
            <w:tcW w:w="4480" w:type="dxa"/>
            <w:vAlign w:val="bottom"/>
            <w:gridSpan w:val="8"/>
          </w:tcPr>
          <w:p>
            <w:pPr>
              <w:ind w:left="980"/>
              <w:spacing w:after="0"/>
              <w:rPr>
                <w:sz w:val="20"/>
                <w:szCs w:val="20"/>
                <w:color w:val="auto"/>
              </w:rPr>
            </w:pPr>
            <w:r>
              <w:rPr>
                <w:rFonts w:ascii="Arial" w:cs="Arial" w:eastAsia="Arial" w:hAnsi="Arial"/>
                <w:sz w:val="21"/>
                <w:szCs w:val="21"/>
                <w:color w:val="auto"/>
                <w:w w:val="91"/>
              </w:rPr>
              <w:t>Title: President &amp; Chief Executive Officer</w:t>
            </w:r>
          </w:p>
        </w:tc>
      </w:tr>
      <w:tr>
        <w:trPr>
          <w:trHeight w:val="264"/>
        </w:trPr>
        <w:tc>
          <w:tcPr>
            <w:tcW w:w="2720" w:type="dxa"/>
            <w:vAlign w:val="bottom"/>
            <w:gridSpan w:val="4"/>
          </w:tcPr>
          <w:p>
            <w:pPr>
              <w:spacing w:after="0"/>
              <w:rPr>
                <w:sz w:val="20"/>
                <w:szCs w:val="20"/>
                <w:color w:val="auto"/>
              </w:rPr>
            </w:pPr>
            <w:r>
              <w:rPr>
                <w:rFonts w:ascii="Arial" w:cs="Arial" w:eastAsia="Arial" w:hAnsi="Arial"/>
                <w:sz w:val="21"/>
                <w:szCs w:val="21"/>
                <w:color w:val="auto"/>
              </w:rPr>
              <w:t>and Chief Financial Officer</w:t>
            </w: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11"/>
        </w:trPr>
        <w:tc>
          <w:tcPr>
            <w:tcW w:w="2720" w:type="dxa"/>
            <w:vAlign w:val="bottom"/>
            <w:gridSpan w:val="4"/>
          </w:tcPr>
          <w:p>
            <w:pPr>
              <w:spacing w:after="0"/>
              <w:rPr>
                <w:sz w:val="20"/>
                <w:szCs w:val="20"/>
                <w:color w:val="auto"/>
              </w:rPr>
            </w:pPr>
            <w:r>
              <w:rPr>
                <w:rFonts w:ascii="Arial" w:cs="Arial" w:eastAsia="Arial" w:hAnsi="Arial"/>
                <w:sz w:val="21"/>
                <w:szCs w:val="21"/>
                <w:color w:val="auto"/>
              </w:rPr>
              <w:t>Date: June 4, 2015</w:t>
            </w:r>
          </w:p>
        </w:tc>
        <w:tc>
          <w:tcPr>
            <w:tcW w:w="4480" w:type="dxa"/>
            <w:vAlign w:val="bottom"/>
            <w:gridSpan w:val="8"/>
          </w:tcPr>
          <w:p>
            <w:pPr>
              <w:ind w:left="980"/>
              <w:spacing w:after="0"/>
              <w:rPr>
                <w:sz w:val="20"/>
                <w:szCs w:val="20"/>
                <w:color w:val="auto"/>
              </w:rPr>
            </w:pPr>
            <w:r>
              <w:rPr>
                <w:rFonts w:ascii="Arial" w:cs="Arial" w:eastAsia="Arial" w:hAnsi="Arial"/>
                <w:sz w:val="21"/>
                <w:szCs w:val="21"/>
                <w:color w:val="auto"/>
              </w:rPr>
              <w:t>Date: June 4, 2015</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ectPr>
          <w:pgSz w:w="11900" w:h="16838" w:orient="portrait"/>
          <w:cols w:equalWidth="0" w:num="1">
            <w:col w:w="11200"/>
          </w:cols>
          <w:pgMar w:left="240" w:top="342" w:right="4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2018</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Leigh A. Vosseller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2018</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2018,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September 30, 2018,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Leigh A. Vosseller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upperLetter"/>
      <w:start w:val="1"/>
    </w:lvl>
  </w:abstractNum>
  <w:abstractNum w:abstractNumId="34">
    <w:nsid w:val="7A6D8D3C"/>
    <w:multiLevelType w:val="hybridMultilevel"/>
    <w:lvl w:ilvl="0">
      <w:lvlJc w:val="left"/>
      <w:lvlText w:val="%1."/>
      <w:numFmt w:val="upperLetter"/>
      <w:start w:val="9"/>
    </w:lvl>
  </w:abstractNum>
  <w:abstractNum w:abstractNumId="35">
    <w:nsid w:val="4B588F54"/>
    <w:multiLevelType w:val="hybridMultilevel"/>
    <w:lvl w:ilvl="0">
      <w:lvlJc w:val="left"/>
      <w:lvlText w:val="%1."/>
      <w:numFmt w:val="upperLetter"/>
      <w:start w:val="35"/>
    </w:lvl>
    <w:lvl w:ilvl="1">
      <w:lvlJc w:val="left"/>
      <w:lvlText w:val="(%2)"/>
      <w:numFmt w:val="lowerLetter"/>
      <w:start w:val="1"/>
    </w:lvl>
  </w:abstractNum>
  <w:abstractNum w:abstractNumId="36">
    <w:nsid w:val="542289EC"/>
    <w:multiLevelType w:val="hybridMultilevel"/>
    <w:lvl w:ilvl="0">
      <w:lvlJc w:val="left"/>
      <w:lvlText w:val="%1"/>
      <w:numFmt w:val="upperLetter"/>
      <w:start w:val="1"/>
    </w:lvl>
    <w:lvl w:ilvl="1">
      <w:lvlJc w:val="left"/>
      <w:lvlText w:val="(%2)"/>
      <w:numFmt w:val="lowerLetter"/>
      <w:start w:val="3"/>
    </w:lvl>
  </w:abstractNum>
  <w:abstractNum w:abstractNumId="37">
    <w:nsid w:val="6DE91B18"/>
    <w:multiLevelType w:val="hybridMultilevel"/>
    <w:lvl w:ilvl="0">
      <w:lvlJc w:val="left"/>
      <w:lvlText w:val="%1."/>
      <w:numFmt w:val="upperLetter"/>
      <w:start w:val="61"/>
    </w:lvl>
    <w:lvl w:ilvl="1">
      <w:lvlJc w:val="left"/>
      <w:lvlText w:val="(%2)"/>
      <w:numFmt w:val="lowerLetter"/>
      <w:start w:val="1"/>
    </w:lvl>
  </w:abstractNum>
  <w:abstractNum w:abstractNumId="38">
    <w:nsid w:val="38437FDB"/>
    <w:multiLevelType w:val="hybridMultilevel"/>
    <w:lvl w:ilvl="0">
      <w:lvlJc w:val="left"/>
      <w:lvlText w:val="%1"/>
      <w:numFmt w:val="upperLetter"/>
      <w:start w:val="1"/>
    </w:lvl>
    <w:lvl w:ilvl="1">
      <w:lvlJc w:val="left"/>
      <w:lvlText w:val="(%2)"/>
      <w:numFmt w:val="lowerLetter"/>
      <w:start w:val="1"/>
    </w:lvl>
  </w:abstractNum>
  <w:abstractNum w:abstractNumId="39">
    <w:nsid w:val="7644A45C"/>
    <w:multiLevelType w:val="hybridMultilevel"/>
    <w:lvl w:ilvl="0">
      <w:lvlJc w:val="left"/>
      <w:lvlText w:val="%1."/>
      <w:numFmt w:val="upperLetter"/>
      <w:start w:val="22"/>
    </w:lvl>
    <w:lvl w:ilvl="1">
      <w:lvlJc w:val="left"/>
      <w:lvlText w:val="(%2)"/>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lowerLetter"/>
      <w:start w:val="1"/>
    </w:lvl>
    <w:lvl w:ilvl="1">
      <w:lvlJc w:val="left"/>
      <w:lvlText w:val="%2."/>
      <w:numFmt w:val="upperLetter"/>
      <w:start w:val="1"/>
    </w:lvl>
  </w:abstractNum>
  <w:abstractNum w:abstractNumId="42">
    <w:nsid w:val="579478FE"/>
    <w:multiLevelType w:val="hybridMultilevel"/>
    <w:lvl w:ilvl="0">
      <w:lvlJc w:val="left"/>
      <w:lvlText w:val="(%1)"/>
      <w:numFmt w:val="lowerLetter"/>
      <w:start w:val="3"/>
    </w:lvl>
  </w:abstractNum>
  <w:abstractNum w:abstractNumId="43">
    <w:nsid w:val="749ABB43"/>
    <w:multiLevelType w:val="hybridMultilevel"/>
    <w:lvl w:ilvl="0">
      <w:lvlJc w:val="left"/>
      <w:lvlText w:val="(%1)"/>
      <w:numFmt w:val="lowerLetter"/>
      <w:start w:val="1"/>
    </w:lvl>
    <w:lvl w:ilvl="1">
      <w:lvlJc w:val="left"/>
      <w:lvlText w:val="(%2)"/>
      <w:numFmt w:val="lowerLetter"/>
      <w:start w:val="9"/>
    </w:lvl>
  </w:abstractNum>
  <w:abstractNum w:abstractNumId="44">
    <w:nsid w:val="3DC240FB"/>
    <w:multiLevelType w:val="hybridMultilevel"/>
    <w:lvl w:ilvl="0">
      <w:lvlJc w:val="left"/>
      <w:lvlText w:val="%1"/>
      <w:numFmt w:val="lowerLetter"/>
      <w:start w:val="1"/>
    </w:lvl>
    <w:lvl w:ilvl="1">
      <w:lvlJc w:val="left"/>
      <w:lvlText w:val="(%2)"/>
      <w:numFmt w:val="lowerLetter"/>
      <w:start w:val="35"/>
    </w:lvl>
  </w:abstractNum>
  <w:abstractNum w:abstractNumId="45">
    <w:nsid w:val="1BA026FA"/>
    <w:multiLevelType w:val="hybridMultilevel"/>
    <w:lvl w:ilvl="0">
      <w:lvlJc w:val="left"/>
      <w:lvlText w:val="(%1)"/>
      <w:numFmt w:val="lowerLetter"/>
      <w:start w:val="3"/>
    </w:lvl>
    <w:lvl w:ilvl="1">
      <w:lvlJc w:val="left"/>
      <w:lvlText w:val="%2"/>
      <w:numFmt w:val="lowerLetter"/>
      <w:start w:val="1"/>
    </w:lvl>
  </w:abstractNum>
  <w:abstractNum w:abstractNumId="46">
    <w:nsid w:val="79A1DEAA"/>
    <w:multiLevelType w:val="hybridMultilevel"/>
    <w:lvl w:ilvl="0">
      <w:lvlJc w:val="left"/>
      <w:lvlText w:val="(%1)"/>
      <w:numFmt w:val="lowerLetter"/>
      <w:start w:val="4"/>
    </w:lvl>
    <w:lvl w:ilvl="1">
      <w:lvlJc w:val="left"/>
      <w:lvlText w:val="[***]"/>
      <w:numFmt w:val="bullet"/>
      <w:start w:val="1"/>
    </w:lvl>
  </w:abstractNum>
  <w:abstractNum w:abstractNumId="47">
    <w:nsid w:val="75C6C33A"/>
    <w:multiLevelType w:val="hybridMultilevel"/>
    <w:lvl w:ilvl="0">
      <w:lvlJc w:val="left"/>
      <w:lvlText w:val="(%1)"/>
      <w:numFmt w:val="lowerLetter"/>
      <w:start w:val="1"/>
    </w:lvl>
    <w:lvl w:ilvl="1">
      <w:lvlJc w:val="left"/>
      <w:lvlText w:val="%2."/>
      <w:numFmt w:val="upperLetter"/>
      <w:start w:val="1"/>
    </w:lvl>
  </w:abstractNum>
  <w:abstractNum w:abstractNumId="48">
    <w:nsid w:val="12E685FB"/>
    <w:multiLevelType w:val="hybridMultilevel"/>
    <w:lvl w:ilvl="0">
      <w:lvlJc w:val="left"/>
      <w:lvlText w:val="%1."/>
      <w:numFmt w:val="upperLetter"/>
      <w:start w:val="24"/>
    </w:lvl>
    <w:lvl w:ilvl="1">
      <w:lvlJc w:val="left"/>
      <w:lvlText w:val="(%2)"/>
      <w:numFmt w:val="lowerLetter"/>
      <w:start w:val="1"/>
    </w:lvl>
  </w:abstractNum>
  <w:abstractNum w:abstractNumId="49">
    <w:nsid w:val="70C6A529"/>
    <w:multiLevelType w:val="hybridMultilevel"/>
    <w:lvl w:ilvl="0">
      <w:lvlJc w:val="left"/>
      <w:lvlText w:val="(%1)"/>
      <w:numFmt w:val="lowerLetter"/>
      <w:start w:val="5"/>
    </w:lvl>
  </w:abstractNum>
  <w:abstractNum w:abstractNumId="50">
    <w:nsid w:val="520EEDD1"/>
    <w:multiLevelType w:val="hybridMultilevel"/>
    <w:lvl w:ilvl="0">
      <w:lvlJc w:val="left"/>
      <w:lvlText w:val="(%1)"/>
      <w:numFmt w:val="lowerLetter"/>
      <w:start w:val="6"/>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80" Type="http://schemas.openxmlformats.org/officeDocument/2006/relationships/hyperlink" Target="http://www.sec.gov/Archives/edgar/data/1438133/000119312513423605/d576419dex35.htm" TargetMode="External"/><Relationship Id="rId81" Type="http://schemas.openxmlformats.org/officeDocument/2006/relationships/hyperlink" Target="http://www.sec.gov/Archives/edgar/data/1438133/000156459018009319/tndm-def14a_20180614.htm#APPENDIX_B" TargetMode="External"/><Relationship Id="rId82" Type="http://schemas.openxmlformats.org/officeDocument/2006/relationships/hyperlink" Target="http://www.sec.gov/Archives/edgar/data/1438133/000156459018009319/tndm-def14a_20180614.htm#APPENDIX_C" TargetMode="External"/><Relationship Id="rId83" Type="http://schemas.openxmlformats.org/officeDocument/2006/relationships/hyperlink" Target="http://www.sec.gov/Archives/edgar/data/1438133/000156459018017895/tndm-ex103_132.htm" TargetMode="External"/><Relationship Id="rId84" Type="http://schemas.openxmlformats.org/officeDocument/2006/relationships/hyperlink" Target="http://www.sec.gov/Archives/edgar/data/1438133/000156459018017895/tndm-ex104_1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2019-12-28T18:24:31Z</dcterms:created>
  <dcterms:modified xsi:type="dcterms:W3CDTF">2019-12-28T18:24:31Z</dcterms:modified>
</cp:coreProperties>
</file>