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9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121920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63" w:lineRule="exact"/>
        <w:rPr>
          <w:sz w:val="24"/>
          <w:szCs w:val="24"/>
          <w:color w:val="auto"/>
        </w:rPr>
      </w:pPr>
    </w:p>
    <w:p>
      <w:pPr>
        <w:ind w:left="720" w:hanging="550"/>
        <w:spacing w:after="0"/>
        <w:tabs>
          <w:tab w:leader="none" w:pos="72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QUARTERLY REPORT PURSUANT TO SECTION 13 OR 15(d) OF THE SECURITIES EXCHANGE ACT OF</w:t>
      </w:r>
    </w:p>
    <w:p>
      <w:pPr>
        <w:spacing w:after="0" w:line="29" w:lineRule="exact"/>
        <w:rPr>
          <w:rFonts w:ascii="MS PGothic" w:cs="MS PGothic" w:eastAsia="MS PGothic" w:hAnsi="MS PGothic"/>
          <w:sz w:val="21"/>
          <w:szCs w:val="21"/>
          <w:color w:val="auto"/>
        </w:rPr>
      </w:pPr>
    </w:p>
    <w:p>
      <w:pPr>
        <w:ind w:left="5760"/>
        <w:spacing w:after="0"/>
        <w:rPr>
          <w:rFonts w:ascii="MS PGothic" w:cs="MS PGothic" w:eastAsia="MS PGothic" w:hAnsi="MS PGothic"/>
          <w:sz w:val="21"/>
          <w:szCs w:val="21"/>
          <w:color w:val="auto"/>
        </w:rPr>
      </w:pPr>
      <w:r>
        <w:rPr>
          <w:rFonts w:ascii="Times New Roman" w:cs="Times New Roman" w:eastAsia="Times New Roman" w:hAnsi="Times New Roman"/>
          <w:sz w:val="22"/>
          <w:szCs w:val="22"/>
          <w:b w:val="1"/>
          <w:bCs w:val="1"/>
          <w:color w:val="auto"/>
        </w:rPr>
        <w:t>1934</w:t>
      </w:r>
    </w:p>
    <w:p>
      <w:pPr>
        <w:spacing w:after="0" w:line="7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2017</w:t>
      </w:r>
    </w:p>
    <w:p>
      <w:pPr>
        <w:spacing w:after="0" w:line="11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08" w:lineRule="exact"/>
        <w:rPr>
          <w:sz w:val="24"/>
          <w:szCs w:val="24"/>
          <w:color w:val="auto"/>
        </w:rPr>
      </w:pPr>
    </w:p>
    <w:p>
      <w:pPr>
        <w:ind w:left="720" w:hanging="550"/>
        <w:spacing w:after="0"/>
        <w:tabs>
          <w:tab w:leader="none" w:pos="72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w:t>
      </w:r>
    </w:p>
    <w:p>
      <w:pPr>
        <w:spacing w:after="0" w:line="18" w:lineRule="exact"/>
        <w:rPr>
          <w:rFonts w:ascii="MS PGothic" w:cs="MS PGothic" w:eastAsia="MS PGothic" w:hAnsi="MS PGothic"/>
          <w:sz w:val="22"/>
          <w:szCs w:val="22"/>
          <w:color w:val="auto"/>
        </w:rPr>
      </w:pPr>
    </w:p>
    <w:p>
      <w:pPr>
        <w:ind w:left="5760"/>
        <w:spacing w:after="0"/>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1934</w:t>
      </w:r>
    </w:p>
    <w:p>
      <w:pPr>
        <w:spacing w:after="0" w:line="79" w:lineRule="exact"/>
        <w:rPr>
          <w:sz w:val="24"/>
          <w:szCs w:val="24"/>
          <w:color w:val="auto"/>
        </w:rPr>
      </w:pPr>
    </w:p>
    <w:p>
      <w:pPr>
        <w:ind w:left="3760"/>
        <w:spacing w:after="0"/>
        <w:tabs>
          <w:tab w:leader="none" w:pos="67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11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Commission File Number 001-36189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114300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Tandem Diabetes Care, Inc.</w:t>
      </w:r>
    </w:p>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5" w:lineRule="exact"/>
        <w:rPr>
          <w:sz w:val="24"/>
          <w:szCs w:val="24"/>
          <w:color w:val="auto"/>
        </w:rPr>
      </w:pPr>
    </w:p>
    <w:tbl>
      <w:tblPr>
        <w:tblLayout w:type="fixed"/>
        <w:tblInd w:w="1440" w:type="dxa"/>
        <w:tblCellMar>
          <w:top w:w="0" w:type="dxa"/>
          <w:left w:w="0" w:type="dxa"/>
          <w:bottom w:w="0" w:type="dxa"/>
          <w:right w:w="0" w:type="dxa"/>
        </w:tblCellMar>
      </w:tblPr>
      <w:tr>
        <w:trPr>
          <w:trHeight w:val="214"/>
        </w:trPr>
        <w:tc>
          <w:tcPr>
            <w:tcW w:w="254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380" w:type="dxa"/>
            <w:vAlign w:val="bottom"/>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20-4327508</w:t>
            </w:r>
          </w:p>
        </w:tc>
      </w:tr>
      <w:tr>
        <w:trPr>
          <w:trHeight w:val="149"/>
        </w:trPr>
        <w:tc>
          <w:tcPr>
            <w:tcW w:w="254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380" w:type="dxa"/>
            <w:vAlign w:val="bottom"/>
          </w:tcPr>
          <w:p>
            <w:pPr>
              <w:jc w:val="center"/>
              <w:ind w:left="4180"/>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54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5380" w:type="dxa"/>
            <w:vAlign w:val="bottom"/>
          </w:tcPr>
          <w:p>
            <w:pPr>
              <w:jc w:val="center"/>
              <w:ind w:left="4180"/>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12"/>
        </w:trPr>
        <w:tc>
          <w:tcPr>
            <w:tcW w:w="2540" w:type="dxa"/>
            <w:vAlign w:val="bottom"/>
          </w:tcPr>
          <w:p>
            <w:pPr>
              <w:jc w:val="center"/>
              <w:ind w:right="79"/>
              <w:spacing w:after="0"/>
              <w:rPr>
                <w:sz w:val="20"/>
                <w:szCs w:val="20"/>
                <w:color w:val="auto"/>
              </w:rPr>
            </w:pPr>
            <w:r>
              <w:rPr>
                <w:rFonts w:ascii="Times New Roman" w:cs="Times New Roman" w:eastAsia="Times New Roman" w:hAnsi="Times New Roman"/>
                <w:sz w:val="18"/>
                <w:szCs w:val="18"/>
                <w:b w:val="1"/>
                <w:bCs w:val="1"/>
                <w:color w:val="auto"/>
                <w:w w:val="99"/>
              </w:rPr>
              <w:t>11045 Roselle Street</w:t>
            </w:r>
          </w:p>
        </w:tc>
        <w:tc>
          <w:tcPr>
            <w:tcW w:w="5380" w:type="dxa"/>
            <w:vAlign w:val="bottom"/>
          </w:tcPr>
          <w:p>
            <w:pPr>
              <w:spacing w:after="0"/>
              <w:rPr>
                <w:sz w:val="24"/>
                <w:szCs w:val="24"/>
                <w:color w:val="auto"/>
              </w:rPr>
            </w:pPr>
          </w:p>
        </w:tc>
      </w:tr>
      <w:tr>
        <w:trPr>
          <w:trHeight w:val="227"/>
        </w:trPr>
        <w:tc>
          <w:tcPr>
            <w:tcW w:w="2540" w:type="dxa"/>
            <w:vAlign w:val="bottom"/>
          </w:tcPr>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San Diego, California</w:t>
            </w:r>
          </w:p>
        </w:tc>
        <w:tc>
          <w:tcPr>
            <w:tcW w:w="5380" w:type="dxa"/>
            <w:vAlign w:val="bottom"/>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92121</w:t>
            </w:r>
          </w:p>
        </w:tc>
      </w:tr>
      <w:tr>
        <w:trPr>
          <w:trHeight w:val="190"/>
        </w:trPr>
        <w:tc>
          <w:tcPr>
            <w:tcW w:w="254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5380" w:type="dxa"/>
            <w:vAlign w:val="bottom"/>
          </w:tcPr>
          <w:p>
            <w:pPr>
              <w:jc w:val="center"/>
              <w:ind w:left="4180"/>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82"/>
        </w:trPr>
        <w:tc>
          <w:tcPr>
            <w:tcW w:w="2540" w:type="dxa"/>
            <w:vAlign w:val="bottom"/>
          </w:tcPr>
          <w:p>
            <w:pPr>
              <w:spacing w:after="0"/>
              <w:rPr>
                <w:sz w:val="24"/>
                <w:szCs w:val="24"/>
                <w:color w:val="auto"/>
              </w:rPr>
            </w:pPr>
          </w:p>
        </w:tc>
        <w:tc>
          <w:tcPr>
            <w:tcW w:w="5380" w:type="dxa"/>
            <w:vAlign w:val="bottom"/>
          </w:tcPr>
          <w:p>
            <w:pPr>
              <w:jc w:val="right"/>
              <w:ind w:right="3000"/>
              <w:spacing w:after="0"/>
              <w:rPr>
                <w:sz w:val="20"/>
                <w:szCs w:val="20"/>
                <w:color w:val="auto"/>
              </w:rPr>
            </w:pPr>
            <w:r>
              <w:rPr>
                <w:rFonts w:ascii="Times New Roman" w:cs="Times New Roman" w:eastAsia="Times New Roman" w:hAnsi="Times New Roman"/>
                <w:sz w:val="18"/>
                <w:szCs w:val="18"/>
                <w:b w:val="1"/>
                <w:bCs w:val="1"/>
                <w:color w:val="auto"/>
              </w:rPr>
              <w:t>(858) 366-6900</w:t>
            </w:r>
          </w:p>
        </w:tc>
      </w:tr>
      <w:tr>
        <w:trPr>
          <w:trHeight w:val="190"/>
        </w:trPr>
        <w:tc>
          <w:tcPr>
            <w:tcW w:w="2540" w:type="dxa"/>
            <w:vAlign w:val="bottom"/>
          </w:tcPr>
          <w:p>
            <w:pPr>
              <w:spacing w:after="0"/>
              <w:rPr>
                <w:sz w:val="16"/>
                <w:szCs w:val="16"/>
                <w:color w:val="auto"/>
              </w:rPr>
            </w:pPr>
          </w:p>
        </w:tc>
        <w:tc>
          <w:tcPr>
            <w:tcW w:w="5380" w:type="dxa"/>
            <w:vAlign w:val="bottom"/>
          </w:tcPr>
          <w:p>
            <w:pPr>
              <w:jc w:val="center"/>
              <w:ind w:right="182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r>
    </w:tbl>
    <w:p>
      <w:pPr>
        <w:spacing w:after="0" w:line="17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07" w:lineRule="exact"/>
        <w:rPr>
          <w:sz w:val="24"/>
          <w:szCs w:val="24"/>
          <w:color w:val="auto"/>
        </w:rPr>
      </w:pPr>
    </w:p>
    <w:tbl>
      <w:tblPr>
        <w:tblLayout w:type="fixed"/>
        <w:tblInd w:w="980" w:type="dxa"/>
        <w:tblCellMar>
          <w:top w:w="0" w:type="dxa"/>
          <w:left w:w="0" w:type="dxa"/>
          <w:bottom w:w="0" w:type="dxa"/>
          <w:right w:w="0" w:type="dxa"/>
        </w:tblCellMar>
      </w:tblPr>
      <w:tr>
        <w:trPr>
          <w:trHeight w:val="201"/>
        </w:trPr>
        <w:tc>
          <w:tcPr>
            <w:tcW w:w="980" w:type="dxa"/>
            <w:vAlign w:val="bottom"/>
          </w:tcPr>
          <w:p>
            <w:pPr>
              <w:spacing w:after="0"/>
              <w:rPr>
                <w:sz w:val="17"/>
                <w:szCs w:val="17"/>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4140" w:type="dxa"/>
            <w:vAlign w:val="bottom"/>
          </w:tcPr>
          <w:p>
            <w:pPr>
              <w:spacing w:after="0"/>
              <w:rPr>
                <w:sz w:val="17"/>
                <w:szCs w:val="17"/>
                <w:color w:val="auto"/>
              </w:rPr>
            </w:pPr>
          </w:p>
        </w:tc>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Exchange on Which Registered</w:t>
            </w:r>
          </w:p>
        </w:tc>
      </w:tr>
      <w:tr>
        <w:trPr>
          <w:trHeight w:val="225"/>
        </w:trPr>
        <w:tc>
          <w:tcPr>
            <w:tcW w:w="6480" w:type="dxa"/>
            <w:vAlign w:val="bottom"/>
            <w:gridSpan w:val="3"/>
          </w:tcPr>
          <w:p>
            <w:pPr>
              <w:jc w:val="center"/>
              <w:ind w:right="318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97155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2" w:lineRule="exact"/>
        <w:rPr>
          <w:sz w:val="24"/>
          <w:szCs w:val="24"/>
          <w:color w:val="auto"/>
        </w:rPr>
      </w:pPr>
    </w:p>
    <w:p>
      <w:pPr>
        <w:ind w:right="100" w:firstLine="518"/>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9" w:lineRule="exact"/>
        <w:rPr>
          <w:sz w:val="24"/>
          <w:szCs w:val="24"/>
          <w:color w:val="auto"/>
        </w:rPr>
      </w:pPr>
    </w:p>
    <w:p>
      <w:pPr>
        <w:ind w:right="400" w:firstLine="518"/>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w:t>
      </w:r>
    </w:p>
    <w:p>
      <w:pPr>
        <w:spacing w:after="0" w:line="1" w:lineRule="exact"/>
        <w:rPr>
          <w:sz w:val="24"/>
          <w:szCs w:val="24"/>
          <w:color w:val="auto"/>
        </w:rPr>
      </w:pPr>
    </w:p>
    <w:p>
      <w:pPr>
        <w:spacing w:after="0" w:line="161" w:lineRule="exact"/>
        <w:tabs>
          <w:tab w:leader="none" w:pos="460" w:val="left"/>
          <w:tab w:leader="none" w:pos="1020" w:val="left"/>
        </w:tabs>
        <w:rPr>
          <w:sz w:val="20"/>
          <w:szCs w:val="20"/>
          <w:color w:val="auto"/>
        </w:rPr>
      </w:pPr>
      <w:r>
        <w:rPr>
          <w:rFonts w:ascii="Times New Roman" w:cs="Times New Roman" w:eastAsia="Times New Roman" w:hAnsi="Times New Roman"/>
          <w:sz w:val="14"/>
          <w:szCs w:val="14"/>
          <w:color w:val="auto"/>
        </w:rPr>
        <w:t>files).</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98" w:lineRule="exact"/>
        <w:rPr>
          <w:sz w:val="24"/>
          <w:szCs w:val="24"/>
          <w:color w:val="auto"/>
        </w:rPr>
      </w:pPr>
    </w:p>
    <w:p>
      <w:pPr>
        <w:ind w:right="360" w:firstLine="518"/>
        <w:spacing w:after="0" w:line="26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84"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190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4840" w:type="dxa"/>
            <w:vAlign w:val="bottom"/>
          </w:tcPr>
          <w:p>
            <w:pPr>
              <w:ind w:left="600"/>
              <w:spacing w:after="0" w:line="141" w:lineRule="exact"/>
              <w:rPr>
                <w:sz w:val="20"/>
                <w:szCs w:val="20"/>
                <w:color w:val="auto"/>
              </w:rPr>
            </w:pPr>
            <w:r>
              <w:rPr>
                <w:rFonts w:ascii="MS PGothic" w:cs="MS PGothic" w:eastAsia="MS PGothic" w:hAnsi="MS PGothic"/>
                <w:sz w:val="14"/>
                <w:szCs w:val="14"/>
                <w:color w:val="auto"/>
              </w:rPr>
              <w:t>☐</w:t>
            </w:r>
          </w:p>
        </w:tc>
        <w:tc>
          <w:tcPr>
            <w:tcW w:w="368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Accelerated filer</w:t>
            </w:r>
          </w:p>
        </w:tc>
        <w:tc>
          <w:tcPr>
            <w:tcW w:w="860" w:type="dxa"/>
            <w:vAlign w:val="bottom"/>
          </w:tcPr>
          <w:p>
            <w:pPr>
              <w:ind w:left="7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80"/>
        </w:trPr>
        <w:tc>
          <w:tcPr>
            <w:tcW w:w="190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4840" w:type="dxa"/>
            <w:vAlign w:val="bottom"/>
          </w:tcPr>
          <w:p>
            <w:pPr>
              <w:ind w:left="60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(Do not check if a smaller reporting company)</w:t>
            </w:r>
          </w:p>
        </w:tc>
        <w:tc>
          <w:tcPr>
            <w:tcW w:w="368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860" w:type="dxa"/>
            <w:vAlign w:val="bottom"/>
          </w:tcPr>
          <w:p>
            <w:pPr>
              <w:ind w:left="7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190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368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Emerging growth company</w:t>
            </w:r>
          </w:p>
        </w:tc>
        <w:tc>
          <w:tcPr>
            <w:tcW w:w="860" w:type="dxa"/>
            <w:vAlign w:val="bottom"/>
          </w:tcPr>
          <w:p>
            <w:pPr>
              <w:ind w:left="72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62"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4"/>
          <w:szCs w:val="14"/>
          <w:color w:val="auto"/>
        </w:rPr>
        <w:t>If an emerging growth company, indicate by check mark if the registrant has elected not to use the extended transition period for complying with any new or revised financial accounting</w:t>
      </w:r>
    </w:p>
    <w:p>
      <w:pPr>
        <w:spacing w:after="0" w:line="12"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7140" w:type="dxa"/>
            <w:vAlign w:val="bottom"/>
          </w:tcPr>
          <w:p>
            <w:pPr>
              <w:spacing w:after="0"/>
              <w:rPr>
                <w:sz w:val="20"/>
                <w:szCs w:val="20"/>
                <w:color w:val="auto"/>
              </w:rPr>
            </w:pPr>
            <w:r>
              <w:rPr>
                <w:rFonts w:ascii="Times New Roman" w:cs="Times New Roman" w:eastAsia="Times New Roman" w:hAnsi="Times New Roman"/>
                <w:sz w:val="14"/>
                <w:szCs w:val="14"/>
                <w:color w:val="auto"/>
              </w:rPr>
              <w:t>standards provided pursuant to Section 13(a) of the Exchange Act.</w:t>
            </w:r>
          </w:p>
        </w:tc>
        <w:tc>
          <w:tcPr>
            <w:tcW w:w="4280" w:type="dxa"/>
            <w:vAlign w:val="bottom"/>
          </w:tcPr>
          <w:p>
            <w:pPr>
              <w:ind w:left="520"/>
              <w:spacing w:after="0" w:line="141" w:lineRule="exact"/>
              <w:rPr>
                <w:sz w:val="20"/>
                <w:szCs w:val="20"/>
                <w:color w:val="auto"/>
              </w:rPr>
            </w:pPr>
            <w:r>
              <w:rPr>
                <w:rFonts w:ascii="MS PGothic" w:cs="MS PGothic" w:eastAsia="MS PGothic" w:hAnsi="MS PGothic"/>
                <w:sz w:val="14"/>
                <w:szCs w:val="14"/>
                <w:color w:val="auto"/>
              </w:rPr>
              <w:t>☒</w:t>
            </w:r>
          </w:p>
        </w:tc>
        <w:tc>
          <w:tcPr>
            <w:tcW w:w="20" w:type="dxa"/>
            <w:vAlign w:val="bottom"/>
          </w:tcPr>
          <w:p>
            <w:pPr>
              <w:spacing w:after="0"/>
              <w:rPr>
                <w:sz w:val="19"/>
                <w:szCs w:val="19"/>
                <w:color w:val="auto"/>
              </w:rPr>
            </w:pPr>
          </w:p>
        </w:tc>
      </w:tr>
      <w:tr>
        <w:trPr>
          <w:trHeight w:val="398"/>
        </w:trPr>
        <w:tc>
          <w:tcPr>
            <w:tcW w:w="71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r>
          </w:p>
        </w:tc>
        <w:tc>
          <w:tcPr>
            <w:tcW w:w="4280" w:type="dxa"/>
            <w:vAlign w:val="bottom"/>
          </w:tcPr>
          <w:p>
            <w:pPr>
              <w:ind w:left="60"/>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tc>
        <w:tc>
          <w:tcPr>
            <w:tcW w:w="20" w:type="dxa"/>
            <w:vAlign w:val="bottom"/>
          </w:tcPr>
          <w:p>
            <w:pPr>
              <w:spacing w:after="0"/>
              <w:rPr>
                <w:sz w:val="24"/>
                <w:szCs w:val="24"/>
                <w:color w:val="auto"/>
              </w:rPr>
            </w:pPr>
          </w:p>
        </w:tc>
      </w:tr>
      <w:tr>
        <w:trPr>
          <w:trHeight w:val="256"/>
        </w:trPr>
        <w:tc>
          <w:tcPr>
            <w:tcW w:w="71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As of July 24, 2017, there were 50,228,931 shares of the registrant’s Common Stock outstanding.</w:t>
            </w:r>
          </w:p>
        </w:tc>
        <w:tc>
          <w:tcPr>
            <w:tcW w:w="42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91"/>
        </w:trPr>
        <w:tc>
          <w:tcPr>
            <w:tcW w:w="7140" w:type="dxa"/>
            <w:vAlign w:val="bottom"/>
            <w:tcBorders>
              <w:bottom w:val="single" w:sz="8" w:color="auto"/>
            </w:tcBorders>
          </w:tcPr>
          <w:p>
            <w:pPr>
              <w:spacing w:after="0"/>
              <w:rPr>
                <w:sz w:val="7"/>
                <w:szCs w:val="7"/>
                <w:color w:val="auto"/>
              </w:rPr>
            </w:pPr>
          </w:p>
        </w:tc>
        <w:tc>
          <w:tcPr>
            <w:tcW w:w="42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r>
      <w:tr>
        <w:trPr>
          <w:trHeight w:val="21"/>
        </w:trPr>
        <w:tc>
          <w:tcPr>
            <w:tcW w:w="7140" w:type="dxa"/>
            <w:vAlign w:val="bottom"/>
            <w:tcBorders>
              <w:bottom w:val="single" w:sz="8" w:color="auto"/>
            </w:tcBorders>
          </w:tcPr>
          <w:p>
            <w:pPr>
              <w:spacing w:after="0" w:line="20" w:lineRule="exact"/>
              <w:rPr>
                <w:sz w:val="1"/>
                <w:szCs w:val="1"/>
                <w:color w:val="auto"/>
              </w:rPr>
            </w:pPr>
          </w:p>
        </w:tc>
        <w:tc>
          <w:tcPr>
            <w:tcW w:w="4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89"/>
        </w:trPr>
        <w:tc>
          <w:tcPr>
            <w:tcW w:w="7140" w:type="dxa"/>
            <w:vAlign w:val="bottom"/>
            <w:tcBorders>
              <w:bottom w:val="single" w:sz="8" w:color="9A9A9A"/>
            </w:tcBorders>
          </w:tcPr>
          <w:p>
            <w:pPr>
              <w:spacing w:after="0"/>
              <w:rPr>
                <w:sz w:val="24"/>
                <w:szCs w:val="24"/>
                <w:color w:val="auto"/>
              </w:rPr>
            </w:pPr>
          </w:p>
        </w:tc>
        <w:tc>
          <w:tcPr>
            <w:tcW w:w="4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5" w:right="2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8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5920" w:type="dxa"/>
            <w:vAlign w:val="bottom"/>
            <w:gridSpan w:val="7"/>
          </w:tcPr>
          <w:p>
            <w:pPr>
              <w:ind w:left="1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940" w:type="dxa"/>
            <w:vAlign w:val="bottom"/>
          </w:tcPr>
          <w:p>
            <w:pPr>
              <w:spacing w:after="0"/>
              <w:rPr>
                <w:sz w:val="20"/>
                <w:szCs w:val="20"/>
                <w:color w:val="auto"/>
              </w:rPr>
            </w:pPr>
          </w:p>
        </w:tc>
      </w:tr>
      <w:tr>
        <w:trPr>
          <w:trHeight w:val="392"/>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700" w:type="dxa"/>
            <w:vAlign w:val="bottom"/>
            <w:gridSpan w:val="17"/>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Financial Information</w:t>
              </w:r>
            </w:hyperlink>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150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8"/>
              </w:rPr>
            </w:pPr>
            <w:hyperlink w:anchor="page3">
              <w:r>
                <w:rPr>
                  <w:rFonts w:ascii="Times New Roman" w:cs="Times New Roman" w:eastAsia="Times New Roman" w:hAnsi="Times New Roman"/>
                  <w:sz w:val="18"/>
                  <w:szCs w:val="18"/>
                  <w:color w:val="0000EE"/>
                  <w:w w:val="98"/>
                </w:rPr>
                <w:t>Financial Statements</w:t>
              </w:r>
            </w:hyperlink>
          </w:p>
        </w:tc>
        <w:tc>
          <w:tcPr>
            <w:tcW w:w="60" w:type="dxa"/>
            <w:vAlign w:val="bottom"/>
            <w:tcBorders>
              <w:top w:val="single" w:sz="8" w:color="0000EE"/>
            </w:tcBorders>
          </w:tcPr>
          <w:p>
            <w:pPr>
              <w:spacing w:after="0"/>
              <w:rPr>
                <w:sz w:val="17"/>
                <w:szCs w:val="17"/>
                <w:color w:val="auto"/>
              </w:rPr>
            </w:pPr>
          </w:p>
        </w:tc>
        <w:tc>
          <w:tcPr>
            <w:tcW w:w="8140" w:type="dxa"/>
            <w:vAlign w:val="bottom"/>
            <w:gridSpan w:val="10"/>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800" w:type="dxa"/>
            <w:vAlign w:val="bottom"/>
          </w:tcPr>
          <w:p>
            <w:pPr>
              <w:spacing w:after="0"/>
              <w:rPr>
                <w:sz w:val="17"/>
                <w:szCs w:val="17"/>
                <w:color w:val="auto"/>
              </w:rPr>
            </w:pPr>
          </w:p>
        </w:tc>
        <w:tc>
          <w:tcPr>
            <w:tcW w:w="58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Condensed Balance Sheets at June 30, 2017 (Unaudited) and December 31, 2016</w:t>
              </w:r>
            </w:hyperlink>
          </w:p>
        </w:tc>
        <w:tc>
          <w:tcPr>
            <w:tcW w:w="3860" w:type="dxa"/>
            <w:vAlign w:val="bottom"/>
            <w:gridSpan w:val="4"/>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800" w:type="dxa"/>
            <w:vAlign w:val="bottom"/>
          </w:tcPr>
          <w:p>
            <w:pPr>
              <w:spacing w:after="0"/>
              <w:rPr>
                <w:sz w:val="17"/>
                <w:szCs w:val="17"/>
                <w:color w:val="auto"/>
              </w:rPr>
            </w:pPr>
          </w:p>
        </w:tc>
        <w:tc>
          <w:tcPr>
            <w:tcW w:w="896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Condensed Statements of Operations and Comprehensive Loss for the Three and Six Months Ended June 30, 2017 and 2016</w:t>
              </w:r>
            </w:hyperlink>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9700" w:type="dxa"/>
            <w:vAlign w:val="bottom"/>
            <w:gridSpan w:val="17"/>
          </w:tcPr>
          <w:p>
            <w:pPr>
              <w:spacing w:after="0" w:line="19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(Unaudited)</w:t>
              </w:r>
            </w:hyperlink>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730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Condensed Statements of Cash Flows for the Six Months Ended June 30, 2017 and 2016 (Unaudited)</w:t>
              </w:r>
            </w:hyperlink>
          </w:p>
        </w:tc>
        <w:tc>
          <w:tcPr>
            <w:tcW w:w="2400" w:type="dxa"/>
            <w:vAlign w:val="bottom"/>
            <w:gridSpan w:val="2"/>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800" w:type="dxa"/>
            <w:vAlign w:val="bottom"/>
          </w:tcPr>
          <w:p>
            <w:pPr>
              <w:spacing w:after="0"/>
              <w:rPr>
                <w:sz w:val="17"/>
                <w:szCs w:val="17"/>
                <w:color w:val="auto"/>
              </w:rPr>
            </w:pPr>
          </w:p>
        </w:tc>
        <w:tc>
          <w:tcPr>
            <w:tcW w:w="9700" w:type="dxa"/>
            <w:vAlign w:val="bottom"/>
            <w:gridSpan w:val="17"/>
          </w:tcPr>
          <w:p>
            <w:pPr>
              <w:spacing w:after="0" w:line="19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Notes to Unaudited Condensed Financial Statements</w:t>
              </w:r>
            </w:hyperlink>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w:anchor="page16">
              <w:r>
                <w:rPr>
                  <w:rFonts w:ascii="Times New Roman" w:cs="Times New Roman" w:eastAsia="Times New Roman" w:hAnsi="Times New Roman"/>
                  <w:sz w:val="18"/>
                  <w:szCs w:val="18"/>
                  <w:color w:val="0000EE"/>
                  <w:w w:val="99"/>
                </w:rPr>
                <w:t>Management’s Discussion and Analysis of Financial Condition and Results of Operations</w:t>
              </w:r>
            </w:hyperlink>
          </w:p>
        </w:tc>
        <w:tc>
          <w:tcPr>
            <w:tcW w:w="3240" w:type="dxa"/>
            <w:vAlign w:val="bottom"/>
            <w:gridSpan w:val="3"/>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700" w:type="dxa"/>
            <w:vAlign w:val="bottom"/>
            <w:gridSpan w:val="17"/>
          </w:tcPr>
          <w:p>
            <w:pPr>
              <w:spacing w:after="0" w:line="196" w:lineRule="exact"/>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Quantitative and Qualitative Disclosures about Market Risk</w:t>
              </w:r>
            </w:hyperlink>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430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Controls and Procedures</w:t>
              </w:r>
            </w:hyperlink>
          </w:p>
        </w:tc>
        <w:tc>
          <w:tcPr>
            <w:tcW w:w="5400" w:type="dxa"/>
            <w:vAlign w:val="bottom"/>
            <w:gridSpan w:val="6"/>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331"/>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320" w:type="dxa"/>
            <w:vAlign w:val="bottom"/>
            <w:tcBorders>
              <w:top w:val="single" w:sz="8" w:color="0000EE"/>
              <w:bottom w:val="single" w:sz="8" w:color="0000EE"/>
            </w:tcBorders>
            <w:gridSpan w:val="5"/>
          </w:tcPr>
          <w:p>
            <w:pPr>
              <w:spacing w:after="0"/>
              <w:rPr>
                <w:rFonts w:ascii="Times New Roman" w:cs="Times New Roman" w:eastAsia="Times New Roman" w:hAnsi="Times New Roman"/>
                <w:sz w:val="18"/>
                <w:szCs w:val="18"/>
                <w:color w:val="0000EE"/>
                <w:w w:val="98"/>
              </w:rPr>
            </w:pPr>
            <w:hyperlink w:anchor="page30">
              <w:r>
                <w:rPr>
                  <w:rFonts w:ascii="Times New Roman" w:cs="Times New Roman" w:eastAsia="Times New Roman" w:hAnsi="Times New Roman"/>
                  <w:sz w:val="18"/>
                  <w:szCs w:val="18"/>
                  <w:color w:val="0000EE"/>
                  <w:w w:val="98"/>
                </w:rPr>
                <w:t>Other Information</w:t>
              </w:r>
            </w:hyperlink>
          </w:p>
        </w:tc>
        <w:tc>
          <w:tcPr>
            <w:tcW w:w="440" w:type="dxa"/>
            <w:vAlign w:val="bottom"/>
            <w:tcBorders>
              <w:top w:val="single" w:sz="8" w:color="0000EE"/>
            </w:tcBorders>
            <w:gridSpan w:val="3"/>
          </w:tcPr>
          <w:p>
            <w:pPr>
              <w:spacing w:after="0"/>
              <w:rPr>
                <w:sz w:val="24"/>
                <w:szCs w:val="24"/>
                <w:color w:val="auto"/>
              </w:rPr>
            </w:pPr>
          </w:p>
        </w:tc>
        <w:tc>
          <w:tcPr>
            <w:tcW w:w="7940" w:type="dxa"/>
            <w:vAlign w:val="bottom"/>
            <w:gridSpan w:val="9"/>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700" w:type="dxa"/>
            <w:vAlign w:val="bottom"/>
            <w:gridSpan w:val="17"/>
          </w:tcPr>
          <w:p>
            <w:pPr>
              <w:spacing w:after="0" w:line="196" w:lineRule="exact"/>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Legal Proceedings</w:t>
              </w:r>
            </w:hyperlink>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7"/>
              </w:rPr>
            </w:pPr>
            <w:hyperlink w:anchor="page30">
              <w:r>
                <w:rPr>
                  <w:rFonts w:ascii="Times New Roman" w:cs="Times New Roman" w:eastAsia="Times New Roman" w:hAnsi="Times New Roman"/>
                  <w:sz w:val="18"/>
                  <w:szCs w:val="18"/>
                  <w:color w:val="0000EE"/>
                  <w:w w:val="97"/>
                </w:rPr>
                <w:t>Risk Factors</w:t>
              </w:r>
            </w:hyperlink>
          </w:p>
        </w:tc>
        <w:tc>
          <w:tcPr>
            <w:tcW w:w="420" w:type="dxa"/>
            <w:vAlign w:val="bottom"/>
            <w:tcBorders>
              <w:top w:val="single" w:sz="8" w:color="0000EE"/>
            </w:tcBorders>
            <w:gridSpan w:val="2"/>
          </w:tcPr>
          <w:p>
            <w:pPr>
              <w:spacing w:after="0"/>
              <w:rPr>
                <w:sz w:val="17"/>
                <w:szCs w:val="17"/>
                <w:color w:val="auto"/>
              </w:rPr>
            </w:pPr>
          </w:p>
        </w:tc>
        <w:tc>
          <w:tcPr>
            <w:tcW w:w="8380" w:type="dxa"/>
            <w:vAlign w:val="bottom"/>
            <w:gridSpan w:val="12"/>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700" w:type="dxa"/>
            <w:vAlign w:val="bottom"/>
            <w:gridSpan w:val="17"/>
          </w:tcPr>
          <w:p>
            <w:pPr>
              <w:spacing w:after="0" w:line="196" w:lineRule="exact"/>
              <w:rPr>
                <w:rFonts w:ascii="Times New Roman" w:cs="Times New Roman" w:eastAsia="Times New Roman" w:hAnsi="Times New Roman"/>
                <w:sz w:val="18"/>
                <w:szCs w:val="18"/>
                <w:color w:val="0000EE"/>
              </w:rPr>
            </w:pPr>
            <w:hyperlink w:anchor="page59">
              <w:r>
                <w:rPr>
                  <w:rFonts w:ascii="Times New Roman" w:cs="Times New Roman" w:eastAsia="Times New Roman" w:hAnsi="Times New Roman"/>
                  <w:sz w:val="18"/>
                  <w:szCs w:val="18"/>
                  <w:color w:val="0000EE"/>
                </w:rPr>
                <w:t>Unregistered Sales of Equity Securities and Use of Proceeds</w:t>
              </w:r>
            </w:hyperlink>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57</w:t>
            </w: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232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8"/>
              </w:rPr>
            </w:pPr>
            <w:hyperlink w:anchor="page60">
              <w:r>
                <w:rPr>
                  <w:rFonts w:ascii="Times New Roman" w:cs="Times New Roman" w:eastAsia="Times New Roman" w:hAnsi="Times New Roman"/>
                  <w:sz w:val="18"/>
                  <w:szCs w:val="18"/>
                  <w:color w:val="0000EE"/>
                  <w:w w:val="98"/>
                </w:rPr>
                <w:t>Defaults Upon Senior Securities</w:t>
              </w:r>
            </w:hyperlink>
          </w:p>
        </w:tc>
        <w:tc>
          <w:tcPr>
            <w:tcW w:w="2020" w:type="dxa"/>
            <w:vAlign w:val="bottom"/>
            <w:tcBorders>
              <w:top w:val="single" w:sz="8" w:color="0000EE"/>
            </w:tcBorders>
            <w:gridSpan w:val="3"/>
          </w:tcPr>
          <w:p>
            <w:pPr>
              <w:spacing w:after="0"/>
              <w:rPr>
                <w:sz w:val="17"/>
                <w:szCs w:val="17"/>
                <w:color w:val="auto"/>
              </w:rPr>
            </w:pPr>
          </w:p>
        </w:tc>
        <w:tc>
          <w:tcPr>
            <w:tcW w:w="5360" w:type="dxa"/>
            <w:vAlign w:val="bottom"/>
            <w:gridSpan w:val="5"/>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58</w:t>
            </w: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700" w:type="dxa"/>
            <w:vAlign w:val="bottom"/>
            <w:gridSpan w:val="17"/>
          </w:tcPr>
          <w:p>
            <w:pPr>
              <w:spacing w:after="0" w:line="196" w:lineRule="exact"/>
              <w:rPr>
                <w:rFonts w:ascii="Times New Roman" w:cs="Times New Roman" w:eastAsia="Times New Roman" w:hAnsi="Times New Roman"/>
                <w:sz w:val="18"/>
                <w:szCs w:val="18"/>
                <w:color w:val="0000EE"/>
              </w:rPr>
            </w:pPr>
            <w:hyperlink w:anchor="page60">
              <w:r>
                <w:rPr>
                  <w:rFonts w:ascii="Times New Roman" w:cs="Times New Roman" w:eastAsia="Times New Roman" w:hAnsi="Times New Roman"/>
                  <w:sz w:val="18"/>
                  <w:szCs w:val="18"/>
                  <w:color w:val="0000EE"/>
                </w:rPr>
                <w:t>Mine Safety Disclosures</w:t>
              </w:r>
            </w:hyperlink>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58</w:t>
            </w: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1760" w:type="dxa"/>
            <w:vAlign w:val="bottom"/>
            <w:tcBorders>
              <w:top w:val="single" w:sz="8" w:color="0000EE"/>
            </w:tcBorders>
            <w:gridSpan w:val="8"/>
          </w:tcPr>
          <w:p>
            <w:pPr>
              <w:spacing w:after="0" w:line="196" w:lineRule="exact"/>
              <w:rPr>
                <w:rFonts w:ascii="Times New Roman" w:cs="Times New Roman" w:eastAsia="Times New Roman" w:hAnsi="Times New Roman"/>
                <w:sz w:val="18"/>
                <w:szCs w:val="18"/>
                <w:color w:val="0000EE"/>
              </w:rPr>
            </w:pPr>
            <w:hyperlink w:anchor="page60">
              <w:r>
                <w:rPr>
                  <w:rFonts w:ascii="Times New Roman" w:cs="Times New Roman" w:eastAsia="Times New Roman" w:hAnsi="Times New Roman"/>
                  <w:sz w:val="18"/>
                  <w:szCs w:val="18"/>
                  <w:color w:val="0000EE"/>
                </w:rPr>
                <w:t>Other Information</w:t>
              </w:r>
            </w:hyperlink>
          </w:p>
        </w:tc>
        <w:tc>
          <w:tcPr>
            <w:tcW w:w="7940" w:type="dxa"/>
            <w:vAlign w:val="bottom"/>
            <w:gridSpan w:val="9"/>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58</w:t>
            </w: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1300" w:type="dxa"/>
            <w:vAlign w:val="bottom"/>
            <w:tcBorders>
              <w:top w:val="single" w:sz="8" w:color="0000EE"/>
            </w:tcBorders>
            <w:gridSpan w:val="4"/>
          </w:tcPr>
          <w:p>
            <w:pPr>
              <w:spacing w:after="0" w:line="196" w:lineRule="exact"/>
              <w:rPr>
                <w:rFonts w:ascii="Times New Roman" w:cs="Times New Roman" w:eastAsia="Times New Roman" w:hAnsi="Times New Roman"/>
                <w:sz w:val="18"/>
                <w:szCs w:val="18"/>
                <w:color w:val="0000EE"/>
              </w:rPr>
            </w:pPr>
            <w:hyperlink w:anchor="page60">
              <w:r>
                <w:rPr>
                  <w:rFonts w:ascii="Times New Roman" w:cs="Times New Roman" w:eastAsia="Times New Roman" w:hAnsi="Times New Roman"/>
                  <w:sz w:val="18"/>
                  <w:szCs w:val="18"/>
                  <w:color w:val="0000EE"/>
                </w:rPr>
                <w:t>Exhibits</w:t>
              </w:r>
            </w:hyperlink>
          </w:p>
        </w:tc>
        <w:tc>
          <w:tcPr>
            <w:tcW w:w="8400" w:type="dxa"/>
            <w:vAlign w:val="bottom"/>
            <w:gridSpan w:val="13"/>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58</w:t>
            </w:r>
          </w:p>
        </w:tc>
      </w:tr>
      <w:tr>
        <w:trPr>
          <w:trHeight w:val="1027"/>
        </w:trPr>
        <w:tc>
          <w:tcPr>
            <w:tcW w:w="800" w:type="dxa"/>
            <w:vAlign w:val="bottom"/>
            <w:tcBorders>
              <w:bottom w:val="single" w:sz="8" w:color="9A9A9A"/>
            </w:tcBorders>
          </w:tcPr>
          <w:p>
            <w:pPr>
              <w:spacing w:after="0"/>
              <w:rPr>
                <w:sz w:val="24"/>
                <w:szCs w:val="24"/>
                <w:color w:val="auto"/>
              </w:rPr>
            </w:pPr>
          </w:p>
        </w:tc>
        <w:tc>
          <w:tcPr>
            <w:tcW w:w="600" w:type="dxa"/>
            <w:vAlign w:val="bottom"/>
            <w:tcBorders>
              <w:top w:val="single" w:sz="8" w:color="0000EE"/>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7" w:right="2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2"/>
        </w:trPr>
        <w:tc>
          <w:tcPr>
            <w:tcW w:w="1160" w:type="dxa"/>
            <w:vAlign w:val="bottom"/>
          </w:tcPr>
          <w:p>
            <w:pPr>
              <w:spacing w:after="0"/>
              <w:rPr>
                <w:sz w:val="18"/>
                <w:szCs w:val="18"/>
                <w:color w:val="auto"/>
              </w:rPr>
            </w:pPr>
          </w:p>
        </w:tc>
        <w:tc>
          <w:tcPr>
            <w:tcW w:w="6480" w:type="dxa"/>
            <w:vAlign w:val="bottom"/>
          </w:tcPr>
          <w:p>
            <w:pPr>
              <w:jc w:val="center"/>
              <w:ind w:left="2559"/>
              <w:spacing w:after="0"/>
              <w:rPr>
                <w:sz w:val="20"/>
                <w:szCs w:val="20"/>
                <w:color w:val="auto"/>
              </w:rPr>
            </w:pPr>
            <w:r>
              <w:rPr>
                <w:rFonts w:ascii="Times New Roman" w:cs="Times New Roman" w:eastAsia="Times New Roman" w:hAnsi="Times New Roman"/>
                <w:sz w:val="16"/>
                <w:szCs w:val="16"/>
                <w:b w:val="1"/>
                <w:bCs w:val="1"/>
                <w:color w:val="auto"/>
              </w:rPr>
              <w:t>PART I. FINANCIAL INFORMATION</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405"/>
        </w:trPr>
        <w:tc>
          <w:tcPr>
            <w:tcW w:w="11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Item 1.</w:t>
            </w:r>
          </w:p>
        </w:tc>
        <w:tc>
          <w:tcPr>
            <w:tcW w:w="64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Financial Statements</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5"/>
        </w:trPr>
        <w:tc>
          <w:tcPr>
            <w:tcW w:w="1160" w:type="dxa"/>
            <w:vAlign w:val="bottom"/>
          </w:tcPr>
          <w:p>
            <w:pPr>
              <w:spacing w:after="0"/>
              <w:rPr>
                <w:sz w:val="24"/>
                <w:szCs w:val="24"/>
                <w:color w:val="auto"/>
              </w:rPr>
            </w:pPr>
          </w:p>
        </w:tc>
        <w:tc>
          <w:tcPr>
            <w:tcW w:w="6480" w:type="dxa"/>
            <w:vAlign w:val="bottom"/>
          </w:tcPr>
          <w:p>
            <w:pPr>
              <w:jc w:val="center"/>
              <w:ind w:left="2559"/>
              <w:spacing w:after="0"/>
              <w:rPr>
                <w:sz w:val="20"/>
                <w:szCs w:val="20"/>
                <w:color w:val="auto"/>
              </w:rPr>
            </w:pPr>
            <w:r>
              <w:rPr>
                <w:rFonts w:ascii="Times New Roman" w:cs="Times New Roman" w:eastAsia="Times New Roman" w:hAnsi="Times New Roman"/>
                <w:sz w:val="16"/>
                <w:szCs w:val="16"/>
                <w:b w:val="1"/>
                <w:bCs w:val="1"/>
                <w:color w:val="auto"/>
              </w:rPr>
              <w:t>TANDEM DIABETES CARE, INC.</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3"/>
        </w:trPr>
        <w:tc>
          <w:tcPr>
            <w:tcW w:w="1160" w:type="dxa"/>
            <w:vAlign w:val="bottom"/>
          </w:tcPr>
          <w:p>
            <w:pPr>
              <w:spacing w:after="0"/>
              <w:rPr>
                <w:sz w:val="17"/>
                <w:szCs w:val="17"/>
                <w:color w:val="auto"/>
              </w:rPr>
            </w:pPr>
          </w:p>
        </w:tc>
        <w:tc>
          <w:tcPr>
            <w:tcW w:w="6480" w:type="dxa"/>
            <w:vAlign w:val="bottom"/>
          </w:tcPr>
          <w:p>
            <w:pPr>
              <w:jc w:val="center"/>
              <w:ind w:left="2559"/>
              <w:spacing w:after="0"/>
              <w:rPr>
                <w:sz w:val="20"/>
                <w:szCs w:val="20"/>
                <w:color w:val="auto"/>
              </w:rPr>
            </w:pPr>
            <w:r>
              <w:rPr>
                <w:rFonts w:ascii="Times New Roman" w:cs="Times New Roman" w:eastAsia="Times New Roman" w:hAnsi="Times New Roman"/>
                <w:sz w:val="16"/>
                <w:szCs w:val="16"/>
                <w:b w:val="1"/>
                <w:bCs w:val="1"/>
                <w:color w:val="auto"/>
              </w:rPr>
              <w:t>CONDENSED BALANCE SHEETS</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2"/>
        </w:trPr>
        <w:tc>
          <w:tcPr>
            <w:tcW w:w="1160" w:type="dxa"/>
            <w:vAlign w:val="bottom"/>
          </w:tcPr>
          <w:p>
            <w:pPr>
              <w:spacing w:after="0"/>
              <w:rPr>
                <w:sz w:val="18"/>
                <w:szCs w:val="18"/>
                <w:color w:val="auto"/>
              </w:rPr>
            </w:pPr>
          </w:p>
        </w:tc>
        <w:tc>
          <w:tcPr>
            <w:tcW w:w="6480" w:type="dxa"/>
            <w:vAlign w:val="bottom"/>
          </w:tcPr>
          <w:p>
            <w:pPr>
              <w:jc w:val="center"/>
              <w:ind w:left="2539"/>
              <w:spacing w:after="0"/>
              <w:rPr>
                <w:sz w:val="20"/>
                <w:szCs w:val="20"/>
                <w:color w:val="auto"/>
              </w:rPr>
            </w:pPr>
            <w:r>
              <w:rPr>
                <w:rFonts w:ascii="Times New Roman" w:cs="Times New Roman" w:eastAsia="Times New Roman" w:hAnsi="Times New Roman"/>
                <w:sz w:val="16"/>
                <w:szCs w:val="16"/>
                <w:b w:val="1"/>
                <w:bCs w:val="1"/>
                <w:color w:val="auto"/>
              </w:rPr>
              <w:t>(In thousands, except par value)</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422"/>
        </w:trPr>
        <w:tc>
          <w:tcPr>
            <w:tcW w:w="116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gridSpan w:val="3"/>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gridSpan w:val="2"/>
          </w:tcPr>
          <w:p>
            <w:pPr>
              <w:jc w:val="center"/>
              <w:ind w:right="25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1"/>
        </w:trPr>
        <w:tc>
          <w:tcPr>
            <w:tcW w:w="116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center"/>
              <w:ind w:right="171"/>
              <w:spacing w:after="0"/>
              <w:rPr>
                <w:sz w:val="20"/>
                <w:szCs w:val="20"/>
                <w:color w:val="auto"/>
              </w:rPr>
            </w:pPr>
            <w:r>
              <w:rPr>
                <w:rFonts w:ascii="Times New Roman" w:cs="Times New Roman" w:eastAsia="Times New Roman" w:hAnsi="Times New Roman"/>
                <w:sz w:val="16"/>
                <w:szCs w:val="16"/>
                <w:b w:val="1"/>
                <w:bCs w:val="1"/>
                <w:color w:val="auto"/>
                <w:w w:val="99"/>
              </w:rPr>
              <w:t>2017</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center"/>
              <w:ind w:right="131"/>
              <w:spacing w:after="0"/>
              <w:rPr>
                <w:sz w:val="20"/>
                <w:szCs w:val="20"/>
                <w:color w:val="auto"/>
              </w:rPr>
            </w:pPr>
            <w:r>
              <w:rPr>
                <w:rFonts w:ascii="Times New Roman" w:cs="Times New Roman" w:eastAsia="Times New Roman" w:hAnsi="Times New Roman"/>
                <w:sz w:val="16"/>
                <w:szCs w:val="16"/>
                <w:b w:val="1"/>
                <w:bCs w:val="1"/>
                <w:color w:val="auto"/>
                <w:w w:val="99"/>
              </w:rPr>
              <w:t>2016</w:t>
            </w:r>
          </w:p>
        </w:tc>
        <w:tc>
          <w:tcPr>
            <w:tcW w:w="120" w:type="dxa"/>
            <w:vAlign w:val="bottom"/>
          </w:tcPr>
          <w:p>
            <w:pPr>
              <w:spacing w:after="0"/>
              <w:rPr>
                <w:sz w:val="18"/>
                <w:szCs w:val="18"/>
                <w:color w:val="auto"/>
              </w:rPr>
            </w:pPr>
          </w:p>
        </w:tc>
      </w:tr>
      <w:tr>
        <w:trPr>
          <w:trHeight w:val="208"/>
        </w:trPr>
        <w:tc>
          <w:tcPr>
            <w:tcW w:w="116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center"/>
              <w:ind w:right="171"/>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center"/>
              <w:ind w:right="131"/>
              <w:spacing w:after="0"/>
              <w:rPr>
                <w:sz w:val="20"/>
                <w:szCs w:val="20"/>
                <w:color w:val="auto"/>
              </w:rPr>
            </w:pPr>
            <w:r>
              <w:rPr>
                <w:rFonts w:ascii="Times New Roman" w:cs="Times New Roman" w:eastAsia="Times New Roman" w:hAnsi="Times New Roman"/>
                <w:sz w:val="16"/>
                <w:szCs w:val="16"/>
                <w:b w:val="1"/>
                <w:bCs w:val="1"/>
                <w:color w:val="auto"/>
              </w:rPr>
              <w:t>(Note 1)</w:t>
            </w:r>
          </w:p>
        </w:tc>
        <w:tc>
          <w:tcPr>
            <w:tcW w:w="120" w:type="dxa"/>
            <w:vAlign w:val="bottom"/>
          </w:tcPr>
          <w:p>
            <w:pPr>
              <w:spacing w:after="0"/>
              <w:rPr>
                <w:sz w:val="18"/>
                <w:szCs w:val="18"/>
                <w:color w:val="auto"/>
              </w:rPr>
            </w:pPr>
          </w:p>
        </w:tc>
      </w:tr>
      <w:tr>
        <w:trPr>
          <w:trHeight w:val="220"/>
        </w:trPr>
        <w:tc>
          <w:tcPr>
            <w:tcW w:w="1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6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3"/>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6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2"/>
        </w:trPr>
        <w:tc>
          <w:tcPr>
            <w:tcW w:w="76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46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27,351</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0" w:type="dxa"/>
            <w:vAlign w:val="bottom"/>
            <w:gridSpan w:val="2"/>
            <w:shd w:val="clear" w:color="auto" w:fill="CFF0FC"/>
          </w:tcPr>
          <w:p>
            <w:pPr>
              <w:jc w:val="right"/>
              <w:ind w:right="6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44,678</w:t>
            </w:r>
          </w:p>
        </w:tc>
        <w:tc>
          <w:tcPr>
            <w:tcW w:w="120" w:type="dxa"/>
            <w:vAlign w:val="bottom"/>
            <w:shd w:val="clear" w:color="auto" w:fill="CFF0FC"/>
          </w:tcPr>
          <w:p>
            <w:pPr>
              <w:spacing w:after="0"/>
              <w:rPr>
                <w:sz w:val="20"/>
                <w:szCs w:val="20"/>
                <w:color w:val="auto"/>
              </w:rPr>
            </w:pPr>
          </w:p>
        </w:tc>
      </w:tr>
      <w:tr>
        <w:trPr>
          <w:trHeight w:val="230"/>
        </w:trPr>
        <w:tc>
          <w:tcPr>
            <w:tcW w:w="764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Restricted cash</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20" w:type="dxa"/>
            <w:vAlign w:val="bottom"/>
          </w:tcPr>
          <w:p>
            <w:pPr>
              <w:spacing w:after="0"/>
              <w:rPr>
                <w:sz w:val="19"/>
                <w:szCs w:val="19"/>
                <w:color w:val="auto"/>
              </w:rPr>
            </w:pPr>
          </w:p>
        </w:tc>
      </w:tr>
      <w:tr>
        <w:trPr>
          <w:trHeight w:val="230"/>
        </w:trPr>
        <w:tc>
          <w:tcPr>
            <w:tcW w:w="76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Short-term investments</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8,860</w:t>
            </w:r>
          </w:p>
        </w:tc>
        <w:tc>
          <w:tcPr>
            <w:tcW w:w="120" w:type="dxa"/>
            <w:vAlign w:val="bottom"/>
            <w:shd w:val="clear" w:color="auto" w:fill="CFF0FC"/>
          </w:tcPr>
          <w:p>
            <w:pPr>
              <w:spacing w:after="0"/>
              <w:rPr>
                <w:sz w:val="19"/>
                <w:szCs w:val="19"/>
                <w:color w:val="auto"/>
              </w:rPr>
            </w:pPr>
          </w:p>
        </w:tc>
      </w:tr>
      <w:tr>
        <w:trPr>
          <w:trHeight w:val="230"/>
        </w:trPr>
        <w:tc>
          <w:tcPr>
            <w:tcW w:w="764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Accounts receivable, net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11,172</w:t>
            </w:r>
          </w:p>
        </w:tc>
        <w:tc>
          <w:tcPr>
            <w:tcW w:w="120" w:type="dxa"/>
            <w:vAlign w:val="bottom"/>
          </w:tcPr>
          <w:p>
            <w:pPr>
              <w:spacing w:after="0"/>
              <w:rPr>
                <w:sz w:val="19"/>
                <w:szCs w:val="19"/>
                <w:color w:val="auto"/>
              </w:rPr>
            </w:pPr>
          </w:p>
        </w:tc>
      </w:tr>
      <w:tr>
        <w:trPr>
          <w:trHeight w:val="230"/>
        </w:trPr>
        <w:tc>
          <w:tcPr>
            <w:tcW w:w="11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w w:val="97"/>
              </w:rPr>
              <w:t>Inventory, net</w:t>
            </w:r>
          </w:p>
        </w:tc>
        <w:tc>
          <w:tcPr>
            <w:tcW w:w="6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25,823</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21,195</w:t>
            </w:r>
          </w:p>
        </w:tc>
        <w:tc>
          <w:tcPr>
            <w:tcW w:w="120" w:type="dxa"/>
            <w:vAlign w:val="bottom"/>
            <w:shd w:val="clear" w:color="auto" w:fill="CFF0FC"/>
          </w:tcPr>
          <w:p>
            <w:pPr>
              <w:spacing w:after="0"/>
              <w:rPr>
                <w:sz w:val="19"/>
                <w:szCs w:val="19"/>
                <w:color w:val="auto"/>
              </w:rPr>
            </w:pPr>
          </w:p>
        </w:tc>
      </w:tr>
      <w:tr>
        <w:trPr>
          <w:trHeight w:val="230"/>
        </w:trPr>
        <w:tc>
          <w:tcPr>
            <w:tcW w:w="7640" w:type="dxa"/>
            <w:vAlign w:val="bottom"/>
            <w:tcBorders>
              <w:bottom w:val="single" w:sz="8" w:color="CFF0FC"/>
            </w:tcBorders>
            <w:gridSpan w:val="2"/>
          </w:tcPr>
          <w:p>
            <w:pPr>
              <w:ind w:left="260"/>
              <w:spacing w:after="0"/>
              <w:rPr>
                <w:sz w:val="20"/>
                <w:szCs w:val="20"/>
                <w:color w:val="auto"/>
              </w:rPr>
            </w:pPr>
            <w:r>
              <w:rPr>
                <w:rFonts w:ascii="Times New Roman" w:cs="Times New Roman" w:eastAsia="Times New Roman" w:hAnsi="Times New Roman"/>
                <w:sz w:val="16"/>
                <w:szCs w:val="16"/>
                <w:color w:val="auto"/>
              </w:rPr>
              <w:t>Prepaid and other current assets</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2,487</w:t>
            </w: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4,187</w:t>
            </w:r>
          </w:p>
        </w:tc>
        <w:tc>
          <w:tcPr>
            <w:tcW w:w="120" w:type="dxa"/>
            <w:vAlign w:val="bottom"/>
            <w:tcBorders>
              <w:bottom w:val="single" w:sz="8" w:color="CFF0FC"/>
            </w:tcBorders>
          </w:tcPr>
          <w:p>
            <w:pPr>
              <w:spacing w:after="0"/>
              <w:rPr>
                <w:sz w:val="19"/>
                <w:szCs w:val="19"/>
                <w:color w:val="auto"/>
              </w:rPr>
            </w:pPr>
          </w:p>
        </w:tc>
      </w:tr>
      <w:tr>
        <w:trPr>
          <w:trHeight w:val="223"/>
        </w:trPr>
        <w:tc>
          <w:tcPr>
            <w:tcW w:w="7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current assets</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65,133</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92,092</w:t>
            </w:r>
          </w:p>
        </w:tc>
        <w:tc>
          <w:tcPr>
            <w:tcW w:w="120" w:type="dxa"/>
            <w:vAlign w:val="bottom"/>
            <w:shd w:val="clear" w:color="auto" w:fill="CFF0FC"/>
          </w:tcPr>
          <w:p>
            <w:pPr>
              <w:spacing w:after="0"/>
              <w:rPr>
                <w:sz w:val="19"/>
                <w:szCs w:val="19"/>
                <w:color w:val="auto"/>
              </w:rPr>
            </w:pPr>
          </w:p>
        </w:tc>
      </w:tr>
      <w:tr>
        <w:trPr>
          <w:trHeight w:val="230"/>
        </w:trPr>
        <w:tc>
          <w:tcPr>
            <w:tcW w:w="76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Restricted cash—long-term</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r>
      <w:tr>
        <w:trPr>
          <w:trHeight w:val="230"/>
        </w:trPr>
        <w:tc>
          <w:tcPr>
            <w:tcW w:w="7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21,664</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18,409</w:t>
            </w:r>
          </w:p>
        </w:tc>
        <w:tc>
          <w:tcPr>
            <w:tcW w:w="120" w:type="dxa"/>
            <w:vAlign w:val="bottom"/>
            <w:shd w:val="clear" w:color="auto" w:fill="CFF0FC"/>
          </w:tcPr>
          <w:p>
            <w:pPr>
              <w:spacing w:after="0"/>
              <w:rPr>
                <w:sz w:val="19"/>
                <w:szCs w:val="19"/>
                <w:color w:val="auto"/>
              </w:rPr>
            </w:pPr>
          </w:p>
        </w:tc>
      </w:tr>
      <w:tr>
        <w:trPr>
          <w:trHeight w:val="230"/>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Patents, net</w:t>
            </w:r>
          </w:p>
        </w:tc>
        <w:tc>
          <w:tcPr>
            <w:tcW w:w="6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120" w:type="dxa"/>
            <w:vAlign w:val="bottom"/>
          </w:tcPr>
          <w:p>
            <w:pPr>
              <w:spacing w:after="0"/>
              <w:rPr>
                <w:sz w:val="19"/>
                <w:szCs w:val="19"/>
                <w:color w:val="auto"/>
              </w:rPr>
            </w:pPr>
          </w:p>
        </w:tc>
      </w:tr>
      <w:tr>
        <w:trPr>
          <w:trHeight w:val="230"/>
        </w:trPr>
        <w:tc>
          <w:tcPr>
            <w:tcW w:w="7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long-term assets</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shd w:val="clear" w:color="auto" w:fill="CFF0FC"/>
          </w:tcPr>
          <w:p>
            <w:pPr>
              <w:spacing w:after="0"/>
              <w:rPr>
                <w:sz w:val="19"/>
                <w:szCs w:val="19"/>
                <w:color w:val="auto"/>
              </w:rPr>
            </w:pPr>
          </w:p>
        </w:tc>
      </w:tr>
      <w:tr>
        <w:trPr>
          <w:trHeight w:val="263"/>
        </w:trPr>
        <w:tc>
          <w:tcPr>
            <w:tcW w:w="11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6480" w:type="dxa"/>
            <w:vAlign w:val="bottom"/>
            <w:tcBorders>
              <w:bottom w:val="single" w:sz="8" w:color="CFF0FC"/>
            </w:tcBorders>
          </w:tcPr>
          <w:p>
            <w:pPr>
              <w:spacing w:after="0"/>
              <w:rPr>
                <w:sz w:val="22"/>
                <w:szCs w:val="22"/>
                <w:color w:val="auto"/>
              </w:rPr>
            </w:pPr>
          </w:p>
        </w:tc>
        <w:tc>
          <w:tcPr>
            <w:tcW w:w="22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98,543</w:t>
            </w:r>
          </w:p>
        </w:tc>
        <w:tc>
          <w:tcPr>
            <w:tcW w:w="100" w:type="dxa"/>
            <w:vAlign w:val="bottom"/>
            <w:tcBorders>
              <w:bottom w:val="single" w:sz="8" w:color="CFF0FC"/>
            </w:tcBorders>
          </w:tcPr>
          <w:p>
            <w:pPr>
              <w:spacing w:after="0"/>
              <w:rPr>
                <w:sz w:val="22"/>
                <w:szCs w:val="22"/>
                <w:color w:val="auto"/>
              </w:rPr>
            </w:pPr>
          </w:p>
        </w:tc>
        <w:tc>
          <w:tcPr>
            <w:tcW w:w="18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112,392</w:t>
            </w:r>
          </w:p>
        </w:tc>
        <w:tc>
          <w:tcPr>
            <w:tcW w:w="120" w:type="dxa"/>
            <w:vAlign w:val="bottom"/>
            <w:tcBorders>
              <w:bottom w:val="single" w:sz="8" w:color="CFF0FC"/>
            </w:tcBorders>
          </w:tcPr>
          <w:p>
            <w:pPr>
              <w:spacing w:after="0"/>
              <w:rPr>
                <w:sz w:val="22"/>
                <w:szCs w:val="22"/>
                <w:color w:val="auto"/>
              </w:rPr>
            </w:pPr>
          </w:p>
        </w:tc>
      </w:tr>
      <w:tr>
        <w:trPr>
          <w:trHeight w:val="210"/>
        </w:trPr>
        <w:tc>
          <w:tcPr>
            <w:tcW w:w="7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Liabilities and stockholders’ deficit</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0"/>
        </w:trPr>
        <w:tc>
          <w:tcPr>
            <w:tcW w:w="76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9"/>
        </w:trPr>
        <w:tc>
          <w:tcPr>
            <w:tcW w:w="76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Accounts payable</w:t>
            </w:r>
          </w:p>
        </w:tc>
        <w:tc>
          <w:tcPr>
            <w:tcW w:w="46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6,624</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0" w:type="dxa"/>
            <w:vAlign w:val="bottom"/>
            <w:gridSpan w:val="2"/>
            <w:shd w:val="clear" w:color="auto" w:fill="CFF0FC"/>
          </w:tcPr>
          <w:p>
            <w:pPr>
              <w:jc w:val="right"/>
              <w:ind w:right="6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7,513</w:t>
            </w:r>
          </w:p>
        </w:tc>
        <w:tc>
          <w:tcPr>
            <w:tcW w:w="120" w:type="dxa"/>
            <w:vAlign w:val="bottom"/>
            <w:shd w:val="clear" w:color="auto" w:fill="CFF0FC"/>
          </w:tcPr>
          <w:p>
            <w:pPr>
              <w:spacing w:after="0"/>
              <w:rPr>
                <w:sz w:val="20"/>
                <w:szCs w:val="20"/>
                <w:color w:val="auto"/>
              </w:rPr>
            </w:pPr>
          </w:p>
        </w:tc>
      </w:tr>
      <w:tr>
        <w:trPr>
          <w:trHeight w:val="230"/>
        </w:trPr>
        <w:tc>
          <w:tcPr>
            <w:tcW w:w="764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Accrued expense</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w:t>
            </w:r>
          </w:p>
        </w:tc>
        <w:tc>
          <w:tcPr>
            <w:tcW w:w="120" w:type="dxa"/>
            <w:vAlign w:val="bottom"/>
          </w:tcPr>
          <w:p>
            <w:pPr>
              <w:spacing w:after="0"/>
              <w:rPr>
                <w:sz w:val="19"/>
                <w:szCs w:val="19"/>
                <w:color w:val="auto"/>
              </w:rPr>
            </w:pPr>
          </w:p>
        </w:tc>
      </w:tr>
      <w:tr>
        <w:trPr>
          <w:trHeight w:val="230"/>
        </w:trPr>
        <w:tc>
          <w:tcPr>
            <w:tcW w:w="76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Employee-related liabilities</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13,121</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10,183</w:t>
            </w:r>
          </w:p>
        </w:tc>
        <w:tc>
          <w:tcPr>
            <w:tcW w:w="120" w:type="dxa"/>
            <w:vAlign w:val="bottom"/>
            <w:shd w:val="clear" w:color="auto" w:fill="CFF0FC"/>
          </w:tcPr>
          <w:p>
            <w:pPr>
              <w:spacing w:after="0"/>
              <w:rPr>
                <w:sz w:val="19"/>
                <w:szCs w:val="19"/>
                <w:color w:val="auto"/>
              </w:rPr>
            </w:pPr>
          </w:p>
        </w:tc>
      </w:tr>
      <w:tr>
        <w:trPr>
          <w:trHeight w:val="230"/>
        </w:trPr>
        <w:tc>
          <w:tcPr>
            <w:tcW w:w="764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Deferred revenue</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5,208</w:t>
            </w:r>
          </w:p>
        </w:tc>
        <w:tc>
          <w:tcPr>
            <w:tcW w:w="120" w:type="dxa"/>
            <w:vAlign w:val="bottom"/>
          </w:tcPr>
          <w:p>
            <w:pPr>
              <w:spacing w:after="0"/>
              <w:rPr>
                <w:sz w:val="19"/>
                <w:szCs w:val="19"/>
                <w:color w:val="auto"/>
              </w:rPr>
            </w:pPr>
          </w:p>
        </w:tc>
      </w:tr>
      <w:tr>
        <w:trPr>
          <w:trHeight w:val="230"/>
        </w:trPr>
        <w:tc>
          <w:tcPr>
            <w:tcW w:w="76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6,517</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6,943</w:t>
            </w:r>
          </w:p>
        </w:tc>
        <w:tc>
          <w:tcPr>
            <w:tcW w:w="120" w:type="dxa"/>
            <w:vAlign w:val="bottom"/>
            <w:shd w:val="clear" w:color="auto" w:fill="CFF0FC"/>
          </w:tcPr>
          <w:p>
            <w:pPr>
              <w:spacing w:after="0"/>
              <w:rPr>
                <w:sz w:val="19"/>
                <w:szCs w:val="19"/>
                <w:color w:val="auto"/>
              </w:rPr>
            </w:pPr>
          </w:p>
        </w:tc>
      </w:tr>
      <w:tr>
        <w:trPr>
          <w:trHeight w:val="223"/>
        </w:trPr>
        <w:tc>
          <w:tcPr>
            <w:tcW w:w="76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31,476</w:t>
            </w:r>
          </w:p>
        </w:tc>
        <w:tc>
          <w:tcPr>
            <w:tcW w:w="120" w:type="dxa"/>
            <w:vAlign w:val="bottom"/>
          </w:tcPr>
          <w:p>
            <w:pPr>
              <w:spacing w:after="0"/>
              <w:rPr>
                <w:sz w:val="19"/>
                <w:szCs w:val="19"/>
                <w:color w:val="auto"/>
              </w:rPr>
            </w:pPr>
          </w:p>
        </w:tc>
      </w:tr>
      <w:tr>
        <w:trPr>
          <w:trHeight w:val="230"/>
        </w:trPr>
        <w:tc>
          <w:tcPr>
            <w:tcW w:w="7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Notes payable—long-term</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74,677</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78,960</w:t>
            </w:r>
          </w:p>
        </w:tc>
        <w:tc>
          <w:tcPr>
            <w:tcW w:w="120" w:type="dxa"/>
            <w:vAlign w:val="bottom"/>
            <w:shd w:val="clear" w:color="auto" w:fill="CFF0FC"/>
          </w:tcPr>
          <w:p>
            <w:pPr>
              <w:spacing w:after="0"/>
              <w:rPr>
                <w:sz w:val="19"/>
                <w:szCs w:val="19"/>
                <w:color w:val="auto"/>
              </w:rPr>
            </w:pPr>
          </w:p>
        </w:tc>
      </w:tr>
      <w:tr>
        <w:trPr>
          <w:trHeight w:val="230"/>
        </w:trPr>
        <w:tc>
          <w:tcPr>
            <w:tcW w:w="76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Deferred rent—long-term</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2,609</w:t>
            </w:r>
          </w:p>
        </w:tc>
        <w:tc>
          <w:tcPr>
            <w:tcW w:w="120" w:type="dxa"/>
            <w:vAlign w:val="bottom"/>
          </w:tcPr>
          <w:p>
            <w:pPr>
              <w:spacing w:after="0"/>
              <w:rPr>
                <w:sz w:val="19"/>
                <w:szCs w:val="19"/>
                <w:color w:val="auto"/>
              </w:rPr>
            </w:pPr>
          </w:p>
        </w:tc>
      </w:tr>
      <w:tr>
        <w:trPr>
          <w:trHeight w:val="230"/>
        </w:trPr>
        <w:tc>
          <w:tcPr>
            <w:tcW w:w="7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6,955</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5,274</w:t>
            </w:r>
          </w:p>
        </w:tc>
        <w:tc>
          <w:tcPr>
            <w:tcW w:w="120" w:type="dxa"/>
            <w:vAlign w:val="bottom"/>
            <w:shd w:val="clear" w:color="auto" w:fill="CFF0FC"/>
          </w:tcPr>
          <w:p>
            <w:pPr>
              <w:spacing w:after="0"/>
              <w:rPr>
                <w:sz w:val="19"/>
                <w:szCs w:val="19"/>
                <w:color w:val="auto"/>
              </w:rPr>
            </w:pPr>
          </w:p>
        </w:tc>
      </w:tr>
      <w:tr>
        <w:trPr>
          <w:trHeight w:val="223"/>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6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118,319</w:t>
            </w:r>
          </w:p>
        </w:tc>
        <w:tc>
          <w:tcPr>
            <w:tcW w:w="120" w:type="dxa"/>
            <w:vAlign w:val="bottom"/>
          </w:tcPr>
          <w:p>
            <w:pPr>
              <w:spacing w:after="0"/>
              <w:rPr>
                <w:sz w:val="19"/>
                <w:szCs w:val="19"/>
                <w:color w:val="auto"/>
              </w:rPr>
            </w:pPr>
          </w:p>
        </w:tc>
      </w:tr>
      <w:tr>
        <w:trPr>
          <w:trHeight w:val="230"/>
        </w:trPr>
        <w:tc>
          <w:tcPr>
            <w:tcW w:w="7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Commitments and contingencies (Note 8)</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1"/>
        </w:trPr>
        <w:tc>
          <w:tcPr>
            <w:tcW w:w="76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Common stock, $0.001 par value; 100,000 shares authorized as of June 30, 2017 and December 31,</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6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2016, 50,229 and 31,096 shares issued and outstanding at June 30, 2017 and December 31, 2016,</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11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w w:val="96"/>
              </w:rPr>
              <w:t>respectively.</w:t>
            </w:r>
          </w:p>
        </w:tc>
        <w:tc>
          <w:tcPr>
            <w:tcW w:w="64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FF0FC"/>
          </w:tcPr>
          <w:p>
            <w:pPr>
              <w:spacing w:after="0"/>
              <w:rPr>
                <w:sz w:val="20"/>
                <w:szCs w:val="20"/>
                <w:color w:val="auto"/>
              </w:rPr>
            </w:pPr>
          </w:p>
        </w:tc>
      </w:tr>
      <w:tr>
        <w:trPr>
          <w:trHeight w:val="230"/>
        </w:trPr>
        <w:tc>
          <w:tcPr>
            <w:tcW w:w="764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431,844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398,623</w:t>
            </w:r>
          </w:p>
        </w:tc>
        <w:tc>
          <w:tcPr>
            <w:tcW w:w="120" w:type="dxa"/>
            <w:vAlign w:val="bottom"/>
          </w:tcPr>
          <w:p>
            <w:pPr>
              <w:spacing w:after="0"/>
              <w:rPr>
                <w:sz w:val="19"/>
                <w:szCs w:val="19"/>
                <w:color w:val="auto"/>
              </w:rPr>
            </w:pPr>
          </w:p>
        </w:tc>
      </w:tr>
      <w:tr>
        <w:trPr>
          <w:trHeight w:val="230"/>
        </w:trPr>
        <w:tc>
          <w:tcPr>
            <w:tcW w:w="76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6"/>
                <w:szCs w:val="16"/>
                <w:color w:val="auto"/>
              </w:rPr>
              <w:t>)</w:t>
            </w:r>
          </w:p>
        </w:tc>
      </w:tr>
      <w:tr>
        <w:trPr>
          <w:trHeight w:val="230"/>
        </w:trPr>
        <w:tc>
          <w:tcPr>
            <w:tcW w:w="764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Accumulated deficit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(450,173)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(404,580</w:t>
            </w:r>
            <w:r>
              <w:rPr>
                <w:rFonts w:ascii="Times New Roman" w:cs="Times New Roman" w:eastAsia="Times New Roman" w:hAnsi="Times New Roman"/>
                <w:sz w:val="16"/>
                <w:szCs w:val="16"/>
                <w:color w:val="auto"/>
              </w:rPr>
              <w:t>)</w:t>
            </w:r>
          </w:p>
        </w:tc>
      </w:tr>
      <w:tr>
        <w:trPr>
          <w:trHeight w:val="223"/>
        </w:trPr>
        <w:tc>
          <w:tcPr>
            <w:tcW w:w="764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stockholders’ deficit</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(18,279)</w:t>
            </w: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(5,927</w:t>
            </w:r>
          </w:p>
        </w:tc>
        <w:tc>
          <w:tcPr>
            <w:tcW w:w="12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3"/>
        </w:trPr>
        <w:tc>
          <w:tcPr>
            <w:tcW w:w="76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liabilities and stockholders’ deficit</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98,543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112,392</w:t>
            </w:r>
          </w:p>
        </w:tc>
        <w:tc>
          <w:tcPr>
            <w:tcW w:w="12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See accompanying 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6"/>
          <w:szCs w:val="16"/>
          <w:b w:val="1"/>
          <w:bCs w:val="1"/>
          <w:color w:val="auto"/>
        </w:rPr>
        <w:t>TANDEM DIABETES CARE,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STATEMENTS OF OPERATIONS AND COMPREHENSIVE LOSS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per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80" w:type="dxa"/>
            <w:vAlign w:val="bottom"/>
            <w:gridSpan w:val="5"/>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20" w:type="dxa"/>
            <w:vAlign w:val="bottom"/>
          </w:tcPr>
          <w:p>
            <w:pPr>
              <w:spacing w:after="0"/>
              <w:rPr>
                <w:sz w:val="18"/>
                <w:szCs w:val="18"/>
                <w:color w:val="auto"/>
              </w:rPr>
            </w:pPr>
          </w:p>
        </w:tc>
        <w:tc>
          <w:tcPr>
            <w:tcW w:w="2480" w:type="dxa"/>
            <w:vAlign w:val="bottom"/>
            <w:gridSpan w:val="5"/>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211"/>
        </w:trPr>
        <w:tc>
          <w:tcPr>
            <w:tcW w:w="5460" w:type="dxa"/>
            <w:vAlign w:val="bottom"/>
            <w:tcBorders>
              <w:bottom w:val="single" w:sz="8" w:color="CFF0FC"/>
            </w:tcBorders>
          </w:tcPr>
          <w:p>
            <w:pPr>
              <w:spacing w:after="0"/>
              <w:rPr>
                <w:sz w:val="18"/>
                <w:szCs w:val="18"/>
                <w:color w:val="auto"/>
              </w:rPr>
            </w:pPr>
          </w:p>
        </w:tc>
        <w:tc>
          <w:tcPr>
            <w:tcW w:w="42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2017</w:t>
            </w:r>
          </w:p>
        </w:tc>
        <w:tc>
          <w:tcPr>
            <w:tcW w:w="240" w:type="dxa"/>
            <w:vAlign w:val="bottom"/>
            <w:tcBorders>
              <w:top w:val="single" w:sz="8" w:color="auto"/>
              <w:bottom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2016</w:t>
            </w:r>
          </w:p>
        </w:tc>
        <w:tc>
          <w:tcPr>
            <w:tcW w:w="260" w:type="dxa"/>
            <w:vAlign w:val="bottom"/>
            <w:tcBorders>
              <w:bottom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2017</w:t>
            </w:r>
          </w:p>
        </w:tc>
        <w:tc>
          <w:tcPr>
            <w:tcW w:w="260" w:type="dxa"/>
            <w:vAlign w:val="bottom"/>
            <w:tcBorders>
              <w:top w:val="single" w:sz="8" w:color="auto"/>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Sales</w:t>
            </w:r>
          </w:p>
        </w:tc>
        <w:tc>
          <w:tcPr>
            <w:tcW w:w="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21,327</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22,985</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40,303</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Cost of sales</w:t>
            </w:r>
          </w:p>
        </w:tc>
        <w:tc>
          <w:tcPr>
            <w:tcW w:w="4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13,325</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14,809</w:t>
            </w:r>
          </w:p>
        </w:tc>
        <w:tc>
          <w:tcPr>
            <w:tcW w:w="2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25,549</w:t>
            </w:r>
          </w:p>
        </w:tc>
        <w:tc>
          <w:tcPr>
            <w:tcW w:w="2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27,939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8,002</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8,176</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14,754</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46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4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4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22,104</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21,087</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44,952</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43,084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46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6"/>
                <w:szCs w:val="16"/>
                <w:color w:val="auto"/>
              </w:rPr>
              <w:t>Research and development</w:t>
            </w:r>
          </w:p>
        </w:tc>
        <w:tc>
          <w:tcPr>
            <w:tcW w:w="4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4,866</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4,142</w:t>
            </w:r>
          </w:p>
        </w:tc>
        <w:tc>
          <w:tcPr>
            <w:tcW w:w="2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9,996</w:t>
            </w:r>
          </w:p>
        </w:tc>
        <w:tc>
          <w:tcPr>
            <w:tcW w:w="2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operating expenses</w:t>
            </w:r>
          </w:p>
        </w:tc>
        <w:tc>
          <w:tcPr>
            <w:tcW w:w="4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26,970</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25,229</w:t>
            </w:r>
          </w:p>
        </w:tc>
        <w:tc>
          <w:tcPr>
            <w:tcW w:w="2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54,948</w:t>
            </w:r>
          </w:p>
        </w:tc>
        <w:tc>
          <w:tcPr>
            <w:tcW w:w="2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60" w:type="dxa"/>
            <w:vAlign w:val="bottom"/>
          </w:tcPr>
          <w:p>
            <w:pPr>
              <w:spacing w:after="0"/>
              <w:rPr>
                <w:sz w:val="20"/>
                <w:szCs w:val="20"/>
                <w:color w:val="auto"/>
              </w:rPr>
            </w:pPr>
            <w:r>
              <w:rPr>
                <w:rFonts w:ascii="Times New Roman" w:cs="Times New Roman" w:eastAsia="Times New Roman" w:hAnsi="Times New Roman"/>
                <w:sz w:val="16"/>
                <w:szCs w:val="16"/>
                <w:color w:val="auto"/>
              </w:rPr>
              <w:t>Operating loss</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(18,968)</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(17,053)</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(40,194)</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(36,290</w:t>
            </w:r>
          </w:p>
        </w:tc>
        <w:tc>
          <w:tcPr>
            <w:tcW w:w="100" w:type="dxa"/>
            <w:vAlign w:val="bottom"/>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30"/>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income (expense), net:</w:t>
            </w:r>
          </w:p>
        </w:tc>
        <w:tc>
          <w:tcPr>
            <w:tcW w:w="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Interest and other income</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Interest and other expense</w:t>
            </w:r>
          </w:p>
        </w:tc>
        <w:tc>
          <w:tcPr>
            <w:tcW w:w="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(2,892)</w:t>
            </w: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(1,379)</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(5,518)</w:t>
            </w: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(2,744</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54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Total other expense, net</w:t>
            </w:r>
          </w:p>
        </w:tc>
        <w:tc>
          <w:tcPr>
            <w:tcW w:w="42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(2,832)</w:t>
            </w:r>
          </w:p>
        </w:tc>
        <w:tc>
          <w:tcPr>
            <w:tcW w:w="24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26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(5,399)</w:t>
            </w:r>
          </w:p>
        </w:tc>
        <w:tc>
          <w:tcPr>
            <w:tcW w:w="26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(2,519</w:t>
            </w:r>
          </w:p>
        </w:tc>
        <w:tc>
          <w:tcPr>
            <w:tcW w:w="100" w:type="dxa"/>
            <w:vAlign w:val="bottom"/>
            <w:tcBorders>
              <w:bottom w:val="single" w:sz="8" w:color="CFF0FC"/>
            </w:tcBorders>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23"/>
        </w:trPr>
        <w:tc>
          <w:tcPr>
            <w:tcW w:w="5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w:t>
            </w:r>
          </w:p>
        </w:tc>
        <w:tc>
          <w:tcPr>
            <w:tcW w:w="4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(21,800)</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(18,325)</w:t>
            </w:r>
          </w:p>
        </w:tc>
        <w:tc>
          <w:tcPr>
            <w:tcW w:w="2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(45,593)</w:t>
            </w:r>
          </w:p>
        </w:tc>
        <w:tc>
          <w:tcPr>
            <w:tcW w:w="2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(38,809</w:t>
            </w:r>
          </w:p>
        </w:tc>
        <w:tc>
          <w:tcPr>
            <w:tcW w:w="100" w:type="dxa"/>
            <w:vAlign w:val="bottom"/>
            <w:tcBorders>
              <w:bottom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Other comprehensive loss:</w:t>
            </w: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46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54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Unrealized gain (loss) on short-term investments</w:t>
            </w:r>
          </w:p>
        </w:tc>
        <w:tc>
          <w:tcPr>
            <w:tcW w:w="580" w:type="dxa"/>
            <w:vAlign w:val="bottom"/>
            <w:gridSpan w:val="2"/>
            <w:shd w:val="clear" w:color="auto" w:fill="CFF0FC"/>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(17</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63"/>
        </w:trPr>
        <w:tc>
          <w:tcPr>
            <w:tcW w:w="54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Comprehensive loss</w:t>
            </w:r>
          </w:p>
        </w:tc>
        <w:tc>
          <w:tcPr>
            <w:tcW w:w="42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(21,800)</w:t>
            </w:r>
          </w:p>
        </w:tc>
        <w:tc>
          <w:tcPr>
            <w:tcW w:w="24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(18,362)</w:t>
            </w:r>
          </w:p>
        </w:tc>
        <w:tc>
          <w:tcPr>
            <w:tcW w:w="26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(45,592)</w:t>
            </w:r>
          </w:p>
        </w:tc>
        <w:tc>
          <w:tcPr>
            <w:tcW w:w="26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(38,826</w:t>
            </w:r>
          </w:p>
        </w:tc>
        <w:tc>
          <w:tcPr>
            <w:tcW w:w="100" w:type="dxa"/>
            <w:vAlign w:val="bottom"/>
            <w:tcBorders>
              <w:bottom w:val="single" w:sz="8" w:color="CFF0FC"/>
            </w:tcBorders>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10"/>
        </w:trPr>
        <w:tc>
          <w:tcPr>
            <w:tcW w:w="5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 per share, basic and diluted</w:t>
            </w:r>
          </w:p>
        </w:tc>
        <w:tc>
          <w:tcPr>
            <w:tcW w:w="4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Borders>
              <w:bottom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Weighted average shares used to compute basic and diluted net loss per share</w:t>
            </w: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6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50,036</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30,489</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41,013</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See accompanying 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3"/>
        </w:trPr>
        <w:tc>
          <w:tcPr>
            <w:tcW w:w="7600" w:type="dxa"/>
            <w:vAlign w:val="bottom"/>
          </w:tcPr>
          <w:p>
            <w:pPr>
              <w:jc w:val="center"/>
              <w:ind w:left="3751"/>
              <w:spacing w:after="0"/>
              <w:rPr>
                <w:sz w:val="20"/>
                <w:szCs w:val="20"/>
                <w:color w:val="auto"/>
              </w:rPr>
            </w:pPr>
            <w:r>
              <w:rPr>
                <w:rFonts w:ascii="Times New Roman" w:cs="Times New Roman" w:eastAsia="Times New Roman" w:hAnsi="Times New Roman"/>
                <w:sz w:val="16"/>
                <w:szCs w:val="16"/>
                <w:b w:val="1"/>
                <w:bCs w:val="1"/>
                <w:color w:val="auto"/>
              </w:rPr>
              <w:t>TANDEM DIABETES CARE, INC.</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Pr>
          <w:p>
            <w:pPr>
              <w:jc w:val="center"/>
              <w:ind w:left="3751"/>
              <w:spacing w:after="0"/>
              <w:rPr>
                <w:sz w:val="20"/>
                <w:szCs w:val="20"/>
                <w:color w:val="auto"/>
              </w:rPr>
            </w:pPr>
            <w:r>
              <w:rPr>
                <w:rFonts w:ascii="Times New Roman" w:cs="Times New Roman" w:eastAsia="Times New Roman" w:hAnsi="Times New Roman"/>
                <w:sz w:val="16"/>
                <w:szCs w:val="16"/>
                <w:b w:val="1"/>
                <w:bCs w:val="1"/>
                <w:color w:val="auto"/>
              </w:rPr>
              <w:t>CONDENSED STATEMENTS OF CASH FLOWS</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Pr>
          <w:p>
            <w:pPr>
              <w:jc w:val="center"/>
              <w:ind w:left="3751"/>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600" w:type="dxa"/>
            <w:vAlign w:val="bottom"/>
          </w:tcPr>
          <w:p>
            <w:pPr>
              <w:jc w:val="center"/>
              <w:ind w:left="3751"/>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40" w:type="dxa"/>
            <w:vAlign w:val="bottom"/>
          </w:tcPr>
          <w:p>
            <w:pPr>
              <w:spacing w:after="0"/>
              <w:rPr>
                <w:sz w:val="18"/>
                <w:szCs w:val="18"/>
                <w:color w:val="auto"/>
              </w:rPr>
            </w:pPr>
          </w:p>
        </w:tc>
        <w:tc>
          <w:tcPr>
            <w:tcW w:w="2940" w:type="dxa"/>
            <w:vAlign w:val="bottom"/>
            <w:gridSpan w:val="4"/>
            <w:vMerge w:val="restart"/>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40" w:type="dxa"/>
            <w:vAlign w:val="bottom"/>
            <w:tcBorders>
              <w:bottom w:val="single" w:sz="8" w:color="auto"/>
            </w:tcBorders>
            <w:gridSpan w:val="4"/>
            <w:vMerge w:val="continue"/>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6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2017</w:t>
            </w:r>
          </w:p>
        </w:tc>
        <w:tc>
          <w:tcPr>
            <w:tcW w:w="600" w:type="dxa"/>
            <w:vAlign w:val="bottom"/>
            <w:tcBorders>
              <w:bottom w:val="single" w:sz="8" w:color="auto"/>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2016</w:t>
            </w: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120" w:type="dxa"/>
            <w:vAlign w:val="bottom"/>
            <w:gridSpan w:val="2"/>
          </w:tcPr>
          <w:p>
            <w:pPr>
              <w:jc w:val="right"/>
              <w:ind w:right="813"/>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(45,593)</w:t>
            </w:r>
          </w:p>
        </w:tc>
        <w:tc>
          <w:tcPr>
            <w:tcW w:w="1080" w:type="dxa"/>
            <w:vAlign w:val="bottom"/>
          </w:tcPr>
          <w:p>
            <w:pPr>
              <w:jc w:val="right"/>
              <w:ind w:right="914"/>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(38,809)</w:t>
            </w: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3,016</w:t>
            </w: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expense related to amortization of debt discount and debt issuance costs</w:t>
            </w: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Provision for allowance for doubtful accounts</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Provision for inventory reserve</w:t>
            </w: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Payment in kind interest accrual of notes payable</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Amortization of discount on short-term investments</w:t>
            </w: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10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0"/>
        </w:trPr>
        <w:tc>
          <w:tcPr>
            <w:tcW w:w="7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8,110</w:t>
            </w: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30"/>
        </w:trPr>
        <w:tc>
          <w:tcPr>
            <w:tcW w:w="7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Accounts receivable, net</w:t>
            </w: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Inventory</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(4,797)</w:t>
            </w:r>
          </w:p>
        </w:tc>
        <w:tc>
          <w:tcPr>
            <w:tcW w:w="108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(4,108)</w:t>
            </w: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1,534</w:t>
            </w: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(1,165)</w:t>
            </w:r>
          </w:p>
        </w:tc>
        <w:tc>
          <w:tcPr>
            <w:tcW w:w="0" w:type="dxa"/>
            <w:vAlign w:val="bottom"/>
          </w:tcPr>
          <w:p>
            <w:pPr>
              <w:spacing w:after="0"/>
              <w:rPr>
                <w:sz w:val="1"/>
                <w:szCs w:val="1"/>
                <w:color w:val="auto"/>
              </w:rPr>
            </w:pPr>
          </w:p>
        </w:tc>
      </w:tr>
      <w:tr>
        <w:trPr>
          <w:trHeight w:val="230"/>
        </w:trPr>
        <w:tc>
          <w:tcPr>
            <w:tcW w:w="76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 long-term assets</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w:t>
            </w:r>
          </w:p>
        </w:tc>
        <w:tc>
          <w:tcPr>
            <w:tcW w:w="108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(447)</w:t>
            </w:r>
          </w:p>
        </w:tc>
        <w:tc>
          <w:tcPr>
            <w:tcW w:w="10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Accrued expense</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(873)</w:t>
            </w:r>
          </w:p>
        </w:tc>
        <w:tc>
          <w:tcPr>
            <w:tcW w:w="10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Employee-related liabilities</w:t>
            </w: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2,506</w:t>
            </w: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(809)</w:t>
            </w:r>
          </w:p>
        </w:tc>
        <w:tc>
          <w:tcPr>
            <w:tcW w:w="0" w:type="dxa"/>
            <w:vAlign w:val="bottom"/>
          </w:tcPr>
          <w:p>
            <w:pPr>
              <w:spacing w:after="0"/>
              <w:rPr>
                <w:sz w:val="1"/>
                <w:szCs w:val="1"/>
                <w:color w:val="auto"/>
              </w:rPr>
            </w:pPr>
          </w:p>
        </w:tc>
      </w:tr>
      <w:tr>
        <w:trPr>
          <w:trHeight w:val="230"/>
        </w:trPr>
        <w:tc>
          <w:tcPr>
            <w:tcW w:w="76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Deferred revenue</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(1,350)</w:t>
            </w:r>
          </w:p>
        </w:tc>
        <w:tc>
          <w:tcPr>
            <w:tcW w:w="108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(850)</w:t>
            </w:r>
          </w:p>
        </w:tc>
        <w:tc>
          <w:tcPr>
            <w:tcW w:w="10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Deferred rent</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(266)</w:t>
            </w:r>
          </w:p>
        </w:tc>
        <w:tc>
          <w:tcPr>
            <w:tcW w:w="108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(453)</w:t>
            </w: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(539)</w:t>
            </w:r>
          </w:p>
        </w:tc>
        <w:tc>
          <w:tcPr>
            <w:tcW w:w="10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4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(35,477)</w:t>
            </w:r>
          </w:p>
        </w:tc>
        <w:tc>
          <w:tcPr>
            <w:tcW w:w="280" w:type="dxa"/>
            <w:vAlign w:val="bottom"/>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Purchase of short-term investments</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(22,657)</w:t>
            </w: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sales and maturities of short-term investments</w:t>
            </w: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8,500</w:t>
            </w: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(4,055)</w:t>
            </w:r>
          </w:p>
        </w:tc>
        <w:tc>
          <w:tcPr>
            <w:tcW w:w="108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(4,048)</w:t>
            </w:r>
          </w:p>
        </w:tc>
        <w:tc>
          <w:tcPr>
            <w:tcW w:w="0" w:type="dxa"/>
            <w:vAlign w:val="bottom"/>
          </w:tcPr>
          <w:p>
            <w:pPr>
              <w:spacing w:after="0"/>
              <w:rPr>
                <w:sz w:val="1"/>
                <w:szCs w:val="1"/>
                <w:color w:val="auto"/>
              </w:rPr>
            </w:pPr>
          </w:p>
        </w:tc>
      </w:tr>
      <w:tr>
        <w:trPr>
          <w:trHeight w:val="223"/>
        </w:trPr>
        <w:tc>
          <w:tcPr>
            <w:tcW w:w="76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14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4,445</w:t>
            </w:r>
          </w:p>
        </w:tc>
        <w:tc>
          <w:tcPr>
            <w:tcW w:w="28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Issuance of notes payable, net of issuance costs</w:t>
            </w: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in connection with notes payable</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(8,000)</w:t>
            </w:r>
          </w:p>
        </w:tc>
        <w:tc>
          <w:tcPr>
            <w:tcW w:w="108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public offering, net of offering costs</w:t>
            </w: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21,135</w:t>
            </w: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6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14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28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4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13,705</w:t>
            </w:r>
          </w:p>
        </w:tc>
        <w:tc>
          <w:tcPr>
            <w:tcW w:w="280" w:type="dxa"/>
            <w:vAlign w:val="bottom"/>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4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(17,327)</w:t>
            </w:r>
          </w:p>
        </w:tc>
        <w:tc>
          <w:tcPr>
            <w:tcW w:w="28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(12,838)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4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44,678</w:t>
            </w:r>
          </w:p>
        </w:tc>
        <w:tc>
          <w:tcPr>
            <w:tcW w:w="280" w:type="dxa"/>
            <w:vAlign w:val="bottom"/>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6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40" w:type="dxa"/>
            <w:vAlign w:val="bottom"/>
            <w:tcBorders>
              <w:bottom w:val="single" w:sz="8" w:color="CFF0FC"/>
            </w:tcBorders>
          </w:tcPr>
          <w:p>
            <w:pPr>
              <w:spacing w:after="0"/>
              <w:rPr>
                <w:sz w:val="22"/>
                <w:szCs w:val="22"/>
                <w:color w:val="auto"/>
              </w:rPr>
            </w:pPr>
          </w:p>
        </w:tc>
        <w:tc>
          <w:tcPr>
            <w:tcW w:w="980" w:type="dxa"/>
            <w:vAlign w:val="bottom"/>
            <w:tcBorders>
              <w:bottom w:val="single" w:sz="8" w:color="auto"/>
            </w:tcBorders>
          </w:tcPr>
          <w:p>
            <w:pPr>
              <w:jc w:val="right"/>
              <w:ind w:right="813"/>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27,351</w:t>
            </w:r>
          </w:p>
        </w:tc>
        <w:tc>
          <w:tcPr>
            <w:tcW w:w="280" w:type="dxa"/>
            <w:vAlign w:val="bottom"/>
            <w:tcBorders>
              <w:bottom w:val="single" w:sz="8" w:color="CFF0FC"/>
            </w:tcBorders>
          </w:tcPr>
          <w:p>
            <w:pPr>
              <w:spacing w:after="0"/>
              <w:rPr>
                <w:sz w:val="22"/>
                <w:szCs w:val="22"/>
                <w:color w:val="auto"/>
              </w:rPr>
            </w:pPr>
          </w:p>
        </w:tc>
        <w:tc>
          <w:tcPr>
            <w:tcW w:w="1080" w:type="dxa"/>
            <w:vAlign w:val="bottom"/>
            <w:tcBorders>
              <w:bottom w:val="single" w:sz="8" w:color="auto"/>
            </w:tcBorders>
          </w:tcPr>
          <w:p>
            <w:pPr>
              <w:jc w:val="right"/>
              <w:ind w:right="914"/>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30,250</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1120" w:type="dxa"/>
            <w:vAlign w:val="bottom"/>
            <w:gridSpan w:val="2"/>
          </w:tcPr>
          <w:p>
            <w:pPr>
              <w:jc w:val="right"/>
              <w:ind w:right="813"/>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3,882</w:t>
            </w:r>
          </w:p>
        </w:tc>
        <w:tc>
          <w:tcPr>
            <w:tcW w:w="280" w:type="dxa"/>
            <w:vAlign w:val="bottom"/>
          </w:tcPr>
          <w:p>
            <w:pPr>
              <w:spacing w:after="0"/>
              <w:rPr>
                <w:sz w:val="23"/>
                <w:szCs w:val="23"/>
                <w:color w:val="auto"/>
              </w:rPr>
            </w:pPr>
          </w:p>
        </w:tc>
        <w:tc>
          <w:tcPr>
            <w:tcW w:w="1080" w:type="dxa"/>
            <w:vAlign w:val="bottom"/>
          </w:tcPr>
          <w:p>
            <w:pPr>
              <w:jc w:val="right"/>
              <w:ind w:right="914"/>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2,099</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76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Supplemental schedule of noncash investing and financing activities</w:t>
            </w:r>
          </w:p>
        </w:tc>
        <w:tc>
          <w:tcPr>
            <w:tcW w:w="14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Lease incentive - lessor-paid tenant improvements</w:t>
            </w:r>
          </w:p>
        </w:tc>
        <w:tc>
          <w:tcPr>
            <w:tcW w:w="1120" w:type="dxa"/>
            <w:vAlign w:val="bottom"/>
            <w:gridSpan w:val="2"/>
          </w:tcPr>
          <w:p>
            <w:pPr>
              <w:jc w:val="right"/>
              <w:ind w:right="813"/>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2,784</w:t>
            </w:r>
          </w:p>
        </w:tc>
        <w:tc>
          <w:tcPr>
            <w:tcW w:w="280" w:type="dxa"/>
            <w:vAlign w:val="bottom"/>
          </w:tcPr>
          <w:p>
            <w:pPr>
              <w:spacing w:after="0"/>
              <w:rPr>
                <w:sz w:val="23"/>
                <w:szCs w:val="23"/>
                <w:color w:val="auto"/>
              </w:rPr>
            </w:pPr>
          </w:p>
        </w:tc>
        <w:tc>
          <w:tcPr>
            <w:tcW w:w="1080" w:type="dxa"/>
            <w:vAlign w:val="bottom"/>
          </w:tcPr>
          <w:p>
            <w:pPr>
              <w:jc w:val="right"/>
              <w:ind w:right="914"/>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76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Debt discount included in other long-term liabilities</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ind w:right="813"/>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4,095</w:t>
            </w:r>
          </w:p>
        </w:tc>
        <w:tc>
          <w:tcPr>
            <w:tcW w:w="280" w:type="dxa"/>
            <w:vAlign w:val="bottom"/>
            <w:tcBorders>
              <w:top w:val="single" w:sz="8" w:color="CFF0FC"/>
              <w:bottom w:val="single" w:sz="8" w:color="CFF0FC"/>
            </w:tcBorders>
            <w:shd w:val="clear" w:color="auto" w:fill="CFF0FC"/>
          </w:tcPr>
          <w:p>
            <w:pPr>
              <w:spacing w:after="0"/>
              <w:rPr>
                <w:sz w:val="18"/>
                <w:szCs w:val="18"/>
                <w:color w:val="auto"/>
              </w:rPr>
            </w:pPr>
          </w:p>
        </w:tc>
        <w:tc>
          <w:tcPr>
            <w:tcW w:w="1080" w:type="dxa"/>
            <w:vAlign w:val="bottom"/>
            <w:tcBorders>
              <w:top w:val="single" w:sz="8" w:color="auto"/>
              <w:bottom w:val="single" w:sz="8" w:color="auto"/>
            </w:tcBorders>
            <w:shd w:val="clear" w:color="auto" w:fill="CFF0FC"/>
          </w:tcPr>
          <w:p>
            <w:pPr>
              <w:jc w:val="right"/>
              <w:ind w:right="914"/>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Common stock warrants issued in connection with term loan</w:t>
            </w:r>
          </w:p>
        </w:tc>
        <w:tc>
          <w:tcPr>
            <w:tcW w:w="11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0" w:type="dxa"/>
            <w:vAlign w:val="bottom"/>
            <w:tcBorders>
              <w:bottom w:val="single" w:sz="8" w:color="CFF0FC"/>
            </w:tcBorders>
            <w:vMerge w:val="continue"/>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813"/>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3,331</w:t>
            </w:r>
          </w:p>
        </w:tc>
        <w:tc>
          <w:tcPr>
            <w:tcW w:w="280" w:type="dxa"/>
            <w:vAlign w:val="bottom"/>
            <w:tcBorders>
              <w:bottom w:val="single" w:sz="8" w:color="CFF0FC"/>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914"/>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included in accounts payable</w:t>
            </w:r>
          </w:p>
        </w:tc>
        <w:tc>
          <w:tcPr>
            <w:tcW w:w="14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813"/>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8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914"/>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See accompanying notes to unaudited condensed financial statements.</w:t>
      </w:r>
    </w:p>
    <w:p>
      <w:pPr>
        <w:sectPr>
          <w:pgSz w:w="11900" w:h="16838" w:orient="portrait"/>
          <w:cols w:equalWidth="0" w:num="1">
            <w:col w:w="11420"/>
          </w:cols>
          <w:pgMar w:left="240" w:top="12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88900</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type w:val="continuous"/>
        </w:sectPr>
      </w:pPr>
    </w:p>
    <w:bookmarkStart w:id="5" w:name="page6"/>
    <w:bookmarkEnd w:id="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TANDEM DIABETES CARE, INC.</w:t>
      </w:r>
    </w:p>
    <w:p>
      <w:pPr>
        <w:spacing w:after="0" w:line="22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Basis of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w:t>
      </w:r>
    </w:p>
    <w:p>
      <w:pPr>
        <w:spacing w:after="0" w:line="229" w:lineRule="exact"/>
        <w:rPr>
          <w:sz w:val="20"/>
          <w:szCs w:val="20"/>
          <w:color w:val="auto"/>
        </w:rPr>
      </w:pPr>
    </w:p>
    <w:p>
      <w:pPr>
        <w:ind w:right="380" w:firstLine="571"/>
        <w:spacing w:after="0" w:line="266" w:lineRule="auto"/>
        <w:rPr>
          <w:sz w:val="20"/>
          <w:szCs w:val="20"/>
          <w:color w:val="auto"/>
        </w:rPr>
      </w:pPr>
      <w:r>
        <w:rPr>
          <w:rFonts w:ascii="Times New Roman" w:cs="Times New Roman" w:eastAsia="Times New Roman" w:hAnsi="Times New Roman"/>
          <w:sz w:val="18"/>
          <w:szCs w:val="18"/>
          <w:color w:val="auto"/>
        </w:rPr>
        <w:t>Tandem Diabetes Care, Inc. is a medical device company focused on the design, development and commercialization of products for people with insulin-dependent diabetes. The Company is incorporated in the state of Delaware. Unless the context requires otherwise, the terms the “Company” or “Tandem” refer to Tandem Diabetes Care, Inc.</w:t>
      </w:r>
    </w:p>
    <w:p>
      <w:pPr>
        <w:spacing w:after="0" w:line="176" w:lineRule="exact"/>
        <w:rPr>
          <w:sz w:val="20"/>
          <w:szCs w:val="20"/>
          <w:color w:val="auto"/>
        </w:rPr>
      </w:pPr>
    </w:p>
    <w:p>
      <w:pPr>
        <w:ind w:right="340" w:firstLine="571"/>
        <w:spacing w:after="0" w:line="282" w:lineRule="auto"/>
        <w:rPr>
          <w:sz w:val="20"/>
          <w:szCs w:val="20"/>
          <w:color w:val="auto"/>
        </w:rPr>
      </w:pPr>
      <w:r>
        <w:rPr>
          <w:rFonts w:ascii="Times New Roman" w:cs="Times New Roman" w:eastAsia="Times New Roman" w:hAnsi="Times New Roman"/>
          <w:sz w:val="18"/>
          <w:szCs w:val="18"/>
          <w:color w:val="auto"/>
        </w:rPr>
        <w:t>The Company manufactures and sells insulin pump products in the United States that are designed to address large and differentiated needs of the insulin-dependent diabetes market. During the first half of 2017, the Company’s pump products included:</w:t>
      </w:r>
    </w:p>
    <w:p>
      <w:pPr>
        <w:spacing w:after="0" w:line="162" w:lineRule="exact"/>
        <w:rPr>
          <w:sz w:val="20"/>
          <w:szCs w:val="20"/>
          <w:color w:val="auto"/>
        </w:rPr>
      </w:pPr>
    </w:p>
    <w:p>
      <w:pPr>
        <w:ind w:left="1020" w:hanging="377"/>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t:slim X2 Insulin Delivery System, or t:slim X2,</w:t>
      </w:r>
    </w:p>
    <w:p>
      <w:pPr>
        <w:spacing w:after="0" w:line="27"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t:flex Insulin Delivery System, or t:flex, and</w:t>
      </w:r>
    </w:p>
    <w:p>
      <w:pPr>
        <w:spacing w:after="0" w:line="9"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t:slim G4 Insulin Delivery System, or t:slim G4.</w:t>
      </w:r>
    </w:p>
    <w:p>
      <w:pPr>
        <w:spacing w:after="0" w:line="207" w:lineRule="exact"/>
        <w:rPr>
          <w:sz w:val="20"/>
          <w:szCs w:val="20"/>
          <w:color w:val="auto"/>
        </w:rPr>
      </w:pPr>
    </w:p>
    <w:p>
      <w:pPr>
        <w:ind w:right="220" w:firstLine="571"/>
        <w:spacing w:after="0" w:line="282" w:lineRule="auto"/>
        <w:rPr>
          <w:sz w:val="20"/>
          <w:szCs w:val="20"/>
          <w:color w:val="auto"/>
        </w:rPr>
      </w:pPr>
      <w:r>
        <w:rPr>
          <w:rFonts w:ascii="Times New Roman" w:cs="Times New Roman" w:eastAsia="Times New Roman" w:hAnsi="Times New Roman"/>
          <w:sz w:val="18"/>
          <w:szCs w:val="18"/>
          <w:color w:val="auto"/>
        </w:rPr>
        <w:t>The Company began commercial sales of its first product, t:slim, in August 2012. During 2015, the Company commenced commercial sales of two additional insulin pumps: t:flex in May 2015 and t:slim G4 in September 2015.</w:t>
      </w:r>
    </w:p>
    <w:p>
      <w:pPr>
        <w:spacing w:after="0" w:line="162" w:lineRule="exact"/>
        <w:rPr>
          <w:sz w:val="20"/>
          <w:szCs w:val="20"/>
          <w:color w:val="auto"/>
        </w:rPr>
      </w:pPr>
    </w:p>
    <w:p>
      <w:pPr>
        <w:ind w:right="160" w:firstLine="571"/>
        <w:spacing w:after="0" w:line="282" w:lineRule="auto"/>
        <w:rPr>
          <w:sz w:val="20"/>
          <w:szCs w:val="20"/>
          <w:color w:val="auto"/>
        </w:rPr>
      </w:pPr>
      <w:r>
        <w:rPr>
          <w:rFonts w:ascii="Times New Roman" w:cs="Times New Roman" w:eastAsia="Times New Roman" w:hAnsi="Times New Roman"/>
          <w:sz w:val="18"/>
          <w:szCs w:val="18"/>
          <w:color w:val="auto"/>
        </w:rPr>
        <w:t>In July 2016, the Company received clearance from the U.S. Food and Drug Administration (“FDA”) to begin offering the Tandem Device Updater, a Mac and PC-compatible tool for the remote update of Tandem insulin pump software.</w:t>
      </w:r>
    </w:p>
    <w:p>
      <w:pPr>
        <w:spacing w:after="0" w:line="162" w:lineRule="exact"/>
        <w:rPr>
          <w:sz w:val="20"/>
          <w:szCs w:val="20"/>
          <w:color w:val="auto"/>
        </w:rPr>
      </w:pPr>
    </w:p>
    <w:p>
      <w:pPr>
        <w:ind w:right="80" w:firstLine="588"/>
        <w:spacing w:after="0" w:line="266" w:lineRule="auto"/>
        <w:rPr>
          <w:sz w:val="20"/>
          <w:szCs w:val="20"/>
          <w:color w:val="auto"/>
        </w:rPr>
      </w:pPr>
      <w:r>
        <w:rPr>
          <w:rFonts w:ascii="Times New Roman" w:cs="Times New Roman" w:eastAsia="Times New Roman" w:hAnsi="Times New Roman"/>
          <w:sz w:val="18"/>
          <w:szCs w:val="18"/>
          <w:color w:val="auto"/>
        </w:rPr>
        <w:t>In July 2016, the Company announced and launched a Technology Upgrade Program that provides eligible t:slim and t:slim G4 customers a path to obtain t:slim X2. Participating customers have the right to exchange their original t:slim and t:slim G4 for a t:slim X2, under a variable pricing structure. The Technology Upgrade Program expires on September 30, 2017.</w:t>
      </w:r>
    </w:p>
    <w:p>
      <w:pPr>
        <w:spacing w:after="0" w:line="176" w:lineRule="exact"/>
        <w:rPr>
          <w:sz w:val="20"/>
          <w:szCs w:val="20"/>
          <w:color w:val="auto"/>
        </w:rPr>
      </w:pPr>
    </w:p>
    <w:p>
      <w:pPr>
        <w:ind w:right="140" w:firstLine="588"/>
        <w:spacing w:after="0" w:line="282" w:lineRule="auto"/>
        <w:rPr>
          <w:sz w:val="20"/>
          <w:szCs w:val="20"/>
          <w:color w:val="auto"/>
        </w:rPr>
      </w:pPr>
      <w:r>
        <w:rPr>
          <w:rFonts w:ascii="Times New Roman" w:cs="Times New Roman" w:eastAsia="Times New Roman" w:hAnsi="Times New Roman"/>
          <w:sz w:val="18"/>
          <w:szCs w:val="18"/>
          <w:color w:val="auto"/>
        </w:rPr>
        <w:t>In October 2016, the Company began shipping t:slim X2. As a result, the Company discontinued new shipments of t:slim, though the Company will continue to provide ongoing service and support to existing t:slim customers.</w:t>
      </w:r>
    </w:p>
    <w:p>
      <w:pPr>
        <w:spacing w:after="0" w:line="162" w:lineRule="exact"/>
        <w:rPr>
          <w:sz w:val="20"/>
          <w:szCs w:val="20"/>
          <w:color w:val="auto"/>
        </w:rPr>
      </w:pPr>
    </w:p>
    <w:p>
      <w:pPr>
        <w:ind w:right="40" w:firstLine="588"/>
        <w:spacing w:after="0" w:line="261" w:lineRule="auto"/>
        <w:rPr>
          <w:sz w:val="20"/>
          <w:szCs w:val="20"/>
          <w:color w:val="auto"/>
        </w:rPr>
      </w:pPr>
      <w:r>
        <w:rPr>
          <w:rFonts w:ascii="Times New Roman" w:cs="Times New Roman" w:eastAsia="Times New Roman" w:hAnsi="Times New Roman"/>
          <w:sz w:val="18"/>
          <w:szCs w:val="18"/>
          <w:color w:val="auto"/>
        </w:rPr>
        <w:t>Effective December 31, 2016, the Company adopted FASB Accounting Standard Codification (“ASC”) Topic 205-40, Presentation of Financial Statements – Going Concern, which requires management to evaluate whether there are relevant conditions and events that, in the aggregate, raise substantial doubt about the entity’s ability to continue as a going concern and to meet its obligations as they become due within one year after the date the financial statements are issued.</w:t>
      </w:r>
    </w:p>
    <w:p>
      <w:pPr>
        <w:spacing w:after="0" w:line="180" w:lineRule="exact"/>
        <w:rPr>
          <w:sz w:val="20"/>
          <w:szCs w:val="20"/>
          <w:color w:val="auto"/>
        </w:rPr>
      </w:pPr>
    </w:p>
    <w:p>
      <w:pPr>
        <w:ind w:right="80" w:firstLine="571"/>
        <w:spacing w:after="0" w:line="255" w:lineRule="auto"/>
        <w:rPr>
          <w:sz w:val="20"/>
          <w:szCs w:val="20"/>
          <w:color w:val="auto"/>
        </w:rPr>
      </w:pPr>
      <w:r>
        <w:rPr>
          <w:rFonts w:ascii="Times New Roman" w:cs="Times New Roman" w:eastAsia="Times New Roman" w:hAnsi="Times New Roman"/>
          <w:sz w:val="18"/>
          <w:szCs w:val="18"/>
          <w:color w:val="auto"/>
        </w:rPr>
        <w:t>The Company has incurred operating losses since its inception and, as reflected in the accompanying financial statements, the Company has an accumulated deficit of $450.2 million as of June 30, 2017, which includes a net loss of $45.6 million for the six months ended June 30, 2017. The Company had cash and cash equivalents and short-term investments of $37.8 million at June 30, 2017, including $10.0 million of restricted cash as required by the Company’s term loan agreement (as amended, the “Term Loan Agreement”) with Capital Royalty Partners II, L.P. and its affiliate funds (“Capital Royalty Partners”). The Company used $35.5 million in cash from operations in the six months ended June 30, 2017. The Company concluded that, at the date the financial statements in this Quarterly Report on Form 10-Q for the three and six months ended June 30, 2017 (the “Quarterly Report”) were issued, it did not have sufficient cash to fund its operations for the next twelve months without additional financing and, therefore, there was substantial doubt about its ability to continue as a going concern within one year after the date the financial statements were issued.</w:t>
      </w:r>
    </w:p>
    <w:p>
      <w:pPr>
        <w:spacing w:after="0" w:line="185" w:lineRule="exact"/>
        <w:rPr>
          <w:sz w:val="20"/>
          <w:szCs w:val="20"/>
          <w:color w:val="auto"/>
        </w:rPr>
      </w:pPr>
    </w:p>
    <w:p>
      <w:pPr>
        <w:ind w:firstLine="693"/>
        <w:spacing w:after="0" w:line="258" w:lineRule="auto"/>
        <w:rPr>
          <w:sz w:val="20"/>
          <w:szCs w:val="20"/>
          <w:color w:val="auto"/>
        </w:rPr>
      </w:pPr>
      <w:r>
        <w:rPr>
          <w:rFonts w:ascii="Times New Roman" w:cs="Times New Roman" w:eastAsia="Times New Roman" w:hAnsi="Times New Roman"/>
          <w:sz w:val="18"/>
          <w:szCs w:val="18"/>
          <w:color w:val="auto"/>
        </w:rPr>
        <w:t>The financial statements included in this Quarterly Report have been prepared on a basis that assumes the Company will continue as a going concern, and do not include any adjustments that may result from the outcome of this uncertainty. This basis of accounting contemplates the recovery of the Company’s assets and the satisfaction of the Company’s liabilities and commitments in the normal course of business and does not include any adjustments to reflect the possible future effects of the recoverability and classification of recorded asset amounts or amounts and classification of liabilities that might be necessary should the Company be unable to continue as a going concern.</w:t>
      </w: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bookmarkStart w:id="6" w:name="page7"/>
    <w:bookmarkEnd w:id="6"/>
    <w:p>
      <w:pPr>
        <w:ind w:firstLine="577"/>
        <w:spacing w:after="0" w:line="254" w:lineRule="auto"/>
        <w:rPr>
          <w:sz w:val="20"/>
          <w:szCs w:val="20"/>
          <w:color w:val="auto"/>
        </w:rPr>
      </w:pPr>
      <w:r>
        <w:rPr>
          <w:rFonts w:ascii="Times New Roman" w:cs="Times New Roman" w:eastAsia="Times New Roman" w:hAnsi="Times New Roman"/>
          <w:sz w:val="18"/>
          <w:szCs w:val="18"/>
          <w:color w:val="auto"/>
        </w:rPr>
        <w:t>The Company believes it will be necessary to raise additional funding. The Company intends to seek additional capital from public or private offerings of its capital stock or it may elect to borrow additional amounts under new debt financing arrangements or from other sources. If the Company issues equity or convertible debt securities to raise additional funding, its existing stockholders may experience dilution, it may incur significant financing costs, and the new equity or convertible debt securities may have rights, preferences and privileges senior to those of its existing stockholders. If the Company issues debt securities to raise additional funding, it would incur additional debt service obligations, it could become subject to additional restrictions limiting its ability to operate its business, and it may be required to further encumber its assets. The Company’s ability to continue as a going concern, meet its minimum liquidity requirements, satisfy the covenants under the Term Loan Agreement, and execute its business strategy is dependent on its ability to raise significant additional capital, of which there can be no assurance. If the Company cannot generate sufficient revenues from the sale of its products or secure additional financing on acceptable terms, it may be forced to significantly alter its business strategy, substantially curtail or modify its current operations, or cease operations altogether.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right="40" w:firstLine="577"/>
        <w:spacing w:after="0" w:line="258" w:lineRule="auto"/>
        <w:rPr>
          <w:sz w:val="20"/>
          <w:szCs w:val="20"/>
          <w:color w:val="auto"/>
        </w:rPr>
      </w:pPr>
      <w:r>
        <w:rPr>
          <w:rFonts w:ascii="Times New Roman" w:cs="Times New Roman" w:eastAsia="Times New Roman" w:hAnsi="Times New Roman"/>
          <w:sz w:val="18"/>
          <w:szCs w:val="18"/>
          <w:color w:val="auto"/>
        </w:rPr>
        <w:t>The Company has prepared the accompanying unaudited condensed financial statements in accordance with accounting principles generally accepted in the United States of America (“U.S. GAAP”) for interim financial information and pursuant to the instructions to Form 10-Q and Article 10 of Regulation S-X. Accordingly, they do not include all of the information and disclosures required by U.S. GAAP for complete financial statements. In the opinion of management, all adjustments which are of a normal and recurring nature, considered necessary for a fair presentation of the financial information contained herein, have been included.</w:t>
      </w:r>
    </w:p>
    <w:p>
      <w:pPr>
        <w:spacing w:after="0" w:line="184" w:lineRule="exact"/>
        <w:rPr>
          <w:sz w:val="20"/>
          <w:szCs w:val="20"/>
          <w:color w:val="auto"/>
        </w:rPr>
      </w:pPr>
    </w:p>
    <w:p>
      <w:pPr>
        <w:ind w:right="100" w:firstLine="577"/>
        <w:spacing w:after="0" w:line="261" w:lineRule="auto"/>
        <w:rPr>
          <w:sz w:val="20"/>
          <w:szCs w:val="20"/>
          <w:color w:val="auto"/>
        </w:rPr>
      </w:pPr>
      <w:r>
        <w:rPr>
          <w:rFonts w:ascii="Times New Roman" w:cs="Times New Roman" w:eastAsia="Times New Roman" w:hAnsi="Times New Roman"/>
          <w:sz w:val="18"/>
          <w:szCs w:val="18"/>
          <w:color w:val="auto"/>
        </w:rPr>
        <w:t>Interim financial results are not necessarily indicative of results anticipated for the full year or any other period(s). These unaudited condensed financial statements should be read in conjunction with the Company’s audited financial statements and accompanying footnotes included in the Company’s Annual Report on Form 10-K for the year ended December 31, 2016 (“2016 Annual Report”), from which the balance sheet information herein was derived. These unaudited condensed financial statements exclude disclosures required by U.S. GAAP for complete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9" w:lineRule="exact"/>
        <w:rPr>
          <w:sz w:val="20"/>
          <w:szCs w:val="20"/>
          <w:color w:val="auto"/>
        </w:rPr>
      </w:pPr>
    </w:p>
    <w:p>
      <w:pPr>
        <w:ind w:right="340" w:firstLine="571"/>
        <w:spacing w:after="0" w:line="282" w:lineRule="auto"/>
        <w:rPr>
          <w:sz w:val="20"/>
          <w:szCs w:val="20"/>
          <w:color w:val="auto"/>
        </w:rPr>
      </w:pPr>
      <w:r>
        <w:rPr>
          <w:rFonts w:ascii="Times New Roman" w:cs="Times New Roman" w:eastAsia="Times New Roman" w:hAnsi="Times New Roman"/>
          <w:sz w:val="18"/>
          <w:szCs w:val="18"/>
          <w:color w:val="auto"/>
        </w:rPr>
        <w:t>There have been no significant changes in our significant accounting policies during the six months ended June 30, 2017, as compared with those disclosed in the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right="20" w:firstLine="571"/>
        <w:spacing w:after="0" w:line="289" w:lineRule="auto"/>
        <w:rPr>
          <w:sz w:val="20"/>
          <w:szCs w:val="20"/>
          <w:color w:val="auto"/>
        </w:rPr>
      </w:pPr>
      <w:r>
        <w:rPr>
          <w:rFonts w:ascii="Times New Roman" w:cs="Times New Roman" w:eastAsia="Times New Roman" w:hAnsi="Times New Roman"/>
          <w:sz w:val="17"/>
          <w:szCs w:val="17"/>
          <w:color w:val="auto"/>
        </w:rPr>
        <w:t>The preparation of the financial statements in conformity with U.S. GAAP requires management to make informed estimates and assumptions that affect the reported amounts of assets, liabilities, revenues and expenses, and the disclosure of contingent assets and liabilities in the Company’s financial statements and accompanying footnotes as of the date of the financial statements. Actual results could materially differ from those estimates and assumptions.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29" w:lineRule="exact"/>
        <w:rPr>
          <w:sz w:val="20"/>
          <w:szCs w:val="20"/>
          <w:color w:val="auto"/>
        </w:rPr>
      </w:pPr>
    </w:p>
    <w:p>
      <w:pPr>
        <w:ind w:right="140" w:firstLine="577"/>
        <w:spacing w:after="0" w:line="282" w:lineRule="auto"/>
        <w:rPr>
          <w:sz w:val="20"/>
          <w:szCs w:val="20"/>
          <w:color w:val="auto"/>
        </w:rPr>
      </w:pPr>
      <w:r>
        <w:rPr>
          <w:rFonts w:ascii="Times New Roman" w:cs="Times New Roman" w:eastAsia="Times New Roman" w:hAnsi="Times New Roman"/>
          <w:sz w:val="18"/>
          <w:szCs w:val="18"/>
          <w:color w:val="auto"/>
        </w:rPr>
        <w:t>The Company recorded $10.0 million and $2.0 million of restricted cash as of June 30, 2017 and December 31, 2016, respectively, for the minimum cash balance requirement in connection with the Term Loan Agreement (see Note 6, “Term Loan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229" w:lineRule="exact"/>
        <w:rPr>
          <w:sz w:val="20"/>
          <w:szCs w:val="20"/>
          <w:color w:val="auto"/>
        </w:rPr>
      </w:pPr>
    </w:p>
    <w:p>
      <w:pPr>
        <w:ind w:right="80" w:firstLine="629"/>
        <w:spacing w:after="0" w:line="261" w:lineRule="auto"/>
        <w:rPr>
          <w:sz w:val="20"/>
          <w:szCs w:val="20"/>
          <w:color w:val="auto"/>
        </w:rPr>
      </w:pPr>
      <w:r>
        <w:rPr>
          <w:rFonts w:ascii="Times New Roman" w:cs="Times New Roman" w:eastAsia="Times New Roman" w:hAnsi="Times New Roman"/>
          <w:sz w:val="18"/>
          <w:szCs w:val="18"/>
          <w:color w:val="auto"/>
        </w:rPr>
        <w:t>The Company grants credit to various customers in the normal course of business. The Company maintains an allowance for doubtful accounts for potential credit losses. Provisions are made based on historical experience, assessment of specific risk, specific review of outstanding invoices, and various additional assumptions and estimates that are believed to be reasonable under the circumstances. Uncollectible accounts are written off against the allowance after appropriate collection efforts have been exhausted and when it is deemed that a balance is uncollectible.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ind w:right="60" w:firstLine="571"/>
        <w:spacing w:after="0" w:line="261" w:lineRule="auto"/>
        <w:rPr>
          <w:sz w:val="20"/>
          <w:szCs w:val="20"/>
          <w:color w:val="auto"/>
        </w:rPr>
      </w:pPr>
      <w:r>
        <w:rPr>
          <w:rFonts w:ascii="Times New Roman" w:cs="Times New Roman" w:eastAsia="Times New Roman" w:hAnsi="Times New Roman"/>
          <w:sz w:val="18"/>
          <w:szCs w:val="18"/>
          <w:color w:val="auto"/>
        </w:rPr>
        <w:t>The carrying amounts of cash and cash equivalents, accounts receivable, accounts payable, accrued expenses, and employee-related liabilities are reasonable estimates of their fair values because of the short-term nature of these assets and liabilities. Short-term investments are carried at fair value. Based on the borrowing rates currently available for loans with similar terms, the Company believes that the fair value of its long-term notes payable approximates its carrying value.</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7" w:name="page8"/>
    <w:bookmarkEnd w:id="7"/>
    <w:p>
      <w:pPr>
        <w:ind w:right="40" w:firstLine="577"/>
        <w:spacing w:after="0" w:line="258" w:lineRule="auto"/>
        <w:rPr>
          <w:sz w:val="20"/>
          <w:szCs w:val="20"/>
          <w:color w:val="auto"/>
        </w:rPr>
      </w:pPr>
      <w:r>
        <w:rPr>
          <w:rFonts w:ascii="Times New Roman" w:cs="Times New Roman" w:eastAsia="Times New Roman" w:hAnsi="Times New Roman"/>
          <w:sz w:val="18"/>
          <w:szCs w:val="18"/>
          <w:color w:val="auto"/>
        </w:rPr>
        <w:t>Certain trade-in rights offered by the Company pursuant to the Technology Upgrade Program to certain eligible customers, have been determined to be guarantees under applicable accounting guidance. The Company records a liability for the estimated fair value of the guarantees at their inception. If actual results differ significantly from these estimates, the Company’s results of operations could be materially affected. For further details regarding these guarantees, see the information included under the heading “Revenue Recognition” within this Note 2, as well as the information in Note 5, “Fair Value Measurements.”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right="180" w:firstLine="571"/>
        <w:spacing w:after="0" w:line="266" w:lineRule="auto"/>
        <w:rPr>
          <w:sz w:val="20"/>
          <w:szCs w:val="20"/>
          <w:color w:val="auto"/>
        </w:rPr>
      </w:pPr>
      <w:r>
        <w:rPr>
          <w:rFonts w:ascii="Times New Roman" w:cs="Times New Roman" w:eastAsia="Times New Roman" w:hAnsi="Times New Roman"/>
          <w:sz w:val="18"/>
          <w:szCs w:val="18"/>
          <w:color w:val="auto"/>
        </w:rPr>
        <w:t>Revenue is generated primarily from sales in the United States of insulin pumps, disposable cartridges and infusion sets to individual customers and third-party distributors that resell the product to insulin-dependent diabetes customers. The Company is paid directly by customers who use the products, distributors and third-party insurance payors.</w:t>
      </w:r>
    </w:p>
    <w:p>
      <w:pPr>
        <w:spacing w:after="0" w:line="176" w:lineRule="exact"/>
        <w:rPr>
          <w:sz w:val="20"/>
          <w:szCs w:val="20"/>
          <w:color w:val="auto"/>
        </w:rPr>
      </w:pPr>
    </w:p>
    <w:p>
      <w:pPr>
        <w:ind w:right="160" w:firstLine="571"/>
        <w:spacing w:after="0" w:line="282" w:lineRule="auto"/>
        <w:rPr>
          <w:sz w:val="20"/>
          <w:szCs w:val="20"/>
          <w:color w:val="auto"/>
        </w:rPr>
      </w:pPr>
      <w:r>
        <w:rPr>
          <w:rFonts w:ascii="Times New Roman" w:cs="Times New Roman" w:eastAsia="Times New Roman" w:hAnsi="Times New Roman"/>
          <w:sz w:val="18"/>
          <w:szCs w:val="18"/>
          <w:color w:val="auto"/>
        </w:rPr>
        <w:t>Revenue is recognized when persuasive evidence of an arrangement exists, delivery has occurred and title passed, the price is fixed or determinable, and collectability is reasonably assured.</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Trade-In Rights</w:t>
      </w:r>
    </w:p>
    <w:p>
      <w:pPr>
        <w:spacing w:after="0" w:line="227" w:lineRule="exact"/>
        <w:rPr>
          <w:sz w:val="20"/>
          <w:szCs w:val="20"/>
          <w:color w:val="auto"/>
        </w:rPr>
      </w:pPr>
    </w:p>
    <w:p>
      <w:pPr>
        <w:ind w:right="80" w:firstLine="588"/>
        <w:spacing w:after="0" w:line="266" w:lineRule="auto"/>
        <w:rPr>
          <w:sz w:val="20"/>
          <w:szCs w:val="20"/>
          <w:color w:val="auto"/>
        </w:rPr>
      </w:pPr>
      <w:r>
        <w:rPr>
          <w:rFonts w:ascii="Times New Roman" w:cs="Times New Roman" w:eastAsia="Times New Roman" w:hAnsi="Times New Roman"/>
          <w:sz w:val="18"/>
          <w:szCs w:val="18"/>
          <w:color w:val="auto"/>
        </w:rPr>
        <w:t>The trade-in rights associated with the Company’s Technology Upgrade Program are accounted for as guarantees or rights to return based on specific factors and circumstances, including the period of time the trade-in rights are exercisable, the likelihood that the trade-in rights will be exercised, and the amount of the specified-price trade-in value.</w:t>
      </w:r>
    </w:p>
    <w:p>
      <w:pPr>
        <w:spacing w:after="0" w:line="176" w:lineRule="exact"/>
        <w:rPr>
          <w:sz w:val="20"/>
          <w:szCs w:val="20"/>
          <w:color w:val="auto"/>
        </w:rPr>
      </w:pPr>
    </w:p>
    <w:p>
      <w:pPr>
        <w:ind w:right="80" w:firstLine="588"/>
        <w:spacing w:after="0" w:line="255" w:lineRule="auto"/>
        <w:rPr>
          <w:sz w:val="20"/>
          <w:szCs w:val="20"/>
          <w:color w:val="auto"/>
        </w:rPr>
      </w:pPr>
      <w:r>
        <w:rPr>
          <w:rFonts w:ascii="Times New Roman" w:cs="Times New Roman" w:eastAsia="Times New Roman" w:hAnsi="Times New Roman"/>
          <w:sz w:val="18"/>
          <w:szCs w:val="18"/>
          <w:color w:val="auto"/>
        </w:rPr>
        <w:t>The Company has determined that trade-in rights for t:slim G4 Pump customers are generally guarantees. The Company accounts for the guarantees under applicable accounting standards, which require a guarantor to recognize, at the inception of a guarantee, a liability for the estimated fair value of the obligation undertaken in issuing the guarantee. Subsequently, the initial liability recognized for the guarantee is reduced as the Company is released from the risk under the guarantee, which is when the trade-in right is exercised or the right expires. The Technology Upgrade Program expires on September 30, 2017. The guarantee is accounted for as an element of a multiple element arrangement. The estimated fair value of the guarantee is based on various economic and customer behavioral assumptions, including the probability that a trade-in right will be exercised, the specified trade-in amount, the expected fair value of the used t:slim G4 Pump at trade-in and the expected sales price of a t:slim X2 Pump. The Company recorded $1.3 million and $1.2 million as guarantee liabilities in other current liabilities on the accompanying balance sheets, as of June 30, 2017 and December 31, 2016, respectively.</w:t>
      </w:r>
    </w:p>
    <w:p>
      <w:pPr>
        <w:spacing w:after="0" w:line="185" w:lineRule="exact"/>
        <w:rPr>
          <w:sz w:val="20"/>
          <w:szCs w:val="20"/>
          <w:color w:val="auto"/>
        </w:rPr>
      </w:pPr>
    </w:p>
    <w:p>
      <w:pPr>
        <w:ind w:firstLine="588"/>
        <w:spacing w:after="0" w:line="256" w:lineRule="auto"/>
        <w:rPr>
          <w:sz w:val="20"/>
          <w:szCs w:val="20"/>
          <w:color w:val="auto"/>
        </w:rPr>
      </w:pPr>
      <w:r>
        <w:rPr>
          <w:rFonts w:ascii="Times New Roman" w:cs="Times New Roman" w:eastAsia="Times New Roman" w:hAnsi="Times New Roman"/>
          <w:sz w:val="18"/>
          <w:szCs w:val="18"/>
          <w:color w:val="auto"/>
        </w:rPr>
        <w:t>The Company has determined that t:slim Pump trade-in rights are in-substance rights to return products. Such rights to return are accounted for pursuant to the right of return accounting guidance. As the Company does not have sufficient history to reasonably estimate returns associated with trade-in rights, all eligible t:slim Pump sales between July 2016 and October 2016, which is when the Company discontinued new shipments of t:slim, were recorded as deferred revenue until the trade-in right is exercised or the right expires. The Technology Upgrade Program expires on September 30, 2017. The Company recorded $1.8 million and $3.2 million as a trade-in rights reserve in deferred revenue on the accompanying balance sheets, as of June 30, 2017 and December 31, 2016, respectively.</w:t>
      </w:r>
    </w:p>
    <w:p>
      <w:pPr>
        <w:spacing w:after="0" w:line="18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Revenue Recognition for Arrangements with Multiple Deliverables</w:t>
      </w:r>
    </w:p>
    <w:p>
      <w:pPr>
        <w:spacing w:after="0" w:line="227" w:lineRule="exact"/>
        <w:rPr>
          <w:sz w:val="20"/>
          <w:szCs w:val="20"/>
          <w:color w:val="auto"/>
        </w:rPr>
      </w:pPr>
    </w:p>
    <w:p>
      <w:pPr>
        <w:ind w:right="20" w:firstLine="588"/>
        <w:spacing w:after="0" w:line="255" w:lineRule="auto"/>
        <w:rPr>
          <w:sz w:val="20"/>
          <w:szCs w:val="20"/>
          <w:color w:val="auto"/>
        </w:rPr>
      </w:pPr>
      <w:r>
        <w:rPr>
          <w:rFonts w:ascii="Times New Roman" w:cs="Times New Roman" w:eastAsia="Times New Roman" w:hAnsi="Times New Roman"/>
          <w:sz w:val="18"/>
          <w:szCs w:val="18"/>
          <w:color w:val="auto"/>
        </w:rPr>
        <w:t>The Company considers the deliverables in its product offering as separate units of accounting and recognizes deliverables as revenue upon delivery only if (i) the deliverable has standalone value and (ii) the arrangement includes a general right of return relative to the delivered item(s) and delivery or performance of the undelivered item(s) is probable and substantially controlled by the Company. The Company allocates consideration to the separate units of accounting, unless the undelivered elements were deemed perfunctory and inconsequential. The amount of the determined guarantee fair value is allocated in full to the guarantee and the remaining allocable consideration is allocated to other separate units of accounting using the relative selling price method, in which allocation of consideration is based on vendor-specific objective evidence (“VSOE”) if available, third-party evidence (“TPE”), or if VSOE and TPE are not available, management’s best estimate of a standalone selling price (“ESP”) for the undelivered elements.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ind w:right="40" w:firstLine="571"/>
        <w:spacing w:after="0" w:line="253" w:lineRule="auto"/>
        <w:rPr>
          <w:sz w:val="20"/>
          <w:szCs w:val="20"/>
          <w:color w:val="auto"/>
        </w:rPr>
      </w:pPr>
      <w:r>
        <w:rPr>
          <w:rFonts w:ascii="Times New Roman" w:cs="Times New Roman" w:eastAsia="Times New Roman" w:hAnsi="Times New Roman"/>
          <w:sz w:val="18"/>
          <w:szCs w:val="18"/>
          <w:color w:val="auto"/>
        </w:rPr>
        <w:t>The Company offers a cloud-based data management application, t:connect, which is made available to customers upon purchase of any of its insulin pumps. In July 2016, the Company received clearance from the FDA to begin offering the Tandem Device Updater, a Mac and PC-compatible tool for the remote update of Tandem insulin pump software. Utilizing Tandem Device Updater, the Company may from time to time provide future unspecified software upgrades to the insulin pump’s essential software. The t:connect service and the embedded right included with qualifying insulin pumps to receive, on a when-and-if-available basis, future unspecified software upgrades relating to the product’s essential software are deemed undelivered elements at the time of the insulin pump sale. Because the Company has neither VSOE nor TPE for these deliverables, the allocation of revenue is based on the Company’s ESP. The Company establishes its ESP based on the estimated cost to provide such services, including consideration for a reasonable profit margin, which is then corroborated by comparable market data. The Company allocates fair value based on management’s ESP to these elements at the time of sale and recognizes the revenue over a four-year period, which is the hosting period for t:connect and the period that software upgrades are expected to be provided. At June 30, 2017 and December 31, 2016, $1.7 million and $1.6 million, respectively, were recorded as deferred revenue for these undelivered elements. All other undelivered elements at the time of sale are deemed inconsequential or perfunctory.</w:t>
      </w:r>
    </w:p>
    <w:p>
      <w:pPr>
        <w:spacing w:after="0" w:line="19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Product Returns</w:t>
      </w:r>
    </w:p>
    <w:p>
      <w:pPr>
        <w:spacing w:after="0" w:line="227" w:lineRule="exact"/>
        <w:rPr>
          <w:sz w:val="20"/>
          <w:szCs w:val="20"/>
          <w:color w:val="auto"/>
        </w:rPr>
      </w:pPr>
    </w:p>
    <w:p>
      <w:pPr>
        <w:ind w:right="40" w:firstLine="571"/>
        <w:spacing w:after="0" w:line="255" w:lineRule="auto"/>
        <w:rPr>
          <w:sz w:val="20"/>
          <w:szCs w:val="20"/>
          <w:color w:val="auto"/>
        </w:rPr>
      </w:pPr>
      <w:r>
        <w:rPr>
          <w:rFonts w:ascii="Times New Roman" w:cs="Times New Roman" w:eastAsia="Times New Roman" w:hAnsi="Times New Roman"/>
          <w:sz w:val="18"/>
          <w:szCs w:val="18"/>
          <w:color w:val="auto"/>
        </w:rPr>
        <w:t>The Company offers a 30-day right of return to its customers from the date of shipment of any of its insulin pumps, provided a physician’s confirmation of the medical reason for the return is received. Estimated allowances for sales returns are based on historical returned quantities as compared to pump shipments in those same periods of return. The return rate is then applied to the sales of the current period to establish a reserve at the end of the period. The return rates used in the reserve are adjusted for known or expected changes in the marketplace when appropriate. The allowance for product returns</w:t>
      </w:r>
    </w:p>
    <w:p>
      <w:pPr>
        <w:spacing w:after="0" w:line="3"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is recorded as a reduction of revenue and accounts receivable in the period in which the related sale is recorded. The amount recorded on the Company’s balance sheets for product return allowance was $0.2 million and $0.2 million at June 30, 2017 and December 31, 2016, respectively. Actual product returns have not differed materially from estimated amounts reserved in the accompanying condensed financial statements.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Warranty Reserve</w:t>
      </w:r>
    </w:p>
    <w:p>
      <w:pPr>
        <w:spacing w:after="0" w:line="229" w:lineRule="exact"/>
        <w:rPr>
          <w:sz w:val="20"/>
          <w:szCs w:val="20"/>
          <w:color w:val="auto"/>
        </w:rPr>
      </w:pPr>
    </w:p>
    <w:p>
      <w:pPr>
        <w:ind w:right="100" w:firstLine="571"/>
        <w:spacing w:after="0" w:line="256" w:lineRule="auto"/>
        <w:rPr>
          <w:sz w:val="20"/>
          <w:szCs w:val="20"/>
          <w:color w:val="auto"/>
        </w:rPr>
      </w:pPr>
      <w:r>
        <w:rPr>
          <w:rFonts w:ascii="Times New Roman" w:cs="Times New Roman" w:eastAsia="Times New Roman" w:hAnsi="Times New Roman"/>
          <w:sz w:val="18"/>
          <w:szCs w:val="18"/>
          <w:color w:val="auto"/>
        </w:rPr>
        <w:t>The Company generally provides a four-year warranty on its insulin pumps to end user customers and may replace any pumps that do not function in accordance with the product specifications. Insulin pumps returned to the Company may be refurbished and redeployed. Additionally, the Company offers a six-month warranty on disposable cartridges and infusion sets. Estimated warranty costs are recorded at the time of shipment. Warranty costs are estimated based on the current expected product replacement cost and expected replacement rates based on historical experience. The Company evaluates the reserve quarterly and makes adjustments when appropriate. Changes to the actual replacement rates could have a material impact on the Company’s warranty reserve.</w:t>
      </w:r>
    </w:p>
    <w:p>
      <w:pPr>
        <w:spacing w:after="0" w:line="188" w:lineRule="exact"/>
        <w:rPr>
          <w:sz w:val="20"/>
          <w:szCs w:val="20"/>
          <w:color w:val="auto"/>
        </w:rPr>
      </w:pPr>
    </w:p>
    <w:p>
      <w:pPr>
        <w:ind w:right="560" w:firstLine="571"/>
        <w:spacing w:after="0" w:line="282" w:lineRule="auto"/>
        <w:rPr>
          <w:sz w:val="20"/>
          <w:szCs w:val="20"/>
          <w:color w:val="auto"/>
        </w:rPr>
      </w:pPr>
      <w:r>
        <w:rPr>
          <w:rFonts w:ascii="Times New Roman" w:cs="Times New Roman" w:eastAsia="Times New Roman" w:hAnsi="Times New Roman"/>
          <w:sz w:val="18"/>
          <w:szCs w:val="18"/>
          <w:color w:val="auto"/>
        </w:rPr>
        <w:t>At June 30, 2017 and December 31, 2016, the warranty reserve was $4.8 million and $5.7 million, respectively. The following table provides a reconciliation of the change in product warranty liabilities from December 31, 2016 through June 30, 2017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2016</w:t>
            </w:r>
          </w:p>
        </w:tc>
        <w:tc>
          <w:tcPr>
            <w:tcW w:w="3700" w:type="dxa"/>
            <w:vAlign w:val="bottom"/>
            <w:gridSpan w:val="2"/>
            <w:shd w:val="clear" w:color="auto" w:fill="CFF0FC"/>
          </w:tcPr>
          <w:p>
            <w:pPr>
              <w:jc w:val="right"/>
              <w:ind w:right="915"/>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warranties issued during the period</w:t>
            </w:r>
          </w:p>
        </w:tc>
        <w:tc>
          <w:tcPr>
            <w:tcW w:w="26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Settlements made during the period</w:t>
            </w:r>
          </w:p>
        </w:tc>
        <w:tc>
          <w:tcPr>
            <w:tcW w:w="26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(3,610)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Increases in warranty estimates</w:t>
            </w:r>
          </w:p>
        </w:tc>
        <w:tc>
          <w:tcPr>
            <w:tcW w:w="262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June 30, 2017</w:t>
            </w:r>
          </w:p>
        </w:tc>
        <w:tc>
          <w:tcPr>
            <w:tcW w:w="262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915"/>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4,782</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portion</w:t>
            </w:r>
          </w:p>
        </w:tc>
        <w:tc>
          <w:tcPr>
            <w:tcW w:w="3700" w:type="dxa"/>
            <w:vAlign w:val="bottom"/>
            <w:gridSpan w:val="2"/>
            <w:shd w:val="clear" w:color="auto" w:fill="CFF0FC"/>
          </w:tcPr>
          <w:p>
            <w:pPr>
              <w:jc w:val="right"/>
              <w:ind w:right="915"/>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Non-current portion</w:t>
            </w:r>
          </w:p>
        </w:tc>
        <w:tc>
          <w:tcPr>
            <w:tcW w:w="262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62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915"/>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4,782</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ind w:firstLine="571"/>
        <w:spacing w:after="0" w:line="256" w:lineRule="auto"/>
        <w:rPr>
          <w:sz w:val="20"/>
          <w:szCs w:val="20"/>
          <w:color w:val="auto"/>
        </w:rPr>
      </w:pPr>
      <w:r>
        <w:rPr>
          <w:rFonts w:ascii="Times New Roman" w:cs="Times New Roman" w:eastAsia="Times New Roman" w:hAnsi="Times New Roman"/>
          <w:sz w:val="18"/>
          <w:szCs w:val="18"/>
          <w:color w:val="auto"/>
        </w:rPr>
        <w:t>Stock-based compensation cost is measured at the grant date based on the estimated fair value of the award, and the portion that is ultimately expected to vest is recognized as compensation expense over the requisite service period on a straight-line basis. The Company estimates the fair value of stock options issued under the Company’s 2013 Stock Incentive Plan (“2013 Plan”) and shares issued under the Company’s 2013 Employee Stock Purchase Plan (“ESPP”) using a Black-Scholes option-pricing model on the date of grant. The Black-Scholes option-pricing model requires the use of subjective assumptions about a number of key variables, including stock price volatility, expected term, and risk-free interest rate. For awards that vest based on the achievement of service conditions, the Company recognizes expense using the straight-line method less estimated forfeitures based on historical experience.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229" w:lineRule="exact"/>
        <w:rPr>
          <w:sz w:val="20"/>
          <w:szCs w:val="20"/>
          <w:color w:val="auto"/>
        </w:rPr>
      </w:pPr>
    </w:p>
    <w:p>
      <w:pPr>
        <w:ind w:right="60" w:firstLine="571"/>
        <w:spacing w:after="0" w:line="282" w:lineRule="auto"/>
        <w:rPr>
          <w:sz w:val="20"/>
          <w:szCs w:val="20"/>
          <w:color w:val="auto"/>
        </w:rPr>
      </w:pPr>
      <w:r>
        <w:rPr>
          <w:rFonts w:ascii="Times New Roman" w:cs="Times New Roman" w:eastAsia="Times New Roman" w:hAnsi="Times New Roman"/>
          <w:sz w:val="18"/>
          <w:szCs w:val="18"/>
          <w:color w:val="auto"/>
        </w:rPr>
        <w:t>Basic net loss per share is calculated by dividing the net loss by the weighted average number of common shares that were outstanding for the period, without consideration for common stock equivalents.</w:t>
      </w:r>
    </w:p>
    <w:p>
      <w:pPr>
        <w:spacing w:after="0" w:line="162" w:lineRule="exact"/>
        <w:rPr>
          <w:sz w:val="20"/>
          <w:szCs w:val="20"/>
          <w:color w:val="auto"/>
        </w:rPr>
      </w:pPr>
    </w:p>
    <w:p>
      <w:pPr>
        <w:ind w:firstLine="571"/>
        <w:spacing w:after="0" w:line="254" w:lineRule="auto"/>
        <w:rPr>
          <w:sz w:val="20"/>
          <w:szCs w:val="20"/>
          <w:color w:val="auto"/>
        </w:rPr>
      </w:pPr>
      <w:r>
        <w:rPr>
          <w:rFonts w:ascii="Times New Roman" w:cs="Times New Roman" w:eastAsia="Times New Roman" w:hAnsi="Times New Roman"/>
          <w:sz w:val="18"/>
          <w:szCs w:val="18"/>
          <w:color w:val="auto"/>
        </w:rPr>
        <w:t>Diluted net loss per share is calculated by dividing the net loss by the sum of the weighted average number of common shares that were outstanding for the period and the weighted-average number of dilutive common share equivalents outstanding for the period determined using the treasury stock method. Dilutive common share equivalents are comprised of warrants, options outstanding under the Company’s equity incentive plans, and shares subject to issuance pursuant to the ESPP. For all periods presented, there is no difference in the number of shares used to calculate basic and diluted shares outstanding due to the Company’s net loss position.</w:t>
      </w:r>
    </w:p>
    <w:p>
      <w:pPr>
        <w:spacing w:after="0" w:line="3" w:lineRule="exact"/>
        <w:rPr>
          <w:sz w:val="20"/>
          <w:szCs w:val="20"/>
          <w:color w:val="auto"/>
        </w:rPr>
      </w:pPr>
    </w:p>
    <w:p>
      <w:pPr>
        <w:ind w:right="120" w:firstLine="571"/>
        <w:spacing w:after="0" w:line="261" w:lineRule="auto"/>
        <w:rPr>
          <w:sz w:val="20"/>
          <w:szCs w:val="20"/>
          <w:color w:val="auto"/>
        </w:rPr>
      </w:pPr>
      <w:r>
        <w:rPr>
          <w:rFonts w:ascii="Times New Roman" w:cs="Times New Roman" w:eastAsia="Times New Roman" w:hAnsi="Times New Roman"/>
          <w:sz w:val="18"/>
          <w:szCs w:val="18"/>
          <w:color w:val="auto"/>
        </w:rPr>
        <w:t>Potentially dilutive securities not included in the calculation of diluted net loss per share (because inclusion would be anti-dilutive) are as follows (in thousands, in common stock equivalent shares):</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20" w:type="dxa"/>
            <w:vAlign w:val="bottom"/>
          </w:tcPr>
          <w:p>
            <w:pPr>
              <w:spacing w:after="0"/>
              <w:rPr>
                <w:sz w:val="16"/>
                <w:szCs w:val="16"/>
                <w:color w:val="auto"/>
              </w:rPr>
            </w:pPr>
          </w:p>
        </w:tc>
        <w:tc>
          <w:tcPr>
            <w:tcW w:w="2560" w:type="dxa"/>
            <w:vAlign w:val="bottom"/>
            <w:gridSpan w:val="4"/>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2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6"/>
        </w:trPr>
        <w:tc>
          <w:tcPr>
            <w:tcW w:w="492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7"/>
        </w:trPr>
        <w:tc>
          <w:tcPr>
            <w:tcW w:w="600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2017</w:t>
            </w:r>
            <w:r>
              <w:rPr>
                <w:rFonts w:ascii="Times New Roman" w:cs="Times New Roman" w:eastAsia="Times New Roman" w:hAnsi="Times New Roman"/>
                <w:sz w:val="12"/>
                <w:szCs w:val="12"/>
                <w:b w:val="1"/>
                <w:bCs w:val="1"/>
                <w:color w:val="auto"/>
              </w:rPr>
              <w:t>(1)</w:t>
            </w:r>
          </w:p>
        </w:tc>
        <w:tc>
          <w:tcPr>
            <w:tcW w:w="14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2016</w:t>
            </w:r>
          </w:p>
        </w:tc>
        <w:tc>
          <w:tcPr>
            <w:tcW w:w="17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2017</w:t>
            </w:r>
            <w:r>
              <w:rPr>
                <w:rFonts w:ascii="Times New Roman" w:cs="Times New Roman" w:eastAsia="Times New Roman" w:hAnsi="Times New Roman"/>
                <w:sz w:val="12"/>
                <w:szCs w:val="12"/>
                <w:b w:val="1"/>
                <w:bCs w:val="1"/>
                <w:color w:val="auto"/>
              </w:rPr>
              <w:t>(1)</w:t>
            </w: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20"/>
                <w:szCs w:val="20"/>
                <w:color w:val="auto"/>
              </w:rPr>
            </w:pPr>
          </w:p>
        </w:tc>
      </w:tr>
      <w:tr>
        <w:trPr>
          <w:trHeight w:val="223"/>
        </w:trPr>
        <w:tc>
          <w:tcPr>
            <w:tcW w:w="49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Warrants for common stock</w:t>
            </w:r>
          </w:p>
        </w:tc>
        <w:tc>
          <w:tcPr>
            <w:tcW w:w="108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26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 options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2,932</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2,623</w:t>
            </w:r>
          </w:p>
        </w:tc>
        <w:tc>
          <w:tcPr>
            <w:tcW w:w="100" w:type="dxa"/>
            <w:vAlign w:val="bottom"/>
          </w:tcPr>
          <w:p>
            <w:pPr>
              <w:spacing w:after="0"/>
              <w:rPr>
                <w:sz w:val="19"/>
                <w:szCs w:val="19"/>
                <w:color w:val="auto"/>
              </w:rPr>
            </w:pPr>
          </w:p>
        </w:tc>
      </w:tr>
      <w:tr>
        <w:trPr>
          <w:trHeight w:val="230"/>
        </w:trPr>
        <w:tc>
          <w:tcPr>
            <w:tcW w:w="6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ESPP</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FF0FC"/>
          </w:tcPr>
          <w:p>
            <w:pPr>
              <w:spacing w:after="0"/>
              <w:rPr>
                <w:sz w:val="19"/>
                <w:szCs w:val="19"/>
                <w:color w:val="auto"/>
              </w:rPr>
            </w:pPr>
          </w:p>
        </w:tc>
      </w:tr>
      <w:tr>
        <w:trPr>
          <w:trHeight w:val="228"/>
        </w:trPr>
        <w:tc>
          <w:tcPr>
            <w:tcW w:w="4920" w:type="dxa"/>
            <w:vAlign w:val="bottom"/>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3,939</w:t>
            </w:r>
          </w:p>
        </w:tc>
        <w:tc>
          <w:tcPr>
            <w:tcW w:w="26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3,622</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-2540</wp:posOffset>
            </wp:positionV>
            <wp:extent cx="40563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056380" cy="8890"/>
                    </a:xfrm>
                    <a:prstGeom prst="rect">
                      <a:avLst/>
                    </a:prstGeom>
                    <a:noFill/>
                  </pic:spPr>
                </pic:pic>
              </a:graphicData>
            </a:graphic>
          </wp:anchor>
        </w:drawing>
      </w:r>
    </w:p>
    <w:p>
      <w:pPr>
        <w:ind w:left="760" w:right="160" w:hanging="374"/>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June 30, 2017 there were no outstanding common share equivalents that were dilutive based on their respective exercise prices compared to the market value of the Company’s common stock on that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-305435</wp:posOffset>
            </wp:positionV>
            <wp:extent cx="40563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056380" cy="889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9" w:lineRule="exact"/>
        <w:rPr>
          <w:sz w:val="20"/>
          <w:szCs w:val="20"/>
          <w:color w:val="auto"/>
        </w:rPr>
      </w:pPr>
    </w:p>
    <w:p>
      <w:pPr>
        <w:ind w:right="100" w:firstLine="571"/>
        <w:spacing w:after="0" w:line="258" w:lineRule="auto"/>
        <w:rPr>
          <w:sz w:val="20"/>
          <w:szCs w:val="20"/>
          <w:color w:val="auto"/>
        </w:rPr>
      </w:pPr>
      <w:r>
        <w:rPr>
          <w:rFonts w:ascii="Times New Roman" w:cs="Times New Roman" w:eastAsia="Times New Roman" w:hAnsi="Times New Roman"/>
          <w:sz w:val="18"/>
          <w:szCs w:val="18"/>
          <w:color w:val="auto"/>
        </w:rPr>
        <w:t>In August 2016, the Financial Accounting Standards Board (“FASB”) issued new guidance that clarifies how entities should classify certain cash receipts and cash payments on the statement of cash flows. The guidance also clarifies how the predominance principle should be applied when cash receipts and cash payments have aspects of more than one class of cash flows. The guidance is effective for public companies for fiscal years beginning after December 15, 2017, and interim periods within those years. The Company does not believe the adoption of the standard will have a material impact on the Company’s statement of cash flow.</w:t>
      </w:r>
    </w:p>
    <w:p>
      <w:pPr>
        <w:spacing w:after="0" w:line="184" w:lineRule="exact"/>
        <w:rPr>
          <w:sz w:val="20"/>
          <w:szCs w:val="20"/>
          <w:color w:val="auto"/>
        </w:rPr>
      </w:pPr>
    </w:p>
    <w:p>
      <w:pPr>
        <w:ind w:right="40" w:firstLine="571"/>
        <w:spacing w:after="0" w:line="261" w:lineRule="auto"/>
        <w:rPr>
          <w:sz w:val="20"/>
          <w:szCs w:val="20"/>
          <w:color w:val="auto"/>
        </w:rPr>
      </w:pPr>
      <w:r>
        <w:rPr>
          <w:rFonts w:ascii="Times New Roman" w:cs="Times New Roman" w:eastAsia="Times New Roman" w:hAnsi="Times New Roman"/>
          <w:sz w:val="18"/>
          <w:szCs w:val="18"/>
          <w:color w:val="auto"/>
        </w:rPr>
        <w:t>In June 2016, FASB issued a new credit loss standard that changes the impairment model for most financial assets and certain other instruments. The standard is effective for public business entities for annual periods beginning after December 15, 2019, and interim periods within those years. Early adoption is permitted for all entities for annual periods beginning after December 15, 2018, and interim periods within those years. The Company is in the process of assessing the impact of the adoption of the standard on its financial statements.</w:t>
      </w:r>
    </w:p>
    <w:p>
      <w:pPr>
        <w:spacing w:after="0" w:line="18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In March 2016, FASB issued ASU 2016-09, Compensation - Stock Compensation (Topic 718) (“ASU 2016-09”), which is intended to simplify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several areas of accounting for share-based payment arrangements. The amendments in this update cover such areas as the recognition of excess tax benefits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deficiencies, the classification of those excess benefits on the statement of cash flows, an accounting policy election for forfeitures, the amount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employer can withhold to cover income taxes and still qualify for equity classification and the classification of those taxes paid on the statement of cash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flows. ASU 2016-09 is effective for fiscal years beginning after December 15, 2016, and interim periods within those annual periods. The Company adopted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standard in the first quarter of 2017. The Company had excess tax benefits for which a benefit could not previously be recognized of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$656,000 as of December 31, 2016. Upon adoption, the balance of the unrecognized excess tax benefits is reversed with the impact recorded to (accumulated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deficit) retained earnings, including any change to the valuation allowance as a result of the adoption. Due to the full valuation allowance on the U.S. deferred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 assets as of December 31, 2016, there was no impact to the financial statements as a result of this adoption in the first half of 2017.</w:t>
      </w:r>
    </w:p>
    <w:p>
      <w:pPr>
        <w:spacing w:after="0" w:line="207" w:lineRule="exact"/>
        <w:rPr>
          <w:sz w:val="20"/>
          <w:szCs w:val="20"/>
          <w:color w:val="auto"/>
        </w:rPr>
      </w:pPr>
    </w:p>
    <w:p>
      <w:pPr>
        <w:ind w:right="20" w:firstLine="571"/>
        <w:spacing w:after="0" w:line="258" w:lineRule="auto"/>
        <w:rPr>
          <w:sz w:val="20"/>
          <w:szCs w:val="20"/>
          <w:color w:val="auto"/>
        </w:rPr>
      </w:pPr>
      <w:r>
        <w:rPr>
          <w:rFonts w:ascii="Times New Roman" w:cs="Times New Roman" w:eastAsia="Times New Roman" w:hAnsi="Times New Roman"/>
          <w:sz w:val="18"/>
          <w:szCs w:val="18"/>
          <w:color w:val="auto"/>
        </w:rPr>
        <w:t>In February 2016, FASB issued final guidance for lease accounting. The new guidance requires lessees to put most leases on their balance sheet but to recognize expenses on their income statement in a manner similar to current accounting principles. The new guidance also eliminates the current real estate-specific provisions for all entities. The standard is effective for public companies for annual periods beginning after December 15, 2018, and interim periods within those years. Early adoption is permitted for all entities. The Company is in the process of assessing the impact of the adoption of the standard on its financial statements.</w:t>
      </w:r>
    </w:p>
    <w:p>
      <w:pPr>
        <w:spacing w:after="0" w:line="184" w:lineRule="exact"/>
        <w:rPr>
          <w:sz w:val="20"/>
          <w:szCs w:val="20"/>
          <w:color w:val="auto"/>
        </w:rPr>
      </w:pPr>
    </w:p>
    <w:p>
      <w:pPr>
        <w:ind w:right="140" w:firstLine="714"/>
        <w:spacing w:after="0" w:line="282" w:lineRule="auto"/>
        <w:rPr>
          <w:sz w:val="20"/>
          <w:szCs w:val="20"/>
          <w:color w:val="auto"/>
        </w:rPr>
      </w:pPr>
      <w:r>
        <w:rPr>
          <w:rFonts w:ascii="Times New Roman" w:cs="Times New Roman" w:eastAsia="Times New Roman" w:hAnsi="Times New Roman"/>
          <w:sz w:val="18"/>
          <w:szCs w:val="18"/>
          <w:color w:val="auto"/>
        </w:rPr>
        <w:t>In May 2014, FASB and the International Accounting Standards Board issued a comprehensive new revenue recognition standard (“Revenue from Contracts with Customers Standard”) that will supersede existing revenue guidance under U.S. GAAP and</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10" w:name="page11"/>
    <w:bookmarkEnd w:id="10"/>
    <w:p>
      <w:pPr>
        <w:ind w:right="60"/>
        <w:spacing w:after="0" w:line="261" w:lineRule="auto"/>
        <w:rPr>
          <w:sz w:val="20"/>
          <w:szCs w:val="20"/>
          <w:color w:val="auto"/>
        </w:rPr>
      </w:pPr>
      <w:r>
        <w:rPr>
          <w:rFonts w:ascii="Times New Roman" w:cs="Times New Roman" w:eastAsia="Times New Roman" w:hAnsi="Times New Roman"/>
          <w:sz w:val="18"/>
          <w:szCs w:val="18"/>
          <w:color w:val="auto"/>
        </w:rPr>
        <w:t>International Financial Reporting Standards. The Revenue from Contracts with Customers Standard’s core principle is that a company will recognize revenue when it transfers promised goods or services to customers in an amount that reflects the consideration to which the company expects to be entitled in exchange for those goods or services. In doing so, companies will need to use more judgment and make more estimates than under current guidance. The Revenue from Contracts with Customers Standard will be effective for the Company beginning in its first quarter of 2018, and early adoption is permitted.</w:t>
      </w:r>
    </w:p>
    <w:p>
      <w:pPr>
        <w:spacing w:after="0" w:line="180" w:lineRule="exact"/>
        <w:rPr>
          <w:sz w:val="20"/>
          <w:szCs w:val="20"/>
          <w:color w:val="auto"/>
        </w:rPr>
      </w:pPr>
    </w:p>
    <w:p>
      <w:pPr>
        <w:ind w:right="20" w:firstLine="714"/>
        <w:spacing w:after="0" w:line="254" w:lineRule="auto"/>
        <w:rPr>
          <w:sz w:val="20"/>
          <w:szCs w:val="20"/>
          <w:color w:val="auto"/>
        </w:rPr>
      </w:pPr>
      <w:r>
        <w:rPr>
          <w:rFonts w:ascii="Times New Roman" w:cs="Times New Roman" w:eastAsia="Times New Roman" w:hAnsi="Times New Roman"/>
          <w:sz w:val="18"/>
          <w:szCs w:val="18"/>
          <w:color w:val="auto"/>
        </w:rPr>
        <w:t>Subsequently, FASB issued the following standards related to Revenue from Contracts with Customers Standard: Principal versus Agent Considerations; Identifying Performance Obligations and Licensing; and Narrow-Scope Improvements and Practical Expedients (collectively, the “new revenue standards”). The new revenue standards may be applied retrospectively to each prior period presented (full retrospective method) or retrospectively with the cumulative effect recognized as of the date of adoption (the modified retrospective method). The Company currently expects to adopt the new revenue standards in the first quarter of 2018 utilizing the modified retrospective method. The Company has begun assessing the impact of the adoption of the new revenue standards on its financial statements and disclosures. The Company currently believes that the adoption will not have an impact on the recognition of revenues for the sale of its products through third-party distributors and insurance payors with whom it has contractual arrangements, which generally comprise approximately 99% of its sales. Additionally, the Company has given consideration to the accounting for warranty and commissions and does not anticipate any change to its current method of expense recognition. As of June 30, 2017, the Company has not determined the full impact that the adoption of the new revenue standard may have on its reported revenue or results of operations.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Short-Term Investments</w:t>
      </w:r>
    </w:p>
    <w:p>
      <w:pPr>
        <w:spacing w:after="0" w:line="229" w:lineRule="exact"/>
        <w:rPr>
          <w:sz w:val="20"/>
          <w:szCs w:val="20"/>
          <w:color w:val="auto"/>
        </w:rPr>
      </w:pPr>
    </w:p>
    <w:p>
      <w:pPr>
        <w:ind w:right="240" w:firstLine="571"/>
        <w:spacing w:after="0" w:line="282" w:lineRule="auto"/>
        <w:rPr>
          <w:sz w:val="20"/>
          <w:szCs w:val="20"/>
          <w:color w:val="auto"/>
        </w:rPr>
      </w:pPr>
      <w:r>
        <w:rPr>
          <w:rFonts w:ascii="Times New Roman" w:cs="Times New Roman" w:eastAsia="Times New Roman" w:hAnsi="Times New Roman"/>
          <w:sz w:val="18"/>
          <w:szCs w:val="18"/>
          <w:color w:val="auto"/>
        </w:rPr>
        <w:t>The Company invests in investment securities, principally debt instruments of financial institutions and corporations with strong credit ratings. The following represents a summary of the estimated fair value of short-term investments at June 30, 2017 and December 31, 2016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At June 30, 2017</w:t>
            </w:r>
          </w:p>
        </w:tc>
        <w:tc>
          <w:tcPr>
            <w:tcW w:w="3620" w:type="dxa"/>
            <w:vAlign w:val="bottom"/>
            <w:gridSpan w:val="2"/>
            <w:vMerge w:val="restart"/>
          </w:tcPr>
          <w:p>
            <w:pPr>
              <w:spacing w:after="0"/>
              <w:rPr>
                <w:sz w:val="13"/>
                <w:szCs w:val="13"/>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60" w:type="dxa"/>
            <w:vAlign w:val="bottom"/>
          </w:tcPr>
          <w:p>
            <w:pPr>
              <w:spacing w:after="0"/>
              <w:rPr>
                <w:sz w:val="13"/>
                <w:szCs w:val="13"/>
                <w:color w:val="auto"/>
              </w:rPr>
            </w:pPr>
          </w:p>
        </w:tc>
        <w:tc>
          <w:tcPr>
            <w:tcW w:w="98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80" w:type="dxa"/>
            <w:vAlign w:val="bottom"/>
          </w:tcPr>
          <w:p>
            <w:pPr>
              <w:spacing w:after="0"/>
              <w:rPr>
                <w:sz w:val="13"/>
                <w:szCs w:val="13"/>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80"/>
        </w:trPr>
        <w:tc>
          <w:tcPr>
            <w:tcW w:w="1040" w:type="dxa"/>
            <w:vAlign w:val="bottom"/>
            <w:tcBorders>
              <w:bottom w:val="single" w:sz="8" w:color="auto"/>
            </w:tcBorders>
            <w:vMerge w:val="continue"/>
          </w:tcPr>
          <w:p>
            <w:pPr>
              <w:spacing w:after="0"/>
              <w:rPr>
                <w:sz w:val="15"/>
                <w:szCs w:val="15"/>
                <w:color w:val="auto"/>
              </w:rPr>
            </w:pPr>
          </w:p>
        </w:tc>
        <w:tc>
          <w:tcPr>
            <w:tcW w:w="3620" w:type="dxa"/>
            <w:vAlign w:val="bottom"/>
            <w:gridSpan w:val="2"/>
            <w:vMerge w:val="continue"/>
          </w:tcPr>
          <w:p>
            <w:pPr>
              <w:spacing w:after="0"/>
              <w:rPr>
                <w:sz w:val="15"/>
                <w:szCs w:val="15"/>
                <w:color w:val="auto"/>
              </w:rPr>
            </w:pPr>
          </w:p>
        </w:tc>
        <w:tc>
          <w:tcPr>
            <w:tcW w:w="12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(in years)</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3"/>
          </w:tcPr>
          <w:p>
            <w:pPr>
              <w:jc w:val="center"/>
              <w:ind w:right="400"/>
              <w:spacing w:after="0" w:line="160" w:lineRule="exact"/>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5"/>
                <w:szCs w:val="15"/>
                <w:color w:val="auto"/>
              </w:rPr>
            </w:pPr>
          </w:p>
        </w:tc>
        <w:tc>
          <w:tcPr>
            <w:tcW w:w="980" w:type="dxa"/>
            <w:vAlign w:val="bottom"/>
          </w:tcPr>
          <w:p>
            <w:pPr>
              <w:jc w:val="center"/>
              <w:ind w:right="78"/>
              <w:spacing w:after="0" w:line="160" w:lineRule="exact"/>
              <w:rPr>
                <w:sz w:val="20"/>
                <w:szCs w:val="20"/>
                <w:color w:val="auto"/>
              </w:rPr>
            </w:pPr>
            <w:r>
              <w:rPr>
                <w:rFonts w:ascii="Times New Roman" w:cs="Times New Roman" w:eastAsia="Times New Roman" w:hAnsi="Times New Roman"/>
                <w:sz w:val="14"/>
                <w:szCs w:val="14"/>
                <w:b w:val="1"/>
                <w:bCs w:val="1"/>
                <w:color w:val="auto"/>
              </w:rPr>
              <w:t>Gain</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jc w:val="center"/>
              <w:ind w:right="420"/>
              <w:spacing w:after="0" w:line="160" w:lineRule="exact"/>
              <w:rPr>
                <w:sz w:val="20"/>
                <w:szCs w:val="20"/>
                <w:color w:val="auto"/>
              </w:rPr>
            </w:pPr>
            <w:r>
              <w:rPr>
                <w:rFonts w:ascii="Times New Roman" w:cs="Times New Roman" w:eastAsia="Times New Roman" w:hAnsi="Times New Roman"/>
                <w:sz w:val="14"/>
                <w:szCs w:val="14"/>
                <w:b w:val="1"/>
                <w:bCs w:val="1"/>
                <w:color w:val="auto"/>
              </w:rPr>
              <w:t>Loss</w:t>
            </w:r>
          </w:p>
        </w:tc>
        <w:tc>
          <w:tcPr>
            <w:tcW w:w="180" w:type="dxa"/>
            <w:vAlign w:val="bottom"/>
          </w:tcPr>
          <w:p>
            <w:pPr>
              <w:spacing w:after="0"/>
              <w:rPr>
                <w:sz w:val="15"/>
                <w:szCs w:val="15"/>
                <w:color w:val="auto"/>
              </w:rPr>
            </w:pPr>
          </w:p>
        </w:tc>
        <w:tc>
          <w:tcPr>
            <w:tcW w:w="1080" w:type="dxa"/>
            <w:vAlign w:val="bottom"/>
            <w:gridSpan w:val="2"/>
          </w:tcPr>
          <w:p>
            <w:pPr>
              <w:ind w:left="60"/>
              <w:spacing w:after="0" w:line="160"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17"/>
        </w:trPr>
        <w:tc>
          <w:tcPr>
            <w:tcW w:w="4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Trading securities:</w:t>
            </w:r>
          </w:p>
        </w:tc>
        <w:tc>
          <w:tcPr>
            <w:tcW w:w="12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66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Mutual funds held for nonqualified deferred compensation</w:t>
            </w:r>
          </w:p>
        </w:tc>
        <w:tc>
          <w:tcPr>
            <w:tcW w:w="1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6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plan participants</w:t>
            </w:r>
          </w:p>
        </w:tc>
        <w:tc>
          <w:tcPr>
            <w:tcW w:w="1240" w:type="dxa"/>
            <w:vAlign w:val="bottom"/>
            <w:shd w:val="clear" w:color="auto" w:fill="CFF0FC"/>
          </w:tcPr>
          <w:p>
            <w:pPr>
              <w:spacing w:after="0"/>
              <w:rPr>
                <w:sz w:val="20"/>
                <w:szCs w:val="20"/>
                <w:color w:val="auto"/>
              </w:rPr>
            </w:pP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66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0"/>
        </w:trPr>
        <w:tc>
          <w:tcPr>
            <w:tcW w:w="1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At December 31, 2016</w:t>
            </w:r>
          </w:p>
        </w:tc>
        <w:tc>
          <w:tcPr>
            <w:tcW w:w="3300" w:type="dxa"/>
            <w:vAlign w:val="bottom"/>
            <w:vMerge w:val="restart"/>
          </w:tcPr>
          <w:p>
            <w:pPr>
              <w:spacing w:after="0"/>
              <w:rPr>
                <w:sz w:val="24"/>
                <w:szCs w:val="2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60" w:type="dxa"/>
            <w:vAlign w:val="bottom"/>
          </w:tcPr>
          <w:p>
            <w:pPr>
              <w:spacing w:after="0"/>
              <w:rPr>
                <w:sz w:val="24"/>
                <w:szCs w:val="24"/>
                <w:color w:val="auto"/>
              </w:rPr>
            </w:pPr>
          </w:p>
        </w:tc>
        <w:tc>
          <w:tcPr>
            <w:tcW w:w="98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80" w:type="dxa"/>
            <w:vAlign w:val="bottom"/>
          </w:tcPr>
          <w:p>
            <w:pPr>
              <w:spacing w:after="0"/>
              <w:rPr>
                <w:sz w:val="24"/>
                <w:szCs w:val="24"/>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80"/>
        </w:trPr>
        <w:tc>
          <w:tcPr>
            <w:tcW w:w="1360" w:type="dxa"/>
            <w:vAlign w:val="bottom"/>
            <w:tcBorders>
              <w:bottom w:val="single" w:sz="8" w:color="auto"/>
            </w:tcBorders>
            <w:gridSpan w:val="2"/>
            <w:vMerge w:val="continue"/>
          </w:tcPr>
          <w:p>
            <w:pPr>
              <w:spacing w:after="0"/>
              <w:rPr>
                <w:sz w:val="15"/>
                <w:szCs w:val="15"/>
                <w:color w:val="auto"/>
              </w:rPr>
            </w:pPr>
          </w:p>
        </w:tc>
        <w:tc>
          <w:tcPr>
            <w:tcW w:w="3300" w:type="dxa"/>
            <w:vAlign w:val="bottom"/>
            <w:vMerge w:val="continue"/>
          </w:tcPr>
          <w:p>
            <w:pPr>
              <w:spacing w:after="0"/>
              <w:rPr>
                <w:sz w:val="15"/>
                <w:szCs w:val="15"/>
                <w:color w:val="auto"/>
              </w:rPr>
            </w:pPr>
          </w:p>
        </w:tc>
        <w:tc>
          <w:tcPr>
            <w:tcW w:w="12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(in years)</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3"/>
          </w:tcPr>
          <w:p>
            <w:pPr>
              <w:jc w:val="center"/>
              <w:ind w:right="400"/>
              <w:spacing w:after="0" w:line="160" w:lineRule="exact"/>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5"/>
                <w:szCs w:val="15"/>
                <w:color w:val="auto"/>
              </w:rPr>
            </w:pPr>
          </w:p>
        </w:tc>
        <w:tc>
          <w:tcPr>
            <w:tcW w:w="980" w:type="dxa"/>
            <w:vAlign w:val="bottom"/>
          </w:tcPr>
          <w:p>
            <w:pPr>
              <w:jc w:val="center"/>
              <w:ind w:right="78"/>
              <w:spacing w:after="0" w:line="160" w:lineRule="exact"/>
              <w:rPr>
                <w:sz w:val="20"/>
                <w:szCs w:val="20"/>
                <w:color w:val="auto"/>
              </w:rPr>
            </w:pPr>
            <w:r>
              <w:rPr>
                <w:rFonts w:ascii="Times New Roman" w:cs="Times New Roman" w:eastAsia="Times New Roman" w:hAnsi="Times New Roman"/>
                <w:sz w:val="14"/>
                <w:szCs w:val="14"/>
                <w:b w:val="1"/>
                <w:bCs w:val="1"/>
                <w:color w:val="auto"/>
              </w:rPr>
              <w:t>Gain</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jc w:val="center"/>
              <w:ind w:right="420"/>
              <w:spacing w:after="0" w:line="160" w:lineRule="exact"/>
              <w:rPr>
                <w:sz w:val="20"/>
                <w:szCs w:val="20"/>
                <w:color w:val="auto"/>
              </w:rPr>
            </w:pPr>
            <w:r>
              <w:rPr>
                <w:rFonts w:ascii="Times New Roman" w:cs="Times New Roman" w:eastAsia="Times New Roman" w:hAnsi="Times New Roman"/>
                <w:sz w:val="14"/>
                <w:szCs w:val="14"/>
                <w:b w:val="1"/>
                <w:bCs w:val="1"/>
                <w:color w:val="auto"/>
              </w:rPr>
              <w:t>Loss</w:t>
            </w:r>
          </w:p>
        </w:tc>
        <w:tc>
          <w:tcPr>
            <w:tcW w:w="180" w:type="dxa"/>
            <w:vAlign w:val="bottom"/>
          </w:tcPr>
          <w:p>
            <w:pPr>
              <w:spacing w:after="0"/>
              <w:rPr>
                <w:sz w:val="15"/>
                <w:szCs w:val="15"/>
                <w:color w:val="auto"/>
              </w:rPr>
            </w:pPr>
          </w:p>
        </w:tc>
        <w:tc>
          <w:tcPr>
            <w:tcW w:w="1080" w:type="dxa"/>
            <w:vAlign w:val="bottom"/>
            <w:gridSpan w:val="2"/>
          </w:tcPr>
          <w:p>
            <w:pPr>
              <w:ind w:left="60"/>
              <w:spacing w:after="0" w:line="160"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17"/>
        </w:trPr>
        <w:tc>
          <w:tcPr>
            <w:tcW w:w="4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Available-for-sale investment securities:</w:t>
            </w:r>
          </w:p>
        </w:tc>
        <w:tc>
          <w:tcPr>
            <w:tcW w:w="12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Commercial paper</w:t>
            </w:r>
          </w:p>
        </w:tc>
        <w:tc>
          <w:tcPr>
            <w:tcW w:w="1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Less than 1</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8,483</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8,482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Trading securities:</w:t>
            </w: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66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Mutual funds held for nonqualified deferred compensation</w:t>
            </w:r>
          </w:p>
        </w:tc>
        <w:tc>
          <w:tcPr>
            <w:tcW w:w="1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6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plan participants</w:t>
            </w:r>
          </w:p>
        </w:tc>
        <w:tc>
          <w:tcPr>
            <w:tcW w:w="1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60" w:type="dxa"/>
            <w:vAlign w:val="bottom"/>
            <w:gridSpan w:val="3"/>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4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60" w:type="dxa"/>
            <w:vAlign w:val="bottom"/>
            <w:gridSpan w:val="3"/>
            <w:vMerge w:val="continue"/>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Inventory</w:t>
      </w:r>
    </w:p>
    <w:p>
      <w:pPr>
        <w:spacing w:after="0" w:line="22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Inventory consisted of the following at June 30, 2017 and December 31, 2016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78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13"/>
        </w:trPr>
        <w:tc>
          <w:tcPr>
            <w:tcW w:w="3500" w:type="dxa"/>
            <w:vAlign w:val="bottom"/>
          </w:tcPr>
          <w:p>
            <w:pPr>
              <w:spacing w:after="0"/>
              <w:rPr>
                <w:sz w:val="18"/>
                <w:szCs w:val="18"/>
                <w:color w:val="auto"/>
              </w:rPr>
            </w:pPr>
          </w:p>
        </w:tc>
        <w:tc>
          <w:tcPr>
            <w:tcW w:w="4100" w:type="dxa"/>
            <w:vAlign w:val="bottom"/>
            <w:gridSpan w:val="2"/>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2017</w:t>
            </w: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100" w:type="dxa"/>
            <w:vAlign w:val="bottom"/>
          </w:tcPr>
          <w:p>
            <w:pPr>
              <w:jc w:val="right"/>
              <w:ind w:right="1056"/>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8"/>
                <w:szCs w:val="18"/>
                <w:color w:val="auto"/>
              </w:rPr>
            </w:pPr>
          </w:p>
        </w:tc>
      </w:tr>
      <w:tr>
        <w:trPr>
          <w:trHeight w:val="223"/>
        </w:trPr>
        <w:tc>
          <w:tcPr>
            <w:tcW w:w="35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320" w:type="dxa"/>
            <w:vAlign w:val="bottom"/>
            <w:tcBorders>
              <w:top w:val="single" w:sz="8" w:color="CFF0FC"/>
            </w:tcBorders>
            <w:shd w:val="clear" w:color="auto" w:fill="CFF0FC"/>
          </w:tcPr>
          <w:p>
            <w:pPr>
              <w:spacing w:after="0"/>
              <w:rPr>
                <w:sz w:val="19"/>
                <w:szCs w:val="19"/>
                <w:color w:val="auto"/>
              </w:rPr>
            </w:pPr>
          </w:p>
        </w:tc>
        <w:tc>
          <w:tcPr>
            <w:tcW w:w="1780" w:type="dxa"/>
            <w:vAlign w:val="bottom"/>
            <w:tcBorders>
              <w:top w:val="single" w:sz="8" w:color="auto"/>
            </w:tcBorders>
            <w:shd w:val="clear" w:color="auto" w:fill="CFF0FC"/>
          </w:tcPr>
          <w:p>
            <w:pPr>
              <w:jc w:val="right"/>
              <w:ind w:right="1619"/>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9,317</w:t>
            </w:r>
          </w:p>
        </w:tc>
        <w:tc>
          <w:tcPr>
            <w:tcW w:w="4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ind w:right="325"/>
              <w:spacing w:after="0"/>
              <w:rPr>
                <w:sz w:val="20"/>
                <w:szCs w:val="20"/>
                <w:color w:val="auto"/>
              </w:rPr>
            </w:pPr>
            <w:r>
              <w:rPr>
                <w:rFonts w:ascii="Times New Roman" w:cs="Times New Roman" w:eastAsia="Times New Roman" w:hAnsi="Times New Roman"/>
                <w:sz w:val="11"/>
                <w:szCs w:val="11"/>
                <w:color w:val="auto"/>
                <w:w w:val="71"/>
              </w:rPr>
              <w:t>$</w:t>
            </w:r>
          </w:p>
        </w:tc>
        <w:tc>
          <w:tcPr>
            <w:tcW w:w="2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9,375</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23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6,580</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4,395</w:t>
            </w:r>
          </w:p>
        </w:tc>
        <w:tc>
          <w:tcPr>
            <w:tcW w:w="100" w:type="dxa"/>
            <w:vAlign w:val="bottom"/>
          </w:tcPr>
          <w:p>
            <w:pPr>
              <w:spacing w:after="0"/>
              <w:rPr>
                <w:sz w:val="19"/>
                <w:szCs w:val="19"/>
                <w:color w:val="auto"/>
              </w:rPr>
            </w:pPr>
          </w:p>
        </w:tc>
      </w:tr>
      <w:tr>
        <w:trPr>
          <w:trHeight w:val="230"/>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320" w:type="dxa"/>
            <w:vAlign w:val="bottom"/>
            <w:shd w:val="clear" w:color="auto" w:fill="CFF0FC"/>
          </w:tcPr>
          <w:p>
            <w:pPr>
              <w:spacing w:after="0"/>
              <w:rPr>
                <w:sz w:val="19"/>
                <w:szCs w:val="19"/>
                <w:color w:val="auto"/>
              </w:rPr>
            </w:pPr>
          </w:p>
        </w:tc>
        <w:tc>
          <w:tcPr>
            <w:tcW w:w="17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9,926</w:t>
            </w:r>
          </w:p>
        </w:tc>
        <w:tc>
          <w:tcPr>
            <w:tcW w:w="4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2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7,425</w:t>
            </w:r>
          </w:p>
        </w:tc>
        <w:tc>
          <w:tcPr>
            <w:tcW w:w="100" w:type="dxa"/>
            <w:vAlign w:val="bottom"/>
            <w:shd w:val="clear" w:color="auto" w:fill="CFF0FC"/>
          </w:tcPr>
          <w:p>
            <w:pPr>
              <w:spacing w:after="0"/>
              <w:rPr>
                <w:sz w:val="19"/>
                <w:szCs w:val="19"/>
                <w:color w:val="auto"/>
              </w:rPr>
            </w:pPr>
          </w:p>
        </w:tc>
      </w:tr>
      <w:tr>
        <w:trPr>
          <w:trHeight w:val="223"/>
        </w:trPr>
        <w:tc>
          <w:tcPr>
            <w:tcW w:w="35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320" w:type="dxa"/>
            <w:vAlign w:val="bottom"/>
          </w:tcPr>
          <w:p>
            <w:pPr>
              <w:spacing w:after="0"/>
              <w:rPr>
                <w:sz w:val="19"/>
                <w:szCs w:val="19"/>
                <w:color w:val="auto"/>
              </w:rPr>
            </w:pPr>
          </w:p>
        </w:tc>
        <w:tc>
          <w:tcPr>
            <w:tcW w:w="1780" w:type="dxa"/>
            <w:vAlign w:val="bottom"/>
            <w:tcBorders>
              <w:bottom w:val="single" w:sz="8" w:color="auto"/>
            </w:tcBorders>
          </w:tcPr>
          <w:p>
            <w:pPr>
              <w:jc w:val="right"/>
              <w:ind w:right="1619"/>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25,823</w:t>
            </w:r>
          </w:p>
        </w:tc>
        <w:tc>
          <w:tcPr>
            <w:tcW w:w="4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325"/>
              <w:spacing w:after="0"/>
              <w:rPr>
                <w:sz w:val="20"/>
                <w:szCs w:val="20"/>
                <w:color w:val="auto"/>
              </w:rPr>
            </w:pPr>
            <w:r>
              <w:rPr>
                <w:rFonts w:ascii="Times New Roman" w:cs="Times New Roman" w:eastAsia="Times New Roman" w:hAnsi="Times New Roman"/>
                <w:sz w:val="11"/>
                <w:szCs w:val="11"/>
                <w:color w:val="auto"/>
                <w:w w:val="71"/>
              </w:rPr>
              <w:t>$</w:t>
            </w: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21,195</w:t>
            </w:r>
          </w:p>
        </w:tc>
        <w:tc>
          <w:tcPr>
            <w:tcW w:w="100" w:type="dxa"/>
            <w:vAlign w:val="bottom"/>
          </w:tcPr>
          <w:p>
            <w:pPr>
              <w:spacing w:after="0"/>
              <w:rPr>
                <w:sz w:val="19"/>
                <w:szCs w:val="19"/>
                <w:color w:val="auto"/>
              </w:rPr>
            </w:pPr>
          </w:p>
        </w:tc>
      </w:tr>
      <w:tr>
        <w:trPr>
          <w:trHeight w:val="20"/>
        </w:trPr>
        <w:tc>
          <w:tcPr>
            <w:tcW w:w="35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5. Fair Value Measurements</w:t>
      </w:r>
    </w:p>
    <w:p>
      <w:pPr>
        <w:spacing w:after="0" w:line="229" w:lineRule="exact"/>
        <w:rPr>
          <w:sz w:val="20"/>
          <w:szCs w:val="20"/>
          <w:color w:val="auto"/>
        </w:rPr>
      </w:pPr>
    </w:p>
    <w:p>
      <w:pPr>
        <w:ind w:right="40" w:firstLine="571"/>
        <w:spacing w:after="0" w:line="256" w:lineRule="auto"/>
        <w:rPr>
          <w:sz w:val="20"/>
          <w:szCs w:val="20"/>
          <w:color w:val="auto"/>
        </w:rPr>
      </w:pPr>
      <w:r>
        <w:rPr>
          <w:rFonts w:ascii="Times New Roman" w:cs="Times New Roman" w:eastAsia="Times New Roman" w:hAnsi="Times New Roman"/>
          <w:sz w:val="18"/>
          <w:szCs w:val="18"/>
          <w:color w:val="auto"/>
        </w:rPr>
        <w:t>Authoritative guidance on fair value measurements defines fair value, establishes a consistent framework for measuring fair value, and expands disclosures for each major asset and liability category measured at fair value on either a recurring or a nonrecurring basis. Fair value is intended to reflect an assumed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authoritative guidance establishes a three-tier fair value hierarchy, which prioritizes the inputs used in measuring fair value as follows:</w:t>
      </w:r>
    </w:p>
    <w:p>
      <w:pPr>
        <w:spacing w:after="0" w:line="188" w:lineRule="exact"/>
        <w:rPr>
          <w:sz w:val="20"/>
          <w:szCs w:val="20"/>
          <w:color w:val="auto"/>
        </w:rPr>
      </w:pPr>
    </w:p>
    <w:p>
      <w:pPr>
        <w:ind w:left="940" w:right="20" w:hanging="931"/>
        <w:spacing w:after="0" w:line="282" w:lineRule="auto"/>
        <w:tabs>
          <w:tab w:leader="none" w:pos="92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8"/>
          <w:szCs w:val="18"/>
          <w:color w:val="auto"/>
        </w:rPr>
        <w:t>Observable inputs such as unadjusted quoted prices in active markets that are accessible at the measurement date for identical, unrestricted assets or liabilities.</w:t>
      </w:r>
    </w:p>
    <w:p>
      <w:pPr>
        <w:spacing w:after="0" w:line="162" w:lineRule="exact"/>
        <w:rPr>
          <w:sz w:val="20"/>
          <w:szCs w:val="20"/>
          <w:color w:val="auto"/>
        </w:rPr>
      </w:pPr>
    </w:p>
    <w:p>
      <w:pPr>
        <w:ind w:left="940" w:right="300" w:hanging="931"/>
        <w:spacing w:after="0" w:line="282" w:lineRule="auto"/>
        <w:tabs>
          <w:tab w:leader="none" w:pos="920" w:val="left"/>
        </w:tabs>
        <w:rPr>
          <w:sz w:val="20"/>
          <w:szCs w:val="20"/>
          <w:color w:val="auto"/>
        </w:rPr>
      </w:pPr>
      <w:r>
        <w:rPr>
          <w:rFonts w:ascii="Times New Roman" w:cs="Times New Roman" w:eastAsia="Times New Roman" w:hAnsi="Times New Roman"/>
          <w:sz w:val="18"/>
          <w:szCs w:val="18"/>
          <w:color w:val="auto"/>
        </w:rPr>
        <w:t>Level 2:</w:t>
      </w:r>
      <w:r>
        <w:rPr>
          <w:sz w:val="20"/>
          <w:szCs w:val="20"/>
          <w:color w:val="auto"/>
        </w:rPr>
        <w:tab/>
      </w:r>
      <w:r>
        <w:rPr>
          <w:rFonts w:ascii="Times New Roman" w:cs="Times New Roman" w:eastAsia="Times New Roman" w:hAnsi="Times New Roman"/>
          <w:sz w:val="18"/>
          <w:szCs w:val="18"/>
          <w:color w:val="auto"/>
        </w:rPr>
        <w:t>Inputs, other than quoted prices in active markets, that are observable either directly or indirectly for substantially the full term of the asset or liability.</w:t>
      </w:r>
    </w:p>
    <w:p>
      <w:pPr>
        <w:spacing w:after="0" w:line="162" w:lineRule="exact"/>
        <w:rPr>
          <w:sz w:val="20"/>
          <w:szCs w:val="20"/>
          <w:color w:val="auto"/>
        </w:rPr>
      </w:pPr>
    </w:p>
    <w:p>
      <w:pPr>
        <w:ind w:left="940" w:right="20" w:hanging="931"/>
        <w:spacing w:after="0" w:line="282" w:lineRule="auto"/>
        <w:tabs>
          <w:tab w:leader="none" w:pos="920" w:val="left"/>
        </w:tabs>
        <w:rPr>
          <w:sz w:val="20"/>
          <w:szCs w:val="20"/>
          <w:color w:val="auto"/>
        </w:rPr>
      </w:pPr>
      <w:r>
        <w:rPr>
          <w:rFonts w:ascii="Times New Roman" w:cs="Times New Roman" w:eastAsia="Times New Roman" w:hAnsi="Times New Roman"/>
          <w:sz w:val="18"/>
          <w:szCs w:val="18"/>
          <w:color w:val="auto"/>
        </w:rPr>
        <w:t>Level 3:</w:t>
      </w:r>
      <w:r>
        <w:rPr>
          <w:sz w:val="20"/>
          <w:szCs w:val="20"/>
          <w:color w:val="auto"/>
        </w:rPr>
        <w:tab/>
      </w:r>
      <w:r>
        <w:rPr>
          <w:rFonts w:ascii="Times New Roman" w:cs="Times New Roman" w:eastAsia="Times New Roman" w:hAnsi="Times New Roman"/>
          <w:sz w:val="18"/>
          <w:szCs w:val="18"/>
          <w:color w:val="auto"/>
        </w:rPr>
        <w:t>Unobservable inputs in which there is little or no market data and that are significant to the fair value of the assets or liabilities, which require the reporting entity to develop its own valuation techniques that require input assumptions.</w:t>
      </w:r>
    </w:p>
    <w:p>
      <w:pPr>
        <w:spacing w:after="0" w:line="162" w:lineRule="exact"/>
        <w:rPr>
          <w:sz w:val="20"/>
          <w:szCs w:val="20"/>
          <w:color w:val="auto"/>
        </w:rPr>
      </w:pPr>
    </w:p>
    <w:p>
      <w:pPr>
        <w:ind w:right="120" w:firstLine="471"/>
        <w:spacing w:after="0" w:line="266"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financial assets and liabilities measured at fair value on a recurring basis as of June 30, 2017 and December 31, 2016, and indicates the fair value hierarchy of the valuation techniques utilized by the Company to determine such fair value (in thousands):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9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23"/>
        </w:trPr>
        <w:tc>
          <w:tcPr>
            <w:tcW w:w="50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6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Cash equivalents </w:t>
            </w:r>
            <w:r>
              <w:rPr>
                <w:rFonts w:ascii="Times New Roman" w:cs="Times New Roman" w:eastAsia="Times New Roman" w:hAnsi="Times New Roman"/>
                <w:sz w:val="15"/>
                <w:szCs w:val="15"/>
                <w:color w:val="auto"/>
              </w:rPr>
              <w:t>(1)</w:t>
            </w:r>
          </w:p>
        </w:tc>
        <w:tc>
          <w:tcPr>
            <w:tcW w:w="460" w:type="dxa"/>
            <w:vAlign w:val="bottom"/>
          </w:tcPr>
          <w:p>
            <w:pPr>
              <w:jc w:val="right"/>
              <w:ind w:right="29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32,487</w:t>
            </w:r>
          </w:p>
        </w:tc>
        <w:tc>
          <w:tcPr>
            <w:tcW w:w="54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32,487</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Mutual funds held for nonqualified deferred compensation plan</w:t>
            </w:r>
          </w:p>
        </w:tc>
        <w:tc>
          <w:tcPr>
            <w:tcW w:w="4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participants </w:t>
            </w:r>
            <w:r>
              <w:rPr>
                <w:rFonts w:ascii="Times New Roman" w:cs="Times New Roman" w:eastAsia="Times New Roman" w:hAnsi="Times New Roman"/>
                <w:sz w:val="15"/>
                <w:szCs w:val="15"/>
                <w:color w:val="auto"/>
              </w:rPr>
              <w:t>(2)</w:t>
            </w:r>
          </w:p>
        </w:tc>
        <w:tc>
          <w:tcPr>
            <w:tcW w:w="46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3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46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32,930</w:t>
            </w:r>
          </w:p>
        </w:tc>
        <w:tc>
          <w:tcPr>
            <w:tcW w:w="3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32,930</w:t>
            </w: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06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Deferred compensation </w:t>
            </w:r>
            <w:r>
              <w:rPr>
                <w:rFonts w:ascii="Times New Roman" w:cs="Times New Roman" w:eastAsia="Times New Roman" w:hAnsi="Times New Roman"/>
                <w:sz w:val="15"/>
                <w:szCs w:val="15"/>
                <w:color w:val="auto"/>
              </w:rPr>
              <w:t>(2)</w:t>
            </w:r>
          </w:p>
        </w:tc>
        <w:tc>
          <w:tcPr>
            <w:tcW w:w="460" w:type="dxa"/>
            <w:vAlign w:val="bottom"/>
            <w:shd w:val="clear" w:color="auto" w:fill="CFF0FC"/>
          </w:tcPr>
          <w:p>
            <w:pPr>
              <w:jc w:val="right"/>
              <w:ind w:right="29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54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46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3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0"/>
        </w:trPr>
        <w:tc>
          <w:tcPr>
            <w:tcW w:w="5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9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50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0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jc w:val="right"/>
              <w:ind w:right="313"/>
              <w:spacing w:after="0" w:line="155" w:lineRule="exact"/>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2"/>
          </w:tcPr>
          <w:p>
            <w:pPr>
              <w:jc w:val="center"/>
              <w:ind w:right="480"/>
              <w:spacing w:after="0" w:line="155"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ind w:left="140"/>
              <w:spacing w:after="0" w:line="155"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0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6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Cash equivalents </w:t>
            </w:r>
            <w:r>
              <w:rPr>
                <w:rFonts w:ascii="Times New Roman" w:cs="Times New Roman" w:eastAsia="Times New Roman" w:hAnsi="Times New Roman"/>
                <w:sz w:val="15"/>
                <w:szCs w:val="15"/>
                <w:color w:val="auto"/>
              </w:rPr>
              <w:t>(1)</w:t>
            </w:r>
          </w:p>
        </w:tc>
        <w:tc>
          <w:tcPr>
            <w:tcW w:w="460" w:type="dxa"/>
            <w:vAlign w:val="bottom"/>
          </w:tcPr>
          <w:p>
            <w:pPr>
              <w:jc w:val="right"/>
              <w:ind w:right="29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39,941</w:t>
            </w:r>
          </w:p>
        </w:tc>
        <w:tc>
          <w:tcPr>
            <w:tcW w:w="54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39,941</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4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8,482</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8,482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Mutual funds held for nonqualified deferred compensation plan</w:t>
            </w: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participants </w:t>
            </w:r>
            <w:r>
              <w:rPr>
                <w:rFonts w:ascii="Times New Roman" w:cs="Times New Roman" w:eastAsia="Times New Roman" w:hAnsi="Times New Roman"/>
                <w:sz w:val="15"/>
                <w:szCs w:val="15"/>
                <w:color w:val="auto"/>
              </w:rPr>
              <w:t>(2)</w:t>
            </w:r>
          </w:p>
        </w:tc>
        <w:tc>
          <w:tcPr>
            <w:tcW w:w="4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0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460" w:type="dxa"/>
            <w:vAlign w:val="bottom"/>
            <w:tcBorders>
              <w:top w:val="single" w:sz="8" w:color="auto"/>
              <w:bottom w:val="single" w:sz="8" w:color="auto"/>
            </w:tcBorders>
            <w:shd w:val="clear" w:color="auto" w:fill="CFF0FC"/>
          </w:tcPr>
          <w:p>
            <w:pPr>
              <w:jc w:val="right"/>
              <w:ind w:right="29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48,801</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40,319</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8,482</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6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Deferred compensation </w:t>
            </w:r>
            <w:r>
              <w:rPr>
                <w:rFonts w:ascii="Times New Roman" w:cs="Times New Roman" w:eastAsia="Times New Roman" w:hAnsi="Times New Roman"/>
                <w:sz w:val="15"/>
                <w:szCs w:val="15"/>
                <w:color w:val="auto"/>
              </w:rPr>
              <w:t>(2)</w:t>
            </w:r>
          </w:p>
        </w:tc>
        <w:tc>
          <w:tcPr>
            <w:tcW w:w="460" w:type="dxa"/>
            <w:vAlign w:val="bottom"/>
            <w:shd w:val="clear" w:color="auto" w:fill="CFF0FC"/>
          </w:tcPr>
          <w:p>
            <w:pPr>
              <w:jc w:val="right"/>
              <w:ind w:right="29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54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46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3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40" w:hanging="478"/>
        <w:spacing w:after="0" w:line="257" w:lineRule="auto"/>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cash equivalents include money market funds and investments with a maturity of three months or less from the date of purchase. This asset is included as a component of total cash and cash equivalents on the balance sheet, of which $10.0 million is classified as restricted cash – long-term at June 30, 2017.</w:t>
      </w:r>
    </w:p>
    <w:p>
      <w:pPr>
        <w:spacing w:after="0" w:line="1" w:lineRule="exact"/>
        <w:rPr>
          <w:rFonts w:ascii="Times New Roman" w:cs="Times New Roman" w:eastAsia="Times New Roman" w:hAnsi="Times New Roman"/>
          <w:sz w:val="18"/>
          <w:szCs w:val="18"/>
          <w:color w:val="auto"/>
        </w:rPr>
      </w:pPr>
    </w:p>
    <w:p>
      <w:pPr>
        <w:ind w:left="540" w:right="280" w:hanging="478"/>
        <w:spacing w:after="0" w:line="255" w:lineRule="auto"/>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deferred compensation plan is directed by the Company and structured as a Rabbi Trust for the benefit of certain executives and non-employee directors. The investment assets of the Rabbi Trust are valued using quoted market prices multiplied by the number of shares held in each trust account. The related deferred compensation liability represents the fair value of the investment assets</w:t>
      </w:r>
      <w:r>
        <w:rPr>
          <w:rFonts w:ascii="Times New Roman" w:cs="Times New Roman" w:eastAsia="Times New Roman" w:hAnsi="Times New Roman"/>
          <w:sz w:val="14"/>
          <w:szCs w:val="14"/>
          <w:color w:val="auto"/>
        </w:rPr>
        <w: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12" w:name="page13"/>
    <w:bookmarkEnd w:id="12"/>
    <w:p>
      <w:pPr>
        <w:ind w:right="40" w:firstLine="571"/>
        <w:spacing w:after="0" w:line="261" w:lineRule="auto"/>
        <w:rPr>
          <w:sz w:val="20"/>
          <w:szCs w:val="20"/>
          <w:color w:val="auto"/>
        </w:rPr>
      </w:pPr>
      <w:r>
        <w:rPr>
          <w:rFonts w:ascii="Times New Roman" w:cs="Times New Roman" w:eastAsia="Times New Roman" w:hAnsi="Times New Roman"/>
          <w:sz w:val="18"/>
          <w:szCs w:val="18"/>
          <w:color w:val="auto"/>
        </w:rPr>
        <w:t>The Company’s Level 2 financial instruments are valued using market prices on less active markets with observable valuation inputs such as interest rates and yield curves. The Company obtains the fair value of Level 2 financial instruments from quoted market prices, calculated prices or quotes from third-party pricing services. The Company validates these prices through independent valuation testing and review of portfolio valuations provided by the Company’s investment managers. There were no transfers between Level 1 and Level 2 assets during the six months ended June 30, 2017.</w:t>
      </w:r>
    </w:p>
    <w:p>
      <w:pPr>
        <w:spacing w:after="0" w:line="180" w:lineRule="exact"/>
        <w:rPr>
          <w:sz w:val="20"/>
          <w:szCs w:val="20"/>
          <w:color w:val="auto"/>
        </w:rPr>
      </w:pPr>
    </w:p>
    <w:p>
      <w:pPr>
        <w:ind w:right="20" w:firstLine="571"/>
        <w:spacing w:after="0" w:line="255" w:lineRule="auto"/>
        <w:rPr>
          <w:sz w:val="20"/>
          <w:szCs w:val="20"/>
          <w:color w:val="auto"/>
        </w:rPr>
      </w:pPr>
      <w:r>
        <w:rPr>
          <w:rFonts w:ascii="Times New Roman" w:cs="Times New Roman" w:eastAsia="Times New Roman" w:hAnsi="Times New Roman"/>
          <w:sz w:val="18"/>
          <w:szCs w:val="18"/>
          <w:color w:val="auto"/>
        </w:rPr>
        <w:t>The Company recorded $1.3 million and $1.2 million as guarantee liabilities in other current liabilities on the accompanying condensed balance sheet as of June 30, 2017 and December 31, 2016, respectively. Guarantees were recorded as a reduction of revenue in the statement of operations and other comprehensive loss. Guarantees are not measured at fair value on a recurring basis, and therefore are not included in the tables above. Guarantees are classified within Level 3 of the fair value hierarchy. The estimated fair value of the guarantee is based on various economic and customer behavioral assumptions, including the probability that a trade-in right will be exercised, the specified trade-in amount, the expected fair value of the used t:slim G4 Pump at trade-in and the expected sales price of t:slim X2 (see Note 2, “Summary of Significant Accounting Policies – Revenue Recognition”). Changes in the probability that a trade-in right will be exercised have the most significant impact on the estimate of the fair value of the liability.</w:t>
      </w:r>
    </w:p>
    <w:p>
      <w:pPr>
        <w:spacing w:after="0" w:line="189" w:lineRule="exact"/>
        <w:rPr>
          <w:sz w:val="20"/>
          <w:szCs w:val="20"/>
          <w:color w:val="auto"/>
        </w:rPr>
      </w:pPr>
    </w:p>
    <w:p>
      <w:pPr>
        <w:ind w:right="40" w:firstLine="577"/>
        <w:spacing w:after="0" w:line="258" w:lineRule="auto"/>
        <w:rPr>
          <w:sz w:val="20"/>
          <w:szCs w:val="20"/>
          <w:color w:val="auto"/>
        </w:rPr>
      </w:pPr>
      <w:r>
        <w:rPr>
          <w:rFonts w:ascii="Times New Roman" w:cs="Times New Roman" w:eastAsia="Times New Roman" w:hAnsi="Times New Roman"/>
          <w:sz w:val="18"/>
          <w:szCs w:val="18"/>
          <w:color w:val="auto"/>
        </w:rPr>
        <w:t>In connection with the Term Loan Agreement, on March 7, 2017, the Company issued ten-year warrants to purchase 1,937,890 shares of the Company’s common stock at an exercise price of $2.35 per share (the “Capital Royalty Warrant”). The Company used the Black-Scholes option-pricing model to calculate the value of the Capital Royalty Warrant to be approximately $3.3 million. The Capital Royalty Warrant was recorded as debt discount and stockholders’ equity, as the warrants met the definition of an equity instrument. The Black-Scholes option-pricing model requires the use of subjective assumptions about a number of key variables, including stock price volatility, expected term, and risk-free interest rate.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Term Loan Agreement</w:t>
      </w:r>
    </w:p>
    <w:p>
      <w:pPr>
        <w:spacing w:after="0" w:line="225" w:lineRule="exact"/>
        <w:rPr>
          <w:sz w:val="20"/>
          <w:szCs w:val="20"/>
          <w:color w:val="auto"/>
        </w:rPr>
      </w:pPr>
    </w:p>
    <w:p>
      <w:pPr>
        <w:ind w:right="520" w:firstLine="571"/>
        <w:spacing w:after="0" w:line="286" w:lineRule="auto"/>
        <w:rPr>
          <w:sz w:val="20"/>
          <w:szCs w:val="20"/>
          <w:color w:val="auto"/>
        </w:rPr>
      </w:pPr>
      <w:r>
        <w:rPr>
          <w:rFonts w:ascii="Times New Roman" w:cs="Times New Roman" w:eastAsia="Times New Roman" w:hAnsi="Times New Roman"/>
          <w:sz w:val="18"/>
          <w:szCs w:val="18"/>
          <w:color w:val="auto"/>
        </w:rPr>
        <w:t>The Company had $81.9 million and $81.1 million of aggregate borrowings outstanding under the Term Loan Agreement, at June 30</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2017 and December 31, 2016, respectively.</w:t>
      </w:r>
    </w:p>
    <w:p>
      <w:pPr>
        <w:spacing w:after="0" w:line="159" w:lineRule="exact"/>
        <w:rPr>
          <w:sz w:val="20"/>
          <w:szCs w:val="20"/>
          <w:color w:val="auto"/>
        </w:rPr>
      </w:pPr>
    </w:p>
    <w:p>
      <w:pPr>
        <w:ind w:firstLine="571"/>
        <w:spacing w:after="0" w:line="255" w:lineRule="auto"/>
        <w:rPr>
          <w:sz w:val="20"/>
          <w:szCs w:val="20"/>
          <w:color w:val="auto"/>
        </w:rPr>
      </w:pPr>
      <w:r>
        <w:rPr>
          <w:rFonts w:ascii="Times New Roman" w:cs="Times New Roman" w:eastAsia="Times New Roman" w:hAnsi="Times New Roman"/>
          <w:sz w:val="18"/>
          <w:szCs w:val="18"/>
          <w:color w:val="auto"/>
        </w:rPr>
        <w:t>Under the Term Loan Agreement, interest is payable at the Company’s option, (i) in cash at a rate of 11.5% per annum, or (ii) at a rate of 9.5% of the 11.5% per annum in cash and 2.0% of the 11.5% per annum (the “PIK Loan”) to be added to the principal of the loan and subject to accruing interest. Interest-only payments are due quarterly on March 31, June 30, September 30 and December 31 of each year of the interest-only payment period, which ends on December 31, 2019. The principal balance is due in full at the end of the term of the loan, which is March 31, 2020 (the “Maturity Date”). The Company had elected to pay interest in cash at a rate of 11.5% per annum through September 30, 2015. Beginning October 1, 2015, the Company elected to pay interest in cash at a rate of 9.5% per annum and for a rate of 2.0% per annum to be added to the principal of the loan. As a result, $1.9 million was added to the principal of the loan since October 1, 2015, which the Company refers to as PIK Loans.</w:t>
      </w:r>
    </w:p>
    <w:p>
      <w:pPr>
        <w:spacing w:after="0" w:line="189" w:lineRule="exact"/>
        <w:rPr>
          <w:sz w:val="20"/>
          <w:szCs w:val="20"/>
          <w:color w:val="auto"/>
        </w:rPr>
      </w:pPr>
    </w:p>
    <w:p>
      <w:pPr>
        <w:ind w:right="460" w:firstLine="571"/>
        <w:spacing w:after="0" w:line="282" w:lineRule="auto"/>
        <w:rPr>
          <w:sz w:val="20"/>
          <w:szCs w:val="20"/>
          <w:color w:val="auto"/>
        </w:rPr>
      </w:pPr>
      <w:r>
        <w:rPr>
          <w:rFonts w:ascii="Times New Roman" w:cs="Times New Roman" w:eastAsia="Times New Roman" w:hAnsi="Times New Roman"/>
          <w:sz w:val="18"/>
          <w:szCs w:val="18"/>
          <w:color w:val="auto"/>
        </w:rPr>
        <w:t>The term loan is collateralized by all assets of the Company. The principal financial covenants require that the Company attain minimum annual revenues of $80.0 million in 2017 and $95.0 million each year thereafter until the Maturity Date.</w:t>
      </w:r>
    </w:p>
    <w:p>
      <w:pPr>
        <w:spacing w:after="0" w:line="162" w:lineRule="exact"/>
        <w:rPr>
          <w:sz w:val="20"/>
          <w:szCs w:val="20"/>
          <w:color w:val="auto"/>
        </w:rPr>
      </w:pPr>
    </w:p>
    <w:p>
      <w:pPr>
        <w:ind w:right="60" w:firstLine="571"/>
        <w:spacing w:after="0" w:line="261" w:lineRule="auto"/>
        <w:rPr>
          <w:sz w:val="20"/>
          <w:szCs w:val="20"/>
          <w:color w:val="auto"/>
        </w:rPr>
      </w:pPr>
      <w:r>
        <w:rPr>
          <w:rFonts w:ascii="Times New Roman" w:cs="Times New Roman" w:eastAsia="Times New Roman" w:hAnsi="Times New Roman"/>
          <w:sz w:val="18"/>
          <w:szCs w:val="18"/>
          <w:color w:val="auto"/>
        </w:rPr>
        <w:t>Pursuant to Amendment No. 3 to Term Loan Agreement (the “Third Amendment”), the Company agreed to pay, on the earlier of (i) the Maturity Date, (ii) the date that the loan under the Term Loan Agreement becomes due, and (iii) the date on which the Company makes a voluntary pre-payment of the loan, a financing fee equal to 3.0% of the sum of (x) the aggregate amount of drawn under the Third Amendment, which is $50.0 million, and (y) any PIK Loans issued in relation to the Third Amendment (collectively, the “Back End Financing Fee”).</w:t>
      </w:r>
    </w:p>
    <w:p>
      <w:pPr>
        <w:spacing w:after="0" w:line="180" w:lineRule="exact"/>
        <w:rPr>
          <w:sz w:val="20"/>
          <w:szCs w:val="20"/>
          <w:color w:val="auto"/>
        </w:rPr>
      </w:pPr>
    </w:p>
    <w:p>
      <w:pPr>
        <w:ind w:firstLine="571"/>
        <w:spacing w:after="0" w:line="270" w:lineRule="auto"/>
        <w:rPr>
          <w:sz w:val="20"/>
          <w:szCs w:val="20"/>
          <w:color w:val="auto"/>
        </w:rPr>
      </w:pPr>
      <w:r>
        <w:rPr>
          <w:rFonts w:ascii="Times New Roman" w:cs="Times New Roman" w:eastAsia="Times New Roman" w:hAnsi="Times New Roman"/>
          <w:sz w:val="17"/>
          <w:szCs w:val="17"/>
          <w:color w:val="auto"/>
        </w:rPr>
        <w:t>The audit report of the Company’s independent registered public accounting firm contained in the 2016 Annual Report included an explanatory paragraph that describes conditions that raise substantial doubt about the Company’s ability to continue as a going concern. This explanatory paragraph constituted a potential event of default under the Term Loan Agreement. On March 7, 2017, the Company entered into Waiver and Amendment No. 4 to Term Loan Agreement (the “Fourth Amendment”), which included a limited waiver of the potential event of default that could have resulted from the explanatory paragraph. In consideration for the waiver, the Company agreed to: (i) issue the Capital Royalty Warrant, (ii) increase its restricted cash balance from $2.0 million to $10.0 million, (iii) provide Capital Royalty Partners the same information it makes available to its board of directors, subject to limited exceptions, and (iv) not incur additional third party indebtedness secured solely by accounts receivable, inventory and cash. In addition, the Fourth Amendment includes a covenant requiring the Company to complete financings in which its gross proceeds from the sale of equity securities is at least $30.0 million, no later than January 15, 2018. Furthermore, the Company has agreed to increase the Back End Financing Fee to 5.0% of the entire aggregate principal amount of borrowings outstanding, including total PIK Loans issued. The Back End Financing Fee is payable at maturity of the Company’s loans and on the principal amount of any loans for which it makes an optional prepayment, and may be payable in connection with certain asset sales or a change of control.</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3" w:name="page14"/>
    <w:bookmarkEnd w:id="13"/>
    <w:p>
      <w:pPr>
        <w:ind w:right="40" w:firstLine="571"/>
        <w:spacing w:after="0" w:line="282" w:lineRule="auto"/>
        <w:rPr>
          <w:sz w:val="20"/>
          <w:szCs w:val="20"/>
          <w:color w:val="auto"/>
        </w:rPr>
      </w:pPr>
      <w:r>
        <w:rPr>
          <w:rFonts w:ascii="Times New Roman" w:cs="Times New Roman" w:eastAsia="Times New Roman" w:hAnsi="Times New Roman"/>
          <w:sz w:val="18"/>
          <w:szCs w:val="18"/>
          <w:color w:val="auto"/>
        </w:rPr>
        <w:t>As of June 30, 2017 and December 31, 2016, respectively, the Company had accrued $4.1 million and $1.5 million for the Back End Financing Fee in other long-term liabilities and as contra-debt in notes payable-long-term on the accompanying condensed balance sheets.</w:t>
      </w:r>
    </w:p>
    <w:p>
      <w:pPr>
        <w:spacing w:after="0" w:line="378" w:lineRule="exact"/>
        <w:rPr>
          <w:sz w:val="20"/>
          <w:szCs w:val="20"/>
          <w:color w:val="auto"/>
        </w:rPr>
      </w:pPr>
    </w:p>
    <w:p>
      <w:pPr>
        <w:ind w:right="20" w:firstLine="571"/>
        <w:spacing w:after="0" w:line="281" w:lineRule="auto"/>
        <w:rPr>
          <w:sz w:val="20"/>
          <w:szCs w:val="20"/>
          <w:color w:val="auto"/>
        </w:rPr>
      </w:pPr>
      <w:r>
        <w:rPr>
          <w:rFonts w:ascii="Times New Roman" w:cs="Times New Roman" w:eastAsia="Times New Roman" w:hAnsi="Times New Roman"/>
          <w:sz w:val="17"/>
          <w:szCs w:val="17"/>
          <w:color w:val="auto"/>
        </w:rPr>
        <w:t>The Company evaluated execution of the Fourth Amendment as a modification for accounting purposes and concluded that it did not constitute a modification because the present value of the future cash flows under the Fourth Amendment did not exceed the present value of the future cash flows under the previous terms by more than 10%. The Back End Financing Fee, the value of the Capital Royalty Warrant, and the remaining balance of debt issuance costs and debt discount of the loan are amortized to interest expense over the remaining term of the Term Loan Agreement using the effective interest method.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Stockholders’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Offering</w:t>
      </w:r>
    </w:p>
    <w:p>
      <w:pPr>
        <w:spacing w:after="0" w:line="229" w:lineRule="exact"/>
        <w:rPr>
          <w:sz w:val="20"/>
          <w:szCs w:val="20"/>
          <w:color w:val="auto"/>
        </w:rPr>
      </w:pPr>
    </w:p>
    <w:p>
      <w:pPr>
        <w:jc w:val="both"/>
        <w:ind w:right="40" w:firstLine="571"/>
        <w:spacing w:after="0" w:line="266" w:lineRule="auto"/>
        <w:rPr>
          <w:sz w:val="20"/>
          <w:szCs w:val="20"/>
          <w:color w:val="auto"/>
        </w:rPr>
      </w:pPr>
      <w:r>
        <w:rPr>
          <w:rFonts w:ascii="Times New Roman" w:cs="Times New Roman" w:eastAsia="Times New Roman" w:hAnsi="Times New Roman"/>
          <w:sz w:val="18"/>
          <w:szCs w:val="18"/>
          <w:color w:val="auto"/>
        </w:rPr>
        <w:t>In the first quarter of 2017, the Company completed a public offering of 18,500,000 shares of its common stock at a public offering price of $1.25 per share. The gross proceeds to the Company from the offering were $23.1 million, before deducting underwriting discounts and commissions and other offering expenses payable by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Reserved for Future Issuance</w:t>
      </w:r>
    </w:p>
    <w:p>
      <w:pPr>
        <w:spacing w:after="0" w:line="22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shares of the Company’s common stock were reserved for future issuance at June 30, 2017 (in thousands):</w:t>
      </w:r>
    </w:p>
    <w:p>
      <w:pPr>
        <w:sectPr>
          <w:pgSz w:w="11900" w:h="16838" w:orient="portrait"/>
          <w:cols w:equalWidth="0" w:num="1">
            <w:col w:w="11420"/>
          </w:cols>
          <w:pgMar w:left="240" w:top="121" w:right="239" w:bottom="1440" w:gutter="0" w:footer="0" w:header="0"/>
        </w:sect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underlying outstanding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underlying outstanding stock options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authorized for future equity award 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authorized for issuance as ESPP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63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8"/>
          <w:szCs w:val="18"/>
          <w:color w:val="auto"/>
        </w:rPr>
        <w:t>2,928</w:t>
      </w:r>
    </w:p>
    <w:p>
      <w:pPr>
        <w:spacing w:after="0" w:line="27"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8"/>
          <w:szCs w:val="18"/>
          <w:color w:val="auto"/>
        </w:rPr>
        <w:t>9,337</w:t>
      </w:r>
    </w:p>
    <w:p>
      <w:pPr>
        <w:spacing w:after="0" w:line="23"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8"/>
          <w:szCs w:val="18"/>
          <w:color w:val="auto"/>
        </w:rPr>
        <w:t>397</w:t>
      </w:r>
    </w:p>
    <w:p>
      <w:pPr>
        <w:spacing w:after="0" w:line="23"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8"/>
          <w:szCs w:val="18"/>
          <w:color w:val="auto"/>
        </w:rPr>
        <w:t>0</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12,662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-1758315</wp:posOffset>
            </wp:positionH>
            <wp:positionV relativeFrom="paragraph">
              <wp:posOffset>41910</wp:posOffset>
            </wp:positionV>
            <wp:extent cx="20751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07518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0080" w:space="720"/>
            <w:col w:w="620"/>
          </w:cols>
          <w:pgMar w:left="240" w:top="121" w:right="239" w:bottom="1440" w:gutter="0" w:footer="0" w:header="0"/>
          <w:type w:val="continuous"/>
        </w:sectPr>
      </w:pPr>
    </w:p>
    <w:p>
      <w:pPr>
        <w:spacing w:after="0" w:line="77" w:lineRule="exact"/>
        <w:rPr>
          <w:sz w:val="20"/>
          <w:szCs w:val="20"/>
          <w:color w:val="auto"/>
        </w:rPr>
      </w:pPr>
    </w:p>
    <w:p>
      <w:pPr>
        <w:ind w:right="700" w:firstLine="571"/>
        <w:spacing w:after="0" w:line="282" w:lineRule="auto"/>
        <w:rPr>
          <w:sz w:val="20"/>
          <w:szCs w:val="20"/>
          <w:color w:val="auto"/>
        </w:rPr>
      </w:pPr>
      <w:r>
        <w:rPr>
          <w:rFonts w:ascii="Times New Roman" w:cs="Times New Roman" w:eastAsia="Times New Roman" w:hAnsi="Times New Roman"/>
          <w:sz w:val="18"/>
          <w:szCs w:val="18"/>
          <w:color w:val="auto"/>
        </w:rPr>
        <w:t>The Company issued 244,052 shares of its common stock upon the exercise of stock options during the six months ended June 30, 2017, and issued 148,763 shares of its common stock upon the exercise of stock options during the year ended December 31, 2016.</w:t>
      </w:r>
    </w:p>
    <w:p>
      <w:pPr>
        <w:spacing w:after="0" w:line="162" w:lineRule="exact"/>
        <w:rPr>
          <w:sz w:val="20"/>
          <w:szCs w:val="20"/>
          <w:color w:val="auto"/>
        </w:rPr>
      </w:pPr>
    </w:p>
    <w:p>
      <w:pPr>
        <w:ind w:right="180" w:firstLine="571"/>
        <w:spacing w:after="0" w:line="261" w:lineRule="auto"/>
        <w:rPr>
          <w:sz w:val="20"/>
          <w:szCs w:val="20"/>
          <w:color w:val="auto"/>
        </w:rPr>
      </w:pPr>
      <w:r>
        <w:rPr>
          <w:rFonts w:ascii="Times New Roman" w:cs="Times New Roman" w:eastAsia="Times New Roman" w:hAnsi="Times New Roman"/>
          <w:sz w:val="18"/>
          <w:szCs w:val="18"/>
          <w:color w:val="auto"/>
        </w:rPr>
        <w:t>The ESPP enables eligible employees to purchase shares of the Company’s common stock using their after tax payroll deductions, subject to certain conditions. The ESPP consists of a two-year offering period with four six-month purchase periods which begin in May and November of each year. There were 389,281 shares of the Company’s common stock purchased under the ESPP during the six months ended June 30, 2017, and 692,328 shares of the Company’s common stock purchased under the ESPP during the year ended December 31, 2016.</w:t>
      </w:r>
    </w:p>
    <w:p>
      <w:pPr>
        <w:spacing w:after="0" w:line="180" w:lineRule="exact"/>
        <w:rPr>
          <w:sz w:val="20"/>
          <w:szCs w:val="20"/>
          <w:color w:val="auto"/>
        </w:rPr>
      </w:pPr>
    </w:p>
    <w:p>
      <w:pPr>
        <w:ind w:right="100" w:firstLine="571"/>
        <w:spacing w:after="0" w:line="266" w:lineRule="auto"/>
        <w:rPr>
          <w:sz w:val="20"/>
          <w:szCs w:val="20"/>
          <w:color w:val="auto"/>
        </w:rPr>
      </w:pPr>
      <w:r>
        <w:rPr>
          <w:rFonts w:ascii="Times New Roman" w:cs="Times New Roman" w:eastAsia="Times New Roman" w:hAnsi="Times New Roman"/>
          <w:sz w:val="18"/>
          <w:szCs w:val="18"/>
          <w:color w:val="auto"/>
        </w:rPr>
        <w:t>The Company announced the suspension of the ESPP as of May 16, 2017 due to a lack of available shares. The suspension was accounted for as a cancellation of an award with no consideration. The previously unrecognized compensation cost as of the suspension date of $2.4 million was fully expensed during the second quarter of 2017.</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assumptions used in the Black-Scholes option-pricing model are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6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Stock Option</w:t>
            </w:r>
          </w:p>
        </w:tc>
        <w:tc>
          <w:tcPr>
            <w:tcW w:w="11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240"/>
        </w:trPr>
        <w:tc>
          <w:tcPr>
            <w:tcW w:w="39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980" w:type="dxa"/>
            <w:vAlign w:val="bottom"/>
            <w:gridSpan w:val="3"/>
          </w:tcPr>
          <w:p>
            <w:pPr>
              <w:jc w:val="center"/>
              <w:ind w:left="517"/>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13"/>
        </w:trPr>
        <w:tc>
          <w:tcPr>
            <w:tcW w:w="396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3"/>
          </w:tcPr>
          <w:p>
            <w:pPr>
              <w:jc w:val="center"/>
              <w:ind w:left="53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223"/>
        </w:trPr>
        <w:tc>
          <w:tcPr>
            <w:tcW w:w="396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2017</w:t>
            </w:r>
          </w:p>
        </w:tc>
        <w:tc>
          <w:tcPr>
            <w:tcW w:w="560" w:type="dxa"/>
            <w:vAlign w:val="bottom"/>
            <w:tcBorders>
              <w:bottom w:val="single" w:sz="8" w:color="auto"/>
            </w:tcBorders>
          </w:tcPr>
          <w:p>
            <w:pPr>
              <w:spacing w:after="0"/>
              <w:rPr>
                <w:sz w:val="19"/>
                <w:szCs w:val="19"/>
                <w:color w:val="auto"/>
              </w:rPr>
            </w:pPr>
          </w:p>
        </w:tc>
        <w:tc>
          <w:tcPr>
            <w:tcW w:w="36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2016</w:t>
            </w:r>
          </w:p>
        </w:tc>
        <w:tc>
          <w:tcPr>
            <w:tcW w:w="36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2017</w:t>
            </w:r>
          </w:p>
        </w:tc>
        <w:tc>
          <w:tcPr>
            <w:tcW w:w="36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80" w:type="dxa"/>
            <w:vAlign w:val="bottom"/>
            <w:tcBorders>
              <w:bottom w:val="single" w:sz="8" w:color="CFF0FC"/>
            </w:tcBorders>
          </w:tcPr>
          <w:p>
            <w:pPr>
              <w:spacing w:after="0"/>
              <w:rPr>
                <w:sz w:val="19"/>
                <w:szCs w:val="19"/>
                <w:color w:val="auto"/>
              </w:rPr>
            </w:pPr>
          </w:p>
        </w:tc>
      </w:tr>
      <w:tr>
        <w:trPr>
          <w:trHeight w:val="223"/>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grant date fair value (per share)</w:t>
            </w:r>
          </w:p>
        </w:tc>
        <w:tc>
          <w:tcPr>
            <w:tcW w:w="980" w:type="dxa"/>
            <w:vAlign w:val="bottom"/>
            <w:shd w:val="clear" w:color="auto" w:fill="CFF0FC"/>
          </w:tcPr>
          <w:p>
            <w:pPr>
              <w:jc w:val="right"/>
              <w:ind w:right="822"/>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36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7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36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36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3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80" w:type="dxa"/>
            <w:vAlign w:val="bottom"/>
            <w:shd w:val="clear" w:color="auto" w:fill="CFF0FC"/>
          </w:tcPr>
          <w:p>
            <w:pPr>
              <w:spacing w:after="0"/>
              <w:rPr>
                <w:sz w:val="19"/>
                <w:szCs w:val="19"/>
                <w:color w:val="auto"/>
              </w:rPr>
            </w:pPr>
          </w:p>
        </w:tc>
      </w:tr>
      <w:tr>
        <w:trPr>
          <w:trHeight w:val="230"/>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98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w:t>
            </w:r>
          </w:p>
        </w:tc>
        <w:tc>
          <w:tcPr>
            <w:tcW w:w="54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w:t>
            </w:r>
          </w:p>
        </w:tc>
        <w:tc>
          <w:tcPr>
            <w:tcW w:w="44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w:t>
            </w:r>
          </w:p>
        </w:tc>
        <w:tc>
          <w:tcPr>
            <w:tcW w:w="50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9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0.0%</w:t>
            </w:r>
          </w:p>
        </w:tc>
        <w:tc>
          <w:tcPr>
            <w:tcW w:w="5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0.0%</w:t>
            </w:r>
          </w:p>
        </w:tc>
        <w:tc>
          <w:tcPr>
            <w:tcW w:w="44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0.0%</w:t>
            </w:r>
          </w:p>
        </w:tc>
        <w:tc>
          <w:tcPr>
            <w:tcW w:w="5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r>
      <w:tr>
        <w:trPr>
          <w:trHeight w:val="230"/>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98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60.0%</w:t>
            </w:r>
          </w:p>
        </w:tc>
        <w:tc>
          <w:tcPr>
            <w:tcW w:w="54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56.0%</w:t>
            </w:r>
          </w:p>
        </w:tc>
        <w:tc>
          <w:tcPr>
            <w:tcW w:w="44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60.0%</w:t>
            </w:r>
          </w:p>
        </w:tc>
        <w:tc>
          <w:tcPr>
            <w:tcW w:w="50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55.5%</w:t>
            </w:r>
          </w:p>
        </w:tc>
      </w:tr>
      <w:tr>
        <w:trPr>
          <w:trHeight w:val="230"/>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3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3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3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80" w:type="dxa"/>
            <w:vAlign w:val="bottom"/>
            <w:shd w:val="clear" w:color="auto" w:fill="CFF0FC"/>
          </w:tcPr>
          <w:p>
            <w:pPr>
              <w:spacing w:after="0"/>
              <w:rPr>
                <w:sz w:val="19"/>
                <w:szCs w:val="19"/>
                <w:color w:val="auto"/>
              </w:rPr>
            </w:pPr>
          </w:p>
        </w:tc>
      </w:tr>
    </w:tbl>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173"/>
        </w:trPr>
        <w:tc>
          <w:tcPr>
            <w:tcW w:w="400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ind w:left="1020"/>
              <w:spacing w:after="0"/>
              <w:rPr>
                <w:sz w:val="20"/>
                <w:szCs w:val="20"/>
                <w:color w:val="auto"/>
              </w:rPr>
            </w:pPr>
            <w:r>
              <w:rPr>
                <w:rFonts w:ascii="Times New Roman" w:cs="Times New Roman" w:eastAsia="Times New Roman" w:hAnsi="Times New Roman"/>
                <w:sz w:val="14"/>
                <w:szCs w:val="14"/>
                <w:b w:val="1"/>
                <w:bCs w:val="1"/>
                <w:color w:val="auto"/>
              </w:rPr>
              <w:t>ESPP</w:t>
            </w:r>
          </w:p>
        </w:tc>
        <w:tc>
          <w:tcPr>
            <w:tcW w:w="13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240"/>
        </w:trPr>
        <w:tc>
          <w:tcPr>
            <w:tcW w:w="40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100" w:type="dxa"/>
            <w:vAlign w:val="bottom"/>
            <w:gridSpan w:val="3"/>
          </w:tcPr>
          <w:p>
            <w:pPr>
              <w:ind w:left="8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13"/>
        </w:trPr>
        <w:tc>
          <w:tcPr>
            <w:tcW w:w="400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2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3"/>
          </w:tcPr>
          <w:p>
            <w:pPr>
              <w:ind w:left="11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223"/>
        </w:trPr>
        <w:tc>
          <w:tcPr>
            <w:tcW w:w="5040" w:type="dxa"/>
            <w:vAlign w:val="bottom"/>
            <w:gridSpan w:val="2"/>
          </w:tcPr>
          <w:p>
            <w:pPr>
              <w:ind w:left="4620"/>
              <w:spacing w:after="0"/>
              <w:rPr>
                <w:sz w:val="20"/>
                <w:szCs w:val="20"/>
                <w:color w:val="auto"/>
              </w:rPr>
            </w:pPr>
            <w:r>
              <w:rPr>
                <w:rFonts w:ascii="Times New Roman" w:cs="Times New Roman" w:eastAsia="Times New Roman" w:hAnsi="Times New Roman"/>
                <w:sz w:val="14"/>
                <w:szCs w:val="14"/>
                <w:b w:val="1"/>
                <w:bCs w:val="1"/>
                <w:color w:val="auto"/>
                <w:w w:val="95"/>
              </w:rPr>
              <w:t>2017</w:t>
            </w:r>
            <w:r>
              <w:rPr>
                <w:rFonts w:ascii="Times New Roman" w:cs="Times New Roman" w:eastAsia="Times New Roman" w:hAnsi="Times New Roman"/>
                <w:sz w:val="12"/>
                <w:szCs w:val="12"/>
                <w:b w:val="1"/>
                <w:bCs w:val="1"/>
                <w:color w:val="auto"/>
                <w:w w:val="95"/>
              </w:rPr>
              <w:t>(1)</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2016</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2017</w:t>
            </w:r>
            <w:r>
              <w:rPr>
                <w:rFonts w:ascii="Times New Roman" w:cs="Times New Roman" w:eastAsia="Times New Roman" w:hAnsi="Times New Roman"/>
                <w:sz w:val="12"/>
                <w:szCs w:val="12"/>
                <w:b w:val="1"/>
                <w:bCs w:val="1"/>
                <w:color w:val="auto"/>
              </w:rPr>
              <w:t>(1)</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80" w:type="dxa"/>
            <w:vAlign w:val="bottom"/>
          </w:tcPr>
          <w:p>
            <w:pPr>
              <w:spacing w:after="0"/>
              <w:rPr>
                <w:sz w:val="19"/>
                <w:szCs w:val="19"/>
                <w:color w:val="auto"/>
              </w:rPr>
            </w:pPr>
          </w:p>
        </w:tc>
      </w:tr>
      <w:tr>
        <w:trPr>
          <w:trHeight w:val="223"/>
        </w:trPr>
        <w:tc>
          <w:tcPr>
            <w:tcW w:w="40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grant date fair value (per share)</w:t>
            </w:r>
          </w:p>
        </w:tc>
        <w:tc>
          <w:tcPr>
            <w:tcW w:w="104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w w:val="96"/>
              </w:rPr>
              <w:t>N/A</w:t>
            </w:r>
          </w:p>
        </w:tc>
        <w:tc>
          <w:tcPr>
            <w:tcW w:w="18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jc w:val="right"/>
              <w:ind w:right="39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3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ind w:left="1060"/>
              <w:spacing w:after="0"/>
              <w:rPr>
                <w:sz w:val="20"/>
                <w:szCs w:val="20"/>
                <w:color w:val="auto"/>
              </w:rPr>
            </w:pPr>
            <w:r>
              <w:rPr>
                <w:rFonts w:ascii="Times New Roman" w:cs="Times New Roman" w:eastAsia="Times New Roman" w:hAnsi="Times New Roman"/>
                <w:sz w:val="18"/>
                <w:szCs w:val="18"/>
                <w:color w:val="auto"/>
                <w:w w:val="96"/>
              </w:rPr>
              <w:t>N/A</w:t>
            </w:r>
          </w:p>
        </w:tc>
        <w:tc>
          <w:tcPr>
            <w:tcW w:w="18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3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N/A</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0.6%</w:t>
            </w:r>
          </w:p>
        </w:tc>
        <w:tc>
          <w:tcPr>
            <w:tcW w:w="320" w:type="dxa"/>
            <w:vAlign w:val="bottom"/>
          </w:tcPr>
          <w:p>
            <w:pPr>
              <w:spacing w:after="0"/>
              <w:rPr>
                <w:sz w:val="19"/>
                <w:szCs w:val="19"/>
                <w:color w:val="auto"/>
              </w:rPr>
            </w:pPr>
          </w:p>
        </w:tc>
        <w:tc>
          <w:tcPr>
            <w:tcW w:w="210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N/A</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0.6%</w:t>
            </w:r>
          </w:p>
        </w:tc>
      </w:tr>
      <w:tr>
        <w:trPr>
          <w:trHeight w:val="230"/>
        </w:trPr>
        <w:tc>
          <w:tcPr>
            <w:tcW w:w="5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380" w:type="dxa"/>
            <w:vAlign w:val="bottom"/>
            <w:gridSpan w:val="3"/>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N/A</w:t>
            </w: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0.0%</w:t>
            </w:r>
          </w:p>
        </w:tc>
        <w:tc>
          <w:tcPr>
            <w:tcW w:w="320" w:type="dxa"/>
            <w:vAlign w:val="bottom"/>
            <w:shd w:val="clear" w:color="auto" w:fill="CFF0FC"/>
          </w:tcPr>
          <w:p>
            <w:pPr>
              <w:spacing w:after="0"/>
              <w:rPr>
                <w:sz w:val="19"/>
                <w:szCs w:val="19"/>
                <w:color w:val="auto"/>
              </w:rPr>
            </w:pPr>
          </w:p>
        </w:tc>
        <w:tc>
          <w:tcPr>
            <w:tcW w:w="2100" w:type="dxa"/>
            <w:vAlign w:val="bottom"/>
            <w:gridSpan w:val="3"/>
            <w:shd w:val="clear" w:color="auto" w:fill="CFF0FC"/>
          </w:tcPr>
          <w:p>
            <w:pPr>
              <w:ind w:left="1060"/>
              <w:spacing w:after="0"/>
              <w:rPr>
                <w:sz w:val="20"/>
                <w:szCs w:val="20"/>
                <w:color w:val="auto"/>
              </w:rPr>
            </w:pPr>
            <w:r>
              <w:rPr>
                <w:rFonts w:ascii="Times New Roman" w:cs="Times New Roman" w:eastAsia="Times New Roman" w:hAnsi="Times New Roman"/>
                <w:sz w:val="18"/>
                <w:szCs w:val="18"/>
                <w:color w:val="auto"/>
              </w:rPr>
              <w:t>N/A</w:t>
            </w: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r>
      <w:tr>
        <w:trPr>
          <w:trHeight w:val="230"/>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3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N/A</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56.9%</w:t>
            </w:r>
          </w:p>
        </w:tc>
        <w:tc>
          <w:tcPr>
            <w:tcW w:w="320" w:type="dxa"/>
            <w:vAlign w:val="bottom"/>
          </w:tcPr>
          <w:p>
            <w:pPr>
              <w:spacing w:after="0"/>
              <w:rPr>
                <w:sz w:val="19"/>
                <w:szCs w:val="19"/>
                <w:color w:val="auto"/>
              </w:rPr>
            </w:pPr>
          </w:p>
        </w:tc>
        <w:tc>
          <w:tcPr>
            <w:tcW w:w="210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N/A</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56.9%</w:t>
            </w:r>
          </w:p>
        </w:tc>
      </w:tr>
      <w:tr>
        <w:trPr>
          <w:trHeight w:val="230"/>
        </w:trPr>
        <w:tc>
          <w:tcPr>
            <w:tcW w:w="5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380" w:type="dxa"/>
            <w:vAlign w:val="bottom"/>
            <w:gridSpan w:val="3"/>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N/A</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100" w:type="dxa"/>
            <w:vAlign w:val="bottom"/>
            <w:gridSpan w:val="3"/>
            <w:shd w:val="clear" w:color="auto" w:fill="CFF0FC"/>
          </w:tcPr>
          <w:p>
            <w:pPr>
              <w:ind w:left="1060"/>
              <w:spacing w:after="0"/>
              <w:rPr>
                <w:sz w:val="20"/>
                <w:szCs w:val="20"/>
                <w:color w:val="auto"/>
              </w:rPr>
            </w:pPr>
            <w:r>
              <w:rPr>
                <w:rFonts w:ascii="Times New Roman" w:cs="Times New Roman" w:eastAsia="Times New Roman" w:hAnsi="Times New Roman"/>
                <w:sz w:val="18"/>
                <w:szCs w:val="18"/>
                <w:color w:val="auto"/>
              </w:rPr>
              <w:t>N/A</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shd w:val="clear" w:color="auto" w:fill="CFF0FC"/>
          </w:tcPr>
          <w:p>
            <w:pPr>
              <w:spacing w:after="0"/>
              <w:rPr>
                <w:sz w:val="19"/>
                <w:szCs w:val="19"/>
                <w:color w:val="auto"/>
              </w:rPr>
            </w:pPr>
          </w:p>
        </w:tc>
      </w:tr>
    </w:tbl>
    <w:p>
      <w:pPr>
        <w:spacing w:after="0" w:line="198" w:lineRule="exact"/>
        <w:rPr>
          <w:sz w:val="20"/>
          <w:szCs w:val="20"/>
          <w:color w:val="auto"/>
        </w:rPr>
      </w:pPr>
    </w:p>
    <w:p>
      <w:pPr>
        <w:ind w:left="380"/>
        <w:spacing w:after="0"/>
        <w:tabs>
          <w:tab w:leader="none" w:pos="740" w:val="left"/>
        </w:tabs>
        <w:rPr>
          <w:sz w:val="20"/>
          <w:szCs w:val="20"/>
          <w:color w:val="auto"/>
        </w:rPr>
      </w:pPr>
      <w:r>
        <w:rPr>
          <w:rFonts w:ascii="Times New Roman" w:cs="Times New Roman" w:eastAsia="Times New Roman" w:hAnsi="Times New Roman"/>
          <w:sz w:val="18"/>
          <w:szCs w:val="18"/>
          <w:color w:val="auto"/>
        </w:rPr>
        <w:t>(1)</w:t>
        <w:tab/>
        <w:t>There were no grants made pursuant to the ESPP during the three and six months ended June 30, 2017.</w:t>
      </w:r>
    </w:p>
    <w:p>
      <w:pPr>
        <w:spacing w:after="0" w:line="200" w:lineRule="exact"/>
        <w:rPr>
          <w:sz w:val="20"/>
          <w:szCs w:val="20"/>
          <w:color w:val="auto"/>
        </w:rPr>
      </w:pPr>
    </w:p>
    <w:p>
      <w:pPr>
        <w:spacing w:after="0" w:line="24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table summarizes the allocation of stock-based compensation expense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60" w:type="dxa"/>
            <w:vAlign w:val="bottom"/>
            <w:gridSpan w:val="4"/>
          </w:tcPr>
          <w:p>
            <w:pPr>
              <w:jc w:val="right"/>
              <w:ind w:right="65"/>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3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4"/>
          </w:tcPr>
          <w:p>
            <w:pPr>
              <w:jc w:val="right"/>
              <w:ind w:right="38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3240" w:type="dxa"/>
            <w:vAlign w:val="bottom"/>
          </w:tcPr>
          <w:p>
            <w:pPr>
              <w:spacing w:after="0"/>
              <w:rPr>
                <w:sz w:val="19"/>
                <w:szCs w:val="19"/>
                <w:color w:val="auto"/>
              </w:rPr>
            </w:pP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2017</w:t>
            </w: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2016</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578"/>
              <w:spacing w:after="0"/>
              <w:rPr>
                <w:sz w:val="20"/>
                <w:szCs w:val="20"/>
                <w:color w:val="auto"/>
              </w:rPr>
            </w:pPr>
            <w:r>
              <w:rPr>
                <w:rFonts w:ascii="Times New Roman" w:cs="Times New Roman" w:eastAsia="Times New Roman" w:hAnsi="Times New Roman"/>
                <w:sz w:val="14"/>
                <w:szCs w:val="14"/>
                <w:b w:val="1"/>
                <w:bCs w:val="1"/>
                <w:color w:val="auto"/>
              </w:rPr>
              <w:t>2017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9"/>
                <w:szCs w:val="19"/>
                <w:color w:val="auto"/>
              </w:rPr>
            </w:pPr>
          </w:p>
        </w:tc>
      </w:tr>
      <w:tr>
        <w:trPr>
          <w:trHeight w:val="223"/>
        </w:trPr>
        <w:tc>
          <w:tcPr>
            <w:tcW w:w="32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84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28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2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jc w:val="right"/>
              <w:ind w:right="405"/>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&amp; administrative</w:t>
            </w:r>
          </w:p>
        </w:tc>
        <w:tc>
          <w:tcPr>
            <w:tcW w:w="8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4,001</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2,422</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4,672</w:t>
            </w:r>
          </w:p>
        </w:tc>
        <w:tc>
          <w:tcPr>
            <w:tcW w:w="100" w:type="dxa"/>
            <w:vAlign w:val="bottom"/>
          </w:tcPr>
          <w:p>
            <w:pPr>
              <w:spacing w:after="0"/>
              <w:rPr>
                <w:sz w:val="19"/>
                <w:szCs w:val="19"/>
                <w:color w:val="auto"/>
              </w:rPr>
            </w:pPr>
          </w:p>
        </w:tc>
      </w:tr>
      <w:tr>
        <w:trPr>
          <w:trHeight w:val="230"/>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84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28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00" w:type="dxa"/>
            <w:vAlign w:val="bottom"/>
            <w:shd w:val="clear" w:color="auto" w:fill="CFF0FC"/>
          </w:tcPr>
          <w:p>
            <w:pPr>
              <w:spacing w:after="0"/>
              <w:rPr>
                <w:sz w:val="19"/>
                <w:szCs w:val="19"/>
                <w:color w:val="auto"/>
              </w:rPr>
            </w:pPr>
          </w:p>
        </w:tc>
      </w:tr>
      <w:tr>
        <w:trPr>
          <w:trHeight w:val="223"/>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840" w:type="dxa"/>
            <w:vAlign w:val="bottom"/>
          </w:tcPr>
          <w:p>
            <w:pPr>
              <w:spacing w:after="0"/>
              <w:rPr>
                <w:sz w:val="19"/>
                <w:szCs w:val="19"/>
                <w:color w:val="auto"/>
              </w:rPr>
            </w:pPr>
          </w:p>
        </w:tc>
        <w:tc>
          <w:tcPr>
            <w:tcW w:w="102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5,146</w:t>
            </w:r>
          </w:p>
        </w:tc>
        <w:tc>
          <w:tcPr>
            <w:tcW w:w="28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3,029</w:t>
            </w:r>
          </w:p>
        </w:tc>
        <w:tc>
          <w:tcPr>
            <w:tcW w:w="28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8,110</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5,828</w:t>
            </w:r>
          </w:p>
        </w:tc>
        <w:tc>
          <w:tcPr>
            <w:tcW w:w="100" w:type="dxa"/>
            <w:vAlign w:val="bottom"/>
          </w:tcPr>
          <w:p>
            <w:pPr>
              <w:spacing w:after="0"/>
              <w:rPr>
                <w:sz w:val="19"/>
                <w:szCs w:val="19"/>
                <w:color w:val="auto"/>
              </w:rPr>
            </w:pPr>
          </w:p>
        </w:tc>
      </w:tr>
      <w:tr>
        <w:trPr>
          <w:trHeight w:val="20"/>
        </w:trPr>
        <w:tc>
          <w:tcPr>
            <w:tcW w:w="3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120" w:firstLine="571"/>
        <w:spacing w:after="0" w:line="282" w:lineRule="auto"/>
        <w:rPr>
          <w:sz w:val="20"/>
          <w:szCs w:val="20"/>
          <w:color w:val="auto"/>
        </w:rPr>
      </w:pPr>
      <w:r>
        <w:rPr>
          <w:rFonts w:ascii="Times New Roman" w:cs="Times New Roman" w:eastAsia="Times New Roman" w:hAnsi="Times New Roman"/>
          <w:sz w:val="18"/>
          <w:szCs w:val="18"/>
          <w:color w:val="auto"/>
        </w:rPr>
        <w:t>The total stock-based compensation capitalized as part of the cost of inventory was $0.3 million and $0.2 million at June 30, 2017 and December 31, 2016,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Commitments and Contingencies</w:t>
      </w:r>
    </w:p>
    <w:p>
      <w:pPr>
        <w:spacing w:after="0" w:line="229" w:lineRule="exact"/>
        <w:rPr>
          <w:sz w:val="20"/>
          <w:szCs w:val="20"/>
          <w:color w:val="auto"/>
        </w:rPr>
      </w:pPr>
    </w:p>
    <w:p>
      <w:pPr>
        <w:ind w:right="20" w:firstLine="571"/>
        <w:spacing w:after="0" w:line="255" w:lineRule="auto"/>
        <w:rPr>
          <w:sz w:val="20"/>
          <w:szCs w:val="20"/>
          <w:color w:val="auto"/>
        </w:rPr>
      </w:pPr>
      <w:r>
        <w:rPr>
          <w:rFonts w:ascii="Times New Roman" w:cs="Times New Roman" w:eastAsia="Times New Roman" w:hAnsi="Times New Roman"/>
          <w:sz w:val="18"/>
          <w:szCs w:val="18"/>
          <w:color w:val="auto"/>
        </w:rPr>
        <w:t>From time to time, the Company may be subject to legal proceedings, regulatory encounters or other matters arising in the ordinary course of business, including actions with respect to intellectual property, employment, product liability, and contractual matters. In connection with these matters, the Company assesses, on a regular basis, the probability and range of possible loss based on the developments in these matters. A liability is recorded in the financial statements if it is determined that it is probable that a loss has been incurred, and that the amount of the loss can be reasonably estimated. Because of the uncertainties related to the occurrence, amount, and range of loss on any pending actions, the Company is currently unable to predict their ultimate outcome, and, with respect to any pending litigation or claim where no liability has been accrued, to make a meaningful estimate of the reasonably possible loss or range of loss that could result from an unfavorable outcome. At each of June 30, 2017 and December 31, 2016, there were no legal proceedings, regulatory encounters or other matters for which the negative outcome was considered probable or estimable.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12" w:right="239" w:bottom="1440" w:gutter="0" w:footer="0" w:header="0"/>
        </w:sectPr>
      </w:pPr>
    </w:p>
    <w:bookmarkStart w:id="15" w:name="page16"/>
    <w:bookmarkEnd w:id="15"/>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7" w:lineRule="exact"/>
        <w:rPr>
          <w:sz w:val="20"/>
          <w:szCs w:val="20"/>
          <w:color w:val="auto"/>
        </w:rPr>
      </w:pPr>
    </w:p>
    <w:p>
      <w:pPr>
        <w:ind w:right="440" w:firstLine="571"/>
        <w:spacing w:after="0" w:line="284"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together with our financial statements and related notes in Part I, Item 1 of this Quarterly Report on Form 10-Q for the period ended June 30, 2017, or this Quarterly Report.</w:t>
      </w:r>
    </w:p>
    <w:p>
      <w:pPr>
        <w:spacing w:after="0" w:line="158" w:lineRule="exact"/>
        <w:rPr>
          <w:sz w:val="20"/>
          <w:szCs w:val="20"/>
          <w:color w:val="auto"/>
        </w:rPr>
      </w:pPr>
    </w:p>
    <w:p>
      <w:pPr>
        <w:ind w:right="60" w:firstLine="571"/>
        <w:spacing w:after="0" w:line="254" w:lineRule="auto"/>
        <w:rPr>
          <w:sz w:val="20"/>
          <w:szCs w:val="20"/>
          <w:color w:val="auto"/>
        </w:rPr>
      </w:pPr>
      <w:r>
        <w:rPr>
          <w:rFonts w:ascii="Times New Roman" w:cs="Times New Roman" w:eastAsia="Times New Roman" w:hAnsi="Times New Roman"/>
          <w:sz w:val="18"/>
          <w:szCs w:val="18"/>
          <w:i w:val="1"/>
          <w:iCs w:val="1"/>
          <w:color w:val="auto"/>
        </w:rPr>
        <w:t>This Quarterly Report contains forward-looking statements within the meaning of the federal securities laws. These forward-looking statements are intended to qualify for the safe harbor from liability established by the Private Securities Litigation Reform Act of 1995. All statements included or incorporated by reference in this Quarterly Report, other than statements of historical fact, are forward-looking statements. You can identify forward-looking statements by the use of words such as “may,” “will,” “could,” “anticipate,” “expect,” “intend,” “believe,” “continue” or the negative of such terms, or other comparable terminology. Forward-looking statements also include the assumptions underlying or relating to such statements. In particular, forward-looking statements contained in this Quarterly Report may relate to, among other things, our future financial condition (including our ability to continue as a going concern, to raise additional capital and to succeed in our future operations), results of operations, liquidity, business forecasts and plans, research and product development plans, manufacturing plans, strategic plans and objectives, capital needs and financing plans, product launches, regulatory approvals, competitive environment, and the application of accounting guidance. We caution you that the foregoing list may not include all of the forward-looking statements made in this Quarterly Report.</w:t>
      </w:r>
    </w:p>
    <w:p>
      <w:pPr>
        <w:spacing w:after="0" w:line="186" w:lineRule="exact"/>
        <w:rPr>
          <w:sz w:val="20"/>
          <w:szCs w:val="20"/>
          <w:color w:val="auto"/>
        </w:rPr>
      </w:pPr>
    </w:p>
    <w:p>
      <w:pPr>
        <w:ind w:right="40" w:firstLine="571"/>
        <w:spacing w:after="0" w:line="275" w:lineRule="auto"/>
        <w:rPr>
          <w:sz w:val="20"/>
          <w:szCs w:val="20"/>
          <w:color w:val="auto"/>
        </w:rPr>
      </w:pPr>
      <w:r>
        <w:rPr>
          <w:rFonts w:ascii="Times New Roman" w:cs="Times New Roman" w:eastAsia="Times New Roman" w:hAnsi="Times New Roman"/>
          <w:sz w:val="17"/>
          <w:szCs w:val="17"/>
          <w:i w:val="1"/>
          <w:iCs w:val="1"/>
          <w:color w:val="auto"/>
        </w:rPr>
        <w:t>Our forward-looking statements are based on our management’s current assumptions and expectations about future events and trends, which affect or may affect our business, strategy, operations or financial performance. Although we believe that these forward-looking statements are based upon reasonable assumptions, they are subject to numerous known and unknown risks and uncertainties and are made in light of information currently available to us. Our actual financial condition and results could differ materially from those anticipated in these forward-looking statements as a result of various factors, including those set forth below in the section entitled “Risk Factors” in Part II, Item 1A, and elsewhere in this Quarterly Report. You should read this Quarterly Report with the understanding that our actual future financial condition and results may be materially different and worse from what we expect.</w:t>
      </w:r>
    </w:p>
    <w:p>
      <w:pPr>
        <w:spacing w:after="0" w:line="169" w:lineRule="exact"/>
        <w:rPr>
          <w:sz w:val="20"/>
          <w:szCs w:val="20"/>
          <w:color w:val="auto"/>
        </w:rPr>
      </w:pPr>
    </w:p>
    <w:p>
      <w:pPr>
        <w:ind w:right="420" w:firstLine="571"/>
        <w:spacing w:after="0" w:line="267" w:lineRule="auto"/>
        <w:rPr>
          <w:sz w:val="20"/>
          <w:szCs w:val="20"/>
          <w:color w:val="auto"/>
        </w:rPr>
      </w:pPr>
      <w:r>
        <w:rPr>
          <w:rFonts w:ascii="Times New Roman" w:cs="Times New Roman" w:eastAsia="Times New Roman" w:hAnsi="Times New Roman"/>
          <w:sz w:val="18"/>
          <w:szCs w:val="18"/>
          <w:i w:val="1"/>
          <w:iCs w:val="1"/>
          <w:color w:val="auto"/>
        </w:rPr>
        <w:t>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w:t>
      </w:r>
    </w:p>
    <w:p>
      <w:pPr>
        <w:spacing w:after="0" w:line="174" w:lineRule="exact"/>
        <w:rPr>
          <w:sz w:val="20"/>
          <w:szCs w:val="20"/>
          <w:color w:val="auto"/>
        </w:rPr>
      </w:pPr>
    </w:p>
    <w:p>
      <w:pPr>
        <w:ind w:right="200" w:firstLine="571"/>
        <w:spacing w:after="0" w:line="284" w:lineRule="auto"/>
        <w:rPr>
          <w:sz w:val="20"/>
          <w:szCs w:val="20"/>
          <w:color w:val="auto"/>
        </w:rPr>
      </w:pPr>
      <w:r>
        <w:rPr>
          <w:rFonts w:ascii="Times New Roman" w:cs="Times New Roman" w:eastAsia="Times New Roman" w:hAnsi="Times New Roman"/>
          <w:sz w:val="18"/>
          <w:szCs w:val="18"/>
          <w:i w:val="1"/>
          <w:iCs w:val="1"/>
          <w:color w:val="auto"/>
        </w:rPr>
        <w:t>Forward-looking statements speak only as of the date they were made, and, except to the extent required by law or the rules of the NASDAQ Global Market, we undertake no obligation to update or review any forward-looking statement because of new information, future events or other factors.</w:t>
      </w:r>
    </w:p>
    <w:p>
      <w:pPr>
        <w:spacing w:after="0" w:line="15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We qualify all of our forward-looking statements by these cautionary statements.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20" w:firstLine="571"/>
        <w:spacing w:after="0" w:line="258" w:lineRule="auto"/>
        <w:rPr>
          <w:sz w:val="20"/>
          <w:szCs w:val="20"/>
          <w:color w:val="auto"/>
        </w:rPr>
      </w:pPr>
      <w:r>
        <w:rPr>
          <w:rFonts w:ascii="Times New Roman" w:cs="Times New Roman" w:eastAsia="Times New Roman" w:hAnsi="Times New Roman"/>
          <w:sz w:val="18"/>
          <w:szCs w:val="18"/>
          <w:color w:val="auto"/>
        </w:rPr>
        <w:t>We are a medical device company with an innovative approach to the design, development and commercialization of products for people with insulin-dependent diabetes. We believe that our competitive advantage is rooted in our unique consumer-focused approach and proprietary technology platform. This allows us to deliver innovative hardware and software solutions to meet the various needs and preferences of people with diabetes and their healthcare providers. We manufacture and sell insulin pump products in the United States that are designed to address large and differentiated segments of the insulin-dependent diabetes market. Our insulin pump products include:</w:t>
      </w:r>
    </w:p>
    <w:p>
      <w:pPr>
        <w:spacing w:after="0" w:line="184" w:lineRule="exact"/>
        <w:rPr>
          <w:sz w:val="20"/>
          <w:szCs w:val="20"/>
          <w:color w:val="auto"/>
        </w:rPr>
      </w:pPr>
    </w:p>
    <w:p>
      <w:pPr>
        <w:ind w:left="760" w:hanging="374"/>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t:slim X2 Insulin Delivery System, or t:slim X2, our next-generation flagship product,</w:t>
      </w:r>
    </w:p>
    <w:p>
      <w:pPr>
        <w:spacing w:after="0" w:line="2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t:flex Insulin Delivery System, or t:flex, for people with greater insulin needs, and</w:t>
      </w:r>
    </w:p>
    <w:p>
      <w:pPr>
        <w:spacing w:after="0" w:line="9"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t:slim G4 Insulin Delivery System, or t:slim G4, the first continuous glucose monitoring, or CGM, enabled pump with touchscreen simplicity.</w:t>
      </w:r>
    </w:p>
    <w:p>
      <w:pPr>
        <w:spacing w:after="0" w:line="207" w:lineRule="exact"/>
        <w:rPr>
          <w:sz w:val="20"/>
          <w:szCs w:val="20"/>
          <w:color w:val="auto"/>
        </w:rPr>
      </w:pPr>
    </w:p>
    <w:p>
      <w:pPr>
        <w:ind w:right="180" w:firstLine="588"/>
        <w:spacing w:after="0" w:line="266" w:lineRule="auto"/>
        <w:rPr>
          <w:sz w:val="20"/>
          <w:szCs w:val="20"/>
          <w:color w:val="auto"/>
        </w:rPr>
      </w:pPr>
      <w:r>
        <w:rPr>
          <w:rFonts w:ascii="Times New Roman" w:cs="Times New Roman" w:eastAsia="Times New Roman" w:hAnsi="Times New Roman"/>
          <w:sz w:val="18"/>
          <w:szCs w:val="18"/>
          <w:color w:val="auto"/>
        </w:rPr>
        <w:t>We have shipped more than 57,000 insulin pumps since our initial launch in August 2012 and more than 50,000 pumps in the four years ended June 30, 2017. For the past three consecutive years, our company has been ranked #1 by insulin pump users in the United States for customer support in an independent survey by dQ&amp;A, a leading diabetes research firm.</w:t>
      </w:r>
    </w:p>
    <w:p>
      <w:pPr>
        <w:spacing w:after="0" w:line="176" w:lineRule="exact"/>
        <w:rPr>
          <w:sz w:val="20"/>
          <w:szCs w:val="20"/>
          <w:color w:val="auto"/>
        </w:rPr>
      </w:pPr>
    </w:p>
    <w:p>
      <w:pPr>
        <w:ind w:firstLine="571"/>
        <w:spacing w:after="0" w:line="256" w:lineRule="auto"/>
        <w:rPr>
          <w:sz w:val="20"/>
          <w:szCs w:val="20"/>
          <w:color w:val="auto"/>
        </w:rPr>
      </w:pPr>
      <w:r>
        <w:rPr>
          <w:rFonts w:ascii="Times New Roman" w:cs="Times New Roman" w:eastAsia="Times New Roman" w:hAnsi="Times New Roman"/>
          <w:sz w:val="18"/>
          <w:szCs w:val="18"/>
          <w:color w:val="auto"/>
        </w:rPr>
        <w:t>We have successfully launched four insulin pump products, beginning with the commercialization of our first insulin pump product, the t:slim Insulin Delivery System, or t:slim, in August 2012. During 2015, we commenced commercial sales of two additional insulin pumps: t:flex in May 2015 and t:slim G4 in September 2015. In October 2016, we commenced commercial sales of t:slim X2, and discontinued new sales of t:slim. t:slim, t:slim X2 and t:flex are compatible with the Tandem Device Updater, a revolutionary new tool that allows pump users to update their pumps’ software quickly and easily from a personal computer. The Tandem Device Updater provides our customers access to new and enhanced features faster than the industry has been able to in the past. Its first cleared use by the U.S. Food and Drug Administration, or FDA, was to update t:slim Pumps purchased before April 2015</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6" w:name="page17"/>
    <w:bookmarkEnd w:id="16"/>
    <w:p>
      <w:pPr>
        <w:ind w:right="100"/>
        <w:spacing w:after="0" w:line="261" w:lineRule="auto"/>
        <w:rPr>
          <w:sz w:val="20"/>
          <w:szCs w:val="20"/>
          <w:color w:val="auto"/>
        </w:rPr>
      </w:pPr>
      <w:r>
        <w:rPr>
          <w:rFonts w:ascii="Times New Roman" w:cs="Times New Roman" w:eastAsia="Times New Roman" w:hAnsi="Times New Roman"/>
          <w:sz w:val="18"/>
          <w:szCs w:val="18"/>
          <w:color w:val="auto"/>
        </w:rPr>
        <w:t>to the latest software. In the first quarter of 2017, we filed a regulatory submission with the FDA to permit t:slim X2 customers to update their pumps’ software using the Tandem Device Updater to allow integration with the DexCom G5 Mobile CGM system. Subject to FDA approval, we intend to offer this update to t:slim X2 customers free of charge. In the future, this tool has the potential to enable users to add other new features and functionality to their pumps, such as automated insulin delivery, or AID, algorithms, independent of the typical four-year insurance pump replacement cycle.</w:t>
      </w:r>
    </w:p>
    <w:p>
      <w:pPr>
        <w:spacing w:after="0" w:line="180" w:lineRule="exact"/>
        <w:rPr>
          <w:sz w:val="20"/>
          <w:szCs w:val="20"/>
          <w:color w:val="auto"/>
        </w:rPr>
      </w:pPr>
    </w:p>
    <w:p>
      <w:pPr>
        <w:ind w:right="80" w:firstLine="571"/>
        <w:spacing w:after="0" w:line="258" w:lineRule="auto"/>
        <w:rPr>
          <w:sz w:val="20"/>
          <w:szCs w:val="20"/>
          <w:color w:val="auto"/>
        </w:rPr>
      </w:pPr>
      <w:r>
        <w:rPr>
          <w:rFonts w:ascii="Times New Roman" w:cs="Times New Roman" w:eastAsia="Times New Roman" w:hAnsi="Times New Roman"/>
          <w:sz w:val="18"/>
          <w:szCs w:val="18"/>
          <w:color w:val="auto"/>
        </w:rPr>
        <w:t>Our innovative approach to product design and development is consumer-focused and based on our extensive market research, as we believe the user is the primary decision maker when purchasing an insulin pump. Our market research consists of interviews, focus groups and online surveys to understand what people with diabetes, their caregivers and healthcare providers are seeking in order to improve diabetes therapy management. We also apply the science of human factors to our design and development process, which seeks to optimize our devices, allowing users to successfully operate our devices in their intended environment.</w:t>
      </w:r>
    </w:p>
    <w:p>
      <w:pPr>
        <w:spacing w:after="0" w:line="184" w:lineRule="exact"/>
        <w:rPr>
          <w:sz w:val="20"/>
          <w:szCs w:val="20"/>
          <w:color w:val="auto"/>
        </w:rPr>
      </w:pPr>
    </w:p>
    <w:p>
      <w:pPr>
        <w:ind w:firstLine="571"/>
        <w:spacing w:after="0" w:line="255" w:lineRule="auto"/>
        <w:rPr>
          <w:sz w:val="20"/>
          <w:szCs w:val="20"/>
          <w:color w:val="auto"/>
        </w:rPr>
      </w:pPr>
      <w:r>
        <w:rPr>
          <w:rFonts w:ascii="Times New Roman" w:cs="Times New Roman" w:eastAsia="Times New Roman" w:hAnsi="Times New Roman"/>
          <w:sz w:val="18"/>
          <w:szCs w:val="18"/>
          <w:color w:val="auto"/>
        </w:rPr>
        <w:t>We developed our products to provide the specific features that people with insulin-dependent diabetes seek in a next-generation insulin pump. Our proprietary pumping technology allows us to design the slimmest and smallest durable insulin pumps on the market, without sacrificing insulin capacity. Our insulin pump platform features our patented Micro-Delivery technology, and a miniaturized pumping mechanism that draws insulin from a flexible bag within the pump’s cartridge, rather than relying on a syringe and plunger mechanism. It also features an easy-to-navigate software architecture, a vivid color touchscreen and a micro-USB connection that supports a rechargeable battery, software updates through the Tandem Device Updater, and uploads to t:connect Diabetes Management Application, or t:connect. t:connect is our custom cloud-based data management application that provides customers and healthcare providers a fast, easy and visual way to display therapy management data from the pump and supported blood glucose meters. Our next generation pump, t:slim X2, also features an advanced Bluetooth radio capable of communicating with multiple compatible devices.</w:t>
      </w:r>
    </w:p>
    <w:p>
      <w:pPr>
        <w:spacing w:after="0" w:line="185" w:lineRule="exact"/>
        <w:rPr>
          <w:sz w:val="20"/>
          <w:szCs w:val="20"/>
          <w:color w:val="auto"/>
        </w:rPr>
      </w:pPr>
    </w:p>
    <w:p>
      <w:pPr>
        <w:ind w:firstLine="571"/>
        <w:spacing w:after="0" w:line="256" w:lineRule="auto"/>
        <w:rPr>
          <w:sz w:val="20"/>
          <w:szCs w:val="20"/>
          <w:color w:val="auto"/>
        </w:rPr>
      </w:pPr>
      <w:r>
        <w:rPr>
          <w:rFonts w:ascii="Times New Roman" w:cs="Times New Roman" w:eastAsia="Times New Roman" w:hAnsi="Times New Roman"/>
          <w:sz w:val="18"/>
          <w:szCs w:val="18"/>
          <w:color w:val="auto"/>
        </w:rPr>
        <w:t>We have rapidly increased sales since our commercial launch by expanding our sales, clinical and marketing infrastructure, by developing, commercializing and marketing multiple differentiated products that utilize our technology platform and consumer-focused approach, and by providing strong customer support. We believe that by demonstrating our product benefits and the shortcomings of existing insulin therapies, more people will choose our insulin pumps for their therapy needs, allowing us to further penetrate and expand the market. We also believe we are well positioned to address consumers’ needs and preferences with our current products and products under development and by offering customers a pathway to our future innovations through the Tandem Device Updater as they are approved by the FDA.</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Products under Development</w:t>
      </w:r>
    </w:p>
    <w:p>
      <w:pPr>
        <w:spacing w:after="0" w:line="229" w:lineRule="exact"/>
        <w:rPr>
          <w:sz w:val="20"/>
          <w:szCs w:val="20"/>
          <w:color w:val="auto"/>
        </w:rPr>
      </w:pPr>
    </w:p>
    <w:p>
      <w:pPr>
        <w:ind w:right="120" w:firstLine="571"/>
        <w:spacing w:after="0" w:line="266" w:lineRule="auto"/>
        <w:rPr>
          <w:sz w:val="20"/>
          <w:szCs w:val="20"/>
          <w:color w:val="auto"/>
        </w:rPr>
      </w:pPr>
      <w:r>
        <w:rPr>
          <w:rFonts w:ascii="Times New Roman" w:cs="Times New Roman" w:eastAsia="Times New Roman" w:hAnsi="Times New Roman"/>
          <w:sz w:val="18"/>
          <w:szCs w:val="18"/>
          <w:color w:val="auto"/>
        </w:rPr>
        <w:t>Our products under development support our strategy of focusing on both consumer and clinical needs. We intend to leverage our consumer-focused approach and proprietary technology platform to continue to develop products that have the features and functionality that will allow us to target people in different segments of the insulin-dependent diabetes market. Our current pump products under development include:</w:t>
      </w:r>
    </w:p>
    <w:p>
      <w:pPr>
        <w:spacing w:after="0" w:line="176" w:lineRule="exact"/>
        <w:rPr>
          <w:sz w:val="20"/>
          <w:szCs w:val="20"/>
          <w:color w:val="auto"/>
        </w:rPr>
      </w:pPr>
    </w:p>
    <w:p>
      <w:pPr>
        <w:ind w:left="760" w:right="180" w:hanging="374"/>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t:slim X2 with G5 integration – This product, which is currently under FDA review, is designed to display DexCom G5 CGM sensor information directly on the pump Home Screen. We intend to launch the product within thirty (30) days following approval.</w:t>
      </w:r>
    </w:p>
    <w:p>
      <w:pPr>
        <w:spacing w:after="0" w:line="161" w:lineRule="exact"/>
        <w:rPr>
          <w:rFonts w:ascii="Times New Roman" w:cs="Times New Roman" w:eastAsia="Times New Roman" w:hAnsi="Times New Roman"/>
          <w:sz w:val="18"/>
          <w:szCs w:val="18"/>
          <w:color w:val="auto"/>
        </w:rPr>
      </w:pPr>
    </w:p>
    <w:p>
      <w:pPr>
        <w:ind w:left="760" w:right="80" w:hanging="374"/>
        <w:spacing w:after="0" w:line="258"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t:slim X2 with PLGS – Our first generation AID system is expected to include a predictive low glucose suspend, or PLGS, algorithm that utilizes DexCom G5 sensor values. During 2016, we completed a feasibility study of our PLGS algorithm. The data from this feasibility study was used in an IDE submission for a pivotal study, which was approved by the FDA in May 2017. We expect to begin a pivotal study in the third quarter of 2017 and anticipate that it will conclude by the end of 2017. Once reports from the clinical trial sites are finalized, we intend to use the results in a PMA submission with the FDA. Based on this timing, our goal is to launch the product in the summer of 2018.</w:t>
      </w:r>
    </w:p>
    <w:p>
      <w:pPr>
        <w:spacing w:after="0" w:line="183" w:lineRule="exact"/>
        <w:rPr>
          <w:rFonts w:ascii="Times New Roman" w:cs="Times New Roman" w:eastAsia="Times New Roman" w:hAnsi="Times New Roman"/>
          <w:sz w:val="18"/>
          <w:szCs w:val="18"/>
          <w:color w:val="auto"/>
        </w:rPr>
      </w:pPr>
    </w:p>
    <w:p>
      <w:pPr>
        <w:ind w:left="760" w:right="20" w:hanging="374"/>
        <w:spacing w:after="0" w:line="255"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t:slim X2 with TypeZero – Our second generation AID system is expected to integrate the t:slim X2 pump with the treat-to-range technology that we licensed from TypeZero Technologies LLC, as well as DexCom’s G6 sensor. With TypeZero’s technology, our product is intended to both increase and decrease basal insulin based on a person’s predicted blood glucose levels, as well as deliver automated correction boluses. In November 2016, we announced that we are working with DexCom and TypeZero on the integration of our technologies into the National Institute of Health funded International Diabetes Closed Loop Trial, or IDCL Trial. We anticipate that a portion of the trial will utilize a t:slim X2 integrated with TypeZero’s inControl AID algorithms that is designed to automatically adjust a person’s insulin based on information from a DexCom G6 sensor. We intend to use the results from this trial in a PMA submission with the FDA. Subject to both the timely completion of a successful IDCL Trial and future FDA approval, our goal is to launch this product by the end of 2018.</w:t>
      </w:r>
    </w:p>
    <w:p>
      <w:pPr>
        <w:spacing w:after="0" w:line="185" w:lineRule="exact"/>
        <w:rPr>
          <w:rFonts w:ascii="Times New Roman" w:cs="Times New Roman" w:eastAsia="Times New Roman" w:hAnsi="Times New Roman"/>
          <w:sz w:val="18"/>
          <w:szCs w:val="18"/>
          <w:color w:val="auto"/>
        </w:rPr>
      </w:pPr>
    </w:p>
    <w:p>
      <w:pPr>
        <w:ind w:left="760" w:right="100" w:hanging="374"/>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t:sport Insulin Delivery System – This product will be half the size of t:slim and is being designed for people who seek even greater discretion and flexibility with the use of their insulin pump. At this time, there is not a predicate device for an insulin</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7" w:name="page18"/>
    <w:bookmarkEnd w:id="17"/>
    <w:p>
      <w:pPr>
        <w:ind w:left="760" w:right="740"/>
        <w:spacing w:after="0" w:line="282" w:lineRule="auto"/>
        <w:rPr>
          <w:sz w:val="20"/>
          <w:szCs w:val="20"/>
          <w:color w:val="auto"/>
        </w:rPr>
      </w:pPr>
      <w:r>
        <w:rPr>
          <w:rFonts w:ascii="Times New Roman" w:cs="Times New Roman" w:eastAsia="Times New Roman" w:hAnsi="Times New Roman"/>
          <w:sz w:val="18"/>
          <w:szCs w:val="18"/>
          <w:color w:val="auto"/>
        </w:rPr>
        <w:t>pump wirelessly controlled through a mobile device application. The timing of the commercialization of this product will be based on our prioritization of resources and ongoing dialogue with the FDA.</w:t>
      </w:r>
    </w:p>
    <w:p>
      <w:pPr>
        <w:spacing w:after="0" w:line="162" w:lineRule="exact"/>
        <w:rPr>
          <w:sz w:val="20"/>
          <w:szCs w:val="20"/>
          <w:color w:val="auto"/>
        </w:rPr>
      </w:pPr>
    </w:p>
    <w:p>
      <w:pPr>
        <w:ind w:right="60" w:firstLine="571"/>
        <w:spacing w:after="0" w:line="282" w:lineRule="auto"/>
        <w:rPr>
          <w:sz w:val="20"/>
          <w:szCs w:val="20"/>
          <w:color w:val="auto"/>
        </w:rPr>
      </w:pPr>
      <w:r>
        <w:rPr>
          <w:rFonts w:ascii="Times New Roman" w:cs="Times New Roman" w:eastAsia="Times New Roman" w:hAnsi="Times New Roman"/>
          <w:sz w:val="18"/>
          <w:szCs w:val="18"/>
          <w:color w:val="auto"/>
        </w:rPr>
        <w:t>Beginning in the third quarter of 2017, we intend to replace the standard Luer-lok connector that currently joins an infusion set to our cartridge with a custom connector, the t:lock™ Connector.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Pump Shipments</w:t>
      </w:r>
    </w:p>
    <w:p>
      <w:pPr>
        <w:spacing w:after="0" w:line="229" w:lineRule="exact"/>
        <w:rPr>
          <w:sz w:val="20"/>
          <w:szCs w:val="20"/>
          <w:color w:val="auto"/>
        </w:rPr>
      </w:pPr>
    </w:p>
    <w:p>
      <w:pPr>
        <w:ind w:right="80" w:firstLine="571"/>
        <w:spacing w:after="0" w:line="266" w:lineRule="auto"/>
        <w:rPr>
          <w:sz w:val="20"/>
          <w:szCs w:val="20"/>
          <w:color w:val="auto"/>
        </w:rPr>
      </w:pPr>
      <w:r>
        <w:rPr>
          <w:rFonts w:ascii="Times New Roman" w:cs="Times New Roman" w:eastAsia="Times New Roman" w:hAnsi="Times New Roman"/>
          <w:sz w:val="18"/>
          <w:szCs w:val="18"/>
          <w:color w:val="auto"/>
        </w:rPr>
        <w:t>Since inception, we have derived nearly all of our sales from the shipment of insulin pumps and associated supplies in the United States. We consider the number of units shipped per quarter to be an important metric for managing our business. We have shipped more than 57,000 insulin pumps since the initiation of our commercial efforts in 2012. Pump shipments are broken down by product and by fiscal quarter as follows: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080" w:type="dxa"/>
            <w:vAlign w:val="bottom"/>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5200" w:type="dxa"/>
            <w:vAlign w:val="bottom"/>
            <w:tcBorders>
              <w:bottom w:val="single" w:sz="8" w:color="auto"/>
            </w:tcBorders>
            <w:gridSpan w:val="7"/>
          </w:tcPr>
          <w:p>
            <w:pPr>
              <w:jc w:val="center"/>
              <w:ind w:left="106"/>
              <w:spacing w:after="0"/>
              <w:rPr>
                <w:sz w:val="20"/>
                <w:szCs w:val="20"/>
                <w:color w:val="auto"/>
              </w:rPr>
            </w:pPr>
            <w:r>
              <w:rPr>
                <w:rFonts w:ascii="Times New Roman" w:cs="Times New Roman" w:eastAsia="Times New Roman" w:hAnsi="Times New Roman"/>
                <w:sz w:val="14"/>
                <w:szCs w:val="14"/>
                <w:b w:val="1"/>
                <w:bCs w:val="1"/>
                <w:color w:val="auto"/>
              </w:rPr>
              <w:t>Pump Units Shipped for Each of the Three Months Ended in Respective Years</w:t>
            </w:r>
            <w:r>
              <w:rPr>
                <w:rFonts w:ascii="Times New Roman" w:cs="Times New Roman" w:eastAsia="Times New Roman" w:hAnsi="Times New Roman"/>
                <w:sz w:val="12"/>
                <w:szCs w:val="12"/>
                <w:b w:val="1"/>
                <w:bCs w:val="1"/>
                <w:color w:val="auto"/>
              </w:rPr>
              <w:t>(1)</w:t>
            </w:r>
          </w:p>
        </w:tc>
        <w:tc>
          <w:tcPr>
            <w:tcW w:w="2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3080" w:type="dxa"/>
            <w:vAlign w:val="bottom"/>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3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3080" w:type="dxa"/>
            <w:vAlign w:val="bottom"/>
          </w:tcPr>
          <w:p>
            <w:pPr>
              <w:spacing w:after="0"/>
              <w:rPr>
                <w:sz w:val="19"/>
                <w:szCs w:val="19"/>
                <w:color w:val="auto"/>
              </w:rPr>
            </w:pPr>
          </w:p>
        </w:tc>
        <w:tc>
          <w:tcPr>
            <w:tcW w:w="142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20" w:type="dxa"/>
            <w:vAlign w:val="bottom"/>
          </w:tcPr>
          <w:p>
            <w:pPr>
              <w:spacing w:after="0"/>
              <w:rPr>
                <w:sz w:val="19"/>
                <w:szCs w:val="19"/>
                <w:color w:val="auto"/>
              </w:rPr>
            </w:pPr>
          </w:p>
        </w:tc>
        <w:tc>
          <w:tcPr>
            <w:tcW w:w="142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20" w:type="dxa"/>
            <w:vAlign w:val="bottom"/>
          </w:tcPr>
          <w:p>
            <w:pPr>
              <w:spacing w:after="0"/>
              <w:rPr>
                <w:sz w:val="19"/>
                <w:szCs w:val="19"/>
                <w:color w:val="auto"/>
              </w:rPr>
            </w:pPr>
          </w:p>
        </w:tc>
        <w:tc>
          <w:tcPr>
            <w:tcW w:w="16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9"/>
                <w:szCs w:val="19"/>
                <w:color w:val="auto"/>
              </w:rPr>
            </w:pPr>
          </w:p>
        </w:tc>
        <w:tc>
          <w:tcPr>
            <w:tcW w:w="148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3"/>
        </w:trPr>
        <w:tc>
          <w:tcPr>
            <w:tcW w:w="30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2012</w:t>
            </w: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2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30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2013</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6,472</w:t>
            </w:r>
          </w:p>
        </w:tc>
        <w:tc>
          <w:tcPr>
            <w:tcW w:w="100" w:type="dxa"/>
            <w:vAlign w:val="bottom"/>
          </w:tcPr>
          <w:p>
            <w:pPr>
              <w:spacing w:after="0"/>
              <w:rPr>
                <w:sz w:val="19"/>
                <w:szCs w:val="19"/>
                <w:color w:val="auto"/>
              </w:rPr>
            </w:pPr>
          </w:p>
        </w:tc>
      </w:tr>
      <w:tr>
        <w:trPr>
          <w:trHeight w:val="230"/>
        </w:trPr>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2014</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3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2,235</w:t>
            </w:r>
          </w:p>
        </w:tc>
        <w:tc>
          <w:tcPr>
            <w:tcW w:w="3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2,935</w:t>
            </w:r>
          </w:p>
        </w:tc>
        <w:tc>
          <w:tcPr>
            <w:tcW w:w="3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3,929</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10,822</w:t>
            </w:r>
          </w:p>
        </w:tc>
        <w:tc>
          <w:tcPr>
            <w:tcW w:w="100" w:type="dxa"/>
            <w:vAlign w:val="bottom"/>
            <w:shd w:val="clear" w:color="auto" w:fill="CFF0FC"/>
          </w:tcPr>
          <w:p>
            <w:pPr>
              <w:spacing w:after="0"/>
              <w:rPr>
                <w:sz w:val="19"/>
                <w:szCs w:val="19"/>
                <w:color w:val="auto"/>
              </w:rPr>
            </w:pPr>
          </w:p>
        </w:tc>
      </w:tr>
      <w:tr>
        <w:trPr>
          <w:trHeight w:val="230"/>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2015</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2,487</w:t>
            </w: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3,331</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3,431</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15,483</w:t>
            </w:r>
          </w:p>
        </w:tc>
        <w:tc>
          <w:tcPr>
            <w:tcW w:w="100" w:type="dxa"/>
            <w:vAlign w:val="bottom"/>
          </w:tcPr>
          <w:p>
            <w:pPr>
              <w:spacing w:after="0"/>
              <w:rPr>
                <w:sz w:val="19"/>
                <w:szCs w:val="19"/>
                <w:color w:val="auto"/>
              </w:rPr>
            </w:pPr>
          </w:p>
        </w:tc>
      </w:tr>
      <w:tr>
        <w:trPr>
          <w:trHeight w:val="230"/>
        </w:trPr>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2016</w:t>
            </w:r>
            <w:r>
              <w:rPr>
                <w:rFonts w:ascii="Times New Roman" w:cs="Times New Roman" w:eastAsia="Times New Roman" w:hAnsi="Times New Roman"/>
                <w:sz w:val="15"/>
                <w:szCs w:val="15"/>
                <w:color w:val="auto"/>
              </w:rPr>
              <w:t>(2)</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4,042</w:t>
            </w:r>
          </w:p>
        </w:tc>
        <w:tc>
          <w:tcPr>
            <w:tcW w:w="3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4,582</w:t>
            </w:r>
          </w:p>
        </w:tc>
        <w:tc>
          <w:tcPr>
            <w:tcW w:w="3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3,896</w:t>
            </w:r>
          </w:p>
        </w:tc>
        <w:tc>
          <w:tcPr>
            <w:tcW w:w="3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4,418</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16,938</w:t>
            </w:r>
          </w:p>
        </w:tc>
        <w:tc>
          <w:tcPr>
            <w:tcW w:w="100" w:type="dxa"/>
            <w:vAlign w:val="bottom"/>
            <w:shd w:val="clear" w:color="auto" w:fill="CFF0FC"/>
          </w:tcPr>
          <w:p>
            <w:pPr>
              <w:spacing w:after="0"/>
              <w:rPr>
                <w:sz w:val="19"/>
                <w:szCs w:val="19"/>
                <w:color w:val="auto"/>
              </w:rPr>
            </w:pPr>
          </w:p>
        </w:tc>
      </w:tr>
      <w:tr>
        <w:trPr>
          <w:trHeight w:val="234"/>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2017</w:t>
            </w:r>
            <w:r>
              <w:rPr>
                <w:rFonts w:ascii="Times New Roman" w:cs="Times New Roman" w:eastAsia="Times New Roman" w:hAnsi="Times New Roman"/>
                <w:sz w:val="15"/>
                <w:szCs w:val="15"/>
                <w:color w:val="auto"/>
              </w:rPr>
              <w:t>(2)</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2,816</w:t>
            </w:r>
          </w:p>
        </w:tc>
        <w:tc>
          <w:tcPr>
            <w:tcW w:w="3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3,427</w:t>
            </w:r>
          </w:p>
        </w:tc>
        <w:tc>
          <w:tcPr>
            <w:tcW w:w="320" w:type="dxa"/>
            <w:vAlign w:val="bottom"/>
          </w:tcPr>
          <w:p>
            <w:pPr>
              <w:spacing w:after="0"/>
              <w:rPr>
                <w:sz w:val="20"/>
                <w:szCs w:val="20"/>
                <w:color w:val="auto"/>
              </w:rPr>
            </w:pPr>
          </w:p>
        </w:tc>
        <w:tc>
          <w:tcPr>
            <w:tcW w:w="168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N/A</w:t>
            </w:r>
          </w:p>
        </w:tc>
        <w:tc>
          <w:tcPr>
            <w:tcW w:w="146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N/A</w:t>
            </w: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6,243</w:t>
            </w:r>
          </w:p>
        </w:tc>
        <w:tc>
          <w:tcPr>
            <w:tcW w:w="100" w:type="dxa"/>
            <w:vAlign w:val="bottom"/>
          </w:tcPr>
          <w:p>
            <w:pPr>
              <w:spacing w:after="0"/>
              <w:rPr>
                <w:sz w:val="20"/>
                <w:szCs w:val="20"/>
                <w:color w:val="auto"/>
              </w:rPr>
            </w:pPr>
          </w:p>
        </w:tc>
      </w:tr>
      <w:tr>
        <w:trPr>
          <w:trHeight w:val="454"/>
        </w:trPr>
        <w:tc>
          <w:tcPr>
            <w:tcW w:w="3080" w:type="dxa"/>
            <w:vAlign w:val="bottom"/>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9"/>
              </w:rPr>
              <w:t>t:slim</w:t>
            </w:r>
          </w:p>
        </w:tc>
        <w:tc>
          <w:tcPr>
            <w:tcW w:w="1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3080" w:type="dxa"/>
            <w:vAlign w:val="bottom"/>
          </w:tcPr>
          <w:p>
            <w:pPr>
              <w:spacing w:after="0"/>
              <w:rPr>
                <w:sz w:val="19"/>
                <w:szCs w:val="19"/>
                <w:color w:val="auto"/>
              </w:rPr>
            </w:pPr>
          </w:p>
        </w:tc>
        <w:tc>
          <w:tcPr>
            <w:tcW w:w="142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20" w:type="dxa"/>
            <w:vAlign w:val="bottom"/>
          </w:tcPr>
          <w:p>
            <w:pPr>
              <w:spacing w:after="0"/>
              <w:rPr>
                <w:sz w:val="19"/>
                <w:szCs w:val="19"/>
                <w:color w:val="auto"/>
              </w:rPr>
            </w:pPr>
          </w:p>
        </w:tc>
        <w:tc>
          <w:tcPr>
            <w:tcW w:w="142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20" w:type="dxa"/>
            <w:vAlign w:val="bottom"/>
          </w:tcPr>
          <w:p>
            <w:pPr>
              <w:spacing w:after="0"/>
              <w:rPr>
                <w:sz w:val="19"/>
                <w:szCs w:val="19"/>
                <w:color w:val="auto"/>
              </w:rPr>
            </w:pPr>
          </w:p>
        </w:tc>
        <w:tc>
          <w:tcPr>
            <w:tcW w:w="16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9"/>
                <w:szCs w:val="19"/>
                <w:color w:val="auto"/>
              </w:rPr>
            </w:pPr>
          </w:p>
        </w:tc>
        <w:tc>
          <w:tcPr>
            <w:tcW w:w="148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3"/>
        </w:trPr>
        <w:tc>
          <w:tcPr>
            <w:tcW w:w="30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2012</w:t>
            </w: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32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2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30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2013</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6,472</w:t>
            </w:r>
          </w:p>
        </w:tc>
        <w:tc>
          <w:tcPr>
            <w:tcW w:w="100" w:type="dxa"/>
            <w:vAlign w:val="bottom"/>
          </w:tcPr>
          <w:p>
            <w:pPr>
              <w:spacing w:after="0"/>
              <w:rPr>
                <w:sz w:val="19"/>
                <w:szCs w:val="19"/>
                <w:color w:val="auto"/>
              </w:rPr>
            </w:pPr>
          </w:p>
        </w:tc>
      </w:tr>
      <w:tr>
        <w:trPr>
          <w:trHeight w:val="230"/>
        </w:trPr>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2014</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3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2,235</w:t>
            </w:r>
          </w:p>
        </w:tc>
        <w:tc>
          <w:tcPr>
            <w:tcW w:w="3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2,935</w:t>
            </w:r>
          </w:p>
        </w:tc>
        <w:tc>
          <w:tcPr>
            <w:tcW w:w="3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3,929</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10,822</w:t>
            </w:r>
          </w:p>
        </w:tc>
        <w:tc>
          <w:tcPr>
            <w:tcW w:w="100" w:type="dxa"/>
            <w:vAlign w:val="bottom"/>
            <w:shd w:val="clear" w:color="auto" w:fill="CFF0FC"/>
          </w:tcPr>
          <w:p>
            <w:pPr>
              <w:spacing w:after="0"/>
              <w:rPr>
                <w:sz w:val="19"/>
                <w:szCs w:val="19"/>
                <w:color w:val="auto"/>
              </w:rPr>
            </w:pPr>
          </w:p>
        </w:tc>
      </w:tr>
      <w:tr>
        <w:trPr>
          <w:trHeight w:val="230"/>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2015</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2,487</w:t>
            </w: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2,957</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2,390</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9,492</w:t>
            </w:r>
          </w:p>
        </w:tc>
        <w:tc>
          <w:tcPr>
            <w:tcW w:w="100" w:type="dxa"/>
            <w:vAlign w:val="bottom"/>
          </w:tcPr>
          <w:p>
            <w:pPr>
              <w:spacing w:after="0"/>
              <w:rPr>
                <w:sz w:val="19"/>
                <w:szCs w:val="19"/>
                <w:color w:val="auto"/>
              </w:rPr>
            </w:pPr>
          </w:p>
        </w:tc>
      </w:tr>
      <w:tr>
        <w:trPr>
          <w:trHeight w:val="230"/>
        </w:trPr>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2016</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3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3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1,965</w:t>
            </w:r>
          </w:p>
        </w:tc>
        <w:tc>
          <w:tcPr>
            <w:tcW w:w="3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4,794</w:t>
            </w:r>
          </w:p>
        </w:tc>
        <w:tc>
          <w:tcPr>
            <w:tcW w:w="100" w:type="dxa"/>
            <w:vAlign w:val="bottom"/>
            <w:shd w:val="clear" w:color="auto" w:fill="CFF0FC"/>
          </w:tcPr>
          <w:p>
            <w:pPr>
              <w:spacing w:after="0"/>
              <w:rPr>
                <w:sz w:val="19"/>
                <w:szCs w:val="19"/>
                <w:color w:val="auto"/>
              </w:rPr>
            </w:pPr>
          </w:p>
        </w:tc>
      </w:tr>
      <w:tr>
        <w:trPr>
          <w:trHeight w:val="459"/>
        </w:trPr>
        <w:tc>
          <w:tcPr>
            <w:tcW w:w="3080" w:type="dxa"/>
            <w:vAlign w:val="bottom"/>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t:slim X2</w:t>
            </w:r>
          </w:p>
        </w:tc>
        <w:tc>
          <w:tcPr>
            <w:tcW w:w="1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3080" w:type="dxa"/>
            <w:vAlign w:val="bottom"/>
          </w:tcPr>
          <w:p>
            <w:pPr>
              <w:spacing w:after="0"/>
              <w:rPr>
                <w:sz w:val="19"/>
                <w:szCs w:val="19"/>
                <w:color w:val="auto"/>
              </w:rPr>
            </w:pPr>
          </w:p>
        </w:tc>
        <w:tc>
          <w:tcPr>
            <w:tcW w:w="142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20" w:type="dxa"/>
            <w:vAlign w:val="bottom"/>
          </w:tcPr>
          <w:p>
            <w:pPr>
              <w:spacing w:after="0"/>
              <w:rPr>
                <w:sz w:val="19"/>
                <w:szCs w:val="19"/>
                <w:color w:val="auto"/>
              </w:rPr>
            </w:pPr>
          </w:p>
        </w:tc>
        <w:tc>
          <w:tcPr>
            <w:tcW w:w="142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20" w:type="dxa"/>
            <w:vAlign w:val="bottom"/>
          </w:tcPr>
          <w:p>
            <w:pPr>
              <w:spacing w:after="0"/>
              <w:rPr>
                <w:sz w:val="19"/>
                <w:szCs w:val="19"/>
                <w:color w:val="auto"/>
              </w:rPr>
            </w:pPr>
          </w:p>
        </w:tc>
        <w:tc>
          <w:tcPr>
            <w:tcW w:w="16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9"/>
                <w:szCs w:val="19"/>
                <w:color w:val="auto"/>
              </w:rPr>
            </w:pPr>
          </w:p>
        </w:tc>
        <w:tc>
          <w:tcPr>
            <w:tcW w:w="148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3"/>
        </w:trPr>
        <w:tc>
          <w:tcPr>
            <w:tcW w:w="30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2016</w:t>
            </w: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32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32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ind w:left="1060"/>
              <w:spacing w:after="0"/>
              <w:rPr>
                <w:sz w:val="20"/>
                <w:szCs w:val="20"/>
                <w:color w:val="auto"/>
              </w:rPr>
            </w:pPr>
            <w:r>
              <w:rPr>
                <w:rFonts w:ascii="Times New Roman" w:cs="Times New Roman" w:eastAsia="Times New Roman" w:hAnsi="Times New Roman"/>
                <w:sz w:val="18"/>
                <w:szCs w:val="18"/>
                <w:color w:val="auto"/>
                <w:w w:val="96"/>
              </w:rPr>
              <w:t>N/A</w:t>
            </w:r>
          </w:p>
        </w:tc>
        <w:tc>
          <w:tcPr>
            <w:tcW w:w="30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3,699</w:t>
            </w: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3,699</w:t>
            </w:r>
          </w:p>
        </w:tc>
        <w:tc>
          <w:tcPr>
            <w:tcW w:w="100" w:type="dxa"/>
            <w:vAlign w:val="bottom"/>
            <w:tcBorders>
              <w:top w:val="single" w:sz="8" w:color="CFF0FC"/>
            </w:tcBorders>
            <w:shd w:val="clear" w:color="auto" w:fill="CFF0FC"/>
          </w:tcPr>
          <w:p>
            <w:pPr>
              <w:spacing w:after="0"/>
              <w:rPr>
                <w:sz w:val="19"/>
                <w:szCs w:val="19"/>
                <w:color w:val="auto"/>
              </w:rPr>
            </w:pPr>
          </w:p>
        </w:tc>
      </w:tr>
      <w:tr>
        <w:trPr>
          <w:trHeight w:val="234"/>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2017</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2,576</w:t>
            </w:r>
          </w:p>
        </w:tc>
        <w:tc>
          <w:tcPr>
            <w:tcW w:w="3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3,209</w:t>
            </w:r>
          </w:p>
        </w:tc>
        <w:tc>
          <w:tcPr>
            <w:tcW w:w="320" w:type="dxa"/>
            <w:vAlign w:val="bottom"/>
          </w:tcPr>
          <w:p>
            <w:pPr>
              <w:spacing w:after="0"/>
              <w:rPr>
                <w:sz w:val="20"/>
                <w:szCs w:val="20"/>
                <w:color w:val="auto"/>
              </w:rPr>
            </w:pPr>
          </w:p>
        </w:tc>
        <w:tc>
          <w:tcPr>
            <w:tcW w:w="168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N/A</w:t>
            </w:r>
          </w:p>
        </w:tc>
        <w:tc>
          <w:tcPr>
            <w:tcW w:w="146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N/A</w:t>
            </w: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5,785</w:t>
            </w:r>
          </w:p>
        </w:tc>
        <w:tc>
          <w:tcPr>
            <w:tcW w:w="100" w:type="dxa"/>
            <w:vAlign w:val="bottom"/>
          </w:tcPr>
          <w:p>
            <w:pPr>
              <w:spacing w:after="0"/>
              <w:rPr>
                <w:sz w:val="20"/>
                <w:szCs w:val="20"/>
                <w:color w:val="auto"/>
              </w:rPr>
            </w:pPr>
          </w:p>
        </w:tc>
      </w:tr>
      <w:tr>
        <w:trPr>
          <w:trHeight w:val="454"/>
        </w:trPr>
        <w:tc>
          <w:tcPr>
            <w:tcW w:w="3080" w:type="dxa"/>
            <w:vAlign w:val="bottom"/>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t:flex</w:t>
            </w:r>
          </w:p>
        </w:tc>
        <w:tc>
          <w:tcPr>
            <w:tcW w:w="1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3080" w:type="dxa"/>
            <w:vAlign w:val="bottom"/>
          </w:tcPr>
          <w:p>
            <w:pPr>
              <w:spacing w:after="0"/>
              <w:rPr>
                <w:sz w:val="19"/>
                <w:szCs w:val="19"/>
                <w:color w:val="auto"/>
              </w:rPr>
            </w:pPr>
          </w:p>
        </w:tc>
        <w:tc>
          <w:tcPr>
            <w:tcW w:w="142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20" w:type="dxa"/>
            <w:vAlign w:val="bottom"/>
          </w:tcPr>
          <w:p>
            <w:pPr>
              <w:spacing w:after="0"/>
              <w:rPr>
                <w:sz w:val="19"/>
                <w:szCs w:val="19"/>
                <w:color w:val="auto"/>
              </w:rPr>
            </w:pPr>
          </w:p>
        </w:tc>
        <w:tc>
          <w:tcPr>
            <w:tcW w:w="142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20" w:type="dxa"/>
            <w:vAlign w:val="bottom"/>
          </w:tcPr>
          <w:p>
            <w:pPr>
              <w:spacing w:after="0"/>
              <w:rPr>
                <w:sz w:val="19"/>
                <w:szCs w:val="19"/>
                <w:color w:val="auto"/>
              </w:rPr>
            </w:pPr>
          </w:p>
        </w:tc>
        <w:tc>
          <w:tcPr>
            <w:tcW w:w="16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9"/>
                <w:szCs w:val="19"/>
                <w:color w:val="auto"/>
              </w:rPr>
            </w:pPr>
          </w:p>
        </w:tc>
        <w:tc>
          <w:tcPr>
            <w:tcW w:w="148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3"/>
        </w:trPr>
        <w:tc>
          <w:tcPr>
            <w:tcW w:w="30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2015</w:t>
            </w: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32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32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30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2016</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100" w:type="dxa"/>
            <w:vAlign w:val="bottom"/>
          </w:tcPr>
          <w:p>
            <w:pPr>
              <w:spacing w:after="0"/>
              <w:rPr>
                <w:sz w:val="19"/>
                <w:szCs w:val="19"/>
                <w:color w:val="auto"/>
              </w:rPr>
            </w:pPr>
          </w:p>
        </w:tc>
      </w:tr>
      <w:tr>
        <w:trPr>
          <w:trHeight w:val="230"/>
        </w:trPr>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2017</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3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32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ind w:left="1060"/>
              <w:spacing w:after="0"/>
              <w:rPr>
                <w:sz w:val="20"/>
                <w:szCs w:val="20"/>
                <w:color w:val="auto"/>
              </w:rPr>
            </w:pPr>
            <w:r>
              <w:rPr>
                <w:rFonts w:ascii="Times New Roman" w:cs="Times New Roman" w:eastAsia="Times New Roman" w:hAnsi="Times New Roman"/>
                <w:sz w:val="18"/>
                <w:szCs w:val="18"/>
                <w:color w:val="auto"/>
              </w:rPr>
              <w:t>N/A</w:t>
            </w:r>
          </w:p>
        </w:tc>
        <w:tc>
          <w:tcPr>
            <w:tcW w:w="1460" w:type="dxa"/>
            <w:vAlign w:val="bottom"/>
            <w:gridSpan w:val="2"/>
            <w:shd w:val="clear" w:color="auto" w:fill="CFF0FC"/>
          </w:tcPr>
          <w:p>
            <w:pPr>
              <w:ind w:left="1060"/>
              <w:spacing w:after="0"/>
              <w:rPr>
                <w:sz w:val="20"/>
                <w:szCs w:val="20"/>
                <w:color w:val="auto"/>
              </w:rPr>
            </w:pPr>
            <w:r>
              <w:rPr>
                <w:rFonts w:ascii="Times New Roman" w:cs="Times New Roman" w:eastAsia="Times New Roman" w:hAnsi="Times New Roman"/>
                <w:sz w:val="18"/>
                <w:szCs w:val="18"/>
                <w:color w:val="auto"/>
              </w:rPr>
              <w:t>N/A</w:t>
            </w: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shd w:val="clear" w:color="auto" w:fill="CFF0FC"/>
          </w:tcPr>
          <w:p>
            <w:pPr>
              <w:spacing w:after="0"/>
              <w:rPr>
                <w:sz w:val="19"/>
                <w:szCs w:val="19"/>
                <w:color w:val="auto"/>
              </w:rPr>
            </w:pPr>
          </w:p>
        </w:tc>
      </w:tr>
      <w:tr>
        <w:trPr>
          <w:trHeight w:val="459"/>
        </w:trPr>
        <w:tc>
          <w:tcPr>
            <w:tcW w:w="3080" w:type="dxa"/>
            <w:vAlign w:val="bottom"/>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t:slim G4</w:t>
            </w:r>
          </w:p>
        </w:tc>
        <w:tc>
          <w:tcPr>
            <w:tcW w:w="1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3080" w:type="dxa"/>
            <w:vAlign w:val="bottom"/>
          </w:tcPr>
          <w:p>
            <w:pPr>
              <w:spacing w:after="0"/>
              <w:rPr>
                <w:sz w:val="19"/>
                <w:szCs w:val="19"/>
                <w:color w:val="auto"/>
              </w:rPr>
            </w:pPr>
          </w:p>
        </w:tc>
        <w:tc>
          <w:tcPr>
            <w:tcW w:w="142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20" w:type="dxa"/>
            <w:vAlign w:val="bottom"/>
          </w:tcPr>
          <w:p>
            <w:pPr>
              <w:spacing w:after="0"/>
              <w:rPr>
                <w:sz w:val="19"/>
                <w:szCs w:val="19"/>
                <w:color w:val="auto"/>
              </w:rPr>
            </w:pPr>
          </w:p>
        </w:tc>
        <w:tc>
          <w:tcPr>
            <w:tcW w:w="142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20" w:type="dxa"/>
            <w:vAlign w:val="bottom"/>
          </w:tcPr>
          <w:p>
            <w:pPr>
              <w:spacing w:after="0"/>
              <w:rPr>
                <w:sz w:val="19"/>
                <w:szCs w:val="19"/>
                <w:color w:val="auto"/>
              </w:rPr>
            </w:pPr>
          </w:p>
        </w:tc>
        <w:tc>
          <w:tcPr>
            <w:tcW w:w="16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9"/>
                <w:szCs w:val="19"/>
                <w:color w:val="auto"/>
              </w:rPr>
            </w:pPr>
          </w:p>
        </w:tc>
        <w:tc>
          <w:tcPr>
            <w:tcW w:w="148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3"/>
        </w:trPr>
        <w:tc>
          <w:tcPr>
            <w:tcW w:w="30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2015</w:t>
            </w: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32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32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30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4,007</w:t>
            </w: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4,493</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2016</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2,416</w:t>
            </w: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2,591</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8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6,838</w:t>
            </w:r>
          </w:p>
        </w:tc>
        <w:tc>
          <w:tcPr>
            <w:tcW w:w="100" w:type="dxa"/>
            <w:vAlign w:val="bottom"/>
          </w:tcPr>
          <w:p>
            <w:pPr>
              <w:spacing w:after="0"/>
              <w:rPr>
                <w:sz w:val="19"/>
                <w:szCs w:val="19"/>
                <w:color w:val="auto"/>
              </w:rPr>
            </w:pPr>
          </w:p>
        </w:tc>
      </w:tr>
      <w:tr>
        <w:trPr>
          <w:trHeight w:val="230"/>
        </w:trPr>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2017</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1680" w:type="dxa"/>
            <w:vAlign w:val="bottom"/>
            <w:gridSpan w:val="2"/>
            <w:shd w:val="clear" w:color="auto" w:fill="CFF0FC"/>
          </w:tcPr>
          <w:p>
            <w:pPr>
              <w:ind w:left="1060"/>
              <w:spacing w:after="0"/>
              <w:rPr>
                <w:sz w:val="20"/>
                <w:szCs w:val="20"/>
                <w:color w:val="auto"/>
              </w:rPr>
            </w:pPr>
            <w:r>
              <w:rPr>
                <w:rFonts w:ascii="Times New Roman" w:cs="Times New Roman" w:eastAsia="Times New Roman" w:hAnsi="Times New Roman"/>
                <w:sz w:val="18"/>
                <w:szCs w:val="18"/>
                <w:color w:val="auto"/>
              </w:rPr>
              <w:t>N/A</w:t>
            </w:r>
          </w:p>
        </w:tc>
        <w:tc>
          <w:tcPr>
            <w:tcW w:w="1460" w:type="dxa"/>
            <w:vAlign w:val="bottom"/>
            <w:gridSpan w:val="2"/>
            <w:shd w:val="clear" w:color="auto" w:fill="CFF0FC"/>
          </w:tcPr>
          <w:p>
            <w:pPr>
              <w:ind w:left="1060"/>
              <w:spacing w:after="0"/>
              <w:rPr>
                <w:sz w:val="20"/>
                <w:szCs w:val="20"/>
                <w:color w:val="auto"/>
              </w:rPr>
            </w:pPr>
            <w:r>
              <w:rPr>
                <w:rFonts w:ascii="Times New Roman" w:cs="Times New Roman" w:eastAsia="Times New Roman" w:hAnsi="Times New Roman"/>
                <w:sz w:val="18"/>
                <w:szCs w:val="18"/>
                <w:color w:val="auto"/>
              </w:rPr>
              <w:t>N/A</w:t>
            </w: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FF0FC"/>
          </w:tcPr>
          <w:p>
            <w:pPr>
              <w:spacing w:after="0"/>
              <w:rPr>
                <w:sz w:val="19"/>
                <w:szCs w:val="19"/>
                <w:color w:val="auto"/>
              </w:rPr>
            </w:pPr>
          </w:p>
        </w:tc>
      </w:tr>
    </w:tbl>
    <w:p>
      <w:pPr>
        <w:spacing w:after="0" w:line="198" w:lineRule="exact"/>
        <w:rPr>
          <w:sz w:val="20"/>
          <w:szCs w:val="20"/>
          <w:color w:val="auto"/>
        </w:rPr>
      </w:pPr>
    </w:p>
    <w:p>
      <w:pPr>
        <w:ind w:left="760" w:hanging="374"/>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table does not reflect returns or exchanges of pump products that occur in the ordinary course of business.</w:t>
      </w:r>
    </w:p>
    <w:p>
      <w:pPr>
        <w:spacing w:after="0" w:line="27" w:lineRule="exact"/>
        <w:rPr>
          <w:rFonts w:ascii="Times New Roman" w:cs="Times New Roman" w:eastAsia="Times New Roman" w:hAnsi="Times New Roman"/>
          <w:sz w:val="18"/>
          <w:szCs w:val="18"/>
          <w:color w:val="auto"/>
        </w:rPr>
      </w:pPr>
    </w:p>
    <w:p>
      <w:pPr>
        <w:ind w:left="760" w:right="140" w:hanging="374"/>
        <w:spacing w:after="0" w:line="250"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table does not reflect the impact of approximately 2,300 trade-ins fulfilled under the Technology Upgrade Program (discussed below) related to our commercial launch of t:slim X2.</w:t>
      </w:r>
    </w:p>
    <w:p>
      <w:pPr>
        <w:ind w:left="760" w:hanging="374"/>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decrease in t:slim and t:slim G4 shipments coincided with our commercial launch of t:slim X2.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Technology Upgrade Program</w:t>
      </w:r>
    </w:p>
    <w:p>
      <w:pPr>
        <w:spacing w:after="0" w:line="229" w:lineRule="exact"/>
        <w:rPr>
          <w:sz w:val="20"/>
          <w:szCs w:val="20"/>
          <w:color w:val="auto"/>
        </w:rPr>
      </w:pPr>
    </w:p>
    <w:p>
      <w:pPr>
        <w:ind w:right="640" w:firstLine="571"/>
        <w:spacing w:after="0" w:line="266" w:lineRule="auto"/>
        <w:rPr>
          <w:sz w:val="20"/>
          <w:szCs w:val="20"/>
          <w:color w:val="auto"/>
        </w:rPr>
      </w:pPr>
      <w:r>
        <w:rPr>
          <w:rFonts w:ascii="Times New Roman" w:cs="Times New Roman" w:eastAsia="Times New Roman" w:hAnsi="Times New Roman"/>
          <w:sz w:val="18"/>
          <w:szCs w:val="18"/>
          <w:color w:val="auto"/>
        </w:rPr>
        <w:t>In the third quarter of 2016, we launched a Technology Upgrade Program that provides eligible t:slim and t:slim G4 customers a path towards ownership of t:slim X2 by providing customers the right to exchange their t:slim or t:slim G4 for t:slim X2, under a variable pricing structure. The Technology Upgrade Program expires on September 30, 2017.</w:t>
      </w:r>
    </w:p>
    <w:p>
      <w:pPr>
        <w:sectPr>
          <w:pgSz w:w="11900" w:h="16838" w:orient="portrait"/>
          <w:cols w:equalWidth="0" w:num="1">
            <w:col w:w="11420"/>
          </w:cols>
          <w:pgMar w:left="240" w:top="121" w:right="239" w:bottom="1440" w:gutter="0" w:footer="0" w:header="0"/>
        </w:sectPr>
      </w:pP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8" w:name="page19"/>
    <w:bookmarkEnd w:id="18"/>
    <w:p>
      <w:pPr>
        <w:ind w:right="40" w:firstLine="577"/>
        <w:spacing w:after="0" w:line="255" w:lineRule="auto"/>
        <w:rPr>
          <w:sz w:val="20"/>
          <w:szCs w:val="20"/>
          <w:color w:val="auto"/>
        </w:rPr>
      </w:pPr>
      <w:r>
        <w:rPr>
          <w:rFonts w:ascii="Times New Roman" w:cs="Times New Roman" w:eastAsia="Times New Roman" w:hAnsi="Times New Roman"/>
          <w:sz w:val="18"/>
          <w:szCs w:val="18"/>
          <w:color w:val="auto"/>
        </w:rPr>
        <w:t>Due to the high degree of accounting complexity, the Technology Upgrade Program has created, and will continue to create, unpredictable financial results under United States generally accepted accounting principles, or GAAP, for the duration of the program. The accounting treatment for the program requires the deferral of up to 100% of sales and cost of sales for shipments of eligible pumps beginning in the third quarter of 2016. We have determined that, from an accounting perspective, the opportunity for a customer to trade a t:slim or t:slim G4 in exchange for a t:slim X2 represents either a right of return or a guarantee at the time of the initial product purchase. Because we have not offered an upgrade program in the past, we do not have sufficient history with similar upgrade programs to estimate the number of customers that will participate. As a result, sales and cost of sales for all eligible t:slim and t:slim G4 shipments are subject to deferral. The amount of sales and cost of sales deferred varies based on a number of factors, including the model of pump involved and the timing of the initial sales relative to the availability of certain future products.</w:t>
      </w:r>
    </w:p>
    <w:p>
      <w:pPr>
        <w:spacing w:after="0" w:line="185" w:lineRule="exact"/>
        <w:rPr>
          <w:sz w:val="20"/>
          <w:szCs w:val="20"/>
          <w:color w:val="auto"/>
        </w:rPr>
      </w:pPr>
    </w:p>
    <w:p>
      <w:pPr>
        <w:ind w:right="40" w:firstLine="577"/>
        <w:spacing w:after="0" w:line="258" w:lineRule="auto"/>
        <w:rPr>
          <w:sz w:val="20"/>
          <w:szCs w:val="20"/>
          <w:color w:val="auto"/>
        </w:rPr>
      </w:pPr>
      <w:r>
        <w:rPr>
          <w:rFonts w:ascii="Times New Roman" w:cs="Times New Roman" w:eastAsia="Times New Roman" w:hAnsi="Times New Roman"/>
          <w:sz w:val="18"/>
          <w:szCs w:val="18"/>
          <w:color w:val="auto"/>
        </w:rPr>
        <w:t>We will recognize the deferred amount of sales and cost of sales at the earlier of when the obligations under the Technology Upgrade Program are satisfied or when the program expires. If a customer elects to participate in the Technology Upgrade Program, we will recognize upgrade fees that we receive, if any, and the associated costs at the time of fulfilling the given obligation. We expect to recognize the majority of the remaining deferred sales and cost of sales in the quarter ended September 30, 2017 when the program expires. At June 30, 2017, we had $3.1 million of current liabilities for deferred sales and guarantee liabilities associated with the program, as well as $0.4 million of deferred cost of sales.</w:t>
      </w:r>
    </w:p>
    <w:p>
      <w:pPr>
        <w:spacing w:after="0" w:line="184" w:lineRule="exact"/>
        <w:rPr>
          <w:sz w:val="20"/>
          <w:szCs w:val="20"/>
          <w:color w:val="auto"/>
        </w:rPr>
      </w:pPr>
    </w:p>
    <w:p>
      <w:pPr>
        <w:ind w:right="40" w:firstLine="577"/>
        <w:spacing w:after="0" w:line="261" w:lineRule="auto"/>
        <w:rPr>
          <w:sz w:val="20"/>
          <w:szCs w:val="20"/>
          <w:color w:val="auto"/>
        </w:rPr>
      </w:pPr>
      <w:r>
        <w:rPr>
          <w:rFonts w:ascii="Times New Roman" w:cs="Times New Roman" w:eastAsia="Times New Roman" w:hAnsi="Times New Roman"/>
          <w:sz w:val="18"/>
          <w:szCs w:val="18"/>
          <w:color w:val="auto"/>
        </w:rPr>
        <w:t>In general, the deferrals required by the Technology Upgrade Program had the effect of initially decreasing our GAAP sales even when the number of our pump shipments increased. We discontinued new sales of the t:slim and sales of the t:slim G4 have decreased since our launch of the t:slim X2, resulting in a significant decrease in the amount of sales and cost of sales related to new product shipments that were deferred under the program. We are not able to estimate the amount of upgrade fees or associated costs for future customer elections to participate in the Technology Upgrade Program.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Historical Financial Results</w:t>
      </w:r>
    </w:p>
    <w:p>
      <w:pPr>
        <w:spacing w:after="0" w:line="229"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For the six months ended June 30, 2017 and 2016, our sales were $40.3 million and $43.0 million, respectively. For the six months ended June 30, 2017, this included incremental net sales of $1.4 million with a corresponding increase of $0.6 million in gross profit as a result of the Technology Upgrade Program. For the six months ended June 30, 2017 and 2016, our net loss was $45.6 million and $38.8 million, respectively. Our accumulated deficit as of June 30, 2017 was $450.2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Trends Impacting Financial Results</w:t>
      </w:r>
    </w:p>
    <w:p>
      <w:pPr>
        <w:spacing w:after="0" w:line="229" w:lineRule="exact"/>
        <w:rPr>
          <w:sz w:val="20"/>
          <w:szCs w:val="20"/>
          <w:color w:val="auto"/>
        </w:rPr>
      </w:pPr>
    </w:p>
    <w:p>
      <w:pPr>
        <w:ind w:right="140" w:firstLine="571"/>
        <w:spacing w:after="0" w:line="261" w:lineRule="auto"/>
        <w:rPr>
          <w:sz w:val="20"/>
          <w:szCs w:val="20"/>
          <w:color w:val="auto"/>
        </w:rPr>
      </w:pPr>
      <w:r>
        <w:rPr>
          <w:rFonts w:ascii="Times New Roman" w:cs="Times New Roman" w:eastAsia="Times New Roman" w:hAnsi="Times New Roman"/>
          <w:sz w:val="18"/>
          <w:szCs w:val="18"/>
          <w:color w:val="auto"/>
        </w:rPr>
        <w:t>Overall, we have experienced considerable sales growth since the commercial launch of t:slim in the third quarter of 2012, while incurring operating losses since our inception. Our operating results fluctuate on a quarterly or annual basis, particularly in the periods surrounding anticipated and actual regulatory approvals, and initial stages of commercialization of our new products and those of our competitors. These fluctuations have been, and may continue to be, more pronounced since the commencement of the Technology Upgrade Program.</w:t>
      </w:r>
    </w:p>
    <w:p>
      <w:pPr>
        <w:spacing w:after="0" w:line="180" w:lineRule="exact"/>
        <w:rPr>
          <w:sz w:val="20"/>
          <w:szCs w:val="20"/>
          <w:color w:val="auto"/>
        </w:rPr>
      </w:pPr>
    </w:p>
    <w:p>
      <w:pPr>
        <w:jc w:val="both"/>
        <w:ind w:firstLine="588"/>
        <w:spacing w:after="0" w:line="258" w:lineRule="auto"/>
        <w:rPr>
          <w:sz w:val="20"/>
          <w:szCs w:val="20"/>
          <w:color w:val="auto"/>
        </w:rPr>
      </w:pPr>
      <w:r>
        <w:rPr>
          <w:rFonts w:ascii="Times New Roman" w:cs="Times New Roman" w:eastAsia="Times New Roman" w:hAnsi="Times New Roman"/>
          <w:sz w:val="18"/>
          <w:szCs w:val="18"/>
          <w:color w:val="auto"/>
        </w:rPr>
        <w:t>We believe that the timing of the commercial launch of t:slim X2, as well as the launch and regulatory approval of competitive products, impacted our quarterly pump shipments since the second half of 2016. In particular, in the period leading up to the commercial launch of t:slim X2, we believe there was an increasing number of potential customers who delayed their purchasing decision until they could include t:slim X2 and competitive products in their decision-making process. In addition, pump shipments were impacted by a decision by UnitedHealthcare that restricted a majority of their members from accessing our pumps.</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expect our financial results will fluctuate on a quarterly or annual basis in the future due to a variety of factors, including the impact of:</w:t>
      </w:r>
    </w:p>
    <w:p>
      <w:pPr>
        <w:spacing w:after="0" w:line="225" w:lineRule="exact"/>
        <w:rPr>
          <w:sz w:val="20"/>
          <w:szCs w:val="20"/>
          <w:color w:val="auto"/>
        </w:rPr>
      </w:pPr>
    </w:p>
    <w:p>
      <w:pPr>
        <w:ind w:left="760" w:hanging="374"/>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products, and the timing of the sale of our products;</w:t>
      </w:r>
    </w:p>
    <w:p>
      <w:pPr>
        <w:spacing w:after="0" w:line="225" w:lineRule="exact"/>
        <w:rPr>
          <w:rFonts w:ascii="Times New Roman" w:cs="Times New Roman" w:eastAsia="Times New Roman" w:hAnsi="Times New Roman"/>
          <w:sz w:val="18"/>
          <w:szCs w:val="18"/>
          <w:color w:val="auto"/>
        </w:rPr>
      </w:pPr>
    </w:p>
    <w:p>
      <w:pPr>
        <w:ind w:left="760" w:right="400" w:hanging="374"/>
        <w:spacing w:after="0" w:line="282"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seasonality associated with summer vacations, annual deductibles and coinsurance requirements associated with most medical insurance plans utilized by our individual customers and the individual customers of our distributors;</w:t>
      </w:r>
    </w:p>
    <w:p>
      <w:pPr>
        <w:spacing w:after="0" w:line="161"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buying patterns of our distributors and other customers;</w:t>
      </w:r>
    </w:p>
    <w:p>
      <w:pPr>
        <w:spacing w:after="0" w:line="225"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the commercialization of new products by us or our competitors;</w:t>
      </w:r>
    </w:p>
    <w:p>
      <w:pPr>
        <w:spacing w:after="0" w:line="225"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decisions by third-party payors;</w:t>
      </w:r>
    </w:p>
    <w:p>
      <w:pPr>
        <w:spacing w:after="0" w:line="225"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magnitude and timing of any changes to our facilities, manufacturing operations and other infrastructure;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9" w:name="page20"/>
    <w:bookmarkEnd w:id="19"/>
    <w:p>
      <w:pPr>
        <w:ind w:left="760" w:hanging="374"/>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and actual regulatory approvals of new products; and</w:t>
      </w:r>
    </w:p>
    <w:p>
      <w:pPr>
        <w:spacing w:after="0" w:line="225"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Technology Upgrade Program and its related financial and accounting impact.</w:t>
      </w:r>
    </w:p>
    <w:p>
      <w:pPr>
        <w:spacing w:after="0" w:line="225" w:lineRule="exact"/>
        <w:rPr>
          <w:sz w:val="20"/>
          <w:szCs w:val="20"/>
          <w:color w:val="auto"/>
        </w:rPr>
      </w:pPr>
    </w:p>
    <w:p>
      <w:pPr>
        <w:jc w:val="both"/>
        <w:ind w:right="20" w:firstLine="571"/>
        <w:spacing w:after="0" w:line="266" w:lineRule="auto"/>
        <w:rPr>
          <w:sz w:val="20"/>
          <w:szCs w:val="20"/>
          <w:color w:val="auto"/>
        </w:rPr>
      </w:pPr>
      <w:r>
        <w:rPr>
          <w:rFonts w:ascii="Times New Roman" w:cs="Times New Roman" w:eastAsia="Times New Roman" w:hAnsi="Times New Roman"/>
          <w:sz w:val="18"/>
          <w:szCs w:val="18"/>
          <w:color w:val="auto"/>
        </w:rPr>
        <w:t>In particular, in 2017, we expect the combined effect of the timing of our launch of t:slim X2 with G5 and our expectation that customers will largely return to their historical decision-making patterns will once again result in our sales being heavily weighted towards the second half of the year. We anticipate that the transition to our t:lock Connector will also result in an increase in our sales of infusion sets beginning in the second half of 2017.</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Financing</w:t>
      </w:r>
    </w:p>
    <w:p>
      <w:pPr>
        <w:spacing w:after="0" w:line="229" w:lineRule="exact"/>
        <w:rPr>
          <w:sz w:val="20"/>
          <w:szCs w:val="20"/>
          <w:color w:val="auto"/>
        </w:rPr>
      </w:pPr>
    </w:p>
    <w:p>
      <w:pPr>
        <w:ind w:right="100" w:firstLine="571"/>
        <w:spacing w:after="0" w:line="289" w:lineRule="auto"/>
        <w:rPr>
          <w:sz w:val="20"/>
          <w:szCs w:val="20"/>
          <w:color w:val="auto"/>
        </w:rPr>
      </w:pPr>
      <w:r>
        <w:rPr>
          <w:rFonts w:ascii="Times New Roman" w:cs="Times New Roman" w:eastAsia="Times New Roman" w:hAnsi="Times New Roman"/>
          <w:sz w:val="17"/>
          <w:szCs w:val="17"/>
          <w:color w:val="auto"/>
        </w:rPr>
        <w:t>From inception through June 30, 2017, we have primarily financed our operations through sales of equity securities, and, to a lesser extent, debt financings. The continued growth of our business, including the expansion of our customer care infrastructure to support our growing base of customers, additional research and development activities, and the transition to our new manufacturing facility, will continue to increase our expenses and capital needs.</w:t>
      </w:r>
    </w:p>
    <w:p>
      <w:pPr>
        <w:spacing w:after="0" w:line="158" w:lineRule="exact"/>
        <w:rPr>
          <w:sz w:val="20"/>
          <w:szCs w:val="20"/>
          <w:color w:val="auto"/>
        </w:rPr>
      </w:pPr>
    </w:p>
    <w:p>
      <w:pPr>
        <w:ind w:right="80" w:firstLine="571"/>
        <w:spacing w:after="0" w:line="253" w:lineRule="auto"/>
        <w:rPr>
          <w:sz w:val="20"/>
          <w:szCs w:val="20"/>
          <w:color w:val="auto"/>
        </w:rPr>
      </w:pPr>
      <w:r>
        <w:rPr>
          <w:rFonts w:ascii="Times New Roman" w:cs="Times New Roman" w:eastAsia="Times New Roman" w:hAnsi="Times New Roman"/>
          <w:sz w:val="18"/>
          <w:szCs w:val="18"/>
          <w:color w:val="auto"/>
        </w:rPr>
        <w:t>On the date that our financial statements in this Quarterly Report were issued, our management believed that we did not have sufficient cash to fund our operations for the next twelve months without additional financing, and therefore, we concluded there was substantial doubt about our ability to continue as a going concern within one year after the date the financial statements were issued. We expect we will be required to raise additional capital in order to continue as a going concern, meet our minimum liquidity requirements, satisfy the covenants under the Term Loan Agreement and execute on our business strategy. We intend to seek additional capital from public or private offerings of our capital stock, or we may elect to borrow additional amounts under new debt financing arrangements or from other sources. We expect our ability to raise additional financing may be negatively impacted by a number of factors, including our recent and projected financial results, recent changes in and volatility of our stock price, perceptions about the recent completion of a public offering of our common stock, concerns regarding our ability to maintain the continued listing of our common stock on the NASDAQ Global Market, or NASDAQ, our current level of indebtedness and debt service costs, our conclusion that there is substantial doubt about our ability to continue as a going concern, the competitive environment in our industry, and accounting complexities brought about by our Technology Upgrade Program. There can be no assurance that we will be able to complete any financing on acceptable terms or at all. If we are not able to secure additional financing or significantly increase revenues from the sale of our products, we may be forced to significantly alter our business strategy, substantially curtail or modify our current operations, or cease operations altogether.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Loan Agreement</w:t>
      </w:r>
    </w:p>
    <w:p>
      <w:pPr>
        <w:spacing w:after="0" w:line="229" w:lineRule="exact"/>
        <w:rPr>
          <w:sz w:val="20"/>
          <w:szCs w:val="20"/>
          <w:color w:val="auto"/>
        </w:rPr>
      </w:pPr>
    </w:p>
    <w:p>
      <w:pPr>
        <w:ind w:right="40" w:firstLine="571"/>
        <w:spacing w:after="0" w:line="258" w:lineRule="auto"/>
        <w:rPr>
          <w:sz w:val="20"/>
          <w:szCs w:val="20"/>
          <w:color w:val="auto"/>
        </w:rPr>
      </w:pPr>
      <w:r>
        <w:rPr>
          <w:rFonts w:ascii="Times New Roman" w:cs="Times New Roman" w:eastAsia="Times New Roman" w:hAnsi="Times New Roman"/>
          <w:sz w:val="18"/>
          <w:szCs w:val="18"/>
          <w:color w:val="auto"/>
        </w:rPr>
        <w:t>In March 2017, we entered into Waiver and Amendment No. 4 to the Term Loan Agreement, or the Fourth Amendment. The Fourth Amendment includes a limited waiver of a potential event of default that could have resulted from the inclusion of an explanatory paragraph in the audit report of our independent registered public accounting firm included in our Annual Report on Form 10-K for the year ended December 31, 2016 (“Annual Report”) that describes conditions that raise substantial doubt about our ability to continue as a going concern. For additional information about the Term Loan Agreement, see the section entitled “Indebtedness” below.</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Leverage from Technology Platform</w:t>
      </w:r>
    </w:p>
    <w:p>
      <w:pPr>
        <w:spacing w:after="0" w:line="229" w:lineRule="exact"/>
        <w:rPr>
          <w:sz w:val="20"/>
          <w:szCs w:val="20"/>
          <w:color w:val="auto"/>
        </w:rPr>
      </w:pPr>
    </w:p>
    <w:p>
      <w:pPr>
        <w:ind w:firstLine="571"/>
        <w:spacing w:after="0" w:line="254" w:lineRule="auto"/>
        <w:rPr>
          <w:sz w:val="20"/>
          <w:szCs w:val="20"/>
          <w:color w:val="auto"/>
        </w:rPr>
      </w:pPr>
      <w:r>
        <w:rPr>
          <w:rFonts w:ascii="Times New Roman" w:cs="Times New Roman" w:eastAsia="Times New Roman" w:hAnsi="Times New Roman"/>
          <w:sz w:val="18"/>
          <w:szCs w:val="18"/>
          <w:color w:val="auto"/>
        </w:rPr>
        <w:t>We believe we can ultimately achieve profitability because our proprietary technology platform will allow us to maximize efficiencies in the development, production, sale and marketing of multiple differentiated products. By offering products that are all based on our proprietary technology platform, in combination with the flexibility provided by the Tandem Device Updater, we believe we can develop and bring to market products and functionality more rapidly, while significantly reducing our per-unit design and development costs. Due to shared product design features, our production system is adaptable to new products and we intend to leverage our shared manufacturing infrastructure to drive operational efficiencies. Further, we expect to continue to increase production volume and to reduce the per-unit production overhead cost for our pump products and their associated disposable cartridges over time. By expanding our product offerings to address people in different segments of the large and growing insulin-dependent diabetes market, we believe we can increase the productivity of our sales, clinical and marketing organization, as well as our customer, support infrastructure, thereby improving our operating margin over the long term.</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w:t>
      </w:r>
    </w:p>
    <w:p>
      <w:pPr>
        <w:spacing w:after="0" w:line="229" w:lineRule="exact"/>
        <w:rPr>
          <w:sz w:val="20"/>
          <w:szCs w:val="20"/>
          <w:color w:val="auto"/>
        </w:rPr>
      </w:pPr>
    </w:p>
    <w:p>
      <w:pPr>
        <w:ind w:firstLine="571"/>
        <w:spacing w:after="0" w:line="258" w:lineRule="auto"/>
        <w:rPr>
          <w:sz w:val="20"/>
          <w:szCs w:val="20"/>
          <w:color w:val="auto"/>
        </w:rPr>
      </w:pPr>
      <w:r>
        <w:rPr>
          <w:rFonts w:ascii="Times New Roman" w:cs="Times New Roman" w:eastAsia="Times New Roman" w:hAnsi="Times New Roman"/>
          <w:sz w:val="18"/>
          <w:szCs w:val="18"/>
          <w:color w:val="auto"/>
        </w:rPr>
        <w:t>We offer products for people with insulin-dependent diabetes. We commenced commercial sales of t:slim in the United States in the third quarter of 2012. We launched our second insulin pump product, t:flex, in the second quarter of 2015, and launched our third insulin pump product, t:slim G4, in the third quarter of 2015. In October 2016, we began shipping t:slim X2, our next generation flagship product, at which time we discontinued sales of t:slim. Our products currently include these insulin pumps, as well as disposable cartridges and infusion sets. We also offer accessories including protective cases, belt clips, and power adapters. Sales of accessories since commercial launch have not been significant.</w:t>
      </w:r>
    </w:p>
    <w:p>
      <w:pPr>
        <w:spacing w:after="0" w:line="184" w:lineRule="exact"/>
        <w:rPr>
          <w:sz w:val="20"/>
          <w:szCs w:val="20"/>
          <w:color w:val="auto"/>
        </w:rPr>
      </w:pPr>
    </w:p>
    <w:p>
      <w:pPr>
        <w:ind w:right="60" w:firstLine="571"/>
        <w:spacing w:after="0" w:line="258" w:lineRule="auto"/>
        <w:rPr>
          <w:sz w:val="20"/>
          <w:szCs w:val="20"/>
          <w:color w:val="auto"/>
        </w:rPr>
      </w:pPr>
      <w:r>
        <w:rPr>
          <w:rFonts w:ascii="Times New Roman" w:cs="Times New Roman" w:eastAsia="Times New Roman" w:hAnsi="Times New Roman"/>
          <w:sz w:val="18"/>
          <w:szCs w:val="18"/>
          <w:color w:val="auto"/>
        </w:rPr>
        <w:t>We primarily sell our products through national and regional distributors on a non-exclusive basis. These distributors are generally providers of medical equipment and supplies to individuals with diabetes. Our primary end customers are people with insulin-dependent diabetes. Similar to other durable medical equipment, the primary payor is generally a third-party insurance carrier and the customer is usually responsible for any medical insurance plan copay or coinsurance requirements. We believe our existing sales, clinical and marketing infrastructure will allow us to continue to increase sales by allowing us to promote our products to a greater number of potential customers, caregivers and healthcare providers.</w:t>
      </w:r>
    </w:p>
    <w:p>
      <w:pPr>
        <w:spacing w:after="0" w:line="184" w:lineRule="exact"/>
        <w:rPr>
          <w:sz w:val="20"/>
          <w:szCs w:val="20"/>
          <w:color w:val="auto"/>
        </w:rPr>
      </w:pPr>
    </w:p>
    <w:p>
      <w:pPr>
        <w:ind w:right="60" w:firstLine="571"/>
        <w:spacing w:after="0" w:line="266" w:lineRule="auto"/>
        <w:rPr>
          <w:sz w:val="20"/>
          <w:szCs w:val="20"/>
          <w:color w:val="auto"/>
        </w:rPr>
      </w:pPr>
      <w:r>
        <w:rPr>
          <w:rFonts w:ascii="Times New Roman" w:cs="Times New Roman" w:eastAsia="Times New Roman" w:hAnsi="Times New Roman"/>
          <w:sz w:val="18"/>
          <w:szCs w:val="18"/>
          <w:color w:val="auto"/>
        </w:rPr>
        <w:t>In general, we have experienced, and expect to continue to experience, product shipments being weighted heavily towards the second half of the year, with the highest percentage of product shipments expected in the fourth quarter of the year. Consistent with prior results, we also expect product shipments from the fourth quarter to the following first quarter to decrease significantly.</w:t>
      </w:r>
    </w:p>
    <w:p>
      <w:pPr>
        <w:spacing w:after="0" w:line="176" w:lineRule="exact"/>
        <w:rPr>
          <w:sz w:val="20"/>
          <w:szCs w:val="20"/>
          <w:color w:val="auto"/>
        </w:rPr>
      </w:pPr>
    </w:p>
    <w:p>
      <w:pPr>
        <w:ind w:right="20" w:firstLine="571"/>
        <w:spacing w:after="0" w:line="254" w:lineRule="auto"/>
        <w:rPr>
          <w:sz w:val="20"/>
          <w:szCs w:val="20"/>
          <w:color w:val="auto"/>
        </w:rPr>
      </w:pPr>
      <w:r>
        <w:rPr>
          <w:rFonts w:ascii="Times New Roman" w:cs="Times New Roman" w:eastAsia="Times New Roman" w:hAnsi="Times New Roman"/>
          <w:sz w:val="18"/>
          <w:szCs w:val="18"/>
          <w:color w:val="auto"/>
        </w:rPr>
        <w:t>In addition, our quarterly sales have fluctuated, and may continue to fluctuate, substantially in the periods surrounding anticipated and actual regulatory approvals and commercial launches of new products by us or our competitors. For instance, customers may defer a purchasing decision if they believe that a new product may be launched in the future. Additionally, upon the announcement of the FDA approval or commercial launch of a new product, whether our own or of our competitors, potential new customers may reconsider their purchasing decision or take additional time to consider the anticipated or new approval or product launch in their purchasing decision. For example, in 2015, we believe that the timing of the regulatory approval and commercial launch of t:slim G4 contributed to our product shipments being weighted heavily towards the fourth quarter of the year. Similarly, we believe that our pump shipments were negatively impacted during the second half of 2016 and first half of 2017, as we announced the launches of t:slim X2 and the Technology Upgrade Program in the third quarter of 2016, and one of our competitors announced the future availability of two new products with financial incentives for adoption. However, we are not able to quantify the extent of the impact of these or similar events, including the launch of t:slim X2 with G5 and the transition to our t:lock Connector, on future purchasing decisions.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229" w:lineRule="exact"/>
        <w:rPr>
          <w:sz w:val="20"/>
          <w:szCs w:val="20"/>
          <w:color w:val="auto"/>
        </w:rPr>
      </w:pPr>
    </w:p>
    <w:p>
      <w:pPr>
        <w:ind w:right="20" w:firstLine="571"/>
        <w:spacing w:after="0" w:line="256" w:lineRule="auto"/>
        <w:rPr>
          <w:sz w:val="20"/>
          <w:szCs w:val="20"/>
          <w:color w:val="auto"/>
        </w:rPr>
      </w:pPr>
      <w:r>
        <w:rPr>
          <w:rFonts w:ascii="Times New Roman" w:cs="Times New Roman" w:eastAsia="Times New Roman" w:hAnsi="Times New Roman"/>
          <w:sz w:val="18"/>
          <w:szCs w:val="18"/>
          <w:color w:val="auto"/>
        </w:rPr>
        <w:t>We manufacture our pumps and disposable cartridges at our manufacturing facility in San Diego, California. Infusion sets and pump accessories are manufactured by third-party suppliers. Cost of sales includes raw materials, labor costs, manufacturing overhead expenses, product training costs, reserves for expected warranty costs, and scrap and inventory excess and obsolescence. Manufacturing overhead expenses include expenses relating to quality assurance, manufacturing engineering, material procurement, inventory control, facilities, equipment, information technology and operations supervision and management. We anticipate that our cost of sales will continue to increase as our products continue to gain broader market acceptance and our product sales increase.</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1" w:name="page22"/>
    <w:bookmarkEnd w:id="21"/>
    <w:p>
      <w:pPr>
        <w:ind w:right="40" w:firstLine="571"/>
        <w:spacing w:after="0" w:line="251" w:lineRule="auto"/>
        <w:rPr>
          <w:sz w:val="20"/>
          <w:szCs w:val="20"/>
          <w:color w:val="auto"/>
        </w:rPr>
      </w:pPr>
      <w:r>
        <w:rPr>
          <w:rFonts w:ascii="Times New Roman" w:cs="Times New Roman" w:eastAsia="Times New Roman" w:hAnsi="Times New Roman"/>
          <w:sz w:val="18"/>
          <w:szCs w:val="18"/>
          <w:color w:val="auto"/>
        </w:rPr>
        <w:t>We expect our overall gross margin percentage, which for any given period is calculated as sales less cost of sales divided by sales, to improve over the long term, as our sales increase and we have more opportunities to spread our overhead costs over larger production volumes. We expect that we will be able to leverage our manufacturing cost structure across our products that utilize the same proprietary technology platform and manufacturing infrastructure, and will be able to further reduce costs with increased automation, process improvements and raw materials cost reductions. We also expect our warranty costs to decrease as we release product features and functionality utilizing the Tandem Device Updater. However, we do expect our overall gross margin to fluctuate in future quarterly periods as a result of numerous factors besides those associated with production volumes. Specifically, in 2017, we are increasing our manufacturing capacity by relocating our manufacturing operations and related functions to a new facility over a period of several quarters, which may add duplicative and incremental cost in the short-term and pressure our overall gross margin for the duration of the transition. Additionally, we will continue to be impacted by the financial and accounting impact of the Technology Upgrade Program, for which we expect to recognize the majority of the remaining deferred sales and cost of sales in the quarter ended September 30, 2017 when the program expires. We are not able to estimate the remaining amount of upgrade fees or associated costs for future customer elections to participate in the Technology Upgrade Program. In general, we expect the gross margin on insulin pumps to be higher than the gross margin on pump-related supplies, which would be consistent with our historical experience. Other factors impacting our overall gross margin include the changing mix of products sold with different gross margins, the changing percentage of products sold to distributors versus directly to individual customers, varying levels of reimbursement among third-party payors, the timing and success of new regulatory approvals and product launches, warranty and training costs, and changes in our manufacturing processes, capacity, costs or output.</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207" w:lineRule="exact"/>
        <w:rPr>
          <w:sz w:val="20"/>
          <w:szCs w:val="20"/>
          <w:color w:val="auto"/>
        </w:rPr>
      </w:pPr>
    </w:p>
    <w:p>
      <w:pPr>
        <w:ind w:firstLine="571"/>
        <w:spacing w:after="0" w:line="254" w:lineRule="auto"/>
        <w:rPr>
          <w:sz w:val="20"/>
          <w:szCs w:val="20"/>
          <w:color w:val="auto"/>
        </w:rPr>
      </w:pPr>
      <w:r>
        <w:rPr>
          <w:rFonts w:ascii="Times New Roman" w:cs="Times New Roman" w:eastAsia="Times New Roman" w:hAnsi="Times New Roman"/>
          <w:sz w:val="18"/>
          <w:szCs w:val="18"/>
          <w:color w:val="auto"/>
        </w:rPr>
        <w:t>Our selling, general and administrative, or SG&amp;A, expenses primarily consist of salary, cash-based incentive compensation, fringe benefits and non-cash stock-based compensation for our executive, financial, marketing, sales, clinical, customer care, technical services, insurance verification, regulatory affairs and administrative functions. In particular, our sales and clinical organization consisted of approximately 70 territories as of June 30, 2017. Territories are maintained by sales representatives and field clinical specialists, and supported by managed care liaisons, additional sales management and other customer support personnel. Other significant SG&amp;A expenses include those incurred for product demonstration samples, commercialization activities associated with new product launches, travel, trade shows, outside legal fees, independent auditor fees, outside consultant fees, insurance premiums, facilities costs and information technology costs. Although we do not contemplate an increase in the number of sales territories in the near term, we expect our SG&amp;A expenses, including the cost of our customer care infrastructure, to increase as our customer base grows. Our SG&amp;A expenses may also increase due to costs associated with additional compliance and regulatory reporting requirements.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ind w:right="20" w:firstLine="571"/>
        <w:spacing w:after="0" w:line="256" w:lineRule="auto"/>
        <w:rPr>
          <w:sz w:val="20"/>
          <w:szCs w:val="20"/>
          <w:color w:val="auto"/>
        </w:rPr>
      </w:pPr>
      <w:r>
        <w:rPr>
          <w:rFonts w:ascii="Times New Roman" w:cs="Times New Roman" w:eastAsia="Times New Roman" w:hAnsi="Times New Roman"/>
          <w:sz w:val="18"/>
          <w:szCs w:val="18"/>
          <w:color w:val="auto"/>
        </w:rPr>
        <w:t>Our research and development, or R&amp;D, activities primarily consist of engineering and research programs associated with our products under development, as well as activities associated with our core technologies and processes. R&amp;D expenses are primarily related to employee compensation, including salary, fringe benefits, non-cash stock-based compensation and temporary employee expenses. We also incur R&amp;D expenses for supplies, development prototypes, outside design and testing services, depreciation, allocated facilities and information services, clinical trial costs, payments under our licensing, development and commercialization agreements and other indirect costs. We expect our R&amp;D expenses, including clinical trial costs, to increase as we advance our products under development.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and Expense</w:t>
      </w:r>
    </w:p>
    <w:p>
      <w:pPr>
        <w:spacing w:after="0" w:line="229" w:lineRule="exact"/>
        <w:rPr>
          <w:sz w:val="20"/>
          <w:szCs w:val="20"/>
          <w:color w:val="auto"/>
        </w:rPr>
      </w:pPr>
    </w:p>
    <w:p>
      <w:pPr>
        <w:ind w:right="260" w:firstLine="571"/>
        <w:spacing w:after="0" w:line="276" w:lineRule="auto"/>
        <w:rPr>
          <w:sz w:val="20"/>
          <w:szCs w:val="20"/>
          <w:color w:val="auto"/>
        </w:rPr>
      </w:pPr>
      <w:r>
        <w:rPr>
          <w:rFonts w:ascii="Times New Roman" w:cs="Times New Roman" w:eastAsia="Times New Roman" w:hAnsi="Times New Roman"/>
          <w:sz w:val="17"/>
          <w:szCs w:val="17"/>
          <w:color w:val="auto"/>
        </w:rPr>
        <w:t>Our other income and expense primarily consists of interest expense and amortization of debt discount and issuance costs associated with the Term Loan Agreement. At June 30, 2017, there was $81.9 million of outstanding principal under the Term Loan Agreement, which accrues interest at a rate of</w:t>
      </w:r>
    </w:p>
    <w:p>
      <w:pPr>
        <w:spacing w:after="0" w:line="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11.5% per annum. We expect interest expense to increase in 2017 as a result of additional borrowings under the Term Loan Agreement as compared to 2016 (see the section below entitled “Indebtedness”).</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8"/>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37"/>
        </w:trPr>
        <w:tc>
          <w:tcPr>
            <w:tcW w:w="21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40" w:type="dxa"/>
            <w:vAlign w:val="bottom"/>
            <w:gridSpan w:val="6"/>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0" w:type="dxa"/>
            <w:vAlign w:val="bottom"/>
            <w:gridSpan w:val="5"/>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210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169"/>
        </w:trPr>
        <w:tc>
          <w:tcPr>
            <w:tcW w:w="562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40" w:type="dxa"/>
            <w:vAlign w:val="bottom"/>
          </w:tcPr>
          <w:p>
            <w:pPr>
              <w:spacing w:after="0"/>
              <w:rPr>
                <w:sz w:val="14"/>
                <w:szCs w:val="14"/>
                <w:color w:val="auto"/>
              </w:rPr>
            </w:pPr>
          </w:p>
        </w:tc>
        <w:tc>
          <w:tcPr>
            <w:tcW w:w="900" w:type="dxa"/>
            <w:vAlign w:val="bottom"/>
          </w:tcPr>
          <w:p>
            <w:pPr>
              <w:jc w:val="right"/>
              <w:ind w:right="310"/>
              <w:spacing w:after="0" w:line="156" w:lineRule="exact"/>
              <w:rPr>
                <w:sz w:val="20"/>
                <w:szCs w:val="20"/>
                <w:color w:val="auto"/>
              </w:rPr>
            </w:pPr>
            <w:r>
              <w:rPr>
                <w:rFonts w:ascii="Times New Roman" w:cs="Times New Roman" w:eastAsia="Times New Roman" w:hAnsi="Times New Roman"/>
                <w:sz w:val="18"/>
                <w:szCs w:val="18"/>
                <w:b w:val="1"/>
                <w:bCs w:val="1"/>
                <w:color w:val="auto"/>
              </w:rPr>
              <w:t>2017</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310"/>
              <w:spacing w:after="0" w:line="156" w:lineRule="exact"/>
              <w:rPr>
                <w:sz w:val="20"/>
                <w:szCs w:val="20"/>
                <w:color w:val="auto"/>
              </w:rPr>
            </w:pPr>
            <w:r>
              <w:rPr>
                <w:rFonts w:ascii="Times New Roman" w:cs="Times New Roman" w:eastAsia="Times New Roman" w:hAnsi="Times New Roman"/>
                <w:sz w:val="18"/>
                <w:szCs w:val="18"/>
                <w:b w:val="1"/>
                <w:bCs w:val="1"/>
                <w:color w:val="auto"/>
              </w:rPr>
              <w:t>2016</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ind w:right="310"/>
              <w:spacing w:after="0" w:line="156" w:lineRule="exact"/>
              <w:rPr>
                <w:sz w:val="20"/>
                <w:szCs w:val="20"/>
                <w:color w:val="auto"/>
              </w:rPr>
            </w:pPr>
            <w:r>
              <w:rPr>
                <w:rFonts w:ascii="Times New Roman" w:cs="Times New Roman" w:eastAsia="Times New Roman" w:hAnsi="Times New Roman"/>
                <w:sz w:val="18"/>
                <w:szCs w:val="18"/>
                <w:b w:val="1"/>
                <w:bCs w:val="1"/>
                <w:color w:val="auto"/>
              </w:rPr>
              <w:t>2017</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310"/>
              <w:spacing w:after="0" w:line="156" w:lineRule="exact"/>
              <w:rPr>
                <w:sz w:val="20"/>
                <w:szCs w:val="20"/>
                <w:color w:val="auto"/>
              </w:rPr>
            </w:pPr>
            <w:r>
              <w:rPr>
                <w:rFonts w:ascii="Times New Roman" w:cs="Times New Roman" w:eastAsia="Times New Roman" w:hAnsi="Times New Roman"/>
                <w:sz w:val="18"/>
                <w:szCs w:val="18"/>
                <w:b w:val="1"/>
                <w:bCs w:val="1"/>
                <w:color w:val="auto"/>
              </w:rPr>
              <w:t>2016</w:t>
            </w:r>
          </w:p>
        </w:tc>
        <w:tc>
          <w:tcPr>
            <w:tcW w:w="180" w:type="dxa"/>
            <w:vAlign w:val="bottom"/>
          </w:tcPr>
          <w:p>
            <w:pPr>
              <w:spacing w:after="0"/>
              <w:rPr>
                <w:sz w:val="14"/>
                <w:szCs w:val="14"/>
                <w:color w:val="auto"/>
              </w:rPr>
            </w:pPr>
          </w:p>
        </w:tc>
      </w:tr>
      <w:tr>
        <w:trPr>
          <w:trHeight w:val="34"/>
        </w:trPr>
        <w:tc>
          <w:tcPr>
            <w:tcW w:w="2100" w:type="dxa"/>
            <w:vAlign w:val="bottom"/>
            <w:tcBorders>
              <w:top w:val="single" w:sz="8" w:color="auto"/>
              <w:bottom w:val="single" w:sz="8" w:color="CFF0FC"/>
            </w:tcBorders>
          </w:tcPr>
          <w:p>
            <w:pPr>
              <w:spacing w:after="0"/>
              <w:rPr>
                <w:sz w:val="2"/>
                <w:szCs w:val="2"/>
                <w:color w:val="auto"/>
              </w:rPr>
            </w:pPr>
          </w:p>
        </w:tc>
        <w:tc>
          <w:tcPr>
            <w:tcW w:w="352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CFF0FC"/>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CFF0FC"/>
            </w:tcBorders>
          </w:tcPr>
          <w:p>
            <w:pPr>
              <w:spacing w:after="0"/>
              <w:rPr>
                <w:sz w:val="2"/>
                <w:szCs w:val="2"/>
                <w:color w:val="auto"/>
              </w:rPr>
            </w:pPr>
          </w:p>
        </w:tc>
      </w:tr>
      <w:tr>
        <w:trPr>
          <w:trHeight w:val="223"/>
        </w:trPr>
        <w:tc>
          <w:tcPr>
            <w:tcW w:w="5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w:t>
            </w:r>
          </w:p>
        </w:tc>
        <w:tc>
          <w:tcPr>
            <w:tcW w:w="2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21,327</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22,985</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40,303</w:t>
            </w:r>
          </w:p>
        </w:tc>
        <w:tc>
          <w:tcPr>
            <w:tcW w:w="3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43,043</w:t>
            </w:r>
          </w:p>
        </w:tc>
        <w:tc>
          <w:tcPr>
            <w:tcW w:w="180" w:type="dxa"/>
            <w:vAlign w:val="bottom"/>
            <w:shd w:val="clear" w:color="auto" w:fill="CFF0FC"/>
          </w:tcPr>
          <w:p>
            <w:pPr>
              <w:spacing w:after="0"/>
              <w:rPr>
                <w:sz w:val="19"/>
                <w:szCs w:val="19"/>
                <w:color w:val="auto"/>
              </w:rPr>
            </w:pPr>
          </w:p>
        </w:tc>
      </w:tr>
      <w:tr>
        <w:trPr>
          <w:trHeight w:val="230"/>
        </w:trPr>
        <w:tc>
          <w:tcPr>
            <w:tcW w:w="562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13,325</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14,809</w:t>
            </w:r>
          </w:p>
        </w:tc>
        <w:tc>
          <w:tcPr>
            <w:tcW w:w="2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25,549</w:t>
            </w:r>
          </w:p>
        </w:tc>
        <w:tc>
          <w:tcPr>
            <w:tcW w:w="3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27,939</w:t>
            </w:r>
          </w:p>
        </w:tc>
        <w:tc>
          <w:tcPr>
            <w:tcW w:w="180" w:type="dxa"/>
            <w:vAlign w:val="bottom"/>
            <w:tcBorders>
              <w:bottom w:val="single" w:sz="8" w:color="CFF0FC"/>
            </w:tcBorders>
          </w:tcPr>
          <w:p>
            <w:pPr>
              <w:spacing w:after="0"/>
              <w:rPr>
                <w:sz w:val="19"/>
                <w:szCs w:val="19"/>
                <w:color w:val="auto"/>
              </w:rPr>
            </w:pPr>
          </w:p>
        </w:tc>
      </w:tr>
      <w:tr>
        <w:trPr>
          <w:trHeight w:val="223"/>
        </w:trPr>
        <w:tc>
          <w:tcPr>
            <w:tcW w:w="5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8,002</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8,176</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14,754</w:t>
            </w:r>
          </w:p>
        </w:tc>
        <w:tc>
          <w:tcPr>
            <w:tcW w:w="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15,104</w:t>
            </w:r>
          </w:p>
        </w:tc>
        <w:tc>
          <w:tcPr>
            <w:tcW w:w="180" w:type="dxa"/>
            <w:vAlign w:val="bottom"/>
            <w:shd w:val="clear" w:color="auto" w:fill="CFF0FC"/>
          </w:tcPr>
          <w:p>
            <w:pPr>
              <w:spacing w:after="0"/>
              <w:rPr>
                <w:sz w:val="19"/>
                <w:szCs w:val="19"/>
                <w:color w:val="auto"/>
              </w:rPr>
            </w:pPr>
          </w:p>
        </w:tc>
      </w:tr>
      <w:tr>
        <w:trPr>
          <w:trHeight w:val="230"/>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4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w:t>
            </w:r>
          </w:p>
        </w:tc>
        <w:tc>
          <w:tcPr>
            <w:tcW w:w="28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r>
      <w:tr>
        <w:trPr>
          <w:trHeight w:val="230"/>
        </w:trPr>
        <w:tc>
          <w:tcPr>
            <w:tcW w:w="5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56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22,104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21,087</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44,952</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43,084</w:t>
            </w:r>
          </w:p>
        </w:tc>
        <w:tc>
          <w:tcPr>
            <w:tcW w:w="180" w:type="dxa"/>
            <w:vAlign w:val="bottom"/>
          </w:tcPr>
          <w:p>
            <w:pPr>
              <w:spacing w:after="0"/>
              <w:rPr>
                <w:sz w:val="19"/>
                <w:szCs w:val="19"/>
                <w:color w:val="auto"/>
              </w:rPr>
            </w:pPr>
          </w:p>
        </w:tc>
      </w:tr>
      <w:tr>
        <w:trPr>
          <w:trHeight w:val="230"/>
        </w:trPr>
        <w:tc>
          <w:tcPr>
            <w:tcW w:w="56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4,866</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4,142</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9,996</w:t>
            </w:r>
          </w:p>
        </w:tc>
        <w:tc>
          <w:tcPr>
            <w:tcW w:w="3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8,310</w:t>
            </w:r>
          </w:p>
        </w:tc>
        <w:tc>
          <w:tcPr>
            <w:tcW w:w="180" w:type="dxa"/>
            <w:vAlign w:val="bottom"/>
            <w:shd w:val="clear" w:color="auto" w:fill="CFF0FC"/>
          </w:tcPr>
          <w:p>
            <w:pPr>
              <w:spacing w:after="0"/>
              <w:rPr>
                <w:sz w:val="19"/>
                <w:szCs w:val="19"/>
                <w:color w:val="auto"/>
              </w:rPr>
            </w:pPr>
          </w:p>
        </w:tc>
      </w:tr>
      <w:tr>
        <w:trPr>
          <w:trHeight w:val="223"/>
        </w:trPr>
        <w:tc>
          <w:tcPr>
            <w:tcW w:w="562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26,970</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25,229</w:t>
            </w:r>
          </w:p>
        </w:tc>
        <w:tc>
          <w:tcPr>
            <w:tcW w:w="2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54,948</w:t>
            </w:r>
          </w:p>
        </w:tc>
        <w:tc>
          <w:tcPr>
            <w:tcW w:w="3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51,394</w:t>
            </w:r>
          </w:p>
        </w:tc>
        <w:tc>
          <w:tcPr>
            <w:tcW w:w="180" w:type="dxa"/>
            <w:vAlign w:val="bottom"/>
            <w:tcBorders>
              <w:bottom w:val="single" w:sz="8" w:color="CFF0FC"/>
            </w:tcBorders>
          </w:tcPr>
          <w:p>
            <w:pPr>
              <w:spacing w:after="0"/>
              <w:rPr>
                <w:sz w:val="19"/>
                <w:szCs w:val="19"/>
                <w:color w:val="auto"/>
              </w:rPr>
            </w:pPr>
          </w:p>
        </w:tc>
      </w:tr>
      <w:tr>
        <w:trPr>
          <w:trHeight w:val="223"/>
        </w:trPr>
        <w:tc>
          <w:tcPr>
            <w:tcW w:w="5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(18,968)</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(17,053)</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(40,194)</w:t>
            </w:r>
          </w:p>
        </w:tc>
        <w:tc>
          <w:tcPr>
            <w:tcW w:w="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(36,290)</w:t>
            </w:r>
          </w:p>
        </w:tc>
        <w:tc>
          <w:tcPr>
            <w:tcW w:w="180" w:type="dxa"/>
            <w:vAlign w:val="bottom"/>
            <w:shd w:val="clear" w:color="auto" w:fill="CFF0FC"/>
          </w:tcPr>
          <w:p>
            <w:pPr>
              <w:spacing w:after="0"/>
              <w:rPr>
                <w:sz w:val="19"/>
                <w:szCs w:val="19"/>
                <w:color w:val="auto"/>
              </w:rPr>
            </w:pPr>
          </w:p>
        </w:tc>
      </w:tr>
      <w:tr>
        <w:trPr>
          <w:trHeight w:val="230"/>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56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and other income</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80" w:type="dxa"/>
            <w:vAlign w:val="bottom"/>
            <w:shd w:val="clear" w:color="auto" w:fill="CFF0FC"/>
          </w:tcPr>
          <w:p>
            <w:pPr>
              <w:spacing w:after="0"/>
              <w:rPr>
                <w:sz w:val="19"/>
                <w:szCs w:val="19"/>
                <w:color w:val="auto"/>
              </w:rPr>
            </w:pPr>
          </w:p>
        </w:tc>
      </w:tr>
      <w:tr>
        <w:trPr>
          <w:trHeight w:val="230"/>
        </w:trPr>
        <w:tc>
          <w:tcPr>
            <w:tcW w:w="56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Interest and other expense</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(2,892)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(1,379)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(5,518)</w:t>
            </w:r>
          </w:p>
        </w:tc>
        <w:tc>
          <w:tcPr>
            <w:tcW w:w="28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(2,744)</w:t>
            </w:r>
          </w:p>
        </w:tc>
      </w:tr>
      <w:tr>
        <w:trPr>
          <w:trHeight w:val="223"/>
        </w:trPr>
        <w:tc>
          <w:tcPr>
            <w:tcW w:w="562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expense, net</w:t>
            </w: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(2,832)</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2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(5,399)</w:t>
            </w:r>
          </w:p>
        </w:tc>
        <w:tc>
          <w:tcPr>
            <w:tcW w:w="3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(2,519)</w:t>
            </w:r>
          </w:p>
        </w:tc>
        <w:tc>
          <w:tcPr>
            <w:tcW w:w="180" w:type="dxa"/>
            <w:vAlign w:val="bottom"/>
            <w:tcBorders>
              <w:top w:val="single" w:sz="8" w:color="CFF0FC"/>
            </w:tcBorders>
            <w:shd w:val="clear" w:color="auto" w:fill="CFF0FC"/>
          </w:tcPr>
          <w:p>
            <w:pPr>
              <w:spacing w:after="0"/>
              <w:rPr>
                <w:sz w:val="19"/>
                <w:szCs w:val="19"/>
                <w:color w:val="auto"/>
              </w:rPr>
            </w:pPr>
          </w:p>
        </w:tc>
      </w:tr>
      <w:tr>
        <w:trPr>
          <w:trHeight w:val="223"/>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(21,800)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(18,325)</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(45,593)</w:t>
            </w:r>
          </w:p>
        </w:tc>
        <w:tc>
          <w:tcPr>
            <w:tcW w:w="3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(38,809)</w:t>
            </w:r>
          </w:p>
        </w:tc>
        <w:tc>
          <w:tcPr>
            <w:tcW w:w="180" w:type="dxa"/>
            <w:vAlign w:val="bottom"/>
          </w:tcPr>
          <w:p>
            <w:pPr>
              <w:spacing w:after="0"/>
              <w:rPr>
                <w:sz w:val="19"/>
                <w:szCs w:val="19"/>
                <w:color w:val="auto"/>
              </w:rPr>
            </w:pPr>
          </w:p>
        </w:tc>
      </w:tr>
      <w:tr>
        <w:trPr>
          <w:trHeight w:val="20"/>
        </w:trPr>
        <w:tc>
          <w:tcPr>
            <w:tcW w:w="21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June 30, 2017 and 2016</w:t>
      </w:r>
    </w:p>
    <w:p>
      <w:pPr>
        <w:spacing w:after="0" w:line="227" w:lineRule="exact"/>
        <w:rPr>
          <w:sz w:val="20"/>
          <w:szCs w:val="20"/>
          <w:color w:val="auto"/>
        </w:rPr>
      </w:pPr>
    </w:p>
    <w:p>
      <w:pPr>
        <w:ind w:right="220" w:firstLine="571"/>
        <w:spacing w:after="0" w:line="284" w:lineRule="auto"/>
        <w:rPr>
          <w:sz w:val="20"/>
          <w:szCs w:val="20"/>
          <w:color w:val="auto"/>
        </w:rPr>
      </w:pPr>
      <w:r>
        <w:rPr>
          <w:rFonts w:ascii="Times New Roman" w:cs="Times New Roman" w:eastAsia="Times New Roman" w:hAnsi="Times New Roman"/>
          <w:sz w:val="18"/>
          <w:szCs w:val="18"/>
          <w:i w:val="1"/>
          <w:iCs w:val="1"/>
          <w:color w:val="auto"/>
        </w:rPr>
        <w:t>Sales</w:t>
      </w:r>
      <w:r>
        <w:rPr>
          <w:rFonts w:ascii="Times New Roman" w:cs="Times New Roman" w:eastAsia="Times New Roman" w:hAnsi="Times New Roman"/>
          <w:sz w:val="18"/>
          <w:szCs w:val="18"/>
          <w:color w:val="auto"/>
        </w:rPr>
        <w:t>. For the three months ended June 30, 2017, sales were $21.3 million, compared to $23.0 million for the same period in 2016. The Technology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Upgrade Program did not have a material impact on sales in either period.</w:t>
      </w:r>
    </w:p>
    <w:p>
      <w:pPr>
        <w:spacing w:after="0" w:line="160" w:lineRule="exact"/>
        <w:rPr>
          <w:sz w:val="20"/>
          <w:szCs w:val="20"/>
          <w:color w:val="auto"/>
        </w:rPr>
      </w:pPr>
    </w:p>
    <w:p>
      <w:pPr>
        <w:ind w:right="100" w:firstLine="571"/>
        <w:spacing w:after="0" w:line="258" w:lineRule="auto"/>
        <w:rPr>
          <w:sz w:val="20"/>
          <w:szCs w:val="20"/>
          <w:color w:val="auto"/>
        </w:rPr>
      </w:pPr>
      <w:r>
        <w:rPr>
          <w:rFonts w:ascii="Times New Roman" w:cs="Times New Roman" w:eastAsia="Times New Roman" w:hAnsi="Times New Roman"/>
          <w:sz w:val="18"/>
          <w:szCs w:val="18"/>
          <w:color w:val="auto"/>
        </w:rPr>
        <w:t>Sales of insulin pumps were $13.3 million and $18.1 million, respectively, for the three months ended June 30, 2017 and 2016. For the three months ended June 30, 2017, sales of pump-related supplies were $8.0 million, of which $3.3 million were sales of cartridges and $4.6 million were sales of infusion sets. For the three months ended June 30, 2016, sales of pump-related supplies were $4.9 million, of which $2.8 million were sales of cartridges and $2.1 million were sales of infusion sets. The ratio of the number of infusion sets shipped to the number of cartridges shipped increased to 61% in the three months ended June 30, 2017 from 28% in the comparable quarter of the prior year. Sales of accessories were not significant in either of the reported periods.</w:t>
      </w:r>
    </w:p>
    <w:p>
      <w:pPr>
        <w:spacing w:after="0" w:line="184" w:lineRule="exact"/>
        <w:rPr>
          <w:sz w:val="20"/>
          <w:szCs w:val="20"/>
          <w:color w:val="auto"/>
        </w:rPr>
      </w:pPr>
    </w:p>
    <w:p>
      <w:pPr>
        <w:ind w:right="20" w:firstLine="571"/>
        <w:spacing w:after="0" w:line="256" w:lineRule="auto"/>
        <w:rPr>
          <w:sz w:val="20"/>
          <w:szCs w:val="20"/>
          <w:color w:val="auto"/>
        </w:rPr>
      </w:pPr>
      <w:r>
        <w:rPr>
          <w:rFonts w:ascii="Times New Roman" w:cs="Times New Roman" w:eastAsia="Times New Roman" w:hAnsi="Times New Roman"/>
          <w:sz w:val="18"/>
          <w:szCs w:val="18"/>
          <w:color w:val="auto"/>
        </w:rPr>
        <w:t>The decrease in sales was primarily driven by a 25% decrease in pump shipments from 4,582 in 2016 to 3,427 in 2017 due to downward pressure in 2017 from a highly competitive market. Additionally, sales were stronger in early 2016 following the launch of the t:slim G4. The period ended June 30, 2016 also represented the last period in which all UnitedHealthcare members had access to our products due to their decision to designate one of our competitors as their preferred, in-network durable medical equipment provider of insulin pumps for most customers over the age of 18, which was effective July 1, 2016. The decline in sales was partially offset by an increase in sales of pump-related supplies due to our growing customer base, including increased sales of infusion sets to our distributors.</w:t>
      </w:r>
    </w:p>
    <w:p>
      <w:pPr>
        <w:spacing w:after="0" w:line="188" w:lineRule="exact"/>
        <w:rPr>
          <w:sz w:val="20"/>
          <w:szCs w:val="20"/>
          <w:color w:val="auto"/>
        </w:rPr>
      </w:pPr>
    </w:p>
    <w:p>
      <w:pPr>
        <w:ind w:right="40" w:firstLine="571"/>
        <w:spacing w:after="0" w:line="261" w:lineRule="auto"/>
        <w:rPr>
          <w:sz w:val="20"/>
          <w:szCs w:val="20"/>
          <w:color w:val="auto"/>
        </w:rPr>
      </w:pPr>
      <w:r>
        <w:rPr>
          <w:rFonts w:ascii="Times New Roman" w:cs="Times New Roman" w:eastAsia="Times New Roman" w:hAnsi="Times New Roman"/>
          <w:sz w:val="18"/>
          <w:szCs w:val="18"/>
          <w:color w:val="auto"/>
        </w:rPr>
        <w:t>Our percentage of sales to distributors versus individual customers is principally determined by the mix of customers ordering our products within the period and whether or not we have a contractual arrangement with their underlying third-party insurance payor. Sales to distributors accounted for 72% and 75% of our total sales for the three months ended June 30, 2017 and 2016, respectively. The percentage of sales to distributors decreased mainly due to the UnitedHealthcare decision. Previously, UnitedHealthcare’s members accessed our products through one of our distributors.</w:t>
      </w:r>
    </w:p>
    <w:p>
      <w:pPr>
        <w:spacing w:after="0" w:line="178" w:lineRule="exact"/>
        <w:rPr>
          <w:sz w:val="20"/>
          <w:szCs w:val="20"/>
          <w:color w:val="auto"/>
        </w:rPr>
      </w:pPr>
    </w:p>
    <w:p>
      <w:pPr>
        <w:ind w:right="60" w:firstLine="571"/>
        <w:spacing w:after="0" w:line="267" w:lineRule="auto"/>
        <w:rPr>
          <w:sz w:val="20"/>
          <w:szCs w:val="20"/>
          <w:color w:val="auto"/>
        </w:rPr>
      </w:pPr>
      <w:r>
        <w:rPr>
          <w:rFonts w:ascii="Times New Roman" w:cs="Times New Roman" w:eastAsia="Times New Roman" w:hAnsi="Times New Roman"/>
          <w:sz w:val="18"/>
          <w:szCs w:val="18"/>
          <w:i w:val="1"/>
          <w:iCs w:val="1"/>
          <w:color w:val="auto"/>
        </w:rPr>
        <w:t>Cost of Sales and Gross Profit</w:t>
      </w:r>
      <w:r>
        <w:rPr>
          <w:rFonts w:ascii="Times New Roman" w:cs="Times New Roman" w:eastAsia="Times New Roman" w:hAnsi="Times New Roman"/>
          <w:sz w:val="18"/>
          <w:szCs w:val="18"/>
          <w:color w:val="auto"/>
        </w:rPr>
        <w:t>. Our cost of sales for the three months ended June 30, 2017 was $13.3 million, resulting in gross profit of $8.0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$14.8 million cost of sales and gross profit of $8.2 million in 2016. The gross margin for the three months ended June 30, 2017 was 38% compared to 36% in the same period in 2016.</w:t>
      </w:r>
    </w:p>
    <w:p>
      <w:pPr>
        <w:spacing w:after="0" w:line="176" w:lineRule="exact"/>
        <w:rPr>
          <w:sz w:val="20"/>
          <w:szCs w:val="20"/>
          <w:color w:val="auto"/>
        </w:rPr>
      </w:pPr>
    </w:p>
    <w:p>
      <w:pPr>
        <w:ind w:right="140" w:firstLine="571"/>
        <w:spacing w:after="0" w:line="258" w:lineRule="auto"/>
        <w:rPr>
          <w:sz w:val="20"/>
          <w:szCs w:val="20"/>
          <w:color w:val="auto"/>
        </w:rPr>
      </w:pPr>
      <w:r>
        <w:rPr>
          <w:rFonts w:ascii="Times New Roman" w:cs="Times New Roman" w:eastAsia="Times New Roman" w:hAnsi="Times New Roman"/>
          <w:sz w:val="18"/>
          <w:szCs w:val="18"/>
          <w:color w:val="auto"/>
        </w:rPr>
        <w:t>Gross margin increased for the three months ended June 30, 2017 compared to the same period in 2016 primarily as a result of per unit cost improvements, including significant raw material cost reductions for our pumps, increased cartridge production volumes and overall manufacturing efficiencies, as well as a decrease in warranty expense as a result of improvements in our warranty trends and warranty replacement costs. This increase was partially offset by a reduction due to a non-cash stock-based compensation charge associated with the suspension of our Employee Stock Purchase Program, or ESPP, during the period ended June 30, 2017.</w:t>
      </w:r>
    </w:p>
    <w:p>
      <w:pPr>
        <w:spacing w:after="0" w:line="184" w:lineRule="exact"/>
        <w:rPr>
          <w:sz w:val="20"/>
          <w:szCs w:val="20"/>
          <w:color w:val="auto"/>
        </w:rPr>
      </w:pPr>
    </w:p>
    <w:p>
      <w:pPr>
        <w:ind w:right="40" w:firstLine="571"/>
        <w:spacing w:after="0" w:line="282" w:lineRule="auto"/>
        <w:rPr>
          <w:sz w:val="20"/>
          <w:szCs w:val="20"/>
          <w:color w:val="auto"/>
        </w:rPr>
      </w:pPr>
      <w:r>
        <w:rPr>
          <w:rFonts w:ascii="Times New Roman" w:cs="Times New Roman" w:eastAsia="Times New Roman" w:hAnsi="Times New Roman"/>
          <w:sz w:val="18"/>
          <w:szCs w:val="18"/>
          <w:color w:val="auto"/>
        </w:rPr>
        <w:t>The slight decrease in our overall gross profit was primarily driven by a decrease in pump shipments, offset by an increase in the sale of pump-related supplies. The Technology Upgrade Program did not have a material impact on cost of sales in either period.</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3" w:name="page24"/>
    <w:bookmarkEnd w:id="23"/>
    <w:p>
      <w:pPr>
        <w:ind w:right="20" w:firstLine="571"/>
        <w:spacing w:after="0" w:line="261" w:lineRule="auto"/>
        <w:rPr>
          <w:sz w:val="20"/>
          <w:szCs w:val="20"/>
          <w:color w:val="auto"/>
        </w:rPr>
      </w:pPr>
      <w:r>
        <w:rPr>
          <w:rFonts w:ascii="Times New Roman" w:cs="Times New Roman" w:eastAsia="Times New Roman" w:hAnsi="Times New Roman"/>
          <w:sz w:val="18"/>
          <w:szCs w:val="18"/>
          <w:color w:val="auto"/>
        </w:rPr>
        <w:t>Pump-related supplies generally have lower gross margins than our insulin pumps. However, we continue to experience a positive gross margin associated with our pump-related supplies, after first breaking even for these products in the third quarter of 2016. We expect to continue to see improvements in this gross margin as we manufacture higher volumes of cartridges to support our growing installed base and continue increasing sales of infusion sets to distributors with the launch of our t:lock Connector.</w:t>
      </w:r>
    </w:p>
    <w:p>
      <w:pPr>
        <w:spacing w:after="0" w:line="178" w:lineRule="exact"/>
        <w:rPr>
          <w:sz w:val="20"/>
          <w:szCs w:val="20"/>
          <w:color w:val="auto"/>
        </w:rPr>
      </w:pPr>
    </w:p>
    <w:p>
      <w:pPr>
        <w:ind w:right="160" w:firstLine="571"/>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SG&amp;A expenses increased 5% to $22.1 million for the three months ended June 30, 2017 from $21.1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same period in 2016.</w:t>
      </w:r>
    </w:p>
    <w:p>
      <w:pPr>
        <w:spacing w:after="0" w:line="160" w:lineRule="exact"/>
        <w:rPr>
          <w:sz w:val="20"/>
          <w:szCs w:val="20"/>
          <w:color w:val="auto"/>
        </w:rPr>
      </w:pPr>
    </w:p>
    <w:p>
      <w:pPr>
        <w:ind w:right="100" w:firstLine="571"/>
        <w:spacing w:after="0" w:line="261" w:lineRule="auto"/>
        <w:rPr>
          <w:sz w:val="20"/>
          <w:szCs w:val="20"/>
          <w:color w:val="auto"/>
        </w:rPr>
      </w:pPr>
      <w:r>
        <w:rPr>
          <w:rFonts w:ascii="Times New Roman" w:cs="Times New Roman" w:eastAsia="Times New Roman" w:hAnsi="Times New Roman"/>
          <w:sz w:val="18"/>
          <w:szCs w:val="18"/>
          <w:color w:val="auto"/>
        </w:rPr>
        <w:t>Employee-related expenses for our SG&amp;A functions comprise the majority of the SG&amp;A expenses. These expenses increased $1.6 million during the three months ended June 30, 2017 compared to the same period in 2016, due primarily to a $1.1 million non-cash stock-based compensation charge associated with the suspension of our ESPP in the three months ended June 30, 2017. Other SG&amp;A expenses, including costs for compensation, outside services, marketing and promotional activities, tradeshows and travel, decreased $0.6 million.</w:t>
      </w:r>
    </w:p>
    <w:p>
      <w:pPr>
        <w:spacing w:after="0" w:line="178" w:lineRule="exact"/>
        <w:rPr>
          <w:sz w:val="20"/>
          <w:szCs w:val="20"/>
          <w:color w:val="auto"/>
        </w:rPr>
      </w:pPr>
    </w:p>
    <w:p>
      <w:pPr>
        <w:ind w:right="60" w:firstLine="571"/>
        <w:spacing w:after="0" w:line="261" w:lineRule="auto"/>
        <w:rPr>
          <w:sz w:val="20"/>
          <w:szCs w:val="20"/>
          <w:color w:val="auto"/>
        </w:rPr>
      </w:pPr>
      <w:r>
        <w:rPr>
          <w:rFonts w:ascii="Times New Roman" w:cs="Times New Roman" w:eastAsia="Times New Roman" w:hAnsi="Times New Roman"/>
          <w:sz w:val="18"/>
          <w:szCs w:val="18"/>
          <w:i w:val="1"/>
          <w:iCs w:val="1"/>
          <w:color w:val="auto"/>
        </w:rPr>
        <w:t>Research and Development Expenses</w:t>
      </w:r>
      <w:r>
        <w:rPr>
          <w:rFonts w:ascii="Times New Roman" w:cs="Times New Roman" w:eastAsia="Times New Roman" w:hAnsi="Times New Roman"/>
          <w:sz w:val="18"/>
          <w:szCs w:val="18"/>
          <w:color w:val="auto"/>
        </w:rPr>
        <w:t>. R&amp;D expenses increased 17% to $4.9 million for the three months ended June 30, 2017 from $4.1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same period in 2016. The increase in R&amp;D expenses was primarily the result of a $0.4 million non-cash stock-based compensation charge associated with the suspension of our ESPP in the three months ended June 30, 2017, with the remaining $0.4 million increase stemming from costs associated with the advancement of our product pipeline.</w:t>
      </w:r>
    </w:p>
    <w:p>
      <w:pPr>
        <w:spacing w:after="0" w:line="180" w:lineRule="exact"/>
        <w:rPr>
          <w:sz w:val="20"/>
          <w:szCs w:val="20"/>
          <w:color w:val="auto"/>
        </w:rPr>
      </w:pPr>
    </w:p>
    <w:p>
      <w:pPr>
        <w:ind w:right="40" w:firstLine="571"/>
        <w:spacing w:after="0" w:line="261" w:lineRule="auto"/>
        <w:rPr>
          <w:sz w:val="20"/>
          <w:szCs w:val="20"/>
          <w:color w:val="auto"/>
        </w:rPr>
      </w:pPr>
      <w:r>
        <w:rPr>
          <w:rFonts w:ascii="Times New Roman" w:cs="Times New Roman" w:eastAsia="Times New Roman" w:hAnsi="Times New Roman"/>
          <w:sz w:val="18"/>
          <w:szCs w:val="18"/>
          <w:i w:val="1"/>
          <w:iCs w:val="1"/>
          <w:color w:val="auto"/>
        </w:rPr>
        <w:t>Other Income and Expense</w:t>
      </w:r>
      <w:r>
        <w:rPr>
          <w:rFonts w:ascii="Times New Roman" w:cs="Times New Roman" w:eastAsia="Times New Roman" w:hAnsi="Times New Roman"/>
          <w:sz w:val="18"/>
          <w:szCs w:val="18"/>
          <w:color w:val="auto"/>
        </w:rPr>
        <w:t>. Other expense for the three months ended June 30, 2017 and 2016 was $2.9 million and $1.4 million, respectively.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 for both periods was primarily comprised of interest expense associated with the Term Loan Agreement. The outstanding principal balances under the Term Loan Agreement were $81.9 million and $45.6 million as of June 30, 2017 and June 30, 2016, respectively. Other income for both periods presented was not significant.</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Six Months Ended June 30, 2017 and 2016</w:t>
      </w:r>
    </w:p>
    <w:p>
      <w:pPr>
        <w:spacing w:after="0" w:line="227" w:lineRule="exact"/>
        <w:rPr>
          <w:sz w:val="20"/>
          <w:szCs w:val="20"/>
          <w:color w:val="auto"/>
        </w:rPr>
      </w:pPr>
    </w:p>
    <w:p>
      <w:pPr>
        <w:jc w:val="both"/>
        <w:ind w:right="80" w:firstLine="571"/>
        <w:spacing w:after="0" w:line="267" w:lineRule="auto"/>
        <w:rPr>
          <w:sz w:val="20"/>
          <w:szCs w:val="20"/>
          <w:color w:val="auto"/>
        </w:rPr>
      </w:pPr>
      <w:r>
        <w:rPr>
          <w:rFonts w:ascii="Times New Roman" w:cs="Times New Roman" w:eastAsia="Times New Roman" w:hAnsi="Times New Roman"/>
          <w:sz w:val="18"/>
          <w:szCs w:val="18"/>
          <w:i w:val="1"/>
          <w:iCs w:val="1"/>
          <w:color w:val="auto"/>
        </w:rPr>
        <w:t>Sales</w:t>
      </w:r>
      <w:r>
        <w:rPr>
          <w:rFonts w:ascii="Times New Roman" w:cs="Times New Roman" w:eastAsia="Times New Roman" w:hAnsi="Times New Roman"/>
          <w:sz w:val="18"/>
          <w:szCs w:val="18"/>
          <w:color w:val="auto"/>
        </w:rPr>
        <w:t>. For the six months ended June 30, 2017, sales were $40.3 million, including incremental net sales of $1.5 million as a result of the Technology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Upgrade Program, compared to $43.0 million for the same period in 2016. The incremental sales associated with the Technology Upgrade Program primarily resulted from the recognition of sales previously deferred in the second half of 2016.</w:t>
      </w:r>
    </w:p>
    <w:p>
      <w:pPr>
        <w:spacing w:after="0" w:line="176" w:lineRule="exact"/>
        <w:rPr>
          <w:sz w:val="20"/>
          <w:szCs w:val="20"/>
          <w:color w:val="auto"/>
        </w:rPr>
      </w:pPr>
    </w:p>
    <w:p>
      <w:pPr>
        <w:ind w:firstLine="571"/>
        <w:spacing w:after="0" w:line="258" w:lineRule="auto"/>
        <w:rPr>
          <w:sz w:val="20"/>
          <w:szCs w:val="20"/>
          <w:color w:val="auto"/>
        </w:rPr>
      </w:pPr>
      <w:r>
        <w:rPr>
          <w:rFonts w:ascii="Times New Roman" w:cs="Times New Roman" w:eastAsia="Times New Roman" w:hAnsi="Times New Roman"/>
          <w:sz w:val="18"/>
          <w:szCs w:val="18"/>
          <w:color w:val="auto"/>
        </w:rPr>
        <w:t>Sales of insulin pumps were $25.8 million and $34.2 million, respectively, for the six months ended June 30, 2017 and 2016. For the six months ended June 30, 2017, sales of pump-related supplies were $14.3 million, of which $6.2 million were sales of cartridges and $8.0 million were sales of infusion sets. For the six months ended June 30, 2016, sales of pump-related supplies were $8.8 million, of which $5.1 million were sales of cartridges and $3.5 million were sales of infusion sets. The ratio of the number of infusion sets shipped to the number of cartridges shipped increased to 56% in the six months ended June 30, 2017 from 24% in the same period in 2016. Sales of accessories were not significant in either of the reported periods.</w:t>
      </w:r>
    </w:p>
    <w:p>
      <w:pPr>
        <w:spacing w:after="0" w:line="184" w:lineRule="exact"/>
        <w:rPr>
          <w:sz w:val="20"/>
          <w:szCs w:val="20"/>
          <w:color w:val="auto"/>
        </w:rPr>
      </w:pPr>
    </w:p>
    <w:p>
      <w:pPr>
        <w:ind w:right="180" w:firstLine="571"/>
        <w:spacing w:after="0" w:line="266" w:lineRule="auto"/>
        <w:rPr>
          <w:sz w:val="20"/>
          <w:szCs w:val="20"/>
          <w:color w:val="auto"/>
        </w:rPr>
      </w:pPr>
      <w:r>
        <w:rPr>
          <w:rFonts w:ascii="Times New Roman" w:cs="Times New Roman" w:eastAsia="Times New Roman" w:hAnsi="Times New Roman"/>
          <w:sz w:val="18"/>
          <w:szCs w:val="18"/>
          <w:color w:val="auto"/>
        </w:rPr>
        <w:t>The decrease in sales was primarily driven by a 28% decrease in aggregate pump shipments from 8,624 in 2016 to 6,243 in 2017 for reasons similar to those for the three months ended June 30 that were described previously, partially offset by an increase in sales of pump-related supplies due to our growing customer base, increasing sales of infusion sets to our distributors and incremental net sales due to the Technology Upgrade Program.</w:t>
      </w:r>
    </w:p>
    <w:p>
      <w:pPr>
        <w:spacing w:after="0" w:line="176" w:lineRule="exact"/>
        <w:rPr>
          <w:sz w:val="20"/>
          <w:szCs w:val="20"/>
          <w:color w:val="auto"/>
        </w:rPr>
      </w:pPr>
    </w:p>
    <w:p>
      <w:pPr>
        <w:jc w:val="both"/>
        <w:ind w:right="160" w:firstLine="571"/>
        <w:spacing w:after="0" w:line="266" w:lineRule="auto"/>
        <w:rPr>
          <w:sz w:val="20"/>
          <w:szCs w:val="20"/>
          <w:color w:val="auto"/>
        </w:rPr>
      </w:pPr>
      <w:r>
        <w:rPr>
          <w:rFonts w:ascii="Times New Roman" w:cs="Times New Roman" w:eastAsia="Times New Roman" w:hAnsi="Times New Roman"/>
          <w:sz w:val="18"/>
          <w:szCs w:val="18"/>
          <w:color w:val="auto"/>
        </w:rPr>
        <w:t>Sales to distributors accounted for 72% and 76% of our total sales for the six months ended June 30, 2017 and 2016, respectively. The percentage of sales to distributors decreased mainly due to UnitedHealthcare’s decision to designate one of our competitors as their preferred, in-network durable medical equipment provider of insulin pumps.</w:t>
      </w:r>
    </w:p>
    <w:p>
      <w:pPr>
        <w:spacing w:after="0" w:line="174" w:lineRule="exact"/>
        <w:rPr>
          <w:sz w:val="20"/>
          <w:szCs w:val="20"/>
          <w:color w:val="auto"/>
        </w:rPr>
      </w:pPr>
    </w:p>
    <w:p>
      <w:pPr>
        <w:ind w:right="120" w:firstLine="571"/>
        <w:spacing w:after="0" w:line="267" w:lineRule="auto"/>
        <w:rPr>
          <w:sz w:val="20"/>
          <w:szCs w:val="20"/>
          <w:color w:val="auto"/>
        </w:rPr>
      </w:pPr>
      <w:r>
        <w:rPr>
          <w:rFonts w:ascii="Times New Roman" w:cs="Times New Roman" w:eastAsia="Times New Roman" w:hAnsi="Times New Roman"/>
          <w:sz w:val="18"/>
          <w:szCs w:val="18"/>
          <w:i w:val="1"/>
          <w:iCs w:val="1"/>
          <w:color w:val="auto"/>
        </w:rPr>
        <w:t>Cost of Sales and Gross Profit</w:t>
      </w:r>
      <w:r>
        <w:rPr>
          <w:rFonts w:ascii="Times New Roman" w:cs="Times New Roman" w:eastAsia="Times New Roman" w:hAnsi="Times New Roman"/>
          <w:sz w:val="18"/>
          <w:szCs w:val="18"/>
          <w:color w:val="auto"/>
        </w:rPr>
        <w:t>. Our cost of sales for the six months ended June 30, 2017 was $25.5 million, resulting in gross profit of $14.8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$27.9 million cost of sales and gross profit of $15.1 million in 2016. The gross margin for the six months ended June 30, 2017 was 37% compared to 35% in the same period in 2016.</w:t>
      </w:r>
    </w:p>
    <w:p>
      <w:pPr>
        <w:spacing w:after="0" w:line="176" w:lineRule="exact"/>
        <w:rPr>
          <w:sz w:val="20"/>
          <w:szCs w:val="20"/>
          <w:color w:val="auto"/>
        </w:rPr>
      </w:pPr>
    </w:p>
    <w:p>
      <w:pPr>
        <w:ind w:right="80" w:firstLine="571"/>
        <w:spacing w:after="0" w:line="266" w:lineRule="auto"/>
        <w:rPr>
          <w:sz w:val="20"/>
          <w:szCs w:val="20"/>
          <w:color w:val="auto"/>
        </w:rPr>
      </w:pPr>
      <w:r>
        <w:rPr>
          <w:rFonts w:ascii="Times New Roman" w:cs="Times New Roman" w:eastAsia="Times New Roman" w:hAnsi="Times New Roman"/>
          <w:sz w:val="18"/>
          <w:szCs w:val="18"/>
          <w:color w:val="auto"/>
        </w:rPr>
        <w:t>Gross margin increased for the six months ended June 30, 2017 compared to the same period in 2016 primarily as a result of per unit cost improvements, including raw material cost reductions for our pumps and increased cartridge production volumes and cartridge manufacturing efficiencies, as well as a decrease in warranty expense as a result of improvements in our warranty trends and warranty replacement costs.</w:t>
      </w:r>
    </w:p>
    <w:p>
      <w:pPr>
        <w:spacing w:after="0" w:line="176" w:lineRule="exact"/>
        <w:rPr>
          <w:sz w:val="20"/>
          <w:szCs w:val="20"/>
          <w:color w:val="auto"/>
        </w:rPr>
      </w:pPr>
    </w:p>
    <w:p>
      <w:pPr>
        <w:ind w:right="240" w:firstLine="571"/>
        <w:spacing w:after="0" w:line="266" w:lineRule="auto"/>
        <w:rPr>
          <w:sz w:val="20"/>
          <w:szCs w:val="20"/>
          <w:color w:val="auto"/>
        </w:rPr>
      </w:pPr>
      <w:r>
        <w:rPr>
          <w:rFonts w:ascii="Times New Roman" w:cs="Times New Roman" w:eastAsia="Times New Roman" w:hAnsi="Times New Roman"/>
          <w:sz w:val="18"/>
          <w:szCs w:val="18"/>
          <w:color w:val="auto"/>
        </w:rPr>
        <w:t>The slight decrease in our overall gross profit was primarily driven by a decrease in pump shipments, offset by an increase in sales of pump-related supplies. During the period, we recorded incremental net sales of $1.5 million and $0.9 million in cost of sales associated with the Technology Upgrade Program.</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ind w:right="320" w:firstLine="571"/>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SG&amp;A expenses increased 4% to $45.0 million for the six months ended June 30, 2017 from $43.1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same period in 2016.</w:t>
      </w:r>
    </w:p>
    <w:p>
      <w:pPr>
        <w:spacing w:after="0" w:line="160" w:lineRule="exact"/>
        <w:rPr>
          <w:sz w:val="20"/>
          <w:szCs w:val="20"/>
          <w:color w:val="auto"/>
        </w:rPr>
      </w:pPr>
    </w:p>
    <w:p>
      <w:pPr>
        <w:ind w:firstLine="571"/>
        <w:spacing w:after="0" w:line="261" w:lineRule="auto"/>
        <w:rPr>
          <w:sz w:val="20"/>
          <w:szCs w:val="20"/>
          <w:color w:val="auto"/>
        </w:rPr>
      </w:pPr>
      <w:r>
        <w:rPr>
          <w:rFonts w:ascii="Times New Roman" w:cs="Times New Roman" w:eastAsia="Times New Roman" w:hAnsi="Times New Roman"/>
          <w:sz w:val="18"/>
          <w:szCs w:val="18"/>
          <w:color w:val="auto"/>
        </w:rPr>
        <w:t>Employee-related expenses for our SG&amp;A functions comprise the majority of the SG&amp;A expenses. The increase in SG&amp;A expenses was primarily the result of a $1.1 million non-cash stock-based compensation charge associated with the suspension of our ESPP in 2017, as well as other net increases in employee expenses of $1.3 million. Other SG&amp;A expenses, including costs for outside services, marketing and promotional activities, tradeshows and travel, decreased $0.5 million between periods.</w:t>
      </w:r>
    </w:p>
    <w:p>
      <w:pPr>
        <w:spacing w:after="0" w:line="178" w:lineRule="exact"/>
        <w:rPr>
          <w:sz w:val="20"/>
          <w:szCs w:val="20"/>
          <w:color w:val="auto"/>
        </w:rPr>
      </w:pPr>
    </w:p>
    <w:p>
      <w:pPr>
        <w:ind w:right="240" w:firstLine="571"/>
        <w:spacing w:after="0" w:line="261" w:lineRule="auto"/>
        <w:rPr>
          <w:sz w:val="20"/>
          <w:szCs w:val="20"/>
          <w:color w:val="auto"/>
        </w:rPr>
      </w:pPr>
      <w:r>
        <w:rPr>
          <w:rFonts w:ascii="Times New Roman" w:cs="Times New Roman" w:eastAsia="Times New Roman" w:hAnsi="Times New Roman"/>
          <w:sz w:val="18"/>
          <w:szCs w:val="18"/>
          <w:i w:val="1"/>
          <w:iCs w:val="1"/>
          <w:color w:val="auto"/>
        </w:rPr>
        <w:t>Research and Development Expenses</w:t>
      </w:r>
      <w:r>
        <w:rPr>
          <w:rFonts w:ascii="Times New Roman" w:cs="Times New Roman" w:eastAsia="Times New Roman" w:hAnsi="Times New Roman"/>
          <w:sz w:val="18"/>
          <w:szCs w:val="18"/>
          <w:color w:val="auto"/>
        </w:rPr>
        <w:t>. R&amp;D expenses increased 20% to $10.0 million for the six months ended June 30, 2017 from $8.3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same period in 2016. The increase in R&amp;D expenses was primarily the result of an increase of $0.9 million in non employee-related expenses for the advancement of our product pipeline, as well as a $0.4 million non-cash stock-based compensation charge associated with the suspension of our ESPP in 2017.</w:t>
      </w:r>
    </w:p>
    <w:p>
      <w:pPr>
        <w:spacing w:after="0" w:line="180" w:lineRule="exact"/>
        <w:rPr>
          <w:sz w:val="20"/>
          <w:szCs w:val="20"/>
          <w:color w:val="auto"/>
        </w:rPr>
      </w:pPr>
    </w:p>
    <w:p>
      <w:pPr>
        <w:ind w:right="40" w:firstLine="571"/>
        <w:spacing w:after="0" w:line="261" w:lineRule="auto"/>
        <w:rPr>
          <w:sz w:val="20"/>
          <w:szCs w:val="20"/>
          <w:color w:val="auto"/>
        </w:rPr>
      </w:pPr>
      <w:r>
        <w:rPr>
          <w:rFonts w:ascii="Times New Roman" w:cs="Times New Roman" w:eastAsia="Times New Roman" w:hAnsi="Times New Roman"/>
          <w:sz w:val="18"/>
          <w:szCs w:val="18"/>
          <w:i w:val="1"/>
          <w:iCs w:val="1"/>
          <w:color w:val="auto"/>
        </w:rPr>
        <w:t>Other Income and Expense</w:t>
      </w:r>
      <w:r>
        <w:rPr>
          <w:rFonts w:ascii="Times New Roman" w:cs="Times New Roman" w:eastAsia="Times New Roman" w:hAnsi="Times New Roman"/>
          <w:sz w:val="18"/>
          <w:szCs w:val="18"/>
          <w:color w:val="auto"/>
        </w:rPr>
        <w:t>. Other expense for the six months ended June 30, 2017 and 2016 was $5.5 million and $2.7 million, respectively.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 for both periods was primarily comprised of interest expense associated with the Term Loan Agreement. The outstanding principal balances under the Term Loan Agreement were $81.9 million and $45.6 million as of June 30, 2017 and June 30, 2016, respectively. Other income for both periods presented was not significant.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160" w:firstLine="571"/>
        <w:spacing w:after="0" w:line="255" w:lineRule="auto"/>
        <w:rPr>
          <w:sz w:val="20"/>
          <w:szCs w:val="20"/>
          <w:color w:val="auto"/>
        </w:rPr>
      </w:pPr>
      <w:r>
        <w:rPr>
          <w:rFonts w:ascii="Times New Roman" w:cs="Times New Roman" w:eastAsia="Times New Roman" w:hAnsi="Times New Roman"/>
          <w:sz w:val="18"/>
          <w:szCs w:val="18"/>
          <w:color w:val="auto"/>
        </w:rPr>
        <w:t>At June 30, 2017, we had $37.8 million in cash and cash equivalents and short-term investments, which included $10.0 million of restricted cash as required by the Term Loan Agreement. At the date the financial statements in this Quarterly Report were issued, our management believed that we did not have sufficient cash to fund our operations for the next twelve months without additional financing and, therefore, we concluded there was substantial doubt about our ability to continue as a going concern within one year after the date the financial statements were issued. The financial statements included in this Quarterly Report have been prepared on a basis that assumes that we will continue as a going concern, which contemplates the realization of assets and the satisfaction of liabilities and commitments in the normal course of business. This financial information and these financial statements do not include any adjustments that may result from the outcome of this uncertainty.</w:t>
      </w:r>
    </w:p>
    <w:p>
      <w:pPr>
        <w:spacing w:after="0" w:line="189" w:lineRule="exact"/>
        <w:rPr>
          <w:sz w:val="20"/>
          <w:szCs w:val="20"/>
          <w:color w:val="auto"/>
        </w:rPr>
      </w:pPr>
    </w:p>
    <w:p>
      <w:pPr>
        <w:ind w:right="140" w:firstLine="571"/>
        <w:spacing w:after="0" w:line="258" w:lineRule="auto"/>
        <w:rPr>
          <w:sz w:val="20"/>
          <w:szCs w:val="20"/>
          <w:color w:val="auto"/>
        </w:rPr>
      </w:pPr>
      <w:r>
        <w:rPr>
          <w:rFonts w:ascii="Times New Roman" w:cs="Times New Roman" w:eastAsia="Times New Roman" w:hAnsi="Times New Roman"/>
          <w:sz w:val="18"/>
          <w:szCs w:val="18"/>
          <w:color w:val="auto"/>
        </w:rPr>
        <w:t>Historically, our principal sources of cash have included private placements and public offerings of equity securities, the Term Loan Agreement, and cash collected from product sales. Our historical cash outflows have primarily been associated with cash used for operating activities such as the expansion and support of our sales and marketing infrastructure, increase in our R&amp;D activities, the acquisition of intellectual property, expenditures related to equipment and improvements used to increase our manufacturing capacity and improve our manufacturing efficiency, overall facility expansion, and other working capital needs.</w:t>
      </w:r>
    </w:p>
    <w:p>
      <w:pPr>
        <w:spacing w:after="0" w:line="184" w:lineRule="exact"/>
        <w:rPr>
          <w:sz w:val="20"/>
          <w:szCs w:val="20"/>
          <w:color w:val="auto"/>
        </w:rPr>
      </w:pPr>
    </w:p>
    <w:p>
      <w:pPr>
        <w:ind w:right="400" w:firstLine="571"/>
        <w:spacing w:after="0" w:line="266" w:lineRule="auto"/>
        <w:rPr>
          <w:sz w:val="20"/>
          <w:szCs w:val="20"/>
          <w:color w:val="auto"/>
        </w:rPr>
      </w:pPr>
      <w:r>
        <w:rPr>
          <w:rFonts w:ascii="Times New Roman" w:cs="Times New Roman" w:eastAsia="Times New Roman" w:hAnsi="Times New Roman"/>
          <w:sz w:val="18"/>
          <w:szCs w:val="18"/>
          <w:color w:val="auto"/>
        </w:rPr>
        <w:t>In March 2017, we completed a public offering of 18,500,000 shares of our common stock at a public offering price of $1.25 per share. The net proceeds to us from the offering were approximately $21.1 million, after deducting underwriting discounts and commissions and other offering expenses payable by us.</w:t>
      </w:r>
    </w:p>
    <w:p>
      <w:pPr>
        <w:spacing w:after="0" w:line="176" w:lineRule="exact"/>
        <w:rPr>
          <w:sz w:val="20"/>
          <w:szCs w:val="20"/>
          <w:color w:val="auto"/>
        </w:rPr>
      </w:pPr>
    </w:p>
    <w:p>
      <w:pPr>
        <w:ind w:right="20" w:firstLine="571"/>
        <w:spacing w:after="0" w:line="256" w:lineRule="auto"/>
        <w:rPr>
          <w:sz w:val="20"/>
          <w:szCs w:val="20"/>
          <w:color w:val="auto"/>
        </w:rPr>
      </w:pPr>
      <w:r>
        <w:rPr>
          <w:rFonts w:ascii="Times New Roman" w:cs="Times New Roman" w:eastAsia="Times New Roman" w:hAnsi="Times New Roman"/>
          <w:sz w:val="18"/>
          <w:szCs w:val="18"/>
          <w:color w:val="auto"/>
        </w:rPr>
        <w:t>Management currently believes that it will be necessary for us to raise additional funding. However, we expect our ability to raise additional financing may be negatively impacted by a number of factors, including our recent and projected financial results, recent changes in and volatility of our stock price, perceptions about the recent completion of a public offering of our common stock, concerns regarding our ability to maintain the continued listing of our common stock on NASDAQ, our current level of indebtedness and debt service costs, our conclusion that there is substantial doubt about our ability to continue as a going concern, the competitive environment in our industry, and accounting complexities brought about by our Technology Upgrade Program. There can be no assurance that we will be able to complete any financing on acceptable terms or at all.</w:t>
      </w:r>
    </w:p>
    <w:p>
      <w:pPr>
        <w:spacing w:after="0" w:line="188" w:lineRule="exact"/>
        <w:rPr>
          <w:sz w:val="20"/>
          <w:szCs w:val="20"/>
          <w:color w:val="auto"/>
        </w:rPr>
      </w:pPr>
    </w:p>
    <w:p>
      <w:pPr>
        <w:ind w:right="120" w:firstLine="571"/>
        <w:spacing w:after="0" w:line="261" w:lineRule="auto"/>
        <w:rPr>
          <w:sz w:val="20"/>
          <w:szCs w:val="20"/>
          <w:color w:val="auto"/>
        </w:rPr>
      </w:pPr>
      <w:r>
        <w:rPr>
          <w:rFonts w:ascii="Times New Roman" w:cs="Times New Roman" w:eastAsia="Times New Roman" w:hAnsi="Times New Roman"/>
          <w:sz w:val="18"/>
          <w:szCs w:val="18"/>
          <w:color w:val="auto"/>
        </w:rPr>
        <w:t>We expect that, in addition to the outcome of any additional financing activities, our sales performance and the resulting operating income or loss, as well as the status of each of our new product development programs, will significantly impact our cash management decisions. We may also use additional cash for the manufacture of t:slim X2 to fulfill our obligations under the Technology Upgrade Program, which will be partially offset by any fees we collect under the program.</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25" w:name="page26"/>
    <w:bookmarkEnd w:id="25"/>
    <w:p>
      <w:pPr>
        <w:ind w:left="580"/>
        <w:spacing w:after="0"/>
        <w:rPr>
          <w:sz w:val="20"/>
          <w:szCs w:val="20"/>
          <w:color w:val="auto"/>
        </w:rPr>
      </w:pPr>
      <w:r>
        <w:rPr>
          <w:rFonts w:ascii="Times New Roman" w:cs="Times New Roman" w:eastAsia="Times New Roman" w:hAnsi="Times New Roman"/>
          <w:sz w:val="18"/>
          <w:szCs w:val="18"/>
          <w:color w:val="auto"/>
        </w:rPr>
        <w:t>The following table shows a summary of our cash flows for the six months ended June 30, 2017 and 2016:</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0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340" w:type="dxa"/>
            <w:vAlign w:val="bottom"/>
            <w:gridSpan w:val="5"/>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50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74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80" w:type="dxa"/>
            <w:vAlign w:val="bottom"/>
            <w:tcBorders>
              <w:top w:val="single" w:sz="8" w:color="auto"/>
              <w:bottom w:val="single" w:sz="8" w:color="CFF0FC"/>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Borders>
              <w:bottom w:val="single" w:sz="8" w:color="CFF0FC"/>
            </w:tcBorders>
          </w:tcPr>
          <w:p>
            <w:pPr>
              <w:spacing w:after="0"/>
              <w:rPr>
                <w:sz w:val="19"/>
                <w:szCs w:val="19"/>
                <w:color w:val="auto"/>
              </w:rPr>
            </w:pPr>
          </w:p>
        </w:tc>
      </w:tr>
      <w:tr>
        <w:trPr>
          <w:trHeight w:val="223"/>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27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3080" w:type="dxa"/>
            <w:vAlign w:val="bottom"/>
            <w:gridSpan w:val="2"/>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(35,477)</w:t>
            </w:r>
          </w:p>
        </w:tc>
        <w:tc>
          <w:tcPr>
            <w:tcW w:w="38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(29,437)</w:t>
            </w:r>
          </w:p>
        </w:tc>
      </w:tr>
      <w:tr>
        <w:trPr>
          <w:trHeight w:val="230"/>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27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4,445</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FF0FC"/>
          </w:tcPr>
          <w:p>
            <w:pPr>
              <w:spacing w:after="0"/>
              <w:rPr>
                <w:sz w:val="19"/>
                <w:szCs w:val="19"/>
                <w:color w:val="auto"/>
              </w:rPr>
            </w:pPr>
          </w:p>
        </w:tc>
      </w:tr>
      <w:tr>
        <w:trPr>
          <w:trHeight w:val="230"/>
        </w:trPr>
        <w:tc>
          <w:tcPr>
            <w:tcW w:w="50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27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13,705</w:t>
            </w:r>
          </w:p>
        </w:tc>
        <w:tc>
          <w:tcPr>
            <w:tcW w:w="2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16,554</w:t>
            </w:r>
          </w:p>
        </w:tc>
        <w:tc>
          <w:tcPr>
            <w:tcW w:w="100" w:type="dxa"/>
            <w:vAlign w:val="bottom"/>
            <w:tcBorders>
              <w:bottom w:val="single" w:sz="8" w:color="CFF0FC"/>
            </w:tcBorders>
          </w:tcPr>
          <w:p>
            <w:pPr>
              <w:spacing w:after="0"/>
              <w:rPr>
                <w:sz w:val="19"/>
                <w:szCs w:val="19"/>
                <w:color w:val="auto"/>
              </w:rPr>
            </w:pPr>
          </w:p>
        </w:tc>
      </w:tr>
      <w:tr>
        <w:trPr>
          <w:trHeight w:val="223"/>
        </w:trPr>
        <w:tc>
          <w:tcPr>
            <w:tcW w:w="5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7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(17,327)</w:t>
            </w:r>
          </w:p>
        </w:tc>
        <w:tc>
          <w:tcPr>
            <w:tcW w:w="2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(12,838)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0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ind w:right="180" w:firstLine="571"/>
        <w:spacing w:after="0" w:line="259" w:lineRule="auto"/>
        <w:rPr>
          <w:sz w:val="20"/>
          <w:szCs w:val="20"/>
          <w:color w:val="auto"/>
        </w:rPr>
      </w:pPr>
      <w:r>
        <w:rPr>
          <w:rFonts w:ascii="Times New Roman" w:cs="Times New Roman" w:eastAsia="Times New Roman" w:hAnsi="Times New Roman"/>
          <w:sz w:val="18"/>
          <w:szCs w:val="18"/>
          <w:i w:val="1"/>
          <w:iCs w:val="1"/>
          <w:color w:val="auto"/>
        </w:rPr>
        <w:t>Operating activities</w:t>
      </w:r>
      <w:r>
        <w:rPr>
          <w:rFonts w:ascii="Times New Roman" w:cs="Times New Roman" w:eastAsia="Times New Roman" w:hAnsi="Times New Roman"/>
          <w:sz w:val="18"/>
          <w:szCs w:val="18"/>
          <w:color w:val="auto"/>
        </w:rPr>
        <w:t>. Net cash used in operating activities was $35.5 million for the six months ended June 30, 2017, compared to $29.4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same period in 2016. The increase in net cash used in operating activities was primarily associated with an increase in our operating loss, partially offset by changes in working capital. The changes in working capital were primarily due to less cash collections from accounts receivable offset by decreases in deferred revenue and guarantee liability associated with the Technology Upgrade Program, as well as other net changes associated with the timing of payments.</w:t>
      </w:r>
    </w:p>
    <w:p>
      <w:pPr>
        <w:spacing w:after="0" w:line="180" w:lineRule="exact"/>
        <w:rPr>
          <w:sz w:val="20"/>
          <w:szCs w:val="20"/>
          <w:color w:val="auto"/>
        </w:rPr>
      </w:pPr>
    </w:p>
    <w:p>
      <w:pPr>
        <w:ind w:right="40" w:firstLine="571"/>
        <w:spacing w:after="0" w:line="261" w:lineRule="auto"/>
        <w:rPr>
          <w:sz w:val="20"/>
          <w:szCs w:val="20"/>
          <w:color w:val="auto"/>
        </w:rPr>
      </w:pPr>
      <w:r>
        <w:rPr>
          <w:rFonts w:ascii="Times New Roman" w:cs="Times New Roman" w:eastAsia="Times New Roman" w:hAnsi="Times New Roman"/>
          <w:sz w:val="18"/>
          <w:szCs w:val="18"/>
          <w:i w:val="1"/>
          <w:iCs w:val="1"/>
          <w:color w:val="auto"/>
        </w:rPr>
        <w:t>Investing activities</w:t>
      </w:r>
      <w:r>
        <w:rPr>
          <w:rFonts w:ascii="Times New Roman" w:cs="Times New Roman" w:eastAsia="Times New Roman" w:hAnsi="Times New Roman"/>
          <w:sz w:val="18"/>
          <w:szCs w:val="18"/>
          <w:color w:val="auto"/>
        </w:rPr>
        <w:t>. Net cash provided by investing activities was $4.4 million for the six months ended June 30, 2017, which was primarily related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and maturities of short-term investments of $8.5 million, partially offset by the purchase of $4.1 million of property and equipment. Net cash used in investing activities was $45,000 for the six months ended June 30, 2016, which was primarily related to the purchase of $22.7 million of short-term investments and $4.0 million of property and equipment, offset by proceeds from sales and maturities of short-term investments of $26.8 million.</w:t>
      </w:r>
    </w:p>
    <w:p>
      <w:pPr>
        <w:spacing w:after="0" w:line="180" w:lineRule="exact"/>
        <w:rPr>
          <w:sz w:val="20"/>
          <w:szCs w:val="20"/>
          <w:color w:val="auto"/>
        </w:rPr>
      </w:pPr>
    </w:p>
    <w:p>
      <w:pPr>
        <w:ind w:right="160" w:firstLine="571"/>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Financing activities. </w:t>
      </w:r>
      <w:r>
        <w:rPr>
          <w:rFonts w:ascii="Times New Roman" w:cs="Times New Roman" w:eastAsia="Times New Roman" w:hAnsi="Times New Roman"/>
          <w:sz w:val="18"/>
          <w:szCs w:val="18"/>
          <w:color w:val="auto"/>
        </w:rPr>
        <w:t>Net cash provided by financing activities was $13.7 million for the six months ended June 30, 2017, which was primarily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 of net proceeds of approximately $21.1 million from the public offering of our common stock, partially offset by an increase in our restricted cash balance of $8.0 million as required by the Fourth Amendment to our Term Loan Agreement. Net cash provided by financing activities was $16.6 million for the six months ended June 30, 2016, which was primarily the result of net proceeds of $15.0 million under the Term Loan Agreement and $1.6 million in proceeds from the issuance of common stock associated with our ESPP.</w:t>
      </w:r>
    </w:p>
    <w:p>
      <w:pPr>
        <w:spacing w:after="0" w:line="182" w:lineRule="exact"/>
        <w:rPr>
          <w:sz w:val="20"/>
          <w:szCs w:val="20"/>
          <w:color w:val="auto"/>
        </w:rPr>
      </w:pPr>
    </w:p>
    <w:p>
      <w:pPr>
        <w:ind w:right="20" w:firstLine="571"/>
        <w:spacing w:after="0" w:line="282" w:lineRule="auto"/>
        <w:rPr>
          <w:sz w:val="20"/>
          <w:szCs w:val="20"/>
          <w:color w:val="auto"/>
        </w:rPr>
      </w:pPr>
      <w:r>
        <w:rPr>
          <w:rFonts w:ascii="Times New Roman" w:cs="Times New Roman" w:eastAsia="Times New Roman" w:hAnsi="Times New Roman"/>
          <w:sz w:val="18"/>
          <w:szCs w:val="18"/>
          <w:color w:val="auto"/>
        </w:rPr>
        <w:t>Our liquidity position and capital requirements are subject to fluctuation based on a number of factors. In particular, our cash inflows and outflows are principally impacted by the following:</w:t>
      </w:r>
    </w:p>
    <w:p>
      <w:pPr>
        <w:spacing w:after="0" w:line="162" w:lineRule="exact"/>
        <w:rPr>
          <w:sz w:val="20"/>
          <w:szCs w:val="20"/>
          <w:color w:val="auto"/>
        </w:rPr>
      </w:pPr>
    </w:p>
    <w:p>
      <w:pPr>
        <w:ind w:left="1040" w:hanging="384"/>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sales, the timing of those sales and the collection of receivables generated from those sales from period to period;</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any additional financing;</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gross margins and operating margins; and</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working capital.</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primary short-term capital needs, which are subject to change, include expenditures related to:</w:t>
      </w:r>
    </w:p>
    <w:p>
      <w:pPr>
        <w:spacing w:after="0" w:line="225" w:lineRule="exact"/>
        <w:rPr>
          <w:sz w:val="20"/>
          <w:szCs w:val="20"/>
          <w:color w:val="auto"/>
        </w:rPr>
      </w:pPr>
    </w:p>
    <w:p>
      <w:pPr>
        <w:ind w:left="1040" w:hanging="384"/>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of our commercialization efforts related to our current and future products;</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the Technology Upgrade Program;</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improvements in our manufacturing capacity and efficiency;</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research and product development efforts, including clinical trial costs;</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interest due under the Term Loan Agreement;</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of equipment and other fixed assets;</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expansion needs, including the funding of tenant improvements at our Barnes Canyon location; and</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under our licensing, development and commercialization agreements.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6" w:name="page27"/>
    <w:bookmarkEnd w:id="26"/>
    <w:p>
      <w:pPr>
        <w:ind w:right="40" w:firstLine="571"/>
        <w:spacing w:after="0" w:line="252" w:lineRule="auto"/>
        <w:rPr>
          <w:sz w:val="20"/>
          <w:szCs w:val="20"/>
          <w:color w:val="auto"/>
        </w:rPr>
      </w:pPr>
      <w:r>
        <w:rPr>
          <w:rFonts w:ascii="Times New Roman" w:cs="Times New Roman" w:eastAsia="Times New Roman" w:hAnsi="Times New Roman"/>
          <w:sz w:val="18"/>
          <w:szCs w:val="18"/>
          <w:color w:val="auto"/>
        </w:rPr>
        <w:t>Although we believe the foregoing items reflect our most likely uses of cash in the short-term, we cannot predict with certainty all of our particular short-term cash uses or the timing or amount of cash used. We expect we will need to raise additional funding. We intend to seek additional capital from public or private offerings of our capital stock or we may elect to borrow additional amounts under new debt financing arrangements or from other sources. If we issue equity or convertible debt securities to raise additional funding, our existing stockholders may experience dilution, we may incur significant financing costs, and the new equity or convertible debt securities may have rights, preferences and privileges senior to those of our existing stockholders. If we issue debt securities to raise additional funding, we would incur additional debt service obligations, we could become subject to additional restrictions limiting our ability to operate our business, and we may be required to further encumber our assets. Our ability to continue as a going concern, meet our minimum liquidity requirements, satisfy the covenants under the Term Loan Agreement, and execute our business strategy is dependent on our ability to raise additional capital, of which there can be no assurance. If we cannot generate sufficient revenues from the sale of our products or secure additional financing on acceptable terms, we may be forced to significantly alter our business strategy, substantially curtail or modify our current operations, or cease operations altogether.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Indebtedness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Loan Agreement</w:t>
      </w:r>
    </w:p>
    <w:p>
      <w:pPr>
        <w:spacing w:after="0" w:line="229" w:lineRule="exact"/>
        <w:rPr>
          <w:sz w:val="20"/>
          <w:szCs w:val="20"/>
          <w:color w:val="auto"/>
        </w:rPr>
      </w:pPr>
    </w:p>
    <w:p>
      <w:pPr>
        <w:ind w:right="300" w:firstLine="571"/>
        <w:spacing w:after="0" w:line="282" w:lineRule="auto"/>
        <w:rPr>
          <w:sz w:val="20"/>
          <w:szCs w:val="20"/>
          <w:color w:val="auto"/>
        </w:rPr>
      </w:pPr>
      <w:r>
        <w:rPr>
          <w:rFonts w:ascii="Times New Roman" w:cs="Times New Roman" w:eastAsia="Times New Roman" w:hAnsi="Times New Roman"/>
          <w:sz w:val="18"/>
          <w:szCs w:val="18"/>
          <w:color w:val="auto"/>
        </w:rPr>
        <w:t>We had $81.9 million and $81.1 million of aggregate borrowings outstanding under the Term Loan Agreement at June 30, 2017 and December 31, 2016, respectively.</w:t>
      </w:r>
    </w:p>
    <w:p>
      <w:pPr>
        <w:spacing w:after="0" w:line="162" w:lineRule="exact"/>
        <w:rPr>
          <w:sz w:val="20"/>
          <w:szCs w:val="20"/>
          <w:color w:val="auto"/>
        </w:rPr>
      </w:pPr>
    </w:p>
    <w:p>
      <w:pPr>
        <w:ind w:right="100" w:firstLine="577"/>
        <w:spacing w:after="0" w:line="255" w:lineRule="auto"/>
        <w:rPr>
          <w:sz w:val="20"/>
          <w:szCs w:val="20"/>
          <w:color w:val="auto"/>
        </w:rPr>
      </w:pPr>
      <w:r>
        <w:rPr>
          <w:rFonts w:ascii="Times New Roman" w:cs="Times New Roman" w:eastAsia="Times New Roman" w:hAnsi="Times New Roman"/>
          <w:sz w:val="18"/>
          <w:szCs w:val="18"/>
          <w:color w:val="auto"/>
        </w:rPr>
        <w:t>Under the Term Loan Agreement, interest is payable, at our option, (i) in cash at a rate of 11.5% per annum or (ii) at a rate of 9.5% of the 11.5% per annum in cash and 2.0% of the 11.5% per annum to be added to the principal of the loan and subject to accruing interest. Interest-only payments are due quarterly on March 31, June 30, September 30 and December 31 of each year of the interest-only payment period, which ends on December 31, 2019. The principal balance is due in full on the maturity date of the Term Loan Agreement, which is March 31, 2020. We had elected to pay interest in cash at a rate of 11.5% per annum through September 30, 2015. Beginning October 1, 2015, we elected to pay interest in cash at a rate of 9.5% per annum and to have 2.0% per annum added to the principal of the loan. As a result, $1.9 million was added to the principal of the loan since October 1, 2015, which we refer to as PIK Loans.</w:t>
      </w:r>
    </w:p>
    <w:p>
      <w:pPr>
        <w:spacing w:after="0" w:line="189" w:lineRule="exact"/>
        <w:rPr>
          <w:sz w:val="20"/>
          <w:szCs w:val="20"/>
          <w:color w:val="auto"/>
        </w:rPr>
      </w:pPr>
    </w:p>
    <w:p>
      <w:pPr>
        <w:ind w:firstLine="785"/>
        <w:spacing w:after="0" w:line="282" w:lineRule="auto"/>
        <w:rPr>
          <w:sz w:val="20"/>
          <w:szCs w:val="20"/>
          <w:color w:val="auto"/>
        </w:rPr>
      </w:pPr>
      <w:r>
        <w:rPr>
          <w:rFonts w:ascii="Times New Roman" w:cs="Times New Roman" w:eastAsia="Times New Roman" w:hAnsi="Times New Roman"/>
          <w:sz w:val="18"/>
          <w:szCs w:val="18"/>
          <w:color w:val="auto"/>
        </w:rPr>
        <w:t>The loan is collateralized by all of our assets. The principal financial covenants require that we attain minimum annual revenues of $80.0 million in 2017 and $95.0 million each year thereafter until the end of the term of the loan.</w:t>
      </w:r>
    </w:p>
    <w:p>
      <w:pPr>
        <w:spacing w:after="0" w:line="162" w:lineRule="exact"/>
        <w:rPr>
          <w:sz w:val="20"/>
          <w:szCs w:val="20"/>
          <w:color w:val="auto"/>
        </w:rPr>
      </w:pPr>
    </w:p>
    <w:p>
      <w:pPr>
        <w:ind w:right="120" w:firstLine="785"/>
        <w:spacing w:after="0" w:line="261" w:lineRule="auto"/>
        <w:rPr>
          <w:sz w:val="20"/>
          <w:szCs w:val="20"/>
          <w:color w:val="auto"/>
        </w:rPr>
      </w:pPr>
      <w:r>
        <w:rPr>
          <w:rFonts w:ascii="Times New Roman" w:cs="Times New Roman" w:eastAsia="Times New Roman" w:hAnsi="Times New Roman"/>
          <w:sz w:val="18"/>
          <w:szCs w:val="18"/>
          <w:color w:val="auto"/>
        </w:rPr>
        <w:t>In connection with the Third Amendment, we previously agreed to pay, on the earlier of (i) the maturity date of the Term Loan Agreement, which is March 31, 2020, (ii) the date that the loan under the Term Loan Agreement becomes due, and (iii) the date on which we make a voluntary pre-payment of the loan, a financing fee equal to 3.0% of the sum of (x) the aggregate amount drawn under the Third Amendment, and (y) any PIK Loans issued in relation to the Third Amendment, which we refer to as the Back End Financing Fee.</w:t>
      </w:r>
    </w:p>
    <w:p>
      <w:pPr>
        <w:spacing w:after="0" w:line="180" w:lineRule="exact"/>
        <w:rPr>
          <w:sz w:val="20"/>
          <w:szCs w:val="20"/>
          <w:color w:val="auto"/>
        </w:rPr>
      </w:pPr>
    </w:p>
    <w:p>
      <w:pPr>
        <w:ind w:firstLine="761"/>
        <w:spacing w:after="0" w:line="254" w:lineRule="auto"/>
        <w:rPr>
          <w:sz w:val="20"/>
          <w:szCs w:val="20"/>
          <w:color w:val="auto"/>
        </w:rPr>
      </w:pPr>
      <w:r>
        <w:rPr>
          <w:rFonts w:ascii="Times New Roman" w:cs="Times New Roman" w:eastAsia="Times New Roman" w:hAnsi="Times New Roman"/>
          <w:sz w:val="18"/>
          <w:szCs w:val="18"/>
          <w:color w:val="auto"/>
        </w:rPr>
        <w:t>The audit report and opinion of our independent registered public accounting firm contained in the Annual Report includes an explanatory paragraph that describes conditions that raise substantial doubt about our ability to continue as a going concern. This explanatory paragraph constitutes a potential event of default under the Term Loan Agreement. On March 7, 2017, we entered into the Fourth Amendment, which included a limited waiver of the potential event of default. In consideration for the waiver, we agreed to: (i) issue the Capital Royalty Warrant, (ii) increase our restricted cash balance from $2.0 million to $10.0 million, (iii) provide Capital Royalty Partners the same information we make available to our board of directors, subject to limited exceptions, and (iv) not incur additional third party indebtedness secured solely by accounts receivable, inventory and cash. In addition, the Fourth Amendment includes a covenant requiring us to complete financings in which our gross proceeds from the sale of equity securities is at least $30.0 million, no later than January 15, 2018. The completion of our recent public offering was not sufficient to fully satisfy this financing covenant requiring us to complete an additional sale of equity securities.</w:t>
      </w:r>
    </w:p>
    <w:p>
      <w:pPr>
        <w:spacing w:after="0" w:line="189" w:lineRule="exact"/>
        <w:rPr>
          <w:sz w:val="20"/>
          <w:szCs w:val="20"/>
          <w:color w:val="auto"/>
        </w:rPr>
      </w:pPr>
    </w:p>
    <w:p>
      <w:pPr>
        <w:ind w:right="140" w:firstLine="571"/>
        <w:spacing w:after="0" w:line="281" w:lineRule="auto"/>
        <w:rPr>
          <w:sz w:val="20"/>
          <w:szCs w:val="20"/>
          <w:color w:val="auto"/>
        </w:rPr>
      </w:pPr>
      <w:r>
        <w:rPr>
          <w:rFonts w:ascii="Times New Roman" w:cs="Times New Roman" w:eastAsia="Times New Roman" w:hAnsi="Times New Roman"/>
          <w:sz w:val="17"/>
          <w:szCs w:val="17"/>
          <w:color w:val="auto"/>
        </w:rPr>
        <w:t>Pursuant to the Fourth Amendment, we have agreed to increase the Back End Financing Fee to 5.0% of the entire aggregate principal amount of borrowings outstanding, including total PIK Loans issued, under the Term Loan Agreement. The Back End Financing Fee is payable at maturity of our loans and on the principal amount of any loans for which we make an optional prepayment, and may be payable in connection with asset sales not permitted under the Term Loan Agreement or in connection with a change of control. As of June 30, 2017, we had accrued $4.1 million for the Back End Financing Fee.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ind w:right="280" w:firstLine="571"/>
        <w:spacing w:after="0" w:line="258"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on our financial statements, which have been prepared in accordance with U.S. GAAP. The preparation of these financial statements requires management to make estimates and judgments that affect the reported amounts of assets, liabilities, revenues and expenses and the disclosure of contingent assets and liabilities in our financial statements. We evaluate our estimates and judgments on an ongoing basis. We base our estimates on historical experience and on various other factors that we believe are reasonable under the circumstances, the results of which form</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 w:name="page28"/>
    <w:bookmarkEnd w:id="27"/>
    <w:p>
      <w:pPr>
        <w:jc w:val="both"/>
        <w:ind w:right="240"/>
        <w:spacing w:after="0" w:line="261" w:lineRule="auto"/>
        <w:rPr>
          <w:sz w:val="20"/>
          <w:szCs w:val="20"/>
          <w:color w:val="auto"/>
        </w:rPr>
      </w:pPr>
      <w:r>
        <w:rPr>
          <w:rFonts w:ascii="Times New Roman" w:cs="Times New Roman" w:eastAsia="Times New Roman" w:hAnsi="Times New Roman"/>
          <w:sz w:val="18"/>
          <w:szCs w:val="18"/>
          <w:color w:val="auto"/>
        </w:rPr>
        <w:t>the basis for making judgments about our financial condition and results of operations that are not readily apparent from other sources. Actual results may differ from these estimates. There have been no material changes to our critical accounting policies and estimates from the information provided in Part II, Item 7, “Management’s Discussion and Analysis of Financial Condition and Results of Operations – Critical Accounting Policies Involving Management Estimates and Assumptions,” included in the Annual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As of June 30, 2017, we did not have any off-balance sheet arrangements.</w:t>
      </w:r>
    </w:p>
    <w:p>
      <w:pPr>
        <w:spacing w:after="0" w:line="221"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Quantitative and Qualitative Disclosures about Market Risk</w:t>
      </w:r>
    </w:p>
    <w:p>
      <w:pPr>
        <w:spacing w:after="0" w:line="229" w:lineRule="exact"/>
        <w:rPr>
          <w:sz w:val="20"/>
          <w:szCs w:val="20"/>
          <w:color w:val="auto"/>
        </w:rPr>
      </w:pPr>
    </w:p>
    <w:p>
      <w:pPr>
        <w:ind w:right="60" w:firstLine="571"/>
        <w:spacing w:after="0" w:line="261" w:lineRule="auto"/>
        <w:rPr>
          <w:sz w:val="20"/>
          <w:szCs w:val="20"/>
          <w:color w:val="auto"/>
        </w:rPr>
      </w:pPr>
      <w:r>
        <w:rPr>
          <w:rFonts w:ascii="Times New Roman" w:cs="Times New Roman" w:eastAsia="Times New Roman" w:hAnsi="Times New Roman"/>
          <w:sz w:val="18"/>
          <w:szCs w:val="18"/>
          <w:color w:val="auto"/>
        </w:rPr>
        <w:t>We invest our excess cash primarily in commercial paper, government-sponsored enterprise securities and U.S. government treasury securities. Some of the financial instruments in which we invest have market risk associated with them, in that a change in prevailing interest rates may cause the principal amount of the instrument to fluctuate. Other financial instruments in which we invest potentially subject us to credit risk, in that the value of the instrument may fluctuate based on the issuer’s ability to pay.</w:t>
      </w:r>
    </w:p>
    <w:p>
      <w:pPr>
        <w:spacing w:after="0" w:line="180" w:lineRule="exact"/>
        <w:rPr>
          <w:sz w:val="20"/>
          <w:szCs w:val="20"/>
          <w:color w:val="auto"/>
        </w:rPr>
      </w:pPr>
    </w:p>
    <w:p>
      <w:pPr>
        <w:ind w:firstLine="571"/>
        <w:spacing w:after="0" w:line="266" w:lineRule="auto"/>
        <w:rPr>
          <w:sz w:val="20"/>
          <w:szCs w:val="20"/>
          <w:color w:val="auto"/>
        </w:rPr>
      </w:pPr>
      <w:r>
        <w:rPr>
          <w:rFonts w:ascii="Times New Roman" w:cs="Times New Roman" w:eastAsia="Times New Roman" w:hAnsi="Times New Roman"/>
          <w:sz w:val="18"/>
          <w:szCs w:val="18"/>
          <w:color w:val="auto"/>
        </w:rPr>
        <w:t>The primary objectives of our investment activities are to maintain liquidity and preserve principal while maximizing the income we receive from our financial instruments without significantly increasing risk. We have established guidelines regarding approved investments and maturities of investments, which are primarily designed to maintain liquidity and preserve principal.</w:t>
      </w:r>
    </w:p>
    <w:p>
      <w:pPr>
        <w:spacing w:after="0" w:line="176" w:lineRule="exact"/>
        <w:rPr>
          <w:sz w:val="20"/>
          <w:szCs w:val="20"/>
          <w:color w:val="auto"/>
        </w:rPr>
      </w:pPr>
    </w:p>
    <w:p>
      <w:pPr>
        <w:ind w:right="20" w:firstLine="571"/>
        <w:spacing w:after="0" w:line="266" w:lineRule="auto"/>
        <w:rPr>
          <w:sz w:val="20"/>
          <w:szCs w:val="20"/>
          <w:color w:val="auto"/>
        </w:rPr>
      </w:pPr>
      <w:r>
        <w:rPr>
          <w:rFonts w:ascii="Times New Roman" w:cs="Times New Roman" w:eastAsia="Times New Roman" w:hAnsi="Times New Roman"/>
          <w:sz w:val="18"/>
          <w:szCs w:val="18"/>
          <w:color w:val="auto"/>
        </w:rPr>
        <w:t>Because of the short-term maturities of our financial instruments, we do not believe that an increase or decrease in market interest rates would have any significant impact on the realized value of our investment portfolio. If a 10% change in interest rates were to have occurred on June 30, 2017, this change would not have had a material effect on the fair value of our investment portfolio as of that date.</w:t>
      </w:r>
    </w:p>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interest rate under the Term Loan Agreement is fixed and not subject to changes in market interest rates.</w:t>
      </w:r>
    </w:p>
    <w:p>
      <w:pPr>
        <w:spacing w:after="0" w:line="225" w:lineRule="exact"/>
        <w:rPr>
          <w:sz w:val="20"/>
          <w:szCs w:val="20"/>
          <w:color w:val="auto"/>
        </w:rPr>
      </w:pPr>
    </w:p>
    <w:p>
      <w:pPr>
        <w:ind w:right="40" w:firstLine="571"/>
        <w:spacing w:after="0" w:line="256" w:lineRule="auto"/>
        <w:rPr>
          <w:sz w:val="20"/>
          <w:szCs w:val="20"/>
          <w:color w:val="auto"/>
        </w:rPr>
      </w:pPr>
      <w:r>
        <w:rPr>
          <w:rFonts w:ascii="Times New Roman" w:cs="Times New Roman" w:eastAsia="Times New Roman" w:hAnsi="Times New Roman"/>
          <w:sz w:val="18"/>
          <w:szCs w:val="18"/>
          <w:color w:val="auto"/>
        </w:rPr>
        <w:t>Our operations are located in the United States, and nearly all of our sales since inception have been made in U.S. dollars. Accordingly, we do not currently have any material exposure to foreign currency rate fluctuations. From time to time, we may have foreign currency exchange risk associated with currency exposure related to existing assets and liabilities, committed transactions and forecasted future cash flows. In certain circumstances, we may seek to manage such foreign exchange risk by using derivative instruments such as foreign exchange forward contracts to hedge our risks. In general, we may hedge material foreign exchange exposures up to 12 months in advance. However, we may choose not to hedge some exposures for a variety of reasons including prohibitive economic costs.</w:t>
      </w:r>
    </w:p>
    <w:p>
      <w:pPr>
        <w:spacing w:after="0" w:line="184"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firstLine="588"/>
        <w:spacing w:after="0" w:line="253"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Securities and Exchange Act of 1934, as amended (the “Exchange Act”) that are designed to ensure that information required to be disclosed in our periodic and current reports that we file with the SEC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for timely decisions regarding required disclosure. In designing and evaluating the disclosure controls and procedures, management recognized that any controls and procedures, no matter how well designed and operated, can provide only reasonable and not absolute assurance of achieving the desired control objectives. In reaching a reasonable level of assurance, management necessarily is required to apply its judgment in evaluating the cost-benefit relationship of possible controls and procedures. In addition,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Control systems can also be circumvented by the individual acts of some persons, by collusion of two or more people, or by management override of the control. Because of the inherent limitations in a cost-effective control system, misstatements due to error or fraud may occur and not be detected.</w:t>
      </w:r>
    </w:p>
    <w:p>
      <w:pPr>
        <w:spacing w:after="0" w:line="191" w:lineRule="exact"/>
        <w:rPr>
          <w:sz w:val="20"/>
          <w:szCs w:val="20"/>
          <w:color w:val="auto"/>
        </w:rPr>
      </w:pPr>
    </w:p>
    <w:p>
      <w:pPr>
        <w:ind w:right="420" w:firstLine="518"/>
        <w:spacing w:after="0" w:line="261" w:lineRule="auto"/>
        <w:rPr>
          <w:sz w:val="20"/>
          <w:szCs w:val="20"/>
          <w:color w:val="auto"/>
        </w:rPr>
      </w:pPr>
      <w:r>
        <w:rPr>
          <w:rFonts w:ascii="Times New Roman" w:cs="Times New Roman" w:eastAsia="Times New Roman" w:hAnsi="Times New Roman"/>
          <w:sz w:val="18"/>
          <w:szCs w:val="18"/>
          <w:color w:val="auto"/>
        </w:rPr>
        <w:t>As of June 30, 2017, we carried out an evaluation, under the supervision and with the participation of our management, including our principal executive officer and principal financial officer, of the effectiveness of the design and operation of our disclosure controls and procedures. Based on this evaluation, our principal executive officer and principal financial officer concluded that our disclosure controls and procedures were effective at the reasonable assurance level as of June 30, 2017.</w:t>
      </w: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firstLine="571"/>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of the Exchange Act) during the quarter ended June 30, 2017 that materially affected, or are reasonably likely to materially affect, our internal control over financial reporting.</w:t>
      </w:r>
    </w:p>
    <w:p>
      <w:pPr>
        <w:spacing w:after="0" w:line="200" w:lineRule="exact"/>
        <w:rPr>
          <w:sz w:val="20"/>
          <w:szCs w:val="20"/>
          <w:color w:val="auto"/>
        </w:rPr>
      </w:pPr>
    </w:p>
    <w:p>
      <w:pPr>
        <w:spacing w:after="0" w:line="38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00"/>
          </w:cols>
          <w:pgMar w:left="240" w:top="117" w:right="459" w:bottom="1440" w:gutter="0" w:footer="0" w:header="0"/>
        </w:sectPr>
      </w:pPr>
    </w:p>
    <w:bookmarkStart w:id="29" w:name="page30"/>
    <w:bookmarkEnd w:id="2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firstLine="571"/>
        <w:spacing w:after="0" w:line="258" w:lineRule="auto"/>
        <w:rPr>
          <w:sz w:val="20"/>
          <w:szCs w:val="20"/>
          <w:color w:val="auto"/>
        </w:rPr>
      </w:pPr>
      <w:r>
        <w:rPr>
          <w:rFonts w:ascii="Times New Roman" w:cs="Times New Roman" w:eastAsia="Times New Roman" w:hAnsi="Times New Roman"/>
          <w:sz w:val="18"/>
          <w:szCs w:val="18"/>
          <w:color w:val="auto"/>
        </w:rPr>
        <w:t>From time to time, we are involved in various legal proceedings, disputes and other claims arising in the ordinary course of our business. Although the results of legal proceedings and claims cannot be predicted with certainty, we currently believe that the final outcome of these ordinary course matters will not, individually or in the aggregate, have a material adverse effect on our business, financial position, results of operations or cash flows. However, regardless of the outcome, legal proceedings can have an adverse impact on us because of legal costs, diversion of management time and resources, and other factors.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right="160" w:firstLine="518"/>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sets forth certain risk factors associated with our business. The risk factors set forth below marked with an asterisk (*) next to the title contain changes to the description of the risk factors associated with our business previously disclosed in Part I, Item 1A of the Annual Report.</w:t>
      </w:r>
    </w:p>
    <w:p>
      <w:pPr>
        <w:spacing w:after="0" w:line="158" w:lineRule="exact"/>
        <w:rPr>
          <w:sz w:val="20"/>
          <w:szCs w:val="20"/>
          <w:color w:val="auto"/>
        </w:rPr>
      </w:pPr>
    </w:p>
    <w:p>
      <w:pPr>
        <w:ind w:right="40" w:firstLine="518"/>
        <w:spacing w:after="0" w:line="257" w:lineRule="auto"/>
        <w:rPr>
          <w:sz w:val="20"/>
          <w:szCs w:val="20"/>
          <w:color w:val="auto"/>
        </w:rPr>
      </w:pPr>
      <w:r>
        <w:rPr>
          <w:rFonts w:ascii="Times New Roman" w:cs="Times New Roman" w:eastAsia="Times New Roman" w:hAnsi="Times New Roman"/>
          <w:sz w:val="18"/>
          <w:szCs w:val="18"/>
          <w:i w:val="1"/>
          <w:iCs w:val="1"/>
          <w:color w:val="auto"/>
        </w:rPr>
        <w:t>An investment in our common stock involves risks. You should consider carefully the risks described below, together with all of the other information included in this Quarterly Report, as well as in our other filings with the SEC, in evaluating our business. If any of the following risks actually occur, our business, financial condition, operating results and future prospects could be materially and adversely affected. In that case, the trading price of our common stock may decline and you might lose all or part of your investment. The risks described below are not the only ones we face. Additional risks that we currently do not know about or that we currently believe to be immaterial may also impair our business, financial condition, operating results and prospects. Certain statements below are forward-looking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Business and our Industry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significant operating losses since inception and cannot assure you that we will achieve profitability.*</w:t>
      </w:r>
    </w:p>
    <w:p>
      <w:pPr>
        <w:spacing w:after="0" w:line="229"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Since our inception in January 2006, we have incurred a significant net loss. As of June 30, 2017, we had an accumulated deficit of $450.2 million. To date, we have financed our operations primarily through public and private sales of our equity securities, debt financing with Capital Royalty Partners II, L.P. and its affiliated funds, or Capital Royalty Partners, and sales of our products. We have devoted substantially all of our resources to the commercialization of our products, the scaling of our manufacturing operations and commercial organization, the research and development of our current products and products under development, and the assembly of a management team to manage our business.</w:t>
      </w:r>
    </w:p>
    <w:p>
      <w:pPr>
        <w:spacing w:after="0" w:line="184" w:lineRule="exact"/>
        <w:rPr>
          <w:sz w:val="20"/>
          <w:szCs w:val="20"/>
          <w:color w:val="auto"/>
        </w:rPr>
      </w:pPr>
    </w:p>
    <w:p>
      <w:pPr>
        <w:ind w:right="320" w:firstLine="518"/>
        <w:spacing w:after="0" w:line="256" w:lineRule="auto"/>
        <w:rPr>
          <w:sz w:val="20"/>
          <w:szCs w:val="20"/>
          <w:color w:val="auto"/>
        </w:rPr>
      </w:pPr>
      <w:r>
        <w:rPr>
          <w:rFonts w:ascii="Times New Roman" w:cs="Times New Roman" w:eastAsia="Times New Roman" w:hAnsi="Times New Roman"/>
          <w:sz w:val="18"/>
          <w:szCs w:val="18"/>
          <w:color w:val="auto"/>
        </w:rPr>
        <w:t>We began commercial sales of our first commercial product, t:slim, in the third quarter of 2012. We began commercial sales of t:flex in the second quarter of 2015 and t:slim G4 in the third quarter of 2015. In October 2016, we discontinued new shipments of t:slim and launched t:slim X2, our next-generation flagship pump. Since the first quarter of 2013, we have been able to manufacture and sell our insulin pump products at a cost and in volumes sufficient to allow us to achieve a positive overall gross margin. For the years ended December 31, 2016 and 2015, our gross profit was $23.6 million and $26.6 million, respectively. Although we have achieved a positive overall gross margin, we still operate at a significant net loss and expect that we will continue to do so for the next several years.</w:t>
      </w:r>
    </w:p>
    <w:p>
      <w:pPr>
        <w:spacing w:after="0" w:line="188"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To implement our business strategy we need to, among other things, increase sales and gross profits of our products, maintain an appropriate customer service and support infrastructure, fund ongoing research and development activities, improve and expand our manufacturing capabilities, and obtain regulatory clearance or approval to commercialize our products currently under development. Our expenses may continue to increase as we pursue these objectives and make investments in our business. Additional increases in our expenses without commensurate increases in sales could significantly increase our operating losses.</w:t>
      </w:r>
    </w:p>
    <w:p>
      <w:pPr>
        <w:spacing w:after="0" w:line="184" w:lineRule="exact"/>
        <w:rPr>
          <w:sz w:val="20"/>
          <w:szCs w:val="20"/>
          <w:color w:val="auto"/>
        </w:rPr>
      </w:pPr>
    </w:p>
    <w:p>
      <w:pPr>
        <w:ind w:right="80" w:firstLine="518"/>
        <w:spacing w:after="0" w:line="256" w:lineRule="auto"/>
        <w:rPr>
          <w:sz w:val="20"/>
          <w:szCs w:val="20"/>
          <w:color w:val="auto"/>
        </w:rPr>
      </w:pPr>
      <w:r>
        <w:rPr>
          <w:rFonts w:ascii="Times New Roman" w:cs="Times New Roman" w:eastAsia="Times New Roman" w:hAnsi="Times New Roman"/>
          <w:sz w:val="18"/>
          <w:szCs w:val="18"/>
          <w:color w:val="auto"/>
        </w:rPr>
        <w:t>The extent of our future operating losses and the timing of profitability are highly uncertain in light of a number of factors, including the timing of the launch of new products and product features by us and our competitors, market acceptance of our products and competitive products by people with insulin-dependent diabetes, their caregivers and healthcare providers, and the timing of regulatory approval of new products. In addition, our implementation of the Technology Upgrade Program makes forecasting our operating results more difficult, because such forecasts depend on customer behavioral assumptions, such as the likelihood that the trade-in rights will actually be exercised and the timing of any such decisions. Any additional operating losses will have an adverse effect on our stockholders’ equity, and we cannot assure you that we will ever be able to achieve or sustain profitability.</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30" w:name="page31"/>
    <w:bookmarkEnd w:id="30"/>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rely on sales of insulin pumps to generate a significant portion of our revenue, and any factors that negatively impact sales of our insulin pump products may adversely affect our business, financial condition and operating results. *</w:t>
      </w:r>
    </w:p>
    <w:p>
      <w:pPr>
        <w:spacing w:after="0" w:line="15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generate a significant majority of our revenue from the sale of our insulin pump products, which currently include our t:slim X2, t:flex and t:slim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G4 products. Sales of our insulin pumps may be negatively impacted by many factors, including:</w:t>
      </w:r>
    </w:p>
    <w:p>
      <w:pPr>
        <w:spacing w:after="0" w:line="207" w:lineRule="exact"/>
        <w:rPr>
          <w:sz w:val="20"/>
          <w:szCs w:val="20"/>
          <w:color w:val="auto"/>
        </w:rPr>
      </w:pPr>
    </w:p>
    <w:p>
      <w:pPr>
        <w:ind w:left="1040" w:right="540" w:hanging="384"/>
        <w:spacing w:after="0" w:line="282" w:lineRule="auto"/>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that other technological breakthroughs for the monitoring, treatment or prevention of diabetes may render our insulin pump products obsolete or less desirable;</w:t>
      </w:r>
    </w:p>
    <w:p>
      <w:pPr>
        <w:spacing w:after="0" w:line="161"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regulatory or legal actions relating to our insulin pump products or similar products or technologies;</w:t>
      </w:r>
    </w:p>
    <w:p>
      <w:pPr>
        <w:spacing w:after="0" w:line="225" w:lineRule="exact"/>
        <w:rPr>
          <w:rFonts w:ascii="Times New Roman" w:cs="Times New Roman" w:eastAsia="Times New Roman" w:hAnsi="Times New Roman"/>
          <w:sz w:val="18"/>
          <w:szCs w:val="18"/>
          <w:color w:val="auto"/>
        </w:rPr>
      </w:pPr>
    </w:p>
    <w:p>
      <w:pPr>
        <w:ind w:left="1040" w:right="40" w:hanging="384"/>
        <w:spacing w:after="0" w:line="282" w:lineRule="auto"/>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Tandem Device Updater to accurately and timely provide customers with remote access to new product features and functionality as anticipated, or our failure to obtain regulatory approval for any such updates;</w:t>
      </w:r>
    </w:p>
    <w:p>
      <w:pPr>
        <w:spacing w:after="0" w:line="161" w:lineRule="exact"/>
        <w:rPr>
          <w:rFonts w:ascii="Times New Roman" w:cs="Times New Roman" w:eastAsia="Times New Roman" w:hAnsi="Times New Roman"/>
          <w:sz w:val="18"/>
          <w:szCs w:val="18"/>
          <w:color w:val="auto"/>
        </w:rPr>
      </w:pPr>
    </w:p>
    <w:p>
      <w:pPr>
        <w:ind w:left="1040" w:right="460" w:hanging="384"/>
        <w:spacing w:after="0" w:line="282" w:lineRule="auto"/>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reimbursement rates or policies relating to insulin pumps or similar products or technologies by third-party payors, such as the decision by UnitedHealthcare during 2016 that restricted a majority of its members from accessing our pumps;</w:t>
      </w:r>
    </w:p>
    <w:p>
      <w:pPr>
        <w:spacing w:after="0" w:line="161"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enter into contracts with third-party payors on a timely basis and on acceptable terms;</w:t>
      </w:r>
    </w:p>
    <w:p>
      <w:pPr>
        <w:spacing w:after="0" w:line="225" w:lineRule="exact"/>
        <w:rPr>
          <w:rFonts w:ascii="Times New Roman" w:cs="Times New Roman" w:eastAsia="Times New Roman" w:hAnsi="Times New Roman"/>
          <w:sz w:val="18"/>
          <w:szCs w:val="18"/>
          <w:color w:val="auto"/>
        </w:rPr>
      </w:pPr>
    </w:p>
    <w:p>
      <w:pPr>
        <w:ind w:left="1040" w:right="480" w:hanging="384"/>
        <w:spacing w:after="0" w:line="282" w:lineRule="auto"/>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arising from the expansion of our manufacturing capabilities, or destruction, loss, or temporary shutdown of our manufacturing facility; and</w:t>
      </w:r>
    </w:p>
    <w:p>
      <w:pPr>
        <w:spacing w:after="0" w:line="161" w:lineRule="exact"/>
        <w:rPr>
          <w:rFonts w:ascii="Times New Roman" w:cs="Times New Roman" w:eastAsia="Times New Roman" w:hAnsi="Times New Roman"/>
          <w:sz w:val="18"/>
          <w:szCs w:val="18"/>
          <w:color w:val="auto"/>
        </w:rPr>
      </w:pPr>
    </w:p>
    <w:p>
      <w:pPr>
        <w:ind w:left="1040" w:right="480" w:hanging="384"/>
        <w:spacing w:after="0" w:line="282" w:lineRule="auto"/>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that any of our insulin pump products, or any component thereof or related supplies, infringes on patent rights or other intellectual property rights of third parties.</w:t>
      </w:r>
    </w:p>
    <w:p>
      <w:pPr>
        <w:spacing w:after="0" w:line="162" w:lineRule="exact"/>
        <w:rPr>
          <w:sz w:val="20"/>
          <w:szCs w:val="20"/>
          <w:color w:val="auto"/>
        </w:rPr>
      </w:pPr>
    </w:p>
    <w:p>
      <w:pPr>
        <w:jc w:val="both"/>
        <w:ind w:right="660" w:firstLine="518"/>
        <w:spacing w:after="0" w:line="282" w:lineRule="auto"/>
        <w:rPr>
          <w:sz w:val="20"/>
          <w:szCs w:val="20"/>
          <w:color w:val="auto"/>
        </w:rPr>
      </w:pPr>
      <w:r>
        <w:rPr>
          <w:rFonts w:ascii="Times New Roman" w:cs="Times New Roman" w:eastAsia="Times New Roman" w:hAnsi="Times New Roman"/>
          <w:sz w:val="18"/>
          <w:szCs w:val="18"/>
          <w:color w:val="auto"/>
        </w:rPr>
        <w:t>In addition, sales of any of our current or future insulin pump products with CGM integration are subject to the continuation of our applicable agreements with DexCom, which under some circumstances are subject to termination by DexCom, with or without cause, on relatively short notice.</w:t>
      </w:r>
    </w:p>
    <w:p>
      <w:pPr>
        <w:spacing w:after="0" w:line="162" w:lineRule="exact"/>
        <w:rPr>
          <w:sz w:val="20"/>
          <w:szCs w:val="20"/>
          <w:color w:val="auto"/>
        </w:rPr>
      </w:pPr>
    </w:p>
    <w:p>
      <w:pPr>
        <w:ind w:right="100" w:firstLine="518"/>
        <w:spacing w:after="0" w:line="254" w:lineRule="auto"/>
        <w:rPr>
          <w:sz w:val="20"/>
          <w:szCs w:val="20"/>
          <w:color w:val="auto"/>
        </w:rPr>
      </w:pPr>
      <w:r>
        <w:rPr>
          <w:rFonts w:ascii="Times New Roman" w:cs="Times New Roman" w:eastAsia="Times New Roman" w:hAnsi="Times New Roman"/>
          <w:sz w:val="18"/>
          <w:szCs w:val="18"/>
          <w:color w:val="auto"/>
        </w:rPr>
        <w:t>Furthermore, sales of our products may be adversely impacted by negative perceptions regarding our financial stability relative to that of our competitors, and our ability to sustain our business operations on a long-term basis. These perceptions may cause people with insulin-dependent diabetes, their caregivers and healthcare providers, as well as independent distributors and third-party payors, to question our ability to continue to sell our products, provide customer service, support our commercial organization, and fulfill our strategic objectives. These concerns may arise from a number of factors, including our recent and projected financial results, recent changes in and volatility of our stock price, concerns regarding our ability to maintain the continued listing of our common stock on the NASDAQ Global Market, or NASDAQ, perceptions about the recent completion of a public offering of our common stock, our current level of indebtedness and debt service costs, our conclusion that there is substantial doubt about our ability to continue as a going concern, recent or anticipated competitive product launches, the impact of the Technology Upgrade Program, and uncertainties regarding the regulatory environment. Any such concerns, whether actual or perceived, could cause consumers to delay the purchase of our products or to purchase competitive products.</w:t>
      </w:r>
    </w:p>
    <w:p>
      <w:pPr>
        <w:spacing w:after="0" w:line="186" w:lineRule="exact"/>
        <w:rPr>
          <w:sz w:val="20"/>
          <w:szCs w:val="20"/>
          <w:color w:val="auto"/>
        </w:rPr>
      </w:pPr>
    </w:p>
    <w:p>
      <w:pPr>
        <w:jc w:val="both"/>
        <w:ind w:right="200" w:firstLine="518"/>
        <w:spacing w:after="0" w:line="266" w:lineRule="auto"/>
        <w:rPr>
          <w:sz w:val="20"/>
          <w:szCs w:val="20"/>
          <w:color w:val="auto"/>
        </w:rPr>
      </w:pPr>
      <w:r>
        <w:rPr>
          <w:rFonts w:ascii="Times New Roman" w:cs="Times New Roman" w:eastAsia="Times New Roman" w:hAnsi="Times New Roman"/>
          <w:sz w:val="18"/>
          <w:szCs w:val="18"/>
          <w:color w:val="auto"/>
        </w:rPr>
        <w:t>Because we currently rely on sales of our insulin pump products to generate a significant majority of our revenue, any factors that negatively impact sales of these products, or result in sales of these products increasing at a lower rate than expected, could adversely affect our business, financial condition and operating results, and negatively impact our ability to successfully launch future products currently under development.</w:t>
      </w:r>
    </w:p>
    <w:p>
      <w:pPr>
        <w:spacing w:after="0" w:line="172"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operate in a very competitive industry and if we fail to compete successfully against our existing or potential competitors, many of whom have greater resources than us, our sales and operating results may be negatively affected.*</w:t>
      </w:r>
    </w:p>
    <w:p>
      <w:pPr>
        <w:spacing w:after="0" w:line="159"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The medical device industry is intensely competitive, subject to rapid change and highly sensitive to the introduction of new products, treatment techniques or technologies, or other activities of industry participants. We believe our products compete, and will continue to compete, directly with a number of traditional insulin pumps as well as other methods for the treatment of diabetes, including MDI therapy.</w:t>
      </w: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bookmarkStart w:id="31" w:name="page32"/>
    <w:bookmarkEnd w:id="31"/>
    <w:p>
      <w:pPr>
        <w:ind w:firstLine="518"/>
        <w:spacing w:after="0" w:line="255" w:lineRule="auto"/>
        <w:rPr>
          <w:sz w:val="20"/>
          <w:szCs w:val="20"/>
          <w:color w:val="auto"/>
        </w:rPr>
      </w:pPr>
      <w:r>
        <w:rPr>
          <w:rFonts w:ascii="Times New Roman" w:cs="Times New Roman" w:eastAsia="Times New Roman" w:hAnsi="Times New Roman"/>
          <w:sz w:val="18"/>
          <w:szCs w:val="18"/>
          <w:color w:val="auto"/>
        </w:rPr>
        <w:t>Our primary competitors are major medical device companies that are either publicly traded companies or divisions or subsidiaries of publicly traded companies. For instance, Medtronic MiniMed, a division of Medtronic, Inc., has been the market leader for many years and has the majority share of the traditional insulin pump market in the United States. Other significant insulin pump suppliers in the United States include Animas Corporation, a division of Johnson &amp; Johnson, and Insulet Corporation. However, the market for insulin pumps is currently undergoing significant changes. For instance, in late 2016, Roche Diabetes Care, a division of F. Hoffman-La Roche discontinued sales of new insulin pumps in the United States, and in early 2017, Johnson &amp; Johnson announced that it is evaluating strategic options for its diabetes business unit, including Animas. It is too early to evaluate the potential impact of these changes on our competitive landscape. There are also newer companies entering the field.</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Some of our competitors enjoy several competitive advantages over us, including:</w:t>
      </w:r>
    </w:p>
    <w:p>
      <w:pPr>
        <w:spacing w:after="0" w:line="225" w:lineRule="exact"/>
        <w:rPr>
          <w:sz w:val="20"/>
          <w:szCs w:val="20"/>
          <w:color w:val="auto"/>
        </w:rPr>
      </w:pPr>
    </w:p>
    <w:p>
      <w:pPr>
        <w:ind w:left="1040" w:hanging="384"/>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financial and human resources for sales and marketing, product development, customer service and clinical resources;</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financial resources to respond to competitive pressures and regulatory uncertainty;</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relationships with healthcare providers, third-party payors and regulatory agencies;</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reputation and name recognition among healthcare providers and other key opinion leaders in the diabetes industry;</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some cases, greater market share and established base of customers;</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products supported by long-term clinical data;</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and more established distribution networks;</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ability to cross-sell products or provide incentives to healthcare providers to use their products; and</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experience in conducting research and development, manufacturing, clinical trials, and obtaining regulatory approval or clearance.</w:t>
      </w:r>
    </w:p>
    <w:p>
      <w:pPr>
        <w:spacing w:after="0" w:line="225" w:lineRule="exact"/>
        <w:rPr>
          <w:sz w:val="20"/>
          <w:szCs w:val="20"/>
          <w:color w:val="auto"/>
        </w:rPr>
      </w:pPr>
    </w:p>
    <w:p>
      <w:pPr>
        <w:ind w:right="320" w:firstLine="518"/>
        <w:spacing w:after="0" w:line="256" w:lineRule="auto"/>
        <w:rPr>
          <w:sz w:val="20"/>
          <w:szCs w:val="20"/>
          <w:color w:val="auto"/>
        </w:rPr>
      </w:pPr>
      <w:r>
        <w:rPr>
          <w:rFonts w:ascii="Times New Roman" w:cs="Times New Roman" w:eastAsia="Times New Roman" w:hAnsi="Times New Roman"/>
          <w:sz w:val="18"/>
          <w:szCs w:val="18"/>
          <w:color w:val="auto"/>
        </w:rPr>
        <w:t>In some instances, our competitors offer products that include features that we do not currently offer. For instance, Medtronic currently offers a traditional insulin pump that is integrated with a CGM system with a threshold suspend feature. In addition, Medtronic recently commenced the commercialization of a new insulin pump product with additional automated insulin delivery functionality and a new CGM system. Furthermore, Insulet offers an insulin pump with a tubeless delivery system that does not utilize an infusion set. For these and other reasons, we may not be able to compete successfully against our current or potential future competitors. As a result, we may fail to meet our forecasted budget, and our sales and operating results may be negatively affected.</w:t>
      </w:r>
    </w:p>
    <w:p>
      <w:pPr>
        <w:spacing w:after="0" w:line="184"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administration of the Technology Upgrade Program may result in unanticipated difficulties or costs, which may harm our financial condition or operating results.*</w:t>
      </w:r>
    </w:p>
    <w:p>
      <w:pPr>
        <w:spacing w:after="0" w:line="159"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In July 2016, we announced the implementation of the Technology Upgrade Program that allows eligible t:slim and t:slim G4 customers the ability to trade in their existing pump for t:slim X2, subject to the conditions specified in the program. The Technology Upgrade Program is being offered to provide our existing customers the ability to upgrade to the features and capabilities of t:slim X2. However, we do not have experience implementing and administering trade-in programs of this type and we may encounter unexpected difficulties, costs or uncertainties in administering or fulfilling our obligations under the Technology Upgrade Program. For example, it is difficult to predict the impact of the adoption of the Technology Upgrade Program on the willingness of consumers to purchase our products compared to competitive products, or the timing of any purchase decisions. If we incur unexpected difficulties, costs or uncertainties in administering the Technology Upgrade Program, or if we do not derive the anticipated benefits to our business from offering the program to our customers, the program could have a material adverse effect on our financial condition and operating results.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2" w:name="page33"/>
    <w:bookmarkEnd w:id="32"/>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Technology Upgrade Program has resulted in accounting complexities that may be difficult for investors to understand and may lead to confusion when comparing our historical and future financial results.</w:t>
      </w:r>
    </w:p>
    <w:p>
      <w:pPr>
        <w:spacing w:after="0" w:line="159" w:lineRule="exact"/>
        <w:rPr>
          <w:sz w:val="20"/>
          <w:szCs w:val="20"/>
          <w:color w:val="auto"/>
        </w:rPr>
      </w:pPr>
    </w:p>
    <w:p>
      <w:pPr>
        <w:ind w:right="20" w:firstLine="518"/>
        <w:spacing w:after="0" w:line="254" w:lineRule="auto"/>
        <w:rPr>
          <w:sz w:val="20"/>
          <w:szCs w:val="20"/>
          <w:color w:val="auto"/>
        </w:rPr>
      </w:pPr>
      <w:r>
        <w:rPr>
          <w:rFonts w:ascii="Times New Roman" w:cs="Times New Roman" w:eastAsia="Times New Roman" w:hAnsi="Times New Roman"/>
          <w:sz w:val="18"/>
          <w:szCs w:val="18"/>
          <w:color w:val="auto"/>
        </w:rPr>
        <w:t>The Technology Upgrade Program has resulted in a number of accounting complexities that will make comparisons of our historical and future financial results more difficult. In particular, United States generally accepted accounting principles, or GAAP, prevent us from recognizing, at the time of sale, up to 100% of the sales and cost of sales associated with the sale of t:slim and t:slim G4 made to eligible customers during the term of the Technology Upgrade Program. Instead, depending on the type of pump sold, we are required to defer some or all of the sales and cost of sales until a later date, which will generally be the earlier of when our obligations under the Technology Upgrade Program are satisfied or when the program expires. The amount and timing of the deferred sales and cost of sales will depend on multiple factors that are based on future events that are difficult to estimate or predict, especially because we have not offered a similar trade-in program in the past. For example, we do not currently have sufficient history to reasonably estimate the likelihood that the trade-in rights will be exercised, or the timing of any trade-in decisions. Accordingly, it is very difficult for us to estimate the amount of the deferrals with any level of certainty, which makes it very difficult for us to predict our GAAP results, including revenues and operating margins.</w:t>
      </w:r>
    </w:p>
    <w:p>
      <w:pPr>
        <w:spacing w:after="0" w:line="189"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Despite our efforts to explain the required accounting treatment for the Technology Upgrade Program, it is possible that investors or analysts will view the accounting treatment or the resulting impact on our GAAP financial results negatively, and there may be confusion when comparing our historical and future financial results, which may cause our stock price to decline. In addition, the complexities associated with the accounting treatment, or with the Technology Upgrade Program generally, may cause investors to avoid purchasing our common stock until the impact of the program is better understood or our financial results and trends are more predictable, which also may adversely impact our stock price.</w:t>
      </w:r>
    </w:p>
    <w:p>
      <w:pPr>
        <w:spacing w:after="0" w:line="180" w:lineRule="exact"/>
        <w:rPr>
          <w:sz w:val="20"/>
          <w:szCs w:val="20"/>
          <w:color w:val="auto"/>
        </w:rPr>
      </w:pPr>
    </w:p>
    <w:p>
      <w:pPr>
        <w:ind w:right="28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Our ability to achieve profitability will depend, in part, on our ability to reduce the per unit cost of our products by increasing production volume and manufacturing efficiency, including by reducing raw material, labor, product-training, expected warranty and manufacturing overhead costs per unit.</w:t>
      </w:r>
    </w:p>
    <w:p>
      <w:pPr>
        <w:spacing w:after="0" w:line="136" w:lineRule="exact"/>
        <w:rPr>
          <w:sz w:val="20"/>
          <w:szCs w:val="20"/>
          <w:color w:val="auto"/>
        </w:rPr>
      </w:pPr>
    </w:p>
    <w:p>
      <w:pPr>
        <w:ind w:firstLine="571"/>
        <w:spacing w:after="0" w:line="253" w:lineRule="auto"/>
        <w:rPr>
          <w:sz w:val="20"/>
          <w:szCs w:val="20"/>
          <w:color w:val="auto"/>
        </w:rPr>
      </w:pPr>
      <w:r>
        <w:rPr>
          <w:rFonts w:ascii="Times New Roman" w:cs="Times New Roman" w:eastAsia="Times New Roman" w:hAnsi="Times New Roman"/>
          <w:sz w:val="18"/>
          <w:szCs w:val="18"/>
          <w:color w:val="auto"/>
        </w:rPr>
        <w:t>We believe that our ability to reduce the per-unit cost of our insulin pump products and related cartridges will have a significant impact on our ability to achieve profitability. Our cost of sales includes raw material procurement costs, labor costs, product-training expenses and expected warranty expenses. It also includes manufacturing overhead costs, including expenses relating to quality assurance, inventory control, facilities, equipment, information technology, and operations management. If we are unable to sustain or reduce our overall cost of sales, including through arrangements such as volume purchase discounts, negotiation of improved pricing, more efficient training programs for customers, and improved warranty performance, it will be difficult to reduce our per unit costs and our ability to achieve profitability will be constrained. The per unit cost of our products is significantly impacted by our overall production volumes, and any factors that cause our production volumes to decline, or to grow at a slower rate than we expect, would significantly impact our expected per unit costs. In addition, we may experience disruption in our manufacturing productivity or incur duplicative or incremental costs as we manage the planned relocation of our manufacturing facility over the next several months. Furthermore, while we currently believe our proprietary technology platform will allow us to gain efficiencies in the design and development of new products, changes in the market that require us to modify or replace our existing platform will reduce the amount of efficiency gained through our platform and increase our per unit costs. If we are unable to effectively manage our overall costs, while increasing our production volumes, we may not be able to achieve or sustain profitability, which would have an adverse impact on our business, financial condition and operating results.</w:t>
      </w:r>
    </w:p>
    <w:p>
      <w:pPr>
        <w:spacing w:after="0" w:line="18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failure of our products to achieve and maintain market acceptance could result in us achieving sales below our expectations, which would cause our business, financial condition and operating results to be materially and adversely affected. *</w:t>
      </w:r>
    </w:p>
    <w:p>
      <w:pPr>
        <w:spacing w:after="0" w:line="159"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Our current business strategy is highly dependent on our insulin pump products, which currently include t:slim X2, t:flex and t:slim G4, achieving and maintaining market acceptance. In order for us to sell our products to people with insulin-dependent diabetes, we must convince them, their caregivers and healthcare providers that our products are an attractive alternative to competitive products for the treatment of diabetes, including traditional insulin pump products and MDI therapies, as well as alternative insulin treatment methodologies. Market acceptance and adoption of our products depends on educating people with diabetes, as well as their caregivers and healthcare providers, about the distinct features, ease-of-use, positive lifestyle impact, and other perceived benefits of our products as compared to competitive products. If we are not successful in convincing existing and potential customers of the benefits of our products, or if we are not able to achieve the support of caregivers and healthcare providers for our insulin pump products, our sales may decline or we may fail to increase our sales in line with our forecasts.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33" w:name="page34"/>
    <w:bookmarkEnd w:id="33"/>
    <w:p>
      <w:pPr>
        <w:ind w:left="520"/>
        <w:spacing w:after="0"/>
        <w:rPr>
          <w:sz w:val="20"/>
          <w:szCs w:val="20"/>
          <w:color w:val="auto"/>
        </w:rPr>
      </w:pPr>
      <w:r>
        <w:rPr>
          <w:rFonts w:ascii="Times New Roman" w:cs="Times New Roman" w:eastAsia="Times New Roman" w:hAnsi="Times New Roman"/>
          <w:sz w:val="18"/>
          <w:szCs w:val="18"/>
          <w:color w:val="auto"/>
        </w:rPr>
        <w:t>Achieving and maintaining market acceptance of our products could be negatively impacted by many factors, including:</w:t>
      </w:r>
    </w:p>
    <w:p>
      <w:pPr>
        <w:spacing w:after="0" w:line="225" w:lineRule="exact"/>
        <w:rPr>
          <w:sz w:val="20"/>
          <w:szCs w:val="20"/>
          <w:color w:val="auto"/>
        </w:rPr>
      </w:pPr>
    </w:p>
    <w:p>
      <w:pPr>
        <w:ind w:left="1040" w:right="80" w:hanging="384"/>
        <w:spacing w:after="0" w:line="282" w:lineRule="auto"/>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our products to achieve and maintain wide acceptance among people with insulin-dependent diabetes, their caregivers, healthcare providers, third-party payors and key opinion leaders in the diabetes treatment community;</w:t>
      </w:r>
    </w:p>
    <w:p>
      <w:pPr>
        <w:spacing w:after="0" w:line="161" w:lineRule="exact"/>
        <w:rPr>
          <w:rFonts w:ascii="Times New Roman" w:cs="Times New Roman" w:eastAsia="Times New Roman" w:hAnsi="Times New Roman"/>
          <w:sz w:val="18"/>
          <w:szCs w:val="18"/>
          <w:color w:val="auto"/>
        </w:rPr>
      </w:pPr>
    </w:p>
    <w:p>
      <w:pPr>
        <w:ind w:left="1040" w:right="100" w:hanging="384"/>
        <w:spacing w:after="0" w:line="266" w:lineRule="auto"/>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our products to provide the features and functionality that people with insulin-dependent diabetes, their caregivers and healthcare providers are seeking in an insulin pump, and to incorporate those features into our products in a timely, cost-effective and user-friendly manner;</w:t>
      </w:r>
    </w:p>
    <w:p>
      <w:pPr>
        <w:spacing w:after="0" w:line="176" w:lineRule="exact"/>
        <w:rPr>
          <w:rFonts w:ascii="Times New Roman" w:cs="Times New Roman" w:eastAsia="Times New Roman" w:hAnsi="Times New Roman"/>
          <w:sz w:val="18"/>
          <w:szCs w:val="18"/>
          <w:color w:val="auto"/>
        </w:rPr>
      </w:pPr>
    </w:p>
    <w:p>
      <w:pPr>
        <w:ind w:left="1040" w:right="360" w:hanging="384"/>
        <w:spacing w:after="0" w:line="282" w:lineRule="auto"/>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evidence supporting the safety, ease-of-use or other perceived benefits of our products over competitive products or other currently-available insulin treatment methodologies;</w:t>
      </w:r>
    </w:p>
    <w:p>
      <w:pPr>
        <w:spacing w:after="0" w:line="161"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risks or uncertainties associated with the use of our insulin pump products or similar products or technologies generally;</w:t>
      </w:r>
    </w:p>
    <w:p>
      <w:pPr>
        <w:spacing w:after="0" w:line="225" w:lineRule="exact"/>
        <w:rPr>
          <w:rFonts w:ascii="Times New Roman" w:cs="Times New Roman" w:eastAsia="Times New Roman" w:hAnsi="Times New Roman"/>
          <w:sz w:val="18"/>
          <w:szCs w:val="18"/>
          <w:color w:val="auto"/>
        </w:rPr>
      </w:pPr>
    </w:p>
    <w:p>
      <w:pPr>
        <w:ind w:left="1040" w:right="60" w:hanging="384"/>
        <w:spacing w:after="0" w:line="282" w:lineRule="auto"/>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competitive products, technologies or treatment techniques and the rate of their acceptance as compared to our insulin pump products;</w:t>
      </w:r>
    </w:p>
    <w:p>
      <w:pPr>
        <w:spacing w:after="0" w:line="161" w:lineRule="exact"/>
        <w:rPr>
          <w:rFonts w:ascii="Times New Roman" w:cs="Times New Roman" w:eastAsia="Times New Roman" w:hAnsi="Times New Roman"/>
          <w:sz w:val="18"/>
          <w:szCs w:val="18"/>
          <w:color w:val="auto"/>
        </w:rPr>
      </w:pPr>
    </w:p>
    <w:p>
      <w:pPr>
        <w:ind w:left="1040" w:right="240" w:hanging="384"/>
        <w:spacing w:after="0" w:line="282" w:lineRule="auto"/>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discounts, rebates and other financial incentives that our competitors may offer for competitive products that make them more attractive than our products; and</w:t>
      </w:r>
    </w:p>
    <w:p>
      <w:pPr>
        <w:spacing w:after="0" w:line="161"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studies relating to our existing products or products under development or similar competitive products.</w:t>
      </w:r>
    </w:p>
    <w:p>
      <w:pPr>
        <w:spacing w:after="0" w:line="225" w:lineRule="exact"/>
        <w:rPr>
          <w:sz w:val="20"/>
          <w:szCs w:val="20"/>
          <w:color w:val="auto"/>
        </w:rPr>
      </w:pPr>
    </w:p>
    <w:p>
      <w:pPr>
        <w:ind w:right="80" w:firstLine="518"/>
        <w:spacing w:after="0" w:line="255" w:lineRule="auto"/>
        <w:rPr>
          <w:sz w:val="20"/>
          <w:szCs w:val="20"/>
          <w:color w:val="auto"/>
        </w:rPr>
      </w:pPr>
      <w:r>
        <w:rPr>
          <w:rFonts w:ascii="Times New Roman" w:cs="Times New Roman" w:eastAsia="Times New Roman" w:hAnsi="Times New Roman"/>
          <w:sz w:val="18"/>
          <w:szCs w:val="18"/>
          <w:color w:val="auto"/>
        </w:rPr>
        <w:t>In addition, even if we are able to convince people with insulin-dependent diabetes, their caregivers or healthcare providers that our products compare favorably to the products and treatment alternatives offered by our competitors, negative perceptions regarding our financial stability relative to that of our competitors, and our ability to sustain our business operations on a long-term basis, especially in light of our recent and projected financial results, recent changes in and volatility of our stock price, concerns regarding our ability to maintain the continued listing of our common stock on NASDAQ, perceptions about the recent completion of a public offering of our common stock, our current level of indebtedness and debt service costs, and our conclusion that there is substantial doubt about our ability to continue as a going concern, could cause consumers to delay the purchase of our products or to purchase competitive products.</w:t>
      </w:r>
    </w:p>
    <w:p>
      <w:pPr>
        <w:spacing w:after="0" w:line="189"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Furthermore, the rapid evolution of technology and treatment options within our industry may cause consumers to delay the purchase of our products in anticipation of advancements, or the perception that advancements could occur, in our products or the products offered by our competitors. For example, we believe that during the second half of 2016, consumers interested in purchasing our insulin pump products may have delayed or changed their purchasing decisions in anticipation of the release of a new product by one of our competitors. It is also possible that consumers interested in purchasing any of our future products currently under development may delay the purchase of one of our current products.</w:t>
      </w:r>
    </w:p>
    <w:p>
      <w:pPr>
        <w:spacing w:after="0" w:line="184" w:lineRule="exact"/>
        <w:rPr>
          <w:sz w:val="20"/>
          <w:szCs w:val="20"/>
          <w:color w:val="auto"/>
        </w:rPr>
      </w:pPr>
    </w:p>
    <w:p>
      <w:pPr>
        <w:ind w:right="80" w:firstLine="518"/>
        <w:spacing w:after="0" w:line="266" w:lineRule="auto"/>
        <w:rPr>
          <w:sz w:val="20"/>
          <w:szCs w:val="20"/>
          <w:color w:val="auto"/>
        </w:rPr>
      </w:pPr>
      <w:r>
        <w:rPr>
          <w:rFonts w:ascii="Times New Roman" w:cs="Times New Roman" w:eastAsia="Times New Roman" w:hAnsi="Times New Roman"/>
          <w:sz w:val="18"/>
          <w:szCs w:val="18"/>
          <w:color w:val="auto"/>
        </w:rPr>
        <w:t>If our insulin pump products do not achieve and maintain widespread market acceptance, we may fail to achieve sales at or above our projected amounts. If our sales do not meet our sales projections, our business, financial condition and operating results could be materially and adversely affected, and we may fail to meet our strategic objectives.</w:t>
      </w:r>
    </w:p>
    <w:p>
      <w:pPr>
        <w:spacing w:after="0" w:line="172"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secure or retain adequate coverage or reimbursement for our current products and our potential future products by third-party payors could adversely affect our business, financial condition and operating results.</w:t>
      </w:r>
    </w:p>
    <w:p>
      <w:pPr>
        <w:spacing w:after="0" w:line="159"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We have derived nearly all of our revenue from sales of insulin pumps and associated supplies and expect to continue to do so. A substantial portion of the purchase price of an insulin pump is typically paid for by third-party payors, including private insurance companies, preferred provider organizations and other managed care providers. Future sales of our current and future products will be limited unless our customers can rely on third-party payors to pay for all or part of the associated purchase cost. Access to adequate coverage and reimbursement for our current and future products by third-party payors is essential to the acceptance of our products by customers.</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4" w:name="page35"/>
    <w:bookmarkEnd w:id="34"/>
    <w:p>
      <w:pPr>
        <w:ind w:firstLine="518"/>
        <w:spacing w:after="0" w:line="270" w:lineRule="auto"/>
        <w:rPr>
          <w:sz w:val="20"/>
          <w:szCs w:val="20"/>
          <w:color w:val="auto"/>
        </w:rPr>
      </w:pPr>
      <w:r>
        <w:rPr>
          <w:rFonts w:ascii="Times New Roman" w:cs="Times New Roman" w:eastAsia="Times New Roman" w:hAnsi="Times New Roman"/>
          <w:sz w:val="17"/>
          <w:szCs w:val="17"/>
          <w:color w:val="auto"/>
        </w:rPr>
        <w:t>As guidelines in setting their coverage and reimbursement policies, many third-party payors use coverage decisions and payment amounts determined by the Centers for Medicare and Medicaid Services, or CMS, which administers the U.S. Medicare program. Medicare periodically reviews its reimbursement practices for diabetes-related products. Medicare previously implemented a competitive bidding process for blood glucose strip reimbursement, which resulted in a significant reduction in the reimbursement rate for those products. More recently, in 2017, Medicare announced, and then shortly thereafter suspended, a competitive bidding process for insulin pumps. As a result, there is uncertainty as to the future Medicare reimbursement rate for our products. In addition, those third-party payors that do not follow the CMS guidelines may adopt different coverage and reimbursement policies for our current and future products. It is possible that some third-party payors will not offer any coverage for our current or future products. For instance, effective July 1, 2016, UnitedHealthcare designated one of our competitors as their preferred, in-network durable medical equipment provider of insulin pumps for most customers over the age of 18. We expect this decision will prevent a majority of UnitedHealthcare members from purchasing an insulin pump from us for the foreseeable future. It is possible that other third-party payors may adopt similar policies in the future, which would adversely impact our ability to sell our products.</w:t>
      </w:r>
    </w:p>
    <w:p>
      <w:pPr>
        <w:spacing w:after="0" w:line="178" w:lineRule="exact"/>
        <w:rPr>
          <w:sz w:val="20"/>
          <w:szCs w:val="20"/>
          <w:color w:val="auto"/>
        </w:rPr>
      </w:pPr>
    </w:p>
    <w:p>
      <w:pPr>
        <w:ind w:right="40" w:firstLine="518"/>
        <w:spacing w:after="0" w:line="253" w:lineRule="auto"/>
        <w:rPr>
          <w:sz w:val="20"/>
          <w:szCs w:val="20"/>
          <w:color w:val="auto"/>
        </w:rPr>
      </w:pPr>
      <w:r>
        <w:rPr>
          <w:rFonts w:ascii="Times New Roman" w:cs="Times New Roman" w:eastAsia="Times New Roman" w:hAnsi="Times New Roman"/>
          <w:sz w:val="18"/>
          <w:szCs w:val="18"/>
          <w:color w:val="auto"/>
        </w:rPr>
        <w:t>We currently have contracts establishing reimbursement for our insulin pump products with approximately 150 national and regional third-party payors in the United States. While we anticipate entering into additional contracts with third-party payors and adding coverage for future products under our current agreements, we cannot guarantee that we will succeed in doing so or that the reimbursement contracts that we are able to negotiate will enable us to sell our products on a profitable basis. In particular, any negative perceptions among third-party payors regarding our financial stability and our ability to continue to sell and service our products, may make it more difficult to enter into contracts for reimbursement with additional third-party payors. This may be especially true in light of the fact that our management believes that we do not have sufficient cash to fund our operations for the next twelve months without additional financing, and the conclusion that there is substantial doubt about our ability to continue as a going concern. In addition, existing contracts with third-party payors generally can be modified or terminated by the third-party payor without cause and with little or no notice to us. Moreover, compliance with the administrative procedures or requirements of third-party payors may result in delays in processing approvals by those third-party payors for customers to obtain coverage for our products. Failure to secure or retain adequate coverage or reimbursement for our current and future products by third-party payors, or delays in processing approvals by those payors, could result in the loss of sales, which could have a material adverse effect on our business, financial condition and operating results.</w:t>
      </w:r>
    </w:p>
    <w:p>
      <w:pPr>
        <w:spacing w:after="0" w:line="191"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Further, the healthcare industry in the United States is increasingly focused on cost containment as government and private insurers seek to control healthcare costs by imposing lower payment rates and negotiating reduced contract rates with third-party payors. If third-party payors deny coverage or reduce their current levels of payment, or if our production costs increase faster than increases in reimbursement levels, we may be unable to sell our products on a profitable basis.</w:t>
      </w:r>
    </w:p>
    <w:p>
      <w:pPr>
        <w:spacing w:after="0" w:line="176"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Competitive products or other technological developments and breakthroughs for the monitoring, treatment or prevention of diabetes may render our products obsolete or less desirable.</w:t>
      </w:r>
    </w:p>
    <w:p>
      <w:pPr>
        <w:spacing w:after="0" w:line="159"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Our ability to achieve our strategic objectives will depend, among other things, on our ability to develop and commercialize products for the treatment of diabetes that offer distinct features and functionality, are easy-to-use, receive adequate coverage and reimbursement from third-party payors, and are more appealing than available alternatives. Our primary competitors, as well as a number of other companies, medical researchers and pharmaceutical companies are pursuing new delivery devices, delivery technologies, sensing technologies, procedures, drugs and other therapies for the monitoring, treatment and prevention of diabetes. Any technological breakthroughs in diabetes monitoring, treatment or prevention could reduce the potential market for our products or render our products obsolete altogether, which would significantly reduce our sales or cause our sales to grow at a slower rate than we currently expect. In addition, even the perception that new products may be introduced, or that technological or treatment advancements could occur, could cause consumers to delay the purchase of our products.</w:t>
      </w:r>
    </w:p>
    <w:p>
      <w:pPr>
        <w:spacing w:after="0" w:line="185" w:lineRule="exact"/>
        <w:rPr>
          <w:sz w:val="20"/>
          <w:szCs w:val="20"/>
          <w:color w:val="auto"/>
        </w:rPr>
      </w:pPr>
    </w:p>
    <w:p>
      <w:pPr>
        <w:ind w:right="140" w:firstLine="518"/>
        <w:spacing w:after="0" w:line="255" w:lineRule="auto"/>
        <w:rPr>
          <w:sz w:val="20"/>
          <w:szCs w:val="20"/>
          <w:color w:val="auto"/>
        </w:rPr>
      </w:pPr>
      <w:r>
        <w:rPr>
          <w:rFonts w:ascii="Times New Roman" w:cs="Times New Roman" w:eastAsia="Times New Roman" w:hAnsi="Times New Roman"/>
          <w:sz w:val="18"/>
          <w:szCs w:val="18"/>
          <w:color w:val="auto"/>
        </w:rPr>
        <w:t>Because the insulin-dependent diabetes market is large and growing, we anticipate that companies will continue to dedicate significant resources to developing competitive products. The frequent introduction by competitors of products that are or claim to be superior to our products may create market confusion that may make it difficult to differentiate the benefits of our products over competitive products. In addition, some of our competitors employ aggressive pricing strategies, including the use of discounts, rebates, low cost product upgrades or other financial incentives that could adversely affect sales of our products. If a competitor develops a product that competes with or is perceived to be superior to our products, or if competitors continue to utilize strategies that place downward pressure on pricing within our industry, our sales may decline, our operating margins could be reduced and we may fail to meet our projections, which would materially and adversely affect our business, financial condition and operating results.</w:t>
      </w:r>
    </w:p>
    <w:p>
      <w:pPr>
        <w:spacing w:after="0" w:line="189" w:lineRule="exact"/>
        <w:rPr>
          <w:sz w:val="20"/>
          <w:szCs w:val="20"/>
          <w:color w:val="auto"/>
        </w:rPr>
      </w:pPr>
    </w:p>
    <w:p>
      <w:pPr>
        <w:ind w:right="380" w:firstLine="518"/>
        <w:spacing w:after="0" w:line="258" w:lineRule="auto"/>
        <w:rPr>
          <w:sz w:val="20"/>
          <w:szCs w:val="20"/>
          <w:color w:val="auto"/>
        </w:rPr>
      </w:pPr>
      <w:r>
        <w:rPr>
          <w:rFonts w:ascii="Times New Roman" w:cs="Times New Roman" w:eastAsia="Times New Roman" w:hAnsi="Times New Roman"/>
          <w:sz w:val="18"/>
          <w:szCs w:val="18"/>
          <w:color w:val="auto"/>
        </w:rPr>
        <w:t>Moreover, we have designed our products to resemble modern consumer electronic devices to address certain embarrassment and functionality concerns consumers have raised with respect to traditional pumps. The consumer electronics industry is itself highly competitive, and characterized by continuous new product introductions, rapid developments in technology, and subjective and changing consumer preferences. If, in the future, consumers cease to view our products as contemporary or convenient as compared to then-existing consumer electronics technology, our products may become less desirable.</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5" w:name="page36"/>
    <w:bookmarkEnd w:id="35"/>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face unexpected challenges in marketing, selling and training new customers on the use of our products, which could harm our ability to achieve our sales and service objectives.</w:t>
      </w:r>
    </w:p>
    <w:p>
      <w:pPr>
        <w:spacing w:after="0" w:line="159"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We have only limited experience marketing and selling our products as well as training new customers on their use. In addition, the vast majority of our existing customers are individuals with type 1 diabetes, and we have only limited experience marketing and selling our products to customers with type 2 diabetes. As a result, we may face unexpected challenges marketing and selling t:flex, which is designed to meet the needs of customers with type 2 diabetes and/or higher insulin requirements.</w:t>
      </w:r>
    </w:p>
    <w:p>
      <w:pPr>
        <w:spacing w:after="0" w:line="180"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We expect to derive nearly all of our revenue from the sale of t:slim X2, t:flex, and t:slim G4 Pumps and pump-related supplies unless and until we receive regulatory clearance or approval for other products currently under development. As a result, our financial condition and operating results are and will continue to be highly dependent on the ability of our sales and marketing organization to adequately promote, market and sell our insulin pumps and related products, and the ability of our diabetes educators to train new customers on the use of our products. If our sales and marketing representatives or diabetes educators fail to achieve their objectives, our sales could decrease or may not increase at levels that are in line with our forecasts.</w:t>
      </w:r>
    </w:p>
    <w:p>
      <w:pPr>
        <w:spacing w:after="0" w:line="180"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maintain our existing sales, marketing, clinical and customer service infrastructure, we may fail to increase our sales to meet our forecasts.</w:t>
      </w:r>
    </w:p>
    <w:p>
      <w:pPr>
        <w:spacing w:after="0" w:line="159" w:lineRule="exact"/>
        <w:rPr>
          <w:sz w:val="20"/>
          <w:szCs w:val="20"/>
          <w:color w:val="auto"/>
        </w:rPr>
      </w:pPr>
    </w:p>
    <w:p>
      <w:pPr>
        <w:ind w:right="40" w:firstLine="518"/>
        <w:spacing w:after="0" w:line="253" w:lineRule="auto"/>
        <w:rPr>
          <w:sz w:val="20"/>
          <w:szCs w:val="20"/>
          <w:color w:val="auto"/>
        </w:rPr>
      </w:pPr>
      <w:r>
        <w:rPr>
          <w:rFonts w:ascii="Times New Roman" w:cs="Times New Roman" w:eastAsia="Times New Roman" w:hAnsi="Times New Roman"/>
          <w:sz w:val="18"/>
          <w:szCs w:val="18"/>
          <w:color w:val="auto"/>
        </w:rPr>
        <w:t>A key element of our business strategy is the ability of our sales, clinical, marketing and customer service infrastructure to drive adoption of our products, which includes independent diabetes educators that train new customers on the use of our products. We have rapidly increased the number of sales, marketing, clinical and customer service personnel employed by us since the initial commercial launch of t:slim in 2012. However, we have faced considerable challenges in growing and managing these resources, including with respect to recruiting, training and assimilation of new territories and accounts. We expect to continue to face significant challenges as we manage and grow our infrastructure in the future and work to motivate and retain the individuals who make up our existing infrastructure. These challenges may be even greater in light of negative perceptions regarding our financial stability, and the recent decline in our stock price, which may make it more difficult to motivate and retain key personnel. Unexpected turnover among our sales, marketing, clinical and customer service personnel would have a negative impact on our ability to achieve our sales projections. Further, if a sales, marketing or clinical representative was to depart and be retained by one of our competitors, we may fail to prevent him or her from helping competitors solicit business from our existing customers, which could adversely affect our sales. Similarly, if we are not able to recruit and retain a network of diabetes educators and customer service personnel, we may not be able to successfully train and service new customers, which could delay new sales and harm our reputation.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1909445</wp:posOffset>
            </wp:positionH>
            <wp:positionV relativeFrom="paragraph">
              <wp:posOffset>-208280</wp:posOffset>
            </wp:positionV>
            <wp:extent cx="2857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73" w:lineRule="exact"/>
        <w:rPr>
          <w:sz w:val="20"/>
          <w:szCs w:val="20"/>
          <w:color w:val="auto"/>
        </w:rPr>
      </w:pPr>
    </w:p>
    <w:p>
      <w:pPr>
        <w:ind w:right="200" w:firstLine="518"/>
        <w:spacing w:after="0" w:line="261" w:lineRule="auto"/>
        <w:rPr>
          <w:sz w:val="20"/>
          <w:szCs w:val="20"/>
          <w:color w:val="auto"/>
        </w:rPr>
      </w:pPr>
      <w:r>
        <w:rPr>
          <w:rFonts w:ascii="Times New Roman" w:cs="Times New Roman" w:eastAsia="Times New Roman" w:hAnsi="Times New Roman"/>
          <w:sz w:val="18"/>
          <w:szCs w:val="18"/>
          <w:color w:val="auto"/>
        </w:rPr>
        <w:t>We expect that the management of our sales, marketing, clinical and customer service personnel will continue to place significant burdens on our management team. If we are unable to retain our personnel in line with our strategic plans, we may not be able to effectively commercialize our existing products or products under development, or enhance the strength of our brand, either of which could result in the failure of our sales to increase in line with our projections or could even cause sales to decline.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bookmarkStart w:id="36" w:name="page37"/>
    <w:bookmarkEnd w:id="36"/>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sales and marketing efforts are dependent on independent distributors who are free to market products that compete with our products. If we are unable to maintain or expand our network of independent distributors, our sales may be negatively affected.</w:t>
      </w:r>
    </w:p>
    <w:p>
      <w:pPr>
        <w:spacing w:after="0" w:line="159" w:lineRule="exact"/>
        <w:rPr>
          <w:sz w:val="20"/>
          <w:szCs w:val="20"/>
          <w:color w:val="auto"/>
        </w:rPr>
      </w:pPr>
    </w:p>
    <w:p>
      <w:pPr>
        <w:ind w:right="20" w:firstLine="518"/>
        <w:spacing w:after="0" w:line="252" w:lineRule="auto"/>
        <w:rPr>
          <w:sz w:val="20"/>
          <w:szCs w:val="20"/>
          <w:color w:val="auto"/>
        </w:rPr>
      </w:pPr>
      <w:r>
        <w:rPr>
          <w:rFonts w:ascii="Times New Roman" w:cs="Times New Roman" w:eastAsia="Times New Roman" w:hAnsi="Times New Roman"/>
          <w:sz w:val="18"/>
          <w:szCs w:val="18"/>
          <w:color w:val="auto"/>
        </w:rPr>
        <w:t>For the year ended December 31, 2016, sales to approximately 40 independent distributors represented approximately 74% of our sales. While our goal is to ultimately reduce the percentage of our sales to independent distributors over time as we enter into contracts with additional third-party payors, we believe that a meaningful percentage of our sales will continue to be to independent distributors for the foreseeable future, and it is possible that the percentage of our sales to independent distributors could even increase in the near term. For example, our dependence upon independent distributors could increase if third-party payors decide to contract with independent distributors directly in lieu of contracting with us to supply our products to their members directly. Our dependence upon independent distributors is also expected to increase following our launch of the t:lock Connector for our insulin cartridge, which we expect will result in greater sales of our infusion sets to distributors. Our dependence upon independent distributors could also increase if customers prefer to purchase all of their diabetes supplies through a single source, instead of purchasing pump-related products through us and other diabetes supplies through other suppliers. However, our conclusion that, unless we successfully raise additional capital, there is substantial doubt about our ability to continue as a going concern, together with the inclusion of an explanatory paragraph that describes conditions that raise substantial doubt about our ability to continue as a going concern in our independent registered public accounting firm’s report contained in our financial statements for the year ended December 31, 2016, may negatively impact one or more of our distributors’ interest in continuing to do business with us. None of our independent distributors has been required to sell our products exclusively and each of them may freely sell the products of our competitors. Our distributor agreements generally have one-year initial terms with automatic one-year renewal terms, and are terminable in connection with a party’s material breach. If we are unable to maintain or expand our network of independent distributors, our sales may be negatively affected.</w:t>
      </w:r>
    </w:p>
    <w:p>
      <w:pPr>
        <w:spacing w:after="0" w:line="197" w:lineRule="exact"/>
        <w:rPr>
          <w:sz w:val="20"/>
          <w:szCs w:val="20"/>
          <w:color w:val="auto"/>
        </w:rPr>
      </w:pPr>
    </w:p>
    <w:p>
      <w:pPr>
        <w:ind w:right="120" w:firstLine="518"/>
        <w:spacing w:after="0" w:line="255" w:lineRule="auto"/>
        <w:rPr>
          <w:sz w:val="20"/>
          <w:szCs w:val="20"/>
          <w:color w:val="auto"/>
        </w:rPr>
      </w:pPr>
      <w:r>
        <w:rPr>
          <w:rFonts w:ascii="Times New Roman" w:cs="Times New Roman" w:eastAsia="Times New Roman" w:hAnsi="Times New Roman"/>
          <w:sz w:val="18"/>
          <w:szCs w:val="18"/>
          <w:color w:val="auto"/>
        </w:rPr>
        <w:t>For the year ended December 31, 2016, our two largest independent distributors collectively comprised approximately 33% of our sales. If any of our key independent distributors were to cease to distribute our products or reduce their promotion of our products as compared to the products of our competitors, our sales could be adversely affected. In such a situation, we may need to seek alternative independent distributors or increase our reliance on our other independent distributors or our direct sales representatives, which may not prevent our sales from being adversely affected. Additionally, to the extent that we enter into additional arrangements with independent distributors to perform sales, marketing or distribution services, or other arrangements pursuant to which independent distributors may purchase product from us, the terms of the arrangements could cause our product margins to be lower than if we directly marketed and sold our products.</w:t>
      </w:r>
    </w:p>
    <w:p>
      <w:pPr>
        <w:spacing w:after="0" w:line="18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third parties on which we increasingly rely to assist us with our current and anticipated pre-clinical development or clinical trials do not perform as expected, we may not be able to obtain regulatory clearance or approval or commercialize our products.</w:t>
      </w:r>
    </w:p>
    <w:p>
      <w:pPr>
        <w:spacing w:after="0" w:line="159" w:lineRule="exact"/>
        <w:rPr>
          <w:sz w:val="20"/>
          <w:szCs w:val="20"/>
          <w:color w:val="auto"/>
        </w:rPr>
      </w:pPr>
    </w:p>
    <w:p>
      <w:pPr>
        <w:ind w:firstLine="571"/>
        <w:spacing w:after="0" w:line="253" w:lineRule="auto"/>
        <w:rPr>
          <w:sz w:val="20"/>
          <w:szCs w:val="20"/>
          <w:color w:val="auto"/>
        </w:rPr>
      </w:pPr>
      <w:r>
        <w:rPr>
          <w:rFonts w:ascii="Times New Roman" w:cs="Times New Roman" w:eastAsia="Times New Roman" w:hAnsi="Times New Roman"/>
          <w:sz w:val="18"/>
          <w:szCs w:val="18"/>
          <w:color w:val="auto"/>
        </w:rPr>
        <w:t>As our clinical infrastructure expands, we expect to increasingly rely on third parties, such as contract research organizations, medical institutions, clinical investigators and contract laboratories to conduct some of our current and anticipated pre-clinical investigations and clinical trials. If we are not able to contract with or reach other mutually acceptable agreements with these third parties on a timely basis or on mutually acceptable terms, or these third parties do not successfully carry out their commitments or regulatory obligations or meet expected deadlines, or the quality or accuracy of the data they obtain is compromised due to the failure to adhere to agreed upon clinical protocols or regulatory requirements or for other reasons, our pre-clinical development activities or clinical trials may be extended, delayed, suspended or terminated, and we may not be able to obtain regulatory approval for, or successfully commercialize, our products on a timely basis, if at all, and our business, operating results and prospects may be adversely affected. In particular, we currently expect to rely on data from the IDCL Trial to support our development of t:slim X2 with TypeZero inControl AID algorithms. The IDCL Trial is being conducted entirely by third parties over which we have little or no control or influence. In the event that the IDCL Trial is not performed on a timely basis, or if the quality or accuracy of the data obtained from the IDCL Trial is compromised due to the failure to adhere to clinical protocols or regulatory requirements or for other reasons, our development activities for t:slim X2 with TypeZero may be negatively impacted.</w:t>
      </w:r>
    </w:p>
    <w:p>
      <w:pPr>
        <w:spacing w:after="0" w:line="189"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increasingly dependent on clinical investigators and clinical sites to enroll patients in our current and anticipated clinical trials, and the failure to successfully complete the clinical trials could prevent us from obtaining regulatory approvals for or commercializing our products.</w:t>
      </w:r>
    </w:p>
    <w:p>
      <w:pPr>
        <w:spacing w:after="0" w:line="159" w:lineRule="exact"/>
        <w:rPr>
          <w:sz w:val="20"/>
          <w:szCs w:val="20"/>
          <w:color w:val="auto"/>
        </w:rPr>
      </w:pPr>
    </w:p>
    <w:p>
      <w:pPr>
        <w:ind w:right="40" w:firstLine="571"/>
        <w:spacing w:after="0" w:line="255" w:lineRule="auto"/>
        <w:rPr>
          <w:sz w:val="20"/>
          <w:szCs w:val="20"/>
          <w:color w:val="auto"/>
        </w:rPr>
      </w:pPr>
      <w:r>
        <w:rPr>
          <w:rFonts w:ascii="Times New Roman" w:cs="Times New Roman" w:eastAsia="Times New Roman" w:hAnsi="Times New Roman"/>
          <w:sz w:val="18"/>
          <w:szCs w:val="18"/>
          <w:color w:val="auto"/>
        </w:rPr>
        <w:t>As part of our product development efforts, we expect to increasingly rely on clinical investigators and clinical sites to enroll patients in our clinical trials and other third parties to manage such trials and to perform related data collection and analysis. However, we may not be able to control the amount and timing of resources that clinical sites may devote to our clinical trials, especially with respect to the IDCL Trial that we intend to rely upon for the development of t:slim X2 with TypeZero. If these clinical investigators and clinical sites fail to enroll a sufficient number of patients, fail to ensure compliance by patients with clinical protocols, or fail to comply with regulatory requirements, we may be unable to successfully complete our clinical trials, which could prevent us from obtaining regulatory approvals for our products and commercializing our products, which would have an adverse impact on our business.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maintain and grow our revenue depends in part on retaining a high percentage of our customer base.</w:t>
      </w:r>
    </w:p>
    <w:p>
      <w:pPr>
        <w:spacing w:after="0" w:line="229"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A key to maintaining and growing our revenue is the retention of a high percentage of our customers due to the potentially significant revenue generated from ongoing purchases of disposable insulin cartridges and other supplies. In addition, our pumps are designed and tested to remain effective for at least four years and a satisfied customer may consider purchasing another product from us when the time comes to replace the pump. We have developed retention programs aimed at customers, their caregivers and healthcare providers, which include training specific to our products, ongoing support by sales and clinical employees, and 24/7 technical support and customer service. If demand for our products fluctuates, including as a result of the introduction of competitive products, changes in reimbursement policies, manufacturing problems, perceived safety or reliability issues with our or our competitors’ products, the failure to secure regulatory clearance or approvals, or for other reasons, our ability to attract and retain customers could be harmed. In addition, the retention of current customers may be impacted by negative perceptions regarding our financial stability relative to that of our competitors, and our ability to sustain our business operations on a long-term basis. The failure to retain a high percentage of our customers would negatively impact our revenue growth and may have a material adverse effect on our business, financial condition and operating results.</w:t>
      </w:r>
    </w:p>
    <w:p>
      <w:pPr>
        <w:spacing w:after="0" w:line="182"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important assumptions about the potential market for our products are inaccurate, or if we have failed to understand what people with insulin-dependent diabetes are seeking in an insulin pump, our business and operating results may be adversely affected.</w:t>
      </w:r>
    </w:p>
    <w:p>
      <w:pPr>
        <w:spacing w:after="0" w:line="159"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Our business strategy was developed based on a number of important assumptions about the diabetes industry in general, and the insulin-dependent diabetes market in particular, any one or more of which may prove to be inaccurate or may change over time. For example, we believe that the benefits of insulin pump therapy as compared to other common insulin treatment alternatives will continue to drive growth in the market for insulin pump therapy. In addition, we believe the incidence of diabetes in the United States and worldwide is increasing. However, each of these assumptions may prove to be inaccurate and limited sources exist to compare treatment alternatives and obtain reliable market data. The actual incidence of diabetes, and the actual demand for our products or competitive products, could differ materially from our projections if our assumptions are incorrect. In addition, our strategy of focusing exclusively on the insulin-dependent diabetes market may limit our ability to increase sales or achieve profitability.</w:t>
      </w:r>
    </w:p>
    <w:p>
      <w:pPr>
        <w:spacing w:after="0" w:line="189" w:lineRule="exact"/>
        <w:rPr>
          <w:sz w:val="20"/>
          <w:szCs w:val="20"/>
          <w:color w:val="auto"/>
        </w:rPr>
      </w:pPr>
    </w:p>
    <w:p>
      <w:pPr>
        <w:ind w:right="20" w:firstLine="518"/>
        <w:spacing w:after="0" w:line="254" w:lineRule="auto"/>
        <w:rPr>
          <w:sz w:val="20"/>
          <w:szCs w:val="20"/>
          <w:color w:val="auto"/>
        </w:rPr>
      </w:pPr>
      <w:r>
        <w:rPr>
          <w:rFonts w:ascii="Times New Roman" w:cs="Times New Roman" w:eastAsia="Times New Roman" w:hAnsi="Times New Roman"/>
          <w:sz w:val="18"/>
          <w:szCs w:val="18"/>
          <w:color w:val="auto"/>
        </w:rPr>
        <w:t>Another key element of our business strategy is utilizing market research to understand what people with diabetes are seeking to improve their diabetes therapy management. This strategy underlies our entire product design, marketing and customer support approach and is the basis on which we developed our current products and are pursuing the development of new products. However, our market research is based on interviews, focus groups and online surveys involving people with insulin-dependent diabetes, their caregivers and healthcare providers that represent only a small percentage of the overall insulin-dependent diabetes market. As a result, the responses we received may not be reflective of the broader market and may not provide us accurate insight into the desires of people with insulin-dependent diabetes. In addition, understanding the meaning and significance of the responses received during our market research necessarily requires that analysis be conducted and conclusions be drawn. We may not be able perform an analysis that yields meaningful results, or the conclusions we draw from the analysis could be misleading or incorrect. Moreover, even if our market research has allowed us to better understand the features and functionality consumers are seeking in an insulin pump to improve management of their diabetes therapy, there can be no assurance that consumers will actually purchase our products or that our competitors will not develop products with similar features.</w:t>
      </w:r>
    </w:p>
    <w:p>
      <w:pPr>
        <w:spacing w:after="0" w:line="182"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upon which to evaluate our business and forecast our future sales and operating results and may face difficulties frequently encountered by companies early in their commercialization in competitive and rapidly-evolving markets.</w:t>
      </w:r>
    </w:p>
    <w:p>
      <w:pPr>
        <w:spacing w:after="0" w:line="159"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We commenced operations in 2006, and began commercial sales of t:slim in the third quarter of 2012, of t:flex in the second quarter of 2015 and of t:slim G4 in the third quarter of 2015. Accordingly, we have a limited operating history upon which to evaluate our business and forecast our future sales and operating results. More recently, our launch of t:slim X2, our adoption of the Technology Upgrade Program, the future availability of t:slim X2 with G5 and the transition to our t:lock Connector, the FDA approval and launch of new products by one of our competitors, and the use of aggressive pricing strategies by our competitors combine to make forecasting our future sales and operating results even more challenging. In assessing our business prospects, you should consider the various risks and difficulties frequently encountered by companies early in their commercialization history in competitive and rapidly evolving markets, particularly companies that develop and sell medical devices. These risks include our ability to:</w:t>
      </w:r>
    </w:p>
    <w:p>
      <w:pPr>
        <w:spacing w:after="0" w:line="189" w:lineRule="exact"/>
        <w:rPr>
          <w:sz w:val="20"/>
          <w:szCs w:val="20"/>
          <w:color w:val="auto"/>
        </w:rPr>
      </w:pPr>
    </w:p>
    <w:p>
      <w:pPr>
        <w:ind w:left="1140" w:hanging="376"/>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and execute our business strategy;</w:t>
      </w:r>
    </w:p>
    <w:p>
      <w:pPr>
        <w:spacing w:after="0" w:line="225" w:lineRule="exact"/>
        <w:rPr>
          <w:rFonts w:ascii="Times New Roman" w:cs="Times New Roman" w:eastAsia="Times New Roman" w:hAnsi="Times New Roman"/>
          <w:sz w:val="18"/>
          <w:szCs w:val="18"/>
          <w:color w:val="auto"/>
        </w:rPr>
      </w:pPr>
    </w:p>
    <w:p>
      <w:pPr>
        <w:ind w:left="1140" w:hanging="376"/>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and improve the productivity of our sales, clinical and marketing infrastructure to grow sales of our existing and proposed products;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38" w:name="page39"/>
    <w:bookmarkEnd w:id="38"/>
    <w:p>
      <w:pPr>
        <w:ind w:left="1140" w:hanging="376"/>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awareness of our brand and build loyalty among people with insulin-dependent diabetes, their caregivers and healthcare providers;</w:t>
      </w:r>
    </w:p>
    <w:p>
      <w:pPr>
        <w:spacing w:after="0" w:line="225" w:lineRule="exact"/>
        <w:rPr>
          <w:rFonts w:ascii="Times New Roman" w:cs="Times New Roman" w:eastAsia="Times New Roman" w:hAnsi="Times New Roman"/>
          <w:sz w:val="18"/>
          <w:szCs w:val="18"/>
          <w:color w:val="auto"/>
        </w:rPr>
      </w:pPr>
    </w:p>
    <w:p>
      <w:pPr>
        <w:ind w:left="1140" w:hanging="376"/>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commercial operations, including complying with a broad range of legal requirements within a highly regulated industry;</w:t>
      </w:r>
    </w:p>
    <w:p>
      <w:pPr>
        <w:spacing w:after="0" w:line="225" w:lineRule="exact"/>
        <w:rPr>
          <w:rFonts w:ascii="Times New Roman" w:cs="Times New Roman" w:eastAsia="Times New Roman" w:hAnsi="Times New Roman"/>
          <w:sz w:val="18"/>
          <w:szCs w:val="18"/>
          <w:color w:val="auto"/>
        </w:rPr>
      </w:pPr>
    </w:p>
    <w:p>
      <w:pPr>
        <w:ind w:left="1140" w:right="20" w:hanging="376"/>
        <w:spacing w:after="0" w:line="282" w:lineRule="auto"/>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manufacturing capabilities, including increasing production of current products efficiently while maintaining quality standards and adapting our manufacturing facilities to the production of new products;</w:t>
      </w:r>
    </w:p>
    <w:p>
      <w:pPr>
        <w:spacing w:after="0" w:line="161" w:lineRule="exact"/>
        <w:rPr>
          <w:rFonts w:ascii="Times New Roman" w:cs="Times New Roman" w:eastAsia="Times New Roman" w:hAnsi="Times New Roman"/>
          <w:sz w:val="18"/>
          <w:szCs w:val="18"/>
          <w:color w:val="auto"/>
        </w:rPr>
      </w:pPr>
    </w:p>
    <w:p>
      <w:pPr>
        <w:ind w:left="1140" w:hanging="376"/>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effectively to competitive pressures and developments;</w:t>
      </w:r>
    </w:p>
    <w:p>
      <w:pPr>
        <w:spacing w:after="0" w:line="225" w:lineRule="exact"/>
        <w:rPr>
          <w:rFonts w:ascii="Times New Roman" w:cs="Times New Roman" w:eastAsia="Times New Roman" w:hAnsi="Times New Roman"/>
          <w:sz w:val="18"/>
          <w:szCs w:val="18"/>
          <w:color w:val="auto"/>
        </w:rPr>
      </w:pPr>
    </w:p>
    <w:p>
      <w:pPr>
        <w:ind w:left="1140" w:hanging="376"/>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our existing products and develop proposed products;</w:t>
      </w:r>
    </w:p>
    <w:p>
      <w:pPr>
        <w:spacing w:after="0" w:line="225" w:lineRule="exact"/>
        <w:rPr>
          <w:rFonts w:ascii="Times New Roman" w:cs="Times New Roman" w:eastAsia="Times New Roman" w:hAnsi="Times New Roman"/>
          <w:sz w:val="18"/>
          <w:szCs w:val="18"/>
          <w:color w:val="auto"/>
        </w:rPr>
      </w:pPr>
    </w:p>
    <w:p>
      <w:pPr>
        <w:ind w:left="1140" w:hanging="376"/>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regulatory clearance or approval to enhance our existing products and commercialize proposed products;</w:t>
      </w:r>
    </w:p>
    <w:p>
      <w:pPr>
        <w:spacing w:after="0" w:line="225" w:lineRule="exact"/>
        <w:rPr>
          <w:rFonts w:ascii="Times New Roman" w:cs="Times New Roman" w:eastAsia="Times New Roman" w:hAnsi="Times New Roman"/>
          <w:sz w:val="18"/>
          <w:szCs w:val="18"/>
          <w:color w:val="auto"/>
        </w:rPr>
      </w:pPr>
    </w:p>
    <w:p>
      <w:pPr>
        <w:ind w:left="1140" w:hanging="376"/>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 clinical trials with respect to our existing products and proposed products; and</w:t>
      </w:r>
    </w:p>
    <w:p>
      <w:pPr>
        <w:spacing w:after="0" w:line="225" w:lineRule="exact"/>
        <w:rPr>
          <w:rFonts w:ascii="Times New Roman" w:cs="Times New Roman" w:eastAsia="Times New Roman" w:hAnsi="Times New Roman"/>
          <w:sz w:val="18"/>
          <w:szCs w:val="18"/>
          <w:color w:val="auto"/>
        </w:rPr>
      </w:pPr>
    </w:p>
    <w:p>
      <w:pPr>
        <w:ind w:left="1140" w:hanging="376"/>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retain and motivate qualified personnel in various areas of our business.</w:t>
      </w:r>
    </w:p>
    <w:p>
      <w:pPr>
        <w:spacing w:after="0" w:line="225" w:lineRule="exact"/>
        <w:rPr>
          <w:sz w:val="20"/>
          <w:szCs w:val="20"/>
          <w:color w:val="auto"/>
        </w:rPr>
      </w:pPr>
    </w:p>
    <w:p>
      <w:pPr>
        <w:ind w:right="120" w:firstLine="518"/>
        <w:spacing w:after="0" w:line="261" w:lineRule="auto"/>
        <w:rPr>
          <w:sz w:val="20"/>
          <w:szCs w:val="20"/>
          <w:color w:val="auto"/>
        </w:rPr>
      </w:pPr>
      <w:r>
        <w:rPr>
          <w:rFonts w:ascii="Times New Roman" w:cs="Times New Roman" w:eastAsia="Times New Roman" w:hAnsi="Times New Roman"/>
          <w:sz w:val="18"/>
          <w:szCs w:val="18"/>
          <w:color w:val="auto"/>
        </w:rPr>
        <w:t>Due to our limited operating history, we may not have the institutional knowledge or experience to be able to effectively address these and other risks that may face our business. In addition, we may not be able to develop insights into trends that could emerge and negatively affect our business and may fail to respond effectively to those trends. As a result of these or other risks, we may not be able to execute key components of our business strategy, and our business, financial condition and operating results may suffer.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Manufacturing risks may adversely affect our ability to manufacture products, which could negatively impact our sales and operating margins.</w:t>
      </w:r>
    </w:p>
    <w:p>
      <w:pPr>
        <w:spacing w:after="0" w:line="229" w:lineRule="exact"/>
        <w:rPr>
          <w:sz w:val="20"/>
          <w:szCs w:val="20"/>
          <w:color w:val="auto"/>
        </w:rPr>
      </w:pPr>
    </w:p>
    <w:p>
      <w:pPr>
        <w:ind w:right="240" w:firstLine="518"/>
        <w:spacing w:after="0" w:line="266" w:lineRule="auto"/>
        <w:rPr>
          <w:sz w:val="20"/>
          <w:szCs w:val="20"/>
          <w:color w:val="auto"/>
        </w:rPr>
      </w:pPr>
      <w:r>
        <w:rPr>
          <w:rFonts w:ascii="Times New Roman" w:cs="Times New Roman" w:eastAsia="Times New Roman" w:hAnsi="Times New Roman"/>
          <w:sz w:val="18"/>
          <w:szCs w:val="18"/>
          <w:color w:val="auto"/>
        </w:rPr>
        <w:t>Our business strategy depends on our ability to manufacture our current and proposed products in sufficient quantities and on a timely basis so as to meet consumer demand, while adhering to product quality standards, complying with regulatory requirements and managing manufacturing costs. We are subject to numerous risks relating to our manufacturing capabilities, including:</w:t>
      </w:r>
    </w:p>
    <w:p>
      <w:pPr>
        <w:spacing w:after="0" w:line="176" w:lineRule="exact"/>
        <w:rPr>
          <w:sz w:val="20"/>
          <w:szCs w:val="20"/>
          <w:color w:val="auto"/>
        </w:rPr>
      </w:pPr>
    </w:p>
    <w:p>
      <w:pPr>
        <w:ind w:left="1040" w:hanging="384"/>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or reliability defects in product components that we source from third-party suppliers;</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secure product components in a timely manner, in sufficient quantities and on commercially reasonable terms;</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identifying and qualifying alternative suppliers for components in a timely manner;</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challenge of implementing and maintaining acceptable quality systems while experiencing rapid growth;</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increase production of products to meet demand;</w:t>
      </w:r>
    </w:p>
    <w:p>
      <w:pPr>
        <w:spacing w:after="0" w:line="225" w:lineRule="exact"/>
        <w:rPr>
          <w:rFonts w:ascii="Times New Roman" w:cs="Times New Roman" w:eastAsia="Times New Roman" w:hAnsi="Times New Roman"/>
          <w:sz w:val="18"/>
          <w:szCs w:val="18"/>
          <w:color w:val="auto"/>
        </w:rPr>
      </w:pPr>
    </w:p>
    <w:p>
      <w:pPr>
        <w:ind w:left="1040" w:hanging="384"/>
        <w:spacing w:after="0" w:line="282" w:lineRule="auto"/>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modify production lines to enable us to efficiently produce future products or implement changes in current products in response to consumer demand or regulatory requirements;</w:t>
      </w:r>
    </w:p>
    <w:p>
      <w:pPr>
        <w:spacing w:after="0" w:line="161"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manufacture multiple products simultaneously while utilizing common manufacturing equipment; and</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damage to or destruction of our manufacturing equipment or manufacturing facility.</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These risks are likely to be exacerbated by our limited experience with our current products and manufacturing processes.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9" w:name="page40"/>
    <w:bookmarkEnd w:id="39"/>
    <w:p>
      <w:pPr>
        <w:ind w:firstLine="518"/>
        <w:spacing w:after="0" w:line="253" w:lineRule="auto"/>
        <w:rPr>
          <w:sz w:val="20"/>
          <w:szCs w:val="20"/>
          <w:color w:val="auto"/>
        </w:rPr>
      </w:pPr>
      <w:r>
        <w:rPr>
          <w:rFonts w:ascii="Times New Roman" w:cs="Times New Roman" w:eastAsia="Times New Roman" w:hAnsi="Times New Roman"/>
          <w:sz w:val="18"/>
          <w:szCs w:val="18"/>
          <w:color w:val="auto"/>
        </w:rPr>
        <w:t>As demand for our products increases, and as the number of our commercial products expands, we will have to invest additional resources to purchase components, hire and train employees, and enhance our manufacturing processes and quality systems. Over the past year we have implemented several new pieces of equipment that are intended to improve our manufacturing capacity and efficiency and we expect to implement additional equipment and procedures over the next 12-18 months. However, it is possible that we may not achieve the anticipated improvements from these investments. In addition, we recently entered into a new lease agreement for an additional facility to consolidate substantially all of our manufacturing, warehousing and other operational needs, and any transition of our current manufacturing, warehousing and other operations to a new facility is subject to additional risk and uncertainty, and may expose us to duplicative or incremental costs. Furthermore, although we expect some of our products under development to share product features and components with our current products, manufacturing of these products may require the modification of our production lines, the hiring of specialized employees, the identification of new suppliers for specific components, the implementation of additional equipment and procedures, or the development of new manufacturing technologies. Ultimately, it may not be possible for us to manufacture these products at a cost or in quantities sufficient to make these products commercially viable.</w:t>
      </w:r>
    </w:p>
    <w:p>
      <w:pPr>
        <w:spacing w:after="0" w:line="193" w:lineRule="exact"/>
        <w:rPr>
          <w:sz w:val="20"/>
          <w:szCs w:val="20"/>
          <w:color w:val="auto"/>
        </w:rPr>
      </w:pPr>
    </w:p>
    <w:p>
      <w:pPr>
        <w:ind w:right="100" w:firstLine="518"/>
        <w:spacing w:after="0" w:line="282" w:lineRule="auto"/>
        <w:rPr>
          <w:sz w:val="20"/>
          <w:szCs w:val="20"/>
          <w:color w:val="auto"/>
        </w:rPr>
      </w:pPr>
      <w:r>
        <w:rPr>
          <w:rFonts w:ascii="Times New Roman" w:cs="Times New Roman" w:eastAsia="Times New Roman" w:hAnsi="Times New Roman"/>
          <w:sz w:val="18"/>
          <w:szCs w:val="18"/>
          <w:color w:val="auto"/>
        </w:rPr>
        <w:t>If we fail to increase our production capacity to meet consumer demand, while also maintaining product quality standards, complying with regulatory requirements and efficiently managing costs, our sales and operating margins could be negatively impacted.</w:t>
      </w:r>
    </w:p>
    <w:p>
      <w:pPr>
        <w:spacing w:after="0" w:line="15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a limited number of third-party suppliers for certain product components, and the loss of any of these suppliers, or their inability to provide us with an adequate supply of components, could harm our business.</w:t>
      </w:r>
    </w:p>
    <w:p>
      <w:pPr>
        <w:spacing w:after="0" w:line="159"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We currently rely, and expect to continue to rely, on third-party suppliers to supply components of our current products and of our potential future products, including our disposable cartridges. For example, we rely on plastic injection molding companies to provide plastic molded components, electronic manufacturing suppliers to provide electronic assemblies, and machining companies to provide machined mechanical components. We also purchase all of our infusion sets and pump accessories from third-party suppliers. For our business strategy to be successful, our suppliers must be able to provide us with components in sufficient quantities, in compliance with regulatory requirements and quality control standards, in accordance with agreed-upon specifications, at acceptable costs and on a timely basis. Recently, we have implemented several business strategies intended to increase our future sales of infusion sets. Increases in any of our product sales, whether forecasted or unanticipated, could strain the ability of our suppliers to deliver an increasingly large supply of components in a manner that meets these various requirements.</w:t>
      </w:r>
    </w:p>
    <w:p>
      <w:pPr>
        <w:spacing w:after="0" w:line="185" w:lineRule="exact"/>
        <w:rPr>
          <w:sz w:val="20"/>
          <w:szCs w:val="20"/>
          <w:color w:val="auto"/>
        </w:rPr>
      </w:pPr>
    </w:p>
    <w:p>
      <w:pPr>
        <w:ind w:right="40" w:firstLine="518"/>
        <w:spacing w:after="0" w:line="270" w:lineRule="auto"/>
        <w:rPr>
          <w:sz w:val="20"/>
          <w:szCs w:val="20"/>
          <w:color w:val="auto"/>
        </w:rPr>
      </w:pPr>
      <w:r>
        <w:rPr>
          <w:rFonts w:ascii="Times New Roman" w:cs="Times New Roman" w:eastAsia="Times New Roman" w:hAnsi="Times New Roman"/>
          <w:sz w:val="17"/>
          <w:szCs w:val="17"/>
          <w:color w:val="auto"/>
        </w:rPr>
        <w:t>We do not have long-term supply agreements with many of our suppliers and, in many cases, we make our purchases on a purchase order basis. Under most of our supply agreements, we have no obligation to buy any given quantity of components or products until we place written orders, and our suppliers have no obligation to manufacture for us or sell to us any given quantity of components or products until they accept an order. As a result, our ability to purchase adequate quantities of our components or products may be limited. Additionally, our suppliers may encounter problems that limit their ability to manufacture components or products for us, including financial difficulties or damage to their manufacturing equipment or facilities. If we fail to obtain sufficient quantities of high quality components to meet demand on a timely basis, we could lose customer orders, our reputation may be harmed and our business could suffer. Our conclusion that, unless we successfully raise additional capital, there is substantial doubt about our ability to continue as a going concern, together with the inclusion of an explanatory paragraph that describes conditions that raise substantial doubt about our ability to continue as a going concern in our independent registered public accounting firm’s report contained in our financial statements for the year ended December 31, 2016, may cause one or more of our suppliers to terminate their relationship with us, or claim that our financial condition causes them to demand different payment terms.</w:t>
      </w:r>
    </w:p>
    <w:p>
      <w:pPr>
        <w:spacing w:after="0" w:line="178" w:lineRule="exact"/>
        <w:rPr>
          <w:sz w:val="20"/>
          <w:szCs w:val="20"/>
          <w:color w:val="auto"/>
        </w:rPr>
      </w:pPr>
    </w:p>
    <w:p>
      <w:pPr>
        <w:ind w:right="100" w:firstLine="518"/>
        <w:spacing w:after="0" w:line="254" w:lineRule="auto"/>
        <w:rPr>
          <w:sz w:val="20"/>
          <w:szCs w:val="20"/>
          <w:color w:val="auto"/>
        </w:rPr>
      </w:pPr>
      <w:r>
        <w:rPr>
          <w:rFonts w:ascii="Times New Roman" w:cs="Times New Roman" w:eastAsia="Times New Roman" w:hAnsi="Times New Roman"/>
          <w:sz w:val="18"/>
          <w:szCs w:val="18"/>
          <w:color w:val="auto"/>
        </w:rPr>
        <w:t>We generally use a small number of suppliers for our components or products. Depending on a limited number of suppliers exposes us to risks, including limited control over pricing, availability, quality and delivery schedules. Moreover, in some cases, we do not have long-standing relationships with our manufacturers and may not be able to convince suppliers to continue to make components available to us unless there is demand for such components from their other customers. As a result, there is a risk that certain components could be discontinued and no longer available to us. We have in the past been, and we may in the future be, required to make significant “last time” purchases of component inventory that is being discontinued by the manufacturer to ensure supply continuity. If any one or more of our suppliers cease to provide us with sufficient quantities of components in a timely manner or on terms acceptable to us, we would have to seek alternative sources of supply. Because of factors such as the proprietary nature of our products, our quality control standards and applicable regulatory requirements, we cannot quickly engage additional or replacement suppliers for some of our critical components. Failure of any of our suppliers to deliver products at the level our business requires would limit our ability to meet our sales commitments, which could harm our reputation and could have a material adverse effect on our business.</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40" w:name="page41"/>
    <w:bookmarkEnd w:id="40"/>
    <w:p>
      <w:pPr>
        <w:ind w:right="200" w:firstLine="518"/>
        <w:spacing w:after="0" w:line="255" w:lineRule="auto"/>
        <w:rPr>
          <w:sz w:val="20"/>
          <w:szCs w:val="20"/>
          <w:color w:val="auto"/>
        </w:rPr>
      </w:pPr>
      <w:r>
        <w:rPr>
          <w:rFonts w:ascii="Times New Roman" w:cs="Times New Roman" w:eastAsia="Times New Roman" w:hAnsi="Times New Roman"/>
          <w:sz w:val="18"/>
          <w:szCs w:val="18"/>
          <w:color w:val="auto"/>
        </w:rPr>
        <w:t>We may also have difficulty obtaining similar components from other suppliers that are acceptable to the FDA, or other regulatory agencies, and the failure of our suppliers to comply with strictly-enforced regulatory requirements could expose us to regulatory action including warning letters, product recalls, termination of distribution, product seizures or civil penalties. Such a failure by our suppliers could also require us to cease using the components, seek alternative components or technologies, and modify our products to incorporate alternative components or technologies, which could necessitate additional regulatory approvals. Any disruption of this nature, or any increased expenses associated with any such disruptions, could negatively impact our ability to manufacture our products on a timely basis, in sufficient quantities, or at all, which could harm our commercialization efforts and adversely affect our operating results.</w:t>
      </w:r>
    </w:p>
    <w:p>
      <w:pPr>
        <w:spacing w:after="0" w:line="18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cannot manufacture and sell our new infusion set connector when anticipated, or if it does not achieve market acceptance, we may not achieve our financial projections.</w:t>
      </w:r>
    </w:p>
    <w:p>
      <w:pPr>
        <w:spacing w:after="0" w:line="159" w:lineRule="exact"/>
        <w:rPr>
          <w:sz w:val="20"/>
          <w:szCs w:val="20"/>
          <w:color w:val="auto"/>
        </w:rPr>
      </w:pPr>
    </w:p>
    <w:p>
      <w:pPr>
        <w:ind w:right="220" w:firstLine="571"/>
        <w:spacing w:after="0" w:line="261" w:lineRule="auto"/>
        <w:rPr>
          <w:sz w:val="20"/>
          <w:szCs w:val="20"/>
          <w:color w:val="auto"/>
        </w:rPr>
      </w:pPr>
      <w:r>
        <w:rPr>
          <w:rFonts w:ascii="Times New Roman" w:cs="Times New Roman" w:eastAsia="Times New Roman" w:hAnsi="Times New Roman"/>
          <w:sz w:val="18"/>
          <w:szCs w:val="18"/>
          <w:color w:val="auto"/>
        </w:rPr>
        <w:t>We intend to transition from the use of a standard Luer-lok connector on our proprietary disposable insulin cartridges to our new t:lock Connector. Concurrently, we intend to begin selling infusion sets that will be compatible with our t:lock Connector. We have filed for but not yet received regulatory approval to manufacture our insulin cartridges with the necessary modifications to change our infusion set connector from a standard Luer-lok to our t:lock Connector. In addition, our infusion set supplier intends to seek 510(k) clearance for its infusion sets with the companion to our t:lock Connector.</w:t>
      </w:r>
    </w:p>
    <w:p>
      <w:pPr>
        <w:spacing w:after="0" w:line="180" w:lineRule="exact"/>
        <w:rPr>
          <w:sz w:val="20"/>
          <w:szCs w:val="20"/>
          <w:color w:val="auto"/>
        </w:rPr>
      </w:pPr>
    </w:p>
    <w:p>
      <w:pPr>
        <w:ind w:firstLine="571"/>
        <w:spacing w:after="0" w:line="255" w:lineRule="auto"/>
        <w:rPr>
          <w:sz w:val="20"/>
          <w:szCs w:val="20"/>
          <w:color w:val="auto"/>
        </w:rPr>
      </w:pPr>
      <w:r>
        <w:rPr>
          <w:rFonts w:ascii="Times New Roman" w:cs="Times New Roman" w:eastAsia="Times New Roman" w:hAnsi="Times New Roman"/>
          <w:sz w:val="18"/>
          <w:szCs w:val="18"/>
          <w:color w:val="auto"/>
        </w:rPr>
        <w:t>Our anticipated 2017 sales assume that our current and future customers will begin using our new cartridges and infusion sets with our t:lock Connector in significant quantities by the end of 2017. Any delay in obtaining regulatory approvals for our new insulin cartridge with the t:lock Connector or the compatible infusion sets would negatively impact our operating results and may harm our ability to meet our financial projections or those of our financial analysts. In order to manufacture our cartridges with the t:lock Connector, we must order and validate new molding equipment. Furthermore, our supplier of infusion sets must begin manufacturing a variety of lengths and styles of infusion sets with the t:lock Connector that matches our cartridges. Failure to do so, or to do so at the necessary production volumes, may result in our inability to launch our t:lock Connector or convert customers to our t:lock Connector when anticipated.</w:t>
      </w:r>
    </w:p>
    <w:p>
      <w:pPr>
        <w:spacing w:after="0" w:line="189" w:lineRule="exact"/>
        <w:rPr>
          <w:sz w:val="20"/>
          <w:szCs w:val="20"/>
          <w:color w:val="auto"/>
        </w:rPr>
      </w:pPr>
    </w:p>
    <w:p>
      <w:pPr>
        <w:ind w:right="140" w:firstLine="571"/>
        <w:spacing w:after="0" w:line="256" w:lineRule="auto"/>
        <w:rPr>
          <w:sz w:val="20"/>
          <w:szCs w:val="20"/>
          <w:color w:val="auto"/>
        </w:rPr>
      </w:pPr>
      <w:r>
        <w:rPr>
          <w:rFonts w:ascii="Times New Roman" w:cs="Times New Roman" w:eastAsia="Times New Roman" w:hAnsi="Times New Roman"/>
          <w:sz w:val="18"/>
          <w:szCs w:val="18"/>
          <w:color w:val="auto"/>
        </w:rPr>
        <w:t>In addition, our independent distributors will need to agree to purchase the compatible infusion sets from us to provide to their customers. We anticipate the transition period for our direct customers and distributors to utilize their inventory on hand before transitioning to the t:lock Connector will be 90 to 120 days following its initial launch. During this period we anticipate offering both styles of cartridges and infusion sets to facilitate the transition of customer supplies. However, due to the variability in purchasing patterns, standard Luer-lok inventory may not be consumed at the predicted rates and we may be required to offer both styles of insulin cartridges and infusion sets for a longer period than anticipated or we may be left with excess quantities of Luer-lok style insulin cartridges that we cannot sell at standard prices or at all.</w:t>
      </w:r>
    </w:p>
    <w:p>
      <w:pPr>
        <w:spacing w:after="0" w:line="188" w:lineRule="exact"/>
        <w:rPr>
          <w:sz w:val="20"/>
          <w:szCs w:val="20"/>
          <w:color w:val="auto"/>
        </w:rPr>
      </w:pPr>
    </w:p>
    <w:p>
      <w:pPr>
        <w:ind w:right="160" w:firstLine="571"/>
        <w:spacing w:after="0" w:line="258" w:lineRule="auto"/>
        <w:rPr>
          <w:sz w:val="20"/>
          <w:szCs w:val="20"/>
          <w:color w:val="auto"/>
        </w:rPr>
      </w:pPr>
      <w:r>
        <w:rPr>
          <w:rFonts w:ascii="Times New Roman" w:cs="Times New Roman" w:eastAsia="Times New Roman" w:hAnsi="Times New Roman"/>
          <w:sz w:val="18"/>
          <w:szCs w:val="18"/>
          <w:color w:val="auto"/>
        </w:rPr>
        <w:t>While the t:lock Connector was designed based on customer feedback, and while all standard Luer-lok infusion sets that we currently offer will initially be made available with the t:lock Connector, it is possible the t:lock Connector may not gain market acceptance by current or potential customers, their caregivers, or healthcare providers. Any negative market response to the t:lock Connector may impact a current customer’s decision to purchase a new pump from us at the time of renewal. In addition, new potential customers may decide not to purchase our insulin pumps if they do not prefer our t:lock Connector, which may impede our ability to achieve our financial projections.</w:t>
      </w:r>
    </w:p>
    <w:p>
      <w:pPr>
        <w:spacing w:after="0" w:line="180"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operate primarily at a single location comprised of five buildings, and any disruption at this location could adversely affect our business and operating results.</w:t>
      </w:r>
    </w:p>
    <w:p>
      <w:pPr>
        <w:spacing w:after="0" w:line="159" w:lineRule="exact"/>
        <w:rPr>
          <w:sz w:val="20"/>
          <w:szCs w:val="20"/>
          <w:color w:val="auto"/>
        </w:rPr>
      </w:pPr>
    </w:p>
    <w:p>
      <w:pPr>
        <w:ind w:firstLine="571"/>
        <w:spacing w:after="0" w:line="255" w:lineRule="auto"/>
        <w:rPr>
          <w:sz w:val="20"/>
          <w:szCs w:val="20"/>
          <w:color w:val="auto"/>
        </w:rPr>
      </w:pPr>
      <w:r>
        <w:rPr>
          <w:rFonts w:ascii="Times New Roman" w:cs="Times New Roman" w:eastAsia="Times New Roman" w:hAnsi="Times New Roman"/>
          <w:sz w:val="18"/>
          <w:szCs w:val="18"/>
          <w:color w:val="auto"/>
        </w:rPr>
        <w:t>Our principal offices are presently located in five buildings in San Diego, California. Substantially all of our operations are presently conducted at this location, including our manufacturing processes, research and development activities, customer and technical support, and management and administrative functions. In addition, substantially all of our inventory of component supplies and finished goods is held at this location. We take precautions to safeguard our facilities, including acquiring insurance, employing back-up generators, adopting health and safety protocols and utilizing off-site storage of computer data. However, vandalism, terrorism or a natural or other disaster, such as an earthquake, fire or flood, could damage or destroy our manufacturing equipment or our inventory of component supplies and finished goods, cause substantial delays in our operations, result in the loss of key information, and cause us to incur additional expenses. Our insurance may not cover our losses in any particular case. Regardless of the level of insurance coverage, damage to our facilities may have a material adverse effect on our business, financial condition and operating results.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41" w:name="page42"/>
    <w:bookmarkEnd w:id="41"/>
    <w:p>
      <w:pPr>
        <w:ind w:right="7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transition of our manufacturing operations to a new facility may result in unanticipated expenses or inefficiencies, which may increase our manufacturing and operating costs, and will require us to spend additional capital.*</w:t>
      </w:r>
    </w:p>
    <w:p>
      <w:pPr>
        <w:spacing w:after="0" w:line="159" w:lineRule="exact"/>
        <w:rPr>
          <w:sz w:val="20"/>
          <w:szCs w:val="20"/>
          <w:color w:val="auto"/>
        </w:rPr>
      </w:pPr>
    </w:p>
    <w:p>
      <w:pPr>
        <w:ind w:right="20" w:firstLine="571"/>
        <w:spacing w:after="0" w:line="254" w:lineRule="auto"/>
        <w:rPr>
          <w:sz w:val="20"/>
          <w:szCs w:val="20"/>
          <w:color w:val="auto"/>
        </w:rPr>
      </w:pPr>
      <w:r>
        <w:rPr>
          <w:rFonts w:ascii="Times New Roman" w:cs="Times New Roman" w:eastAsia="Times New Roman" w:hAnsi="Times New Roman"/>
          <w:sz w:val="18"/>
          <w:szCs w:val="18"/>
          <w:color w:val="auto"/>
        </w:rPr>
        <w:t>We manufacture our products at our headquarters in San Diego, California, but are in the process of transitioning our manufacturing operations to a nearby facility that will allow for future capacity expansion. The transition to the new manufacturing facility commenced during the second quarter of 2017 and we expect to complete the transition by the end of 2017. During the transition period we expect to experience some temporary duplication of operations to support ongoing product manufacturing, which will result in incremental costs. The transition remains subject to validation of newly installed equipment and our ability to receive numerous governmental approvals associated with the new facility. We may face significant challenges as we manage our proposed facility transition, such as unanticipated delays or expenses, and we may be required to make additional capital expenditures relating to the new facility. We also may experience unanticipated inefficiencies as we commence manufacturing operations at the new facility, particularly during the transition period. If we fail to achieve the operating efficiencies that we anticipate from the new facility, or if we incur substantial incremental costs during the transition, our manufacturing and operating costs may be greater than we anticipate.</w:t>
      </w:r>
    </w:p>
    <w:p>
      <w:pPr>
        <w:spacing w:after="0" w:line="189"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We expect that the management and support of our transition to the new facility will place significant burdens on our management team, particularly in areas relating to operations, facilities and information technology. If we experience unanticipated employee turnover in any of these areas, we may not be able to effectively manage the completion of construction of the new facility or our transition and commencement of manufacturing operations when planned and we may not achieve the operating efficiencies that we anticipate from the new facility.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enhance our product offerings through our research and development efforts, we may fail to effectively compete or become profitable.</w:t>
      </w:r>
    </w:p>
    <w:p>
      <w:pPr>
        <w:spacing w:after="0" w:line="229" w:lineRule="exact"/>
        <w:rPr>
          <w:sz w:val="20"/>
          <w:szCs w:val="20"/>
          <w:color w:val="auto"/>
        </w:rPr>
      </w:pPr>
    </w:p>
    <w:p>
      <w:pPr>
        <w:ind w:right="180" w:firstLine="518"/>
        <w:spacing w:after="0" w:line="258" w:lineRule="auto"/>
        <w:rPr>
          <w:sz w:val="20"/>
          <w:szCs w:val="20"/>
          <w:color w:val="auto"/>
        </w:rPr>
      </w:pPr>
      <w:r>
        <w:rPr>
          <w:rFonts w:ascii="Times New Roman" w:cs="Times New Roman" w:eastAsia="Times New Roman" w:hAnsi="Times New Roman"/>
          <w:sz w:val="18"/>
          <w:szCs w:val="18"/>
          <w:color w:val="auto"/>
        </w:rPr>
        <w:t>In order to increase our sales and market share in the insulin-dependent diabetes market, we must enhance and broaden our product offerings in response to the evolving demands of people with insulin-dependent diabetes, their caregivers and healthcare providers, as well as competitive pressures and technologies. We may not be successful in developing, obtaining regulatory approval for, or marketing our proposed products when anticipated, or at all. In addition, notwithstanding our market research efforts, our future products may not be accepted by people with insulin-dependent diabetes, their caregivers, healthcare providers or third-party payors. The success of any proposed product offerings will depend on numerous factors, including our ability to:</w:t>
      </w:r>
    </w:p>
    <w:p>
      <w:pPr>
        <w:spacing w:after="0" w:line="184" w:lineRule="exact"/>
        <w:rPr>
          <w:sz w:val="20"/>
          <w:szCs w:val="20"/>
          <w:color w:val="auto"/>
        </w:rPr>
      </w:pPr>
    </w:p>
    <w:p>
      <w:pPr>
        <w:ind w:left="1040" w:hanging="384"/>
        <w:spacing w:after="0" w:line="282" w:lineRule="auto"/>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product features and functionality that people with insulin-dependent diabetes, their caregivers and healthcare providers are seeking in an insulin pump, and successfully incorporate those features into our products;</w:t>
      </w:r>
    </w:p>
    <w:p>
      <w:pPr>
        <w:spacing w:after="0" w:line="161"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introduce products in sufficient quantities and in a timely manner;</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products at a price that is competitive with other products then available;</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with third-party payors to obtain reimbursement for our products;</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adequately protect our intellectual property and avoid infringing upon the intellectual property rights of third parties;</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 the safety and efficacy of proposed products; and</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the necessary regulatory approvals for proposed products.</w:t>
      </w:r>
    </w:p>
    <w:p>
      <w:pPr>
        <w:spacing w:after="0" w:line="225"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If we fail to generate demand by continuing to develop products that incorporate features and functionality requested by people with insulin-dependent diabetes, their caregivers or healthcare providers, or if we do not obtain regulatory clearance or approval for proposed products in time to meet market demand, we may be unable to compete and may fail to generate sales sufficient to achieve or maintain profitability. We have in the past experienced, and we may in the future experience, delays in various phases of product development and commercialization, including during research and development, manufacturing, limited release testing, marketing and customer education efforts. Any delays in our anticipated regulatory submissions or approvals, or subsequent product launches, may significantly impede our ability to successfully compete in our markets. In particular, such delays could cause customers to delay or forego purchases of our products, or to purchase our competitors’ products. Even if we are able to successfully develop proposed products when anticipated, these products may not produce sales in excess of the costs of development, and they may be quickly rendered obsolete by changing consumer preferences or the introduction by our competitors of products embodying new technologies or features, or alternative methods for the treatment of diabetes.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bookmarkStart w:id="42" w:name="page43"/>
    <w:bookmarkEnd w:id="42"/>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safety and efficacy of our products is not supported by long-term clinical data, which could limit sales, and our products could cause unforeseen negative effects.</w:t>
      </w:r>
    </w:p>
    <w:p>
      <w:pPr>
        <w:spacing w:after="0" w:line="159" w:lineRule="exact"/>
        <w:rPr>
          <w:sz w:val="20"/>
          <w:szCs w:val="20"/>
          <w:color w:val="auto"/>
        </w:rPr>
      </w:pPr>
    </w:p>
    <w:p>
      <w:pPr>
        <w:ind w:right="180" w:firstLine="518"/>
        <w:spacing w:after="0" w:line="261" w:lineRule="auto"/>
        <w:rPr>
          <w:sz w:val="20"/>
          <w:szCs w:val="20"/>
          <w:color w:val="auto"/>
        </w:rPr>
      </w:pPr>
      <w:r>
        <w:rPr>
          <w:rFonts w:ascii="Times New Roman" w:cs="Times New Roman" w:eastAsia="Times New Roman" w:hAnsi="Times New Roman"/>
          <w:sz w:val="18"/>
          <w:szCs w:val="18"/>
          <w:color w:val="auto"/>
        </w:rPr>
        <w:t>t:slim X2 and t:flex received pre-market clearance under Section 510(k) of the U.S. Federal Food, Drug, and Cosmetic Act, or FDCA. The 510(k) clearance process is shorter and typically requires the submission of less supporting documentation than other FDA approval processes and does not always require long-term clinical studies. t:slim G4 received FDA approval under a PMA. However, there are no published studies to evaluate the safety or effectiveness of t:slim G4 in a controlled setting.</w:t>
      </w:r>
    </w:p>
    <w:p>
      <w:pPr>
        <w:spacing w:after="0" w:line="180" w:lineRule="exact"/>
        <w:rPr>
          <w:sz w:val="20"/>
          <w:szCs w:val="20"/>
          <w:color w:val="auto"/>
        </w:rPr>
      </w:pPr>
    </w:p>
    <w:p>
      <w:pPr>
        <w:ind w:right="160" w:firstLine="518"/>
        <w:spacing w:after="0" w:line="273" w:lineRule="auto"/>
        <w:rPr>
          <w:sz w:val="20"/>
          <w:szCs w:val="20"/>
          <w:color w:val="auto"/>
        </w:rPr>
      </w:pPr>
      <w:r>
        <w:rPr>
          <w:rFonts w:ascii="Times New Roman" w:cs="Times New Roman" w:eastAsia="Times New Roman" w:hAnsi="Times New Roman"/>
          <w:sz w:val="17"/>
          <w:szCs w:val="17"/>
          <w:color w:val="auto"/>
        </w:rPr>
        <w:t>As a result, we currently lack the breadth of published long-term clinical data supporting the safety and efficacy of our products and the benefits they offer, that might have been generated in connection with other approval processes. For these reasons, people with insulin-dependent diabetes and healthcare providers may be slower to adopt or recommend our products, we may not have comparative data that our competitors have or are generating, third-party payors may not be willing to provide coverage or reimbursement for our products and we may be subject to greater regulatory and product liability risks. These and other factors could slow the adoption of our products and result in our sales being lower than anticipated. In addition, future studies or clinical experience may indicate that treatment with our products is not superior to treatment with competitive products. Such results could slow the adoption of our products and significantly reduce our sales, which could prevent us from achieving our forecasted sales targets or achieving or sustaining profitability.</w:t>
      </w:r>
    </w:p>
    <w:p>
      <w:pPr>
        <w:spacing w:after="0" w:line="172" w:lineRule="exact"/>
        <w:rPr>
          <w:sz w:val="20"/>
          <w:szCs w:val="20"/>
          <w:color w:val="auto"/>
        </w:rPr>
      </w:pPr>
    </w:p>
    <w:p>
      <w:pPr>
        <w:jc w:val="both"/>
        <w:ind w:right="240" w:firstLine="518"/>
        <w:spacing w:after="0" w:line="266" w:lineRule="auto"/>
        <w:rPr>
          <w:sz w:val="20"/>
          <w:szCs w:val="20"/>
          <w:color w:val="auto"/>
        </w:rPr>
      </w:pPr>
      <w:r>
        <w:rPr>
          <w:rFonts w:ascii="Times New Roman" w:cs="Times New Roman" w:eastAsia="Times New Roman" w:hAnsi="Times New Roman"/>
          <w:sz w:val="18"/>
          <w:szCs w:val="18"/>
          <w:color w:val="auto"/>
        </w:rPr>
        <w:t>If the results of clinical studies or other experience, such as our monitoring or investigation of customer complaints, indicate that our products may cause or create an unacceptable risk of unexpected or serious complications or other unforeseen negative effects, we could be subject to mandatory product recalls, suspension or withdrawal of FDA clearance or approval, significant legal liability, and harm to our business reputation.</w:t>
      </w:r>
    </w:p>
    <w:p>
      <w:pPr>
        <w:spacing w:after="0" w:line="176" w:lineRule="exact"/>
        <w:rPr>
          <w:sz w:val="20"/>
          <w:szCs w:val="20"/>
          <w:color w:val="auto"/>
        </w:rPr>
      </w:pPr>
    </w:p>
    <w:p>
      <w:pPr>
        <w:ind w:right="80" w:firstLine="518"/>
        <w:spacing w:after="0" w:line="256" w:lineRule="auto"/>
        <w:rPr>
          <w:sz w:val="20"/>
          <w:szCs w:val="20"/>
          <w:color w:val="auto"/>
        </w:rPr>
      </w:pPr>
      <w:r>
        <w:rPr>
          <w:rFonts w:ascii="Times New Roman" w:cs="Times New Roman" w:eastAsia="Times New Roman" w:hAnsi="Times New Roman"/>
          <w:sz w:val="18"/>
          <w:szCs w:val="18"/>
          <w:color w:val="auto"/>
        </w:rPr>
        <w:t>Any alleged illness or injury associated with any of our products or product recall may negatively impact our financial results and business prospects depending on the scope, degree of publicity, reaction of our customers, healthcare professionals, and collaborators, competitive reaction, and consumer attitudes overall. Even if such an allegation or product liability claim lacks merit, cannot be substantiated, is unsuccessful or is not fully pursued, the negative publicity surrounding any assertion that our products caused illness, injury or death could adversely affect our reputation with customers, healthcare professionals, third-party payors, and existing and potential collaborators, and could adversely affect our operating results and cause a decline in our stock price.</w:t>
      </w:r>
    </w:p>
    <w:p>
      <w:pPr>
        <w:spacing w:after="0" w:line="184"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enter into collaborations, in-licensing arrangements, joint ventures, strategic alliances or partnerships with third parties that may not result in the development of commercially viable products or the generation of significant future revenues.</w:t>
      </w:r>
    </w:p>
    <w:p>
      <w:pPr>
        <w:spacing w:after="0" w:line="159"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In the ordinary course of our business, we may enter into collaborations, in-licensing arrangements, joint ventures, strategic alliances or partnerships to develop proposed products and to pursue new markets, or we may amend or modify similar agreements that we already have in place. Proposing, negotiating and implementing collaborations, in-licensing arrangements, joint ventures, strategic alliances or partnerships may be a lengthy and complex process. Other companies, including those with substantially greater financial, marketing, sales, technology or other business resources, may compete with us for these opportunities or arrangements. We may not identify, secure, or complete any such transactions or arrangements in a timely manner, on a cost-effective basis, on acceptable terms or at all. We have limited institutional knowledge and experience with respect to these business development activities, and we may also not realize the anticipated benefits of any such transaction or arrangement. In particular, these collaborations may not result in the development of products that achieve commercial success or result in significant revenues and could be terminated prior to developing any products.</w:t>
      </w:r>
    </w:p>
    <w:p>
      <w:pPr>
        <w:spacing w:after="0" w:line="185"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Additionally, we may not be in a position to exercise sole decision-making authority regarding the transaction or arrangement, which could create the potential risk of creating impasses on decisions, and our collaborators may have economic or business interests or goals that are, or that may become, inconsistent with our business interests or goals. It is possible that conflicts may arise with our collaborators, such as conflicts concerning the achievement of performance milestones, or the interpretation of significant terms under any agreement, such as those related to financial obligations, termination rights or the ownership or control of intellectual property developed during the collaboration. If any conflicts arise with our current or future collaborators, they may act in their self-interest, which may be adverse to our best interest, and they may breach their obligations to us. In addition, we have limited control over the amount and timing of resources that our current collaborators, such as DexCom and TypeZero, or any future collaborators devote to our arrangement with them or our future products. Disputes between us and our collaborators may result in litigation or arbitration which would increase our expenses and divert the attention of our management. Further, these transactions and arrangements are contractual in nature and may be terminated or dissolved under the terms of the applicable agreements and, in such event, we may not continue to have rights to the products relating to such transaction or arrangement or may need to purchase such rights at a premium.</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43" w:name="page44"/>
    <w:bookmarkEnd w:id="43"/>
    <w:p>
      <w:pPr>
        <w:ind w:right="100" w:firstLine="518"/>
        <w:spacing w:after="0" w:line="255" w:lineRule="auto"/>
        <w:rPr>
          <w:sz w:val="20"/>
          <w:szCs w:val="20"/>
          <w:color w:val="auto"/>
        </w:rPr>
      </w:pPr>
      <w:r>
        <w:rPr>
          <w:rFonts w:ascii="Times New Roman" w:cs="Times New Roman" w:eastAsia="Times New Roman" w:hAnsi="Times New Roman"/>
          <w:sz w:val="18"/>
          <w:szCs w:val="18"/>
          <w:color w:val="auto"/>
        </w:rPr>
        <w:t>For example, we entered into three separate development agreements with DexCom which provide us non-exclusive licenses to integrate various generations of DexCom CGM technology with our insulin pump products. We currently offer t:slim G4 under an agreement that runs until January 4, 2018, with automatic one-year renewals. Our agreements with DexCom, which provide us non-exclusive licenses to integrate Dexcom G5 and G6 technology with our insulin pump products currently run until June 2020, with automatic one-year renewals. Under certain circumstances, our agreements with DexCom may be terminated by either party without cause or on short notice. Termination of any of our agreements with DexCom could require us to redesign certain current products and products under development, and attempt to integrate an alternative CGM system into our insulin pump systems, which would require significant development and regulatory activities that could result in an interruption or substantial delay in the availability of the product to our customers.</w:t>
      </w:r>
    </w:p>
    <w:p>
      <w:pPr>
        <w:spacing w:after="0" w:line="185"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significant disruptions to our information technology systems, or failures of our pumps’ software to perform as we anticipate, could have an adverse effect on our business, financial condition and operating results.</w:t>
      </w:r>
    </w:p>
    <w:p>
      <w:pPr>
        <w:spacing w:after="0" w:line="159"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The efficient operation of our business depends on our information technology systems. We rely on our information technology systems to effectively manage sales and marketing data, accounting and financial functions, manufacturing and quality records, inventory management, product development tasks, research and development data, customer service and technical support functions. Our information technology systems, including those that support t:connect, as well as those involved in the operation of our Tandem Device Updater, are vulnerable to damage or interruption from earthquakes, fires, floods and other natural disasters, terrorist attacks, attacks by computer viruses or hackers, power losses, and computer system or data network failures. In addition, our currently-marketed insulin pumps, and our products currently under development contain software which could be subject to computer virus, hacker attacks or other failures. As a result of the recent FDA clearance of our Tandem Device Updater, which enables customers to remotely update software on their insulin pumps, these risks are significantly increased.</w:t>
      </w:r>
    </w:p>
    <w:p>
      <w:pPr>
        <w:spacing w:after="0" w:line="185" w:lineRule="exact"/>
        <w:rPr>
          <w:sz w:val="20"/>
          <w:szCs w:val="20"/>
          <w:color w:val="auto"/>
        </w:rPr>
      </w:pPr>
    </w:p>
    <w:p>
      <w:pPr>
        <w:ind w:right="80" w:firstLine="518"/>
        <w:spacing w:after="0" w:line="255" w:lineRule="auto"/>
        <w:rPr>
          <w:sz w:val="20"/>
          <w:szCs w:val="20"/>
          <w:color w:val="auto"/>
        </w:rPr>
      </w:pPr>
      <w:r>
        <w:rPr>
          <w:rFonts w:ascii="Times New Roman" w:cs="Times New Roman" w:eastAsia="Times New Roman" w:hAnsi="Times New Roman"/>
          <w:sz w:val="18"/>
          <w:szCs w:val="18"/>
          <w:color w:val="auto"/>
        </w:rPr>
        <w:t>The failure of our or our service providers’ information technology systems or our pumps’ software to perform as we anticipate or our failure to effectively implement new information technology systems could disrupt our entire operation or adversely affect our software products. For example, we market our Tandem Device Updater as having the unique capability to deploy software updates to our pumps, which we anticipate may allow customers remote access to new and enhanced features. The failure of our Tandem Device Updater to provide software updates as we anticipate, including as a result of our inability to secure and maintain necessary regulatory approvals, the inability of our pumps to properly receive software updates, errors or viruses embedded within the software being transmitted, or the failure of our customers to properly utilize the system to complete the update, could result in decreased sales, increased warranty costs, and harm to our reputation, all of which could have a material adverse effect on our business, financial condition and operating results.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properly manage our anticipated growth, our business could suffer.</w:t>
      </w:r>
    </w:p>
    <w:p>
      <w:pPr>
        <w:spacing w:after="0" w:line="229" w:lineRule="exact"/>
        <w:rPr>
          <w:sz w:val="20"/>
          <w:szCs w:val="20"/>
          <w:color w:val="auto"/>
        </w:rPr>
      </w:pPr>
    </w:p>
    <w:p>
      <w:pPr>
        <w:ind w:right="160" w:firstLine="518"/>
        <w:spacing w:after="0" w:line="255" w:lineRule="auto"/>
        <w:rPr>
          <w:sz w:val="20"/>
          <w:szCs w:val="20"/>
          <w:color w:val="auto"/>
        </w:rPr>
      </w:pPr>
      <w:r>
        <w:rPr>
          <w:rFonts w:ascii="Times New Roman" w:cs="Times New Roman" w:eastAsia="Times New Roman" w:hAnsi="Times New Roman"/>
          <w:sz w:val="18"/>
          <w:szCs w:val="18"/>
          <w:color w:val="auto"/>
        </w:rPr>
        <w:t>Our rapid growth has placed, and we expect that it will continue to place, a significant strain on our management team and financial resources. For example, between December 31, 2015 and December 31, 2016 our employee base increased by approximately 23%. In addition, during 2015 and 2016 we experienced turnover among key employees in our sales, marketing, clinical, and research and development functions, including the hiring of a new Chief Commercial Officer and a new Vice President of Engineering. Our failure to manage growth effectively could cause us to misallocate management or financial resources, negatively impact our ability to attract and retain key employees, and result in losses or weaknesses in our infrastructure, which could materially adversely affect our business. Additionally, our anticipated growth and the projected evolution of our product portfolio will increase the demands placed on our suppliers, resulting in an increased need for us to manage our suppliers and monitor for quality assurance. Any failure by us to manage our growth effectively could have an adverse effect on our ability to achieve our business objectives.</w:t>
      </w:r>
    </w:p>
    <w:p>
      <w:pPr>
        <w:spacing w:after="0" w:line="181"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the knowledge and skills of our senior management and other key employees, and if we are unable to retain and motivate them or recruit additional qualified personnel, our business may suffer.</w:t>
      </w:r>
    </w:p>
    <w:p>
      <w:pPr>
        <w:spacing w:after="0" w:line="159"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We have benefited substantially from the leadership and performance of our senior management, as well as certain key employees. For example, our Chief Executive Officer, as well as other key members of management, have experience successfully scaling an early stage medical device company to achieve profitability. Our success will depend on our ability to retain our current management and key employees, and to attract and retain qualified personnel in the future. Competition for senior management and key employees in our industry is intense and we cannot guarantee that we will be able to retain our personnel or attract new, qualified personnel. This may be especially true during periods in which we face challenges such as financial difficulty or a reduced stock price. The loss of the services of certain members of our senior management or key employees could prevent or delay the implementation and completion of our strategic objectives, or divert management’s attention to seeking qualified replacements. Each member of senior management as well as our key employees may terminate employment without notice and without cause or good reason. The members of our senior management are not subject to non-competition agreements. Accordingly, the adverse effect resulting from the loss of certain members of senior management could be compounded by our inability to prevent them from competing with us.</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44" w:name="page45"/>
    <w:bookmarkEnd w:id="44"/>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found to have violated laws protecting the confidentiality of patient health information, we could be subject to civil or criminal penalties, which could increase our liabilities and harm our reputation or our business.</w:t>
      </w:r>
    </w:p>
    <w:p>
      <w:pPr>
        <w:spacing w:after="0" w:line="159" w:lineRule="exact"/>
        <w:rPr>
          <w:sz w:val="20"/>
          <w:szCs w:val="20"/>
          <w:color w:val="auto"/>
        </w:rPr>
      </w:pPr>
    </w:p>
    <w:p>
      <w:pPr>
        <w:ind w:right="60" w:firstLine="518"/>
        <w:spacing w:after="0" w:line="255" w:lineRule="auto"/>
        <w:rPr>
          <w:sz w:val="20"/>
          <w:szCs w:val="20"/>
          <w:color w:val="auto"/>
        </w:rPr>
      </w:pPr>
      <w:r>
        <w:rPr>
          <w:rFonts w:ascii="Times New Roman" w:cs="Times New Roman" w:eastAsia="Times New Roman" w:hAnsi="Times New Roman"/>
          <w:sz w:val="18"/>
          <w:szCs w:val="18"/>
          <w:color w:val="auto"/>
        </w:rPr>
        <w:t>There are a number of federal and state laws protecting the confidentiality of certain patient health information, including patient records, and restricting the use and disclosure of that protected information. In particular, the U.S. Department of Health and Human Services, or HHS, promulgated patient privacy rules under HIPAA. These privacy rules protect medical records and other personal health information by limiting their use and disclosure, giving individuals the right to access, amend and seek accounting of their own health information and limiting most use and disclosures of health information to the minimum amount reasonably necessary to accomplish the intended purpose. If we, or any of our service providers, are found to be in violation of the promulgated patient privacy rules under HIPAA, we could be subject to civil or criminal penalties, which could increase our liabilities, harm our reputation and have a material adverse effect on our business, financial condition and operating results.</w:t>
      </w:r>
    </w:p>
    <w:p>
      <w:pPr>
        <w:spacing w:after="0" w:line="18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to grow our business through acquisitions of complementary products or technologies, and the failure to successfully manage acquisitions, or the failure to integrate them with our existing business, could have a material adverse effect on our business, financial condition and operating results.</w:t>
      </w:r>
    </w:p>
    <w:p>
      <w:pPr>
        <w:spacing w:after="0" w:line="159" w:lineRule="exact"/>
        <w:rPr>
          <w:sz w:val="20"/>
          <w:szCs w:val="20"/>
          <w:color w:val="auto"/>
        </w:rPr>
      </w:pPr>
    </w:p>
    <w:p>
      <w:pPr>
        <w:ind w:right="380" w:firstLine="518"/>
        <w:spacing w:after="0" w:line="313" w:lineRule="auto"/>
        <w:rPr>
          <w:sz w:val="20"/>
          <w:szCs w:val="20"/>
          <w:color w:val="auto"/>
        </w:rPr>
      </w:pPr>
      <w:r>
        <w:rPr>
          <w:rFonts w:ascii="Times New Roman" w:cs="Times New Roman" w:eastAsia="Times New Roman" w:hAnsi="Times New Roman"/>
          <w:sz w:val="17"/>
          <w:szCs w:val="17"/>
          <w:color w:val="auto"/>
        </w:rPr>
        <w:t>From time to time, we may consider opportunities to acquire other products or technologies that may enhance our product platform or technology, expand the breadth of our markets or customer base, or advance our business strategies. Potential acquisitions involve numerous risks, including:</w:t>
      </w:r>
    </w:p>
    <w:p>
      <w:pPr>
        <w:spacing w:after="0" w:line="138" w:lineRule="exact"/>
        <w:rPr>
          <w:sz w:val="20"/>
          <w:szCs w:val="20"/>
          <w:color w:val="auto"/>
        </w:rPr>
      </w:pPr>
    </w:p>
    <w:p>
      <w:pPr>
        <w:ind w:left="1040" w:hanging="384"/>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assimilating the acquired products or technologies;</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issues maintaining uniform standards, procedures, controls and policies;</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costs associated with acquisitions;</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our existing business;</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entering new markets in which we have limited or no experience; and</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legal and accounting costs relating to the acquisitions or to compliance with regulatory matters.</w:t>
      </w:r>
    </w:p>
    <w:p>
      <w:pPr>
        <w:spacing w:after="0" w:line="225"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We have no current commitments with respect to any acquisition. We do not know if we will be able to identify acquisitions we deem suitable, whether we will be able to successfully complete any such acquisitions on favorable terms or at all, or whether we will be able to successfully integrate any acquired products or technologies into our business. Our potential inability to integrate any acquired products or technologies effectively may adversely affect our business, operating results and financial condition.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Results and Need for Financing</w:t>
      </w:r>
    </w:p>
    <w:p>
      <w:pPr>
        <w:spacing w:after="0" w:line="225"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to raise additional funds in the future. If these funds are not available to us, we will not have sufficient cash to fund our operations for the next twelve months. *</w:t>
      </w:r>
    </w:p>
    <w:p>
      <w:pPr>
        <w:spacing w:after="0" w:line="159" w:lineRule="exact"/>
        <w:rPr>
          <w:sz w:val="20"/>
          <w:szCs w:val="20"/>
          <w:color w:val="auto"/>
        </w:rPr>
      </w:pPr>
    </w:p>
    <w:p>
      <w:pPr>
        <w:ind w:right="40" w:firstLine="571"/>
        <w:spacing w:after="0" w:line="255" w:lineRule="auto"/>
        <w:rPr>
          <w:sz w:val="20"/>
          <w:szCs w:val="20"/>
          <w:color w:val="auto"/>
        </w:rPr>
      </w:pPr>
      <w:r>
        <w:rPr>
          <w:rFonts w:ascii="Times New Roman" w:cs="Times New Roman" w:eastAsia="Times New Roman" w:hAnsi="Times New Roman"/>
          <w:sz w:val="18"/>
          <w:szCs w:val="18"/>
          <w:color w:val="auto"/>
        </w:rPr>
        <w:t>At June 30, 2017, we had $37.8 million in cash, cash equivalents and short-term investments, which included $10.0 million of restricted cash. At the date our financial statements in this Quarterly Report were issued, our management believed that we did not have sufficient cash to fund our operations for the next twelve months without additional financing and therefore, we concluded there was substantial doubt about our ability to continue as a going concern within one year after the date the financial statements were issued. Moreover, the continued growth of our business, including the expansion of our customer care infrastructure to support our growing base of customers, additional research and development activities, and the transition to our new manufacturing facility, will continue to increase our expenses and capital needs. In addition, the amount of our future product sales is difficult to predict and actual sales may not be in line with our forecasts. Our future capital requirements will depend on many factors, including: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45" w:name="page46"/>
    <w:bookmarkEnd w:id="45"/>
    <w:p>
      <w:pPr>
        <w:ind w:left="1040" w:right="40" w:hanging="384"/>
        <w:spacing w:after="0" w:line="282"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generated by sales of our insulin pump products and pump-related supplies, and any other future products that we may develop and commercialize;</w:t>
      </w:r>
    </w:p>
    <w:p>
      <w:pPr>
        <w:spacing w:after="0" w:line="161"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maintaining an appropriate sales, clinical and marketing infrastructure;</w:t>
      </w:r>
    </w:p>
    <w:p>
      <w:pPr>
        <w:spacing w:after="0" w:line="225" w:lineRule="exact"/>
        <w:rPr>
          <w:rFonts w:ascii="Times New Roman" w:cs="Times New Roman" w:eastAsia="Times New Roman" w:hAnsi="Times New Roman"/>
          <w:sz w:val="18"/>
          <w:szCs w:val="18"/>
          <w:color w:val="auto"/>
        </w:rPr>
      </w:pPr>
    </w:p>
    <w:p>
      <w:pPr>
        <w:ind w:left="1040" w:right="960" w:hanging="384"/>
        <w:spacing w:after="0" w:line="313" w:lineRule="auto"/>
        <w:tabs>
          <w:tab w:leader="none" w:pos="10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gross profits we realize from the sales we generate and the expenses we incur in maintaining and expanding our manufacturing infrastructure, including opening our new manufacturing location and adding additional manufacturing equipment and capacity;</w:t>
      </w:r>
    </w:p>
    <w:p>
      <w:pPr>
        <w:spacing w:after="0" w:line="138" w:lineRule="exact"/>
        <w:rPr>
          <w:rFonts w:ascii="Times New Roman" w:cs="Times New Roman" w:eastAsia="Times New Roman" w:hAnsi="Times New Roman"/>
          <w:sz w:val="17"/>
          <w:szCs w:val="17"/>
          <w:color w:val="auto"/>
        </w:rPr>
      </w:pPr>
    </w:p>
    <w:p>
      <w:pPr>
        <w:ind w:left="1040" w:right="720" w:hanging="384"/>
        <w:spacing w:after="0" w:line="282"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associated with developing and commercializing our proposed products or technologies, including any costs to administer the Technology Upgrade Program;</w:t>
      </w:r>
    </w:p>
    <w:p>
      <w:pPr>
        <w:spacing w:after="0" w:line="161"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maintaining and expanding our customer care infrastructure;</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obtaining and maintaining regulatory clearance or approval for our current or future products;</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ongoing compliance with legal and regulatory requirements;</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we incur in connection with potential litigation or governmental investigations;</w:t>
      </w:r>
    </w:p>
    <w:p>
      <w:pPr>
        <w:spacing w:after="0" w:line="225" w:lineRule="exact"/>
        <w:rPr>
          <w:rFonts w:ascii="Times New Roman" w:cs="Times New Roman" w:eastAsia="Times New Roman" w:hAnsi="Times New Roman"/>
          <w:sz w:val="18"/>
          <w:szCs w:val="18"/>
          <w:color w:val="auto"/>
        </w:rPr>
      </w:pPr>
    </w:p>
    <w:p>
      <w:pPr>
        <w:ind w:left="1040" w:right="160" w:hanging="384"/>
        <w:spacing w:after="0" w:line="282"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the covenants in our Amended and Restated Term Loan Agreement with Capital Royalty Partners II, L.P. and its affiliate funds, or Capital Royalty Partners, as amended, which we refer to as the Term Loan Agreement;</w:t>
      </w:r>
    </w:p>
    <w:p>
      <w:pPr>
        <w:spacing w:after="0" w:line="161"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or unanticipated capital expenditures; and</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general and administrative expenses.</w:t>
      </w:r>
    </w:p>
    <w:p>
      <w:pPr>
        <w:spacing w:after="0" w:line="225" w:lineRule="exact"/>
        <w:rPr>
          <w:sz w:val="20"/>
          <w:szCs w:val="20"/>
          <w:color w:val="auto"/>
        </w:rPr>
      </w:pPr>
    </w:p>
    <w:p>
      <w:pPr>
        <w:ind w:right="100" w:firstLine="518"/>
        <w:spacing w:after="0" w:line="256" w:lineRule="auto"/>
        <w:rPr>
          <w:sz w:val="20"/>
          <w:szCs w:val="20"/>
          <w:color w:val="auto"/>
        </w:rPr>
      </w:pPr>
      <w:r>
        <w:rPr>
          <w:rFonts w:ascii="Times New Roman" w:cs="Times New Roman" w:eastAsia="Times New Roman" w:hAnsi="Times New Roman"/>
          <w:sz w:val="18"/>
          <w:szCs w:val="18"/>
          <w:color w:val="auto"/>
        </w:rPr>
        <w:t>We may in the future seek additional capital from public or private offerings of our capital stock or we may elect to borrow additional amounts under new credit lines or from other sources. If we issue equity or debt securities to raise additional funds, our existing stockholders may experience dilution, we may incur significant financing costs, and the new equity or debt securities may have rights, preferences and privileges senior to those of our existing stockholders. In addition, if we raise additional funds through collaborations, licensing, joint ventures, strategic alliances, partnership arrangements or other similar arrangements, it may be necessary to relinquish valuable rights to our potential future products or proprietary technologies, or grant licenses on terms that are not favorable to us.</w:t>
      </w:r>
    </w:p>
    <w:p>
      <w:pPr>
        <w:spacing w:after="0" w:line="188" w:lineRule="exact"/>
        <w:rPr>
          <w:sz w:val="20"/>
          <w:szCs w:val="20"/>
          <w:color w:val="auto"/>
        </w:rPr>
      </w:pPr>
    </w:p>
    <w:p>
      <w:pPr>
        <w:ind w:right="80" w:firstLine="518"/>
        <w:spacing w:after="0" w:line="261" w:lineRule="auto"/>
        <w:rPr>
          <w:sz w:val="20"/>
          <w:szCs w:val="20"/>
          <w:color w:val="auto"/>
        </w:rPr>
      </w:pPr>
      <w:r>
        <w:rPr>
          <w:rFonts w:ascii="Times New Roman" w:cs="Times New Roman" w:eastAsia="Times New Roman" w:hAnsi="Times New Roman"/>
          <w:sz w:val="18"/>
          <w:szCs w:val="18"/>
          <w:color w:val="auto"/>
        </w:rPr>
        <w:t>If we are unable to raise additional capital, we may not be able to maintain our existing sales, marketing, clinical and customer care infrastructure, enhance our current products or develop new products, take advantage of future opportunities, respond to competitive pressures, changes in supplier relationships, or unanticipated changes in customer demand, or satisfy covenants in our existing indebtedness. Any of these events could adversely affect our ability to achieve our strategic objectives, which could have a material adverse effect on our business, financial condition and operating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from quarter to quarter.</w:t>
      </w:r>
    </w:p>
    <w:p>
      <w:pPr>
        <w:spacing w:after="0" w:line="229"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There has been and may continue to be meaningful variability in our operating results from quarter to quarter, as well as within each quarter, especially around the time of anticipated new product introductions. Our operating results, and the variability of these operating results, will be affected by numerous factors, including:</w:t>
      </w:r>
    </w:p>
    <w:p>
      <w:pPr>
        <w:spacing w:after="0" w:line="176" w:lineRule="exact"/>
        <w:rPr>
          <w:sz w:val="20"/>
          <w:szCs w:val="20"/>
          <w:color w:val="auto"/>
        </w:rPr>
      </w:pPr>
    </w:p>
    <w:p>
      <w:pPr>
        <w:ind w:left="1040" w:right="160" w:hanging="384"/>
        <w:spacing w:after="0" w:line="282"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sales and gross profit of our insulin pump products and pump-related supplies, and to commercialize and sell our future products, and the number of our products sold in each quarter;</w:t>
      </w:r>
    </w:p>
    <w:p>
      <w:pPr>
        <w:spacing w:after="0" w:line="161"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products by people with insulin-dependent diabetes, their caregivers, healthcare providers and third-party payors;</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and accounting impacts of the Technology Upgrade Program;</w:t>
      </w:r>
    </w:p>
    <w:p>
      <w:pPr>
        <w:spacing w:after="0" w:line="225" w:lineRule="exact"/>
        <w:rPr>
          <w:rFonts w:ascii="Times New Roman" w:cs="Times New Roman" w:eastAsia="Times New Roman" w:hAnsi="Times New Roman"/>
          <w:sz w:val="18"/>
          <w:szCs w:val="18"/>
          <w:color w:val="auto"/>
        </w:rPr>
      </w:pPr>
    </w:p>
    <w:p>
      <w:pPr>
        <w:ind w:left="1040" w:right="780" w:hanging="384"/>
        <w:spacing w:after="0" w:line="282"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of our products and competitive products, including the use of discounts, rebates or other financial incentives by us or our competitors;</w:t>
      </w:r>
    </w:p>
    <w:p>
      <w:pPr>
        <w:spacing w:after="0" w:line="161"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third-party coverage and reimbursement policies;</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existing infrastructure;</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46" w:name="page47"/>
    <w:bookmarkEnd w:id="46"/>
    <w:p>
      <w:pPr>
        <w:ind w:left="1040" w:right="340" w:hanging="384"/>
        <w:spacing w:after="0" w:line="282"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and the timing of the payment for, insurance deductibles required to be paid by our customers and potential customers under their existing insurance plans;</w:t>
      </w:r>
    </w:p>
    <w:p>
      <w:pPr>
        <w:spacing w:after="0" w:line="161"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in the manufacturing or distribution of our products;</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simultaneously manufacture multiple products that meet quality and reliability requirements;</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seasonality and other factors affecting the timing of purchases of our products;</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new product offerings, acquisitions, licenses or other significant events by us or our competitors;</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research and trials on our existing and future products;</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suppliers to timely provide us with an adequate supply of components that meet our requirements;</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clearance or approvals affecting our products or those of our competitors; and</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revenue and expense recognition associated with our product sales pursuant to applicable accounting standards.</w:t>
      </w:r>
    </w:p>
    <w:p>
      <w:pPr>
        <w:spacing w:after="0" w:line="225" w:lineRule="exact"/>
        <w:rPr>
          <w:sz w:val="20"/>
          <w:szCs w:val="20"/>
          <w:color w:val="auto"/>
        </w:rPr>
      </w:pPr>
    </w:p>
    <w:p>
      <w:pPr>
        <w:ind w:right="80" w:firstLine="518"/>
        <w:spacing w:after="0" w:line="261" w:lineRule="auto"/>
        <w:rPr>
          <w:sz w:val="20"/>
          <w:szCs w:val="20"/>
          <w:color w:val="auto"/>
        </w:rPr>
      </w:pPr>
      <w:r>
        <w:rPr>
          <w:rFonts w:ascii="Times New Roman" w:cs="Times New Roman" w:eastAsia="Times New Roman" w:hAnsi="Times New Roman"/>
          <w:sz w:val="18"/>
          <w:szCs w:val="18"/>
          <w:color w:val="auto"/>
        </w:rPr>
        <w:t>As a result of our recent product launches, and due to the complexities of the industry in which we operate, it will continue to be difficult for us to forecast demand for our products with any degree of certainty, which means it will be difficult for us to forecast our sales. For example, in the period leading up to the commercial launch of t:slim X2, we believe there were an increasing number of customers anticipating its availability who delayed their purchasing decisions until they could include t:slim X2 in their decision-making process.</w:t>
      </w:r>
    </w:p>
    <w:p>
      <w:pPr>
        <w:spacing w:after="0" w:line="180" w:lineRule="exact"/>
        <w:rPr>
          <w:sz w:val="20"/>
          <w:szCs w:val="20"/>
          <w:color w:val="auto"/>
        </w:rPr>
      </w:pPr>
    </w:p>
    <w:p>
      <w:pPr>
        <w:ind w:right="60" w:firstLine="518"/>
        <w:spacing w:after="0" w:line="258" w:lineRule="auto"/>
        <w:rPr>
          <w:sz w:val="20"/>
          <w:szCs w:val="20"/>
          <w:color w:val="auto"/>
        </w:rPr>
      </w:pPr>
      <w:r>
        <w:rPr>
          <w:rFonts w:ascii="Times New Roman" w:cs="Times New Roman" w:eastAsia="Times New Roman" w:hAnsi="Times New Roman"/>
          <w:sz w:val="18"/>
          <w:szCs w:val="18"/>
          <w:color w:val="auto"/>
        </w:rPr>
        <w:t>In addition, our operating expenses will continue to increase as we expand our business. Accordingly, we may experience substantial variability in our operating results from quarter to quarter. If our quarterly or annual operating results fall below the expectation of investors or securities analysts, the price of our common stock could decline substantially as has occurred over the past several months. Further, any quarterly or annual fluctuations in our operating results may, in turn, cause the price of our common stock to fluctuate substantially. We believe that quarterly comparisons of our financial results are not necessarily meaningful and should not be relied upon as an indication of our future performance.</w:t>
      </w:r>
    </w:p>
    <w:p>
      <w:pPr>
        <w:spacing w:after="0" w:line="18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concluded that we do not have sufficient cash to fund our operations for the next twelve months without additional financing and, therefore, there was substantial doubt about its ability to continue as a going concern within one year after the date the financial statements were issued, which could have a material adverse impact on our business.*</w:t>
      </w:r>
    </w:p>
    <w:p>
      <w:pPr>
        <w:spacing w:after="0" w:line="175" w:lineRule="exact"/>
        <w:rPr>
          <w:sz w:val="20"/>
          <w:szCs w:val="20"/>
          <w:color w:val="auto"/>
        </w:rPr>
      </w:pPr>
    </w:p>
    <w:p>
      <w:pPr>
        <w:ind w:right="60" w:firstLine="518"/>
        <w:spacing w:after="0" w:line="258" w:lineRule="auto"/>
        <w:rPr>
          <w:sz w:val="20"/>
          <w:szCs w:val="20"/>
          <w:color w:val="auto"/>
        </w:rPr>
      </w:pPr>
      <w:r>
        <w:rPr>
          <w:rFonts w:ascii="Times New Roman" w:cs="Times New Roman" w:eastAsia="Times New Roman" w:hAnsi="Times New Roman"/>
          <w:sz w:val="18"/>
          <w:szCs w:val="18"/>
          <w:color w:val="auto"/>
        </w:rPr>
        <w:t>At the date the financial statements in this Quarterly Report were issued, our management believed that we did not have sufficient cash to fund our operations for the next twelve months without additional financing and, therefore, we concluded there was substantial doubt about our ability to continue as a going concern within one year after the date the financial statements were issued. The financial statements included in this Quarterly Report have been prepared on a basis that assumes that we will continue as a going concern, which contemplates the realization of assets and the satisfaction of liabilities and commitments in the normal course of business.</w:t>
      </w:r>
    </w:p>
    <w:p>
      <w:pPr>
        <w:spacing w:after="0" w:line="184"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Our ability to continue as a going concern is dependent upon a number of factors, including our ability to increase our sales and gross profits, our ability to generate positive cash flow from operations, and our ability to obtain the necessary financing to meet our obligations and repay our liabilities arising from obligations that become due in the ordinary course of business. Management currently believes that it will be necessary for us to raise additional funding. However, reports issued by independent registered public accounting firm’s expressing substantial doubt about a company’s ability to continue as a going concern are generally viewed unfavorably by current and prospective investors, as well as by analysts and creditors. As a result, this report may make it more difficult for us to raise the additional financing necessary to continue to operate our business. In addition, this report may make it more difficult for us to sell our products and meet our sales forecasts, which may further impede our ability to raise additional financing.</w:t>
      </w:r>
    </w:p>
    <w:p>
      <w:pPr>
        <w:spacing w:after="0" w:line="189" w:lineRule="exact"/>
        <w:rPr>
          <w:sz w:val="20"/>
          <w:szCs w:val="20"/>
          <w:color w:val="auto"/>
        </w:rPr>
      </w:pPr>
    </w:p>
    <w:p>
      <w:pPr>
        <w:ind w:right="20" w:firstLine="518"/>
        <w:spacing w:after="0" w:line="266" w:lineRule="auto"/>
        <w:rPr>
          <w:sz w:val="20"/>
          <w:szCs w:val="20"/>
          <w:color w:val="auto"/>
        </w:rPr>
      </w:pPr>
      <w:r>
        <w:rPr>
          <w:rFonts w:ascii="Times New Roman" w:cs="Times New Roman" w:eastAsia="Times New Roman" w:hAnsi="Times New Roman"/>
          <w:sz w:val="18"/>
          <w:szCs w:val="18"/>
          <w:color w:val="auto"/>
        </w:rPr>
        <w:t>If we cannot generate sufficient revenues from the sale of our products or secure additional financing on acceptable terms, we may be forced to significantly alter our business strategy, substantially curtail our current operations, or cease operations altogether. We may also be unable to satisfy covenants in our Term Loan Agreement if we are unable to secure additional equity financing.</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7" w:name="page48"/>
    <w:bookmarkEnd w:id="47"/>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generate sufficient cash to service our indebtedness, which currently consists of our Term Loan Agreement with Capital Royalty Partners.</w:t>
      </w:r>
    </w:p>
    <w:p>
      <w:pPr>
        <w:spacing w:after="0" w:line="159" w:lineRule="exact"/>
        <w:rPr>
          <w:sz w:val="20"/>
          <w:szCs w:val="20"/>
          <w:color w:val="auto"/>
        </w:rPr>
      </w:pPr>
    </w:p>
    <w:p>
      <w:pPr>
        <w:ind w:right="20" w:firstLine="571"/>
        <w:spacing w:after="0" w:line="256" w:lineRule="auto"/>
        <w:rPr>
          <w:sz w:val="20"/>
          <w:szCs w:val="20"/>
          <w:color w:val="auto"/>
        </w:rPr>
      </w:pPr>
      <w:r>
        <w:rPr>
          <w:rFonts w:ascii="Times New Roman" w:cs="Times New Roman" w:eastAsia="Times New Roman" w:hAnsi="Times New Roman"/>
          <w:sz w:val="18"/>
          <w:szCs w:val="18"/>
          <w:color w:val="auto"/>
        </w:rPr>
        <w:t>At December 31, 2016, we had $81.1 million aggregate borrowings outstanding under the Term Loan Agreement with Capital Royalty Partners. Our ability to make scheduled payments or to refinance our debt obligations depends on numerous factors, including the amount of our cash reserves at the time a scheduled payment becomes due and our actual and projected financial and operating performance. The amount of our cash reserves and our financial and operating performance are subject to certain financial and business factors, as well as prevailing economic and competitive conditions, some of which may be beyond our control. We cannot assure you that we will maintain a level of cash reserves or cash flows from operating activities sufficient to permit us to pay the principal, premium, if any, or interest on our existing or future indebtedness.</w:t>
      </w:r>
    </w:p>
    <w:p>
      <w:pPr>
        <w:spacing w:after="0" w:line="188" w:lineRule="exact"/>
        <w:rPr>
          <w:sz w:val="20"/>
          <w:szCs w:val="20"/>
          <w:color w:val="auto"/>
        </w:rPr>
      </w:pPr>
    </w:p>
    <w:p>
      <w:pPr>
        <w:ind w:right="100" w:firstLine="571"/>
        <w:spacing w:after="0" w:line="255" w:lineRule="auto"/>
        <w:rPr>
          <w:sz w:val="20"/>
          <w:szCs w:val="20"/>
          <w:color w:val="auto"/>
        </w:rPr>
      </w:pPr>
      <w:r>
        <w:rPr>
          <w:rFonts w:ascii="Times New Roman" w:cs="Times New Roman" w:eastAsia="Times New Roman" w:hAnsi="Times New Roman"/>
          <w:sz w:val="18"/>
          <w:szCs w:val="18"/>
          <w:color w:val="auto"/>
        </w:rPr>
        <w:t>If our cash balances or cash flows from operations are insufficient to fund our debt service obligations, we may be forced to reduce or delay capital expenditures, sell or license our assets, sell or reduce our operations, seek additional capital on unfavorable terms, or restructure or refinance our indebtedness. We cannot assure you that we would be able to take any of these actions, or that these actions would permit us to meet our scheduled debt service obligations. Our recent and projected financial results, the explanatory paragraph that describes conditions that raise substantial doubt about our ability to continue as a going concern in the report of our independent registered public accounting firm, and general concerns among potential investors and creditors about our financial well-being may make taking such actions on commercially reasonable terms especially difficult. If we are unable to generate sufficient cash flow or are otherwise unable to obtain the funds necessary to meet required payments of principal, premium, if any, and interest on our indebtedness, we could be in default under the terms of the Term Loan Agreement.</w:t>
      </w:r>
    </w:p>
    <w:p>
      <w:pPr>
        <w:spacing w:after="0" w:line="181"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Term Loan Agreement contains restrictive and financial covenants that may limit our operating flexibility, and our potential inability to comply with such covenants puts us at risk of triggering an event of default under the Term Loan Agreement.*</w:t>
      </w:r>
    </w:p>
    <w:p>
      <w:pPr>
        <w:spacing w:after="0" w:line="159" w:lineRule="exact"/>
        <w:rPr>
          <w:sz w:val="20"/>
          <w:szCs w:val="20"/>
          <w:color w:val="auto"/>
        </w:rPr>
      </w:pPr>
    </w:p>
    <w:p>
      <w:pPr>
        <w:ind w:right="300" w:firstLine="571"/>
        <w:spacing w:after="0" w:line="261" w:lineRule="auto"/>
        <w:rPr>
          <w:sz w:val="20"/>
          <w:szCs w:val="20"/>
          <w:color w:val="auto"/>
        </w:rPr>
      </w:pPr>
      <w:r>
        <w:rPr>
          <w:rFonts w:ascii="Times New Roman" w:cs="Times New Roman" w:eastAsia="Times New Roman" w:hAnsi="Times New Roman"/>
          <w:sz w:val="18"/>
          <w:szCs w:val="18"/>
          <w:color w:val="auto"/>
        </w:rPr>
        <w:t>The Term Loan Agreement contains certain restrictive covenants that limit our ability to incur additional indebtedness and liens, merge with other companies or consummate certain changes of control, acquire other companies, engage in new lines of business, make certain investments, pay dividends, transfer or dispose of assets, amend certain material agreements or enter into various specified transactions. We may not be able to engage in any of the foregoing transactions unless we obtain the consent of Capital Royalty Partners or terminate the Term Loan Agreement.</w:t>
      </w:r>
    </w:p>
    <w:p>
      <w:pPr>
        <w:spacing w:after="0" w:line="180" w:lineRule="exact"/>
        <w:rPr>
          <w:sz w:val="20"/>
          <w:szCs w:val="20"/>
          <w:color w:val="auto"/>
        </w:rPr>
      </w:pPr>
    </w:p>
    <w:p>
      <w:pPr>
        <w:ind w:right="20" w:firstLine="571"/>
        <w:spacing w:after="0" w:line="261" w:lineRule="auto"/>
        <w:rPr>
          <w:sz w:val="20"/>
          <w:szCs w:val="20"/>
          <w:color w:val="auto"/>
        </w:rPr>
      </w:pPr>
      <w:r>
        <w:rPr>
          <w:rFonts w:ascii="Times New Roman" w:cs="Times New Roman" w:eastAsia="Times New Roman" w:hAnsi="Times New Roman"/>
          <w:sz w:val="18"/>
          <w:szCs w:val="18"/>
          <w:color w:val="auto"/>
        </w:rPr>
        <w:t>The Term Loan Agreement also contains certain financial covenants, including minimum revenue and cash balance requirements, and financial reporting requirements. There is no guarantee that we will be able to generate sufficient cash flow or sales to meet the financial covenants or pay the principal and interest under the Term Loan Agreement. Further, there is no guarantee that future working capital, borrowings or equity financing will be available to repay or refinance the amounts outstanding under the Term Loan Agreement.</w:t>
      </w:r>
    </w:p>
    <w:p>
      <w:pPr>
        <w:spacing w:after="0" w:line="180" w:lineRule="exact"/>
        <w:rPr>
          <w:sz w:val="20"/>
          <w:szCs w:val="20"/>
          <w:color w:val="auto"/>
        </w:rPr>
      </w:pPr>
    </w:p>
    <w:p>
      <w:pPr>
        <w:ind w:right="60" w:firstLine="518"/>
        <w:spacing w:after="0" w:line="254" w:lineRule="auto"/>
        <w:rPr>
          <w:sz w:val="20"/>
          <w:szCs w:val="20"/>
          <w:color w:val="auto"/>
        </w:rPr>
      </w:pPr>
      <w:r>
        <w:rPr>
          <w:rFonts w:ascii="Times New Roman" w:cs="Times New Roman" w:eastAsia="Times New Roman" w:hAnsi="Times New Roman"/>
          <w:sz w:val="18"/>
          <w:szCs w:val="18"/>
          <w:color w:val="auto"/>
        </w:rPr>
        <w:t>The terms of the Term Loan Agreement also require that we deliver audited financial statements that include an unqualified audit report to Capital Royalty Partners. The audit report and opinion of our independent registered public accounting firm contained in our financial statements for the year ended December 31, 2016 includes an explanatory paragraph that describes conditions that raise substantial doubt about our ability to continue as a going concern. This explanatory paragraph in our auditor’s report constitutes a potential event of default under the Term Loan Agreement. As a result, on March 7, 2017, we entered into Waiver and Amendment No. 4 to Term Loan Agreement, or the Fourth Amendment, which includes a limited waiver of a potential event of default that could have resulted from the inclusion of the explanatory paragraph in our auditor’s report. The Fourth Amendment also imposes additional restrictive and financial covenants on us, which may increase our risk of triggering defaults under the Term Loan Agreement. In particular, the Fourth Amendment provides that we must complete financings in which our gross proceeds from the sale of equity securities is at least $30.0 million no later than January 15, 2018.</w:t>
      </w:r>
    </w:p>
    <w:p>
      <w:pPr>
        <w:spacing w:after="0" w:line="189"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In the event of a future default triggered by any violations of the covenants in the Term Loan Agreement, including the new covenants in the Fourth Amendment, we will need to obtain additional waivers from Capital Royalty Partners to avoid being in default. If we are unable to obtain additional waivers of those events of default, or amendments to the Term Loan Agreement that would allow us to be in compliance with the terms of the agreement, an event of default would result. In the event of our default under the Term Loan Agreement, including if we fail to raise $30.0 million in gross proceeds from equity financings by January 15, 2018, we may be required to repay any outstanding amounts earlier than anticipated and our capital resources may not be sufficient to meet those obligations. Further, if we are unable to repay our indebtedness and Capital Royalty Partners institutes foreclosure proceedings against our assets, we could be forced into bankruptcy or liquidation, and in such a scenario, the values that we receive for our assets could be significantly lower than the values reflected in our financial statements.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 and Potential Litigation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protect our intellectual property and proprietary technology is uncertain.*</w:t>
      </w:r>
    </w:p>
    <w:p>
      <w:pPr>
        <w:spacing w:after="0" w:line="229"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We rely primarily on patent, trademark and trade secret laws, as well as confidentiality and non-disclosure agreements, to protect our proprietary technologies. As of June 30, 2017, our patent portfolio consisted of approximately 54 issued U.S. patents and 50 pending U.S. patent applications. Of these, our issued U.S. patents expire between approximately 2021 and 2035. We also have and are seeking patent protection for our proprietary technologies in other countries throughout the world. In addition, we have 10 U.S. trademark registrations and 13 foreign trademark registrations.</w:t>
      </w:r>
    </w:p>
    <w:p>
      <w:pPr>
        <w:spacing w:after="0" w:line="180" w:lineRule="exact"/>
        <w:rPr>
          <w:sz w:val="20"/>
          <w:szCs w:val="20"/>
          <w:color w:val="auto"/>
        </w:rPr>
      </w:pPr>
    </w:p>
    <w:p>
      <w:pPr>
        <w:ind w:right="80" w:firstLine="518"/>
        <w:spacing w:after="0" w:line="254" w:lineRule="auto"/>
        <w:rPr>
          <w:sz w:val="20"/>
          <w:szCs w:val="20"/>
          <w:color w:val="auto"/>
        </w:rPr>
      </w:pPr>
      <w:r>
        <w:rPr>
          <w:rFonts w:ascii="Times New Roman" w:cs="Times New Roman" w:eastAsia="Times New Roman" w:hAnsi="Times New Roman"/>
          <w:sz w:val="18"/>
          <w:szCs w:val="18"/>
          <w:color w:val="auto"/>
        </w:rPr>
        <w:t>We have applied for patent protection relating to certain existing and proposed products and processes. If we fail to file a patent application timely in any jurisdiction, we may be precluded from doing so at a later date. Further, we cannot assure you that any of our patent applications will be approved in a timely manner or at all. The rights granted to us under our patents, and the rights we are seeking to have granted in our pending patent applications, may not be meaningful or provide us with any commercial advantage. In addition, those rights could be opposed, contested or circumvented by our competitors, or be declared invalid or unenforceable in judicial or administrative proceedings. The failure of our patents to adequately protect our technology might make it easier for our competitors to offer the same or similar products or technologies. Even if we are successful in receiving patent protection for certain products and processes, our competitors may be able to design around our patents or develop products that provide outcomes which are comparable to ours without infringing on our intellectual property rights. Due to differences between foreign and U.S. patent laws, our patented intellectual property rights may not receive the same degree of protection in foreign countries as they would in the United States. Even if patents are granted outside of the United States, effective enforcement in those countries may not be available.</w:t>
      </w:r>
    </w:p>
    <w:p>
      <w:pPr>
        <w:spacing w:after="0" w:line="186" w:lineRule="exact"/>
        <w:rPr>
          <w:sz w:val="20"/>
          <w:szCs w:val="20"/>
          <w:color w:val="auto"/>
        </w:rPr>
      </w:pPr>
    </w:p>
    <w:p>
      <w:pPr>
        <w:ind w:right="60" w:firstLine="518"/>
        <w:spacing w:after="0" w:line="256" w:lineRule="auto"/>
        <w:rPr>
          <w:sz w:val="20"/>
          <w:szCs w:val="20"/>
          <w:color w:val="auto"/>
        </w:rPr>
      </w:pPr>
      <w:r>
        <w:rPr>
          <w:rFonts w:ascii="Times New Roman" w:cs="Times New Roman" w:eastAsia="Times New Roman" w:hAnsi="Times New Roman"/>
          <w:sz w:val="18"/>
          <w:szCs w:val="18"/>
          <w:color w:val="auto"/>
        </w:rPr>
        <w:t>We rely on our trademarks and trade names to distinguish our products from the products of our competitors, and have registered or applied to register many of these trademarks. We cannot assure you that our current or future trademark applications will be approved in a timely manner or at all. Third parties also may oppose our trademark applications, or otherwise challenge our use of the trademarks. In the event that our trademarks are successfully challenged, we could be forced to rebrand our products, which could result in loss of brand recognition, and could require us to devote additional resources to marketing new brands. Further, we cannot assure you that competitors will not infringe upon our trademarks, or that we will have adequate resources to enforce our trademarks.</w:t>
      </w:r>
    </w:p>
    <w:p>
      <w:pPr>
        <w:spacing w:after="0" w:line="188" w:lineRule="exact"/>
        <w:rPr>
          <w:sz w:val="20"/>
          <w:szCs w:val="20"/>
          <w:color w:val="auto"/>
        </w:rPr>
      </w:pPr>
    </w:p>
    <w:p>
      <w:pPr>
        <w:ind w:right="140" w:firstLine="518"/>
        <w:spacing w:after="0" w:line="266" w:lineRule="auto"/>
        <w:rPr>
          <w:sz w:val="20"/>
          <w:szCs w:val="20"/>
          <w:color w:val="auto"/>
        </w:rPr>
      </w:pPr>
      <w:r>
        <w:rPr>
          <w:rFonts w:ascii="Times New Roman" w:cs="Times New Roman" w:eastAsia="Times New Roman" w:hAnsi="Times New Roman"/>
          <w:sz w:val="18"/>
          <w:szCs w:val="18"/>
          <w:color w:val="auto"/>
        </w:rPr>
        <w:t>We have entered into confidentiality agreements and intellectual property assignment agreements with our officers, employees, temporary employees and consultants regarding our intellectual property and proprietary technology. In the event of unauthorized use or disclosure or other breaches of those agreements, we may not be provided with meaningful protection for our trade secrets or other proprietary information.</w:t>
      </w:r>
    </w:p>
    <w:p>
      <w:pPr>
        <w:spacing w:after="0" w:line="176" w:lineRule="exact"/>
        <w:rPr>
          <w:sz w:val="20"/>
          <w:szCs w:val="20"/>
          <w:color w:val="auto"/>
        </w:rPr>
      </w:pPr>
    </w:p>
    <w:p>
      <w:pPr>
        <w:ind w:right="120" w:firstLine="518"/>
        <w:spacing w:after="0" w:line="254" w:lineRule="auto"/>
        <w:rPr>
          <w:sz w:val="20"/>
          <w:szCs w:val="20"/>
          <w:color w:val="auto"/>
        </w:rPr>
      </w:pPr>
      <w:r>
        <w:rPr>
          <w:rFonts w:ascii="Times New Roman" w:cs="Times New Roman" w:eastAsia="Times New Roman" w:hAnsi="Times New Roman"/>
          <w:sz w:val="18"/>
          <w:szCs w:val="18"/>
          <w:color w:val="auto"/>
        </w:rPr>
        <w:t>If a competitor infringes upon one of our patents, trademarks or other intellectual property rights, enforcing those patents, trademarks and other rights may be difficult and time consuming. Patent law relating to the scope of claims in the industry in which we operate is subject to rapid change and constant evolution and, consequently, patent positions in our industry can be uncertain. Even if successful, litigation to defend our patents and trademarks against challenges or to enforce our intellectual property rights could be expensive and time consuming and could divert management’s attention from managing our business. Moreover, we may not have sufficient resources or incentive to defend our patents or trademarks against challenges or to enforce our intellectual property rights. Litigation also puts our patents at risk of being invalidated or interpreted narrowly and our patent applications at risk of not issuing. Additionally, pursuing litigation may provoke third parties to assert counterclaims against us. We may not prevail in any lawsuits that we initiate and the damages or other remedies awarded, if any, may not be commercially valuable. The occurrence of any of these events may have a material adverse effect on our business, financial condition and operating results.</w:t>
      </w:r>
    </w:p>
    <w:p>
      <w:pPr>
        <w:spacing w:after="0" w:line="18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medical device industry is characterized by patent litigation, and from time to time, we may be subject to litigation that could be costly, result in the diversion of management’s time and efforts, or require us to pay damages.</w:t>
      </w:r>
    </w:p>
    <w:p>
      <w:pPr>
        <w:spacing w:after="0" w:line="159" w:lineRule="exact"/>
        <w:rPr>
          <w:sz w:val="20"/>
          <w:szCs w:val="20"/>
          <w:color w:val="auto"/>
        </w:rPr>
      </w:pPr>
    </w:p>
    <w:p>
      <w:pPr>
        <w:ind w:right="60" w:firstLine="518"/>
        <w:spacing w:after="0" w:line="258" w:lineRule="auto"/>
        <w:rPr>
          <w:sz w:val="20"/>
          <w:szCs w:val="20"/>
          <w:color w:val="auto"/>
        </w:rPr>
      </w:pPr>
      <w:r>
        <w:rPr>
          <w:rFonts w:ascii="Times New Roman" w:cs="Times New Roman" w:eastAsia="Times New Roman" w:hAnsi="Times New Roman"/>
          <w:sz w:val="18"/>
          <w:szCs w:val="18"/>
          <w:color w:val="auto"/>
        </w:rPr>
        <w:t>Our success will depend in part on not infringing the patents or violating the other proprietary rights of third parties. Significant litigation regarding patent rights exists in our industry. Our competitors in both the United States and abroad, many of which have substantially greater resources and have made substantial investments in competing technologies, may have applied for or obtained or may in the future apply for and obtain, patents that will prevent, limit or otherwise interfere with our ability to make and sell our products. The large number of patents, the rapid rate of new patent issuances, and the complexities of the technology involved increase the risk of patent litigation.</w:t>
      </w:r>
    </w:p>
    <w:p>
      <w:pPr>
        <w:spacing w:after="0" w:line="184" w:lineRule="exact"/>
        <w:rPr>
          <w:sz w:val="20"/>
          <w:szCs w:val="20"/>
          <w:color w:val="auto"/>
        </w:rPr>
      </w:pPr>
    </w:p>
    <w:p>
      <w:pPr>
        <w:ind w:right="180" w:firstLine="518"/>
        <w:spacing w:after="0" w:line="282" w:lineRule="auto"/>
        <w:rPr>
          <w:sz w:val="20"/>
          <w:szCs w:val="20"/>
          <w:color w:val="auto"/>
        </w:rPr>
      </w:pPr>
      <w:r>
        <w:rPr>
          <w:rFonts w:ascii="Times New Roman" w:cs="Times New Roman" w:eastAsia="Times New Roman" w:hAnsi="Times New Roman"/>
          <w:sz w:val="18"/>
          <w:szCs w:val="18"/>
          <w:color w:val="auto"/>
        </w:rPr>
        <w:t>From time to time, we may receive communications from third parties alleging our infringement of their intellectual property rights. Any intellectual property dispute or litigation could force us to do one or more of the following:</w:t>
      </w:r>
    </w:p>
    <w:p>
      <w:pPr>
        <w:spacing w:after="0" w:line="162" w:lineRule="exact"/>
        <w:rPr>
          <w:sz w:val="20"/>
          <w:szCs w:val="20"/>
          <w:color w:val="auto"/>
        </w:rPr>
      </w:pPr>
    </w:p>
    <w:p>
      <w:pPr>
        <w:ind w:left="1040" w:hanging="384"/>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stop selling our products or using technology that contains the allegedly infringing intellectual property;</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significant legal expenses;</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49" w:name="page50"/>
    <w:bookmarkEnd w:id="49"/>
    <w:p>
      <w:pPr>
        <w:ind w:left="1040" w:hanging="384"/>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 to the party whose intellectual property rights we are allegedly infringing;</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 those products that contain the allegedly infringing intellectual property; or</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attempt to obtain a license to the relevant intellectual property from third parties, which may not be available on reasonable terms or at all.</w:t>
      </w:r>
    </w:p>
    <w:p>
      <w:pPr>
        <w:spacing w:after="0" w:line="225" w:lineRule="exact"/>
        <w:rPr>
          <w:sz w:val="20"/>
          <w:szCs w:val="20"/>
          <w:color w:val="auto"/>
        </w:rPr>
      </w:pPr>
    </w:p>
    <w:p>
      <w:pPr>
        <w:ind w:right="80" w:firstLine="518"/>
        <w:spacing w:after="0" w:line="266" w:lineRule="auto"/>
        <w:rPr>
          <w:sz w:val="20"/>
          <w:szCs w:val="20"/>
          <w:color w:val="auto"/>
        </w:rPr>
      </w:pPr>
      <w:r>
        <w:rPr>
          <w:rFonts w:ascii="Times New Roman" w:cs="Times New Roman" w:eastAsia="Times New Roman" w:hAnsi="Times New Roman"/>
          <w:sz w:val="18"/>
          <w:szCs w:val="18"/>
          <w:color w:val="auto"/>
        </w:rPr>
        <w:t>Any litigation or claim against us, even those without merit, may cause us to incur substantial costs, and could place a significant strain on our financial resources, divert the attention of management from our core business and harm our reputation. Further, as the number of participants in the diabetes market increases, the possibility of intellectual property infringement claims against us increases.</w:t>
      </w:r>
    </w:p>
    <w:p>
      <w:pPr>
        <w:spacing w:after="0" w:line="172"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damages resulting from claims that we, or our employees, have wrongfully used or disclosed alleged trade secrets of our competitors or are in breach of non-competition or non-solicitation agreements with our competitors.</w:t>
      </w:r>
    </w:p>
    <w:p>
      <w:pPr>
        <w:spacing w:after="0" w:line="159" w:lineRule="exact"/>
        <w:rPr>
          <w:sz w:val="20"/>
          <w:szCs w:val="20"/>
          <w:color w:val="auto"/>
        </w:rPr>
      </w:pPr>
    </w:p>
    <w:p>
      <w:pPr>
        <w:ind w:right="40" w:firstLine="518"/>
        <w:spacing w:after="0" w:line="254" w:lineRule="auto"/>
        <w:rPr>
          <w:sz w:val="20"/>
          <w:szCs w:val="20"/>
          <w:color w:val="auto"/>
        </w:rPr>
      </w:pPr>
      <w:r>
        <w:rPr>
          <w:rFonts w:ascii="Times New Roman" w:cs="Times New Roman" w:eastAsia="Times New Roman" w:hAnsi="Times New Roman"/>
          <w:sz w:val="18"/>
          <w:szCs w:val="18"/>
          <w:color w:val="auto"/>
        </w:rPr>
        <w:t>Many of our employees were previously employed at other medical device companies, including those that are our direct competitors or could potentially become our direct competitors. In some cases, those employees joined our company recently. We may be subject to claims that we, or our employees, have inadvertently or otherwise used or disclosed trade secrets or other proprietary information of these former employers or competitors. In addition, we have been and may in the future be subject to allegations that we caused an employee to breach the terms of his or her non-competition or non-solicitation agreement. Litigation may be necessary to defend against these claims. Even if we successfully defend against these claims, litigation could cause us to incur substantial costs, and could place a significant strain on our financial resources, divert the attention of management from our core business and harm our reputation. If our defense to those claims fails, in addition to paying monetary damages, we may lose valuable intellectual property rights or personnel. We cannot guarantee that this type of litigation will not continue, and any future litigation or the threat thereof may adversely affect our ability to hire additional direct sales representatives. A loss of key personnel or their work product could hamper or prevent our ability to commercialize proposed products, which could have an adverse effect on our business, financial condition and operating results.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incur product liability losses, and insurance coverage may be inadequate or unavailable to cover these losses.</w:t>
      </w:r>
    </w:p>
    <w:p>
      <w:pPr>
        <w:spacing w:after="0" w:line="229"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Our business exposes us to potential product liability claims that are inherent in the design, manufacture, testing and sale of medical devices. We could become the subject of product liability lawsuits alleging that component failures, manufacturing flaws, design defects or inadequate disclosure of product-related risks or product-related information resulted in an unsafe condition, injury or death to customers. The risk of one or more product liability claims or lawsuits may be even greater following our January 2014 voluntary recall of cartridges used with t:slim. In addition, the misuse of our products or the failure of customers to adhere to operating guidelines could cause significant harm to customers, including death, which could result in product liability claims. Product liability lawsuits and claims, safety alerts or product recalls, with or without merit, could cause us to incur substantial costs, and could place a significant strain on our financial resources, divert the attention of management from our core business, harm our reputation and adversely affect our ability to attract and retain customers, any of which could have a material adverse effect on our business, financial condition and operating results.</w:t>
      </w:r>
    </w:p>
    <w:p>
      <w:pPr>
        <w:spacing w:after="0" w:line="185" w:lineRule="exact"/>
        <w:rPr>
          <w:sz w:val="20"/>
          <w:szCs w:val="20"/>
          <w:color w:val="auto"/>
        </w:rPr>
      </w:pPr>
    </w:p>
    <w:p>
      <w:pPr>
        <w:ind w:right="140" w:firstLine="518"/>
        <w:spacing w:after="0" w:line="255" w:lineRule="auto"/>
        <w:rPr>
          <w:sz w:val="20"/>
          <w:szCs w:val="20"/>
          <w:color w:val="auto"/>
        </w:rPr>
      </w:pPr>
      <w:r>
        <w:rPr>
          <w:rFonts w:ascii="Times New Roman" w:cs="Times New Roman" w:eastAsia="Times New Roman" w:hAnsi="Times New Roman"/>
          <w:sz w:val="18"/>
          <w:szCs w:val="18"/>
          <w:color w:val="auto"/>
        </w:rPr>
        <w:t>Although we maintain third-party product liability insurance coverage, it is possible that claims against us may exceed the coverage limits of our insurance policies. Even if any product liability loss is covered by an insurance policy, these policies typically have substantial deductibles for which we are responsible. Product liability claims in excess of applicable insurance coverage could have a material adverse effect on our business, financial condition and operating results. In addition, any product liability claim brought against us, with or without merit, could result in an increase of our product liability insurance premiums. Insurance coverage varies in cost and can be difficult to obtain, and we cannot guarantee that we will be able to obtain insurance coverage in the future on terms acceptable to us or at all. Our inability to obtain sufficient insurance coverage to protect again potential product liability claims could prevent or limit our commercialization of current products or products currently under development.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Legal and Regulatory Environment</w:t>
      </w:r>
    </w:p>
    <w:p>
      <w:pPr>
        <w:spacing w:after="0" w:line="225"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and operations are subject to extensive governmental regulation, and failure to comply with applicable requirements could cause our business to suffer.</w:t>
      </w:r>
    </w:p>
    <w:p>
      <w:pPr>
        <w:spacing w:after="0" w:line="159" w:lineRule="exact"/>
        <w:rPr>
          <w:sz w:val="20"/>
          <w:szCs w:val="20"/>
          <w:color w:val="auto"/>
        </w:rPr>
      </w:pPr>
    </w:p>
    <w:p>
      <w:pPr>
        <w:ind w:right="240" w:firstLine="518"/>
        <w:spacing w:after="0" w:line="261" w:lineRule="auto"/>
        <w:rPr>
          <w:sz w:val="20"/>
          <w:szCs w:val="20"/>
          <w:color w:val="auto"/>
        </w:rPr>
      </w:pPr>
      <w:r>
        <w:rPr>
          <w:rFonts w:ascii="Times New Roman" w:cs="Times New Roman" w:eastAsia="Times New Roman" w:hAnsi="Times New Roman"/>
          <w:sz w:val="18"/>
          <w:szCs w:val="18"/>
          <w:color w:val="auto"/>
        </w:rPr>
        <w:t>The medical device industry is regulated extensively by governmental authorities, principally the FDA and corresponding state regulatory agencies. The regulations are very complex and are subject to rapid change and varying interpretations. Regulatory restrictions or changes could limit our ability to carry on or expand our operations or result in higher than anticipated costs or lower than anticipated sales. The FDA and other U.S. governmental agencies regulate numerous elements of our business, including:</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50" w:name="page51"/>
    <w:bookmarkEnd w:id="50"/>
    <w:p>
      <w:pPr>
        <w:ind w:left="1040" w:hanging="384"/>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design and development;</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and clinical testing and trials;</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safety;</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registration and product listing;</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labeling and storage;</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manufacturing, sales and distribution;</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pre-market clearance or approval;</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servicing and post-market surveillance;</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advertising and promotion; and</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recalls and field safety corrective actions.</w:t>
      </w:r>
    </w:p>
    <w:p>
      <w:pPr>
        <w:spacing w:after="0" w:line="225"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Before we can market or sell a new regulated product or a significant modification to an existing product in the United States, we must obtain either clearance under Section 510(k) of the FDCA or approval of a PMA application from the FDA, unless an exemption from pre-market review applies. In the 510(k) clearance process, the FDA must determine that a proposed device is “substantially equivalent” to a device legally on the market, known as a “predicate” device, with respect to intended use, technology and safety and effectiveness, in order to clear the proposed device for marketing. Clinical data is sometimes required to support substantial equivalence. The PMA pathway requires an applicant to demonstrate the safety and effectiveness of the device based on extensive data. The PMA process is typically required for devices that are deemed to pose the greatest risk, such as life-sustaining, life-supporting or implantable devices. We received approval of our PMA for t:slim G4 in September 2015 and are currently awaiting approval of our PMA supplement for t:slim X2 with G5 that we filed in the first quarter of 2017. Products that are approved through a PMA application generally need FDA approval before they can be modified. Similarly, some modifications made to products cleared through a 510(k) may require a new 510(k). The process of obtaining regulatory clearances or approvals to market a medical device can be costly and time-consuming, and we may not be able to obtain these clearances or approvals on a timely basis or at all for our proposed products.</w:t>
      </w:r>
    </w:p>
    <w:p>
      <w:pPr>
        <w:spacing w:after="0" w:line="193"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We initially received pre-market clearance for t:slim under Section 510(k) of the FDCA in November 2011. We obtained 510(k) clearances for t:connect and t:flex in February 2013 and January 2015, respectively. From time to time, we may make modifications to these products that may require a new 510(k). We have received 510(k) clearance for various modifications to t:slim and its associated cartridge. For instance, in July 2016, we received 510(k) clearance to reduce the age in our indications for use of t:slim to age six. We may pursue 510(k) clearance for additional modifications to t:slim X2 and t:flex in the future. In addition, in July 2016, we received 510(k) clearance for the first use of our Tandem Device Updater. If the FDA requires us to go through a more rigorous examination for future products or modifications to existing products than we had expected, our product introductions or modifications could be delayed or canceled, which could cause our sales to decline or to not increase in line with our forecasts. We anticipate that our products currently under development will require the more costly, lengthy and uncertain PMA approval process.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FDA can delay, limit or deny clearance or approval of one of our devices for many reasons, including:</w:t>
      </w:r>
    </w:p>
    <w:p>
      <w:pPr>
        <w:spacing w:after="0" w:line="225" w:lineRule="exact"/>
        <w:rPr>
          <w:sz w:val="20"/>
          <w:szCs w:val="20"/>
          <w:color w:val="auto"/>
        </w:rPr>
      </w:pPr>
    </w:p>
    <w:p>
      <w:pPr>
        <w:ind w:left="1040" w:hanging="384"/>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demonstrate that our products are safe and effective for their intended users;</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from our clinical trials may be insufficient to support clearance or approval; and</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the manufacturing process or facilities we use to meet applicable requirements.</w:t>
      </w:r>
    </w:p>
    <w:p>
      <w:pPr>
        <w:spacing w:after="0" w:line="225" w:lineRule="exact"/>
        <w:rPr>
          <w:sz w:val="20"/>
          <w:szCs w:val="20"/>
          <w:color w:val="auto"/>
        </w:rPr>
      </w:pPr>
    </w:p>
    <w:p>
      <w:pPr>
        <w:ind w:right="160" w:firstLine="518"/>
        <w:spacing w:after="0" w:line="266" w:lineRule="auto"/>
        <w:rPr>
          <w:sz w:val="20"/>
          <w:szCs w:val="20"/>
          <w:color w:val="auto"/>
        </w:rPr>
      </w:pPr>
      <w:r>
        <w:rPr>
          <w:rFonts w:ascii="Times New Roman" w:cs="Times New Roman" w:eastAsia="Times New Roman" w:hAnsi="Times New Roman"/>
          <w:sz w:val="18"/>
          <w:szCs w:val="18"/>
          <w:color w:val="auto"/>
        </w:rPr>
        <w:t>In addition, the FDA may change its clearance and approval policies, adopt additional regulations or revise existing regulations, or take other actions which may prevent or delay approval or clearance of our products under development or impact our ability to modify our currently cleared or approved products on a timely basis.</w:t>
      </w:r>
    </w:p>
    <w:p>
      <w:pPr>
        <w:spacing w:after="0" w:line="176" w:lineRule="exact"/>
        <w:rPr>
          <w:sz w:val="20"/>
          <w:szCs w:val="20"/>
          <w:color w:val="auto"/>
        </w:rPr>
      </w:pPr>
    </w:p>
    <w:p>
      <w:pPr>
        <w:ind w:right="200" w:firstLine="518"/>
        <w:spacing w:after="0" w:line="261" w:lineRule="auto"/>
        <w:rPr>
          <w:sz w:val="20"/>
          <w:szCs w:val="20"/>
          <w:color w:val="auto"/>
        </w:rPr>
      </w:pPr>
      <w:r>
        <w:rPr>
          <w:rFonts w:ascii="Times New Roman" w:cs="Times New Roman" w:eastAsia="Times New Roman" w:hAnsi="Times New Roman"/>
          <w:sz w:val="18"/>
          <w:szCs w:val="18"/>
          <w:color w:val="auto"/>
        </w:rPr>
        <w:t>Any delay in, or failure to receive or maintain, clearance or approval for our products under development could prevent us from generating revenue from these products or achieving profitability. Additionally, the FDA and other regulatory authorities have broad enforcement powers. Regulatory enforcement or inquiries, or other increased scrutiny on us, could dissuade some customers from using our products and adversely affect our reputation and the perceived safety and efficacy of our products.</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51" w:name="page52"/>
    <w:bookmarkEnd w:id="51"/>
    <w:p>
      <w:pPr>
        <w:jc w:val="both"/>
        <w:ind w:right="260" w:firstLine="518"/>
        <w:spacing w:after="0" w:line="258" w:lineRule="auto"/>
        <w:rPr>
          <w:sz w:val="20"/>
          <w:szCs w:val="20"/>
          <w:color w:val="auto"/>
        </w:rPr>
      </w:pPr>
      <w:r>
        <w:rPr>
          <w:rFonts w:ascii="Times New Roman" w:cs="Times New Roman" w:eastAsia="Times New Roman" w:hAnsi="Times New Roman"/>
          <w:sz w:val="18"/>
          <w:szCs w:val="18"/>
          <w:color w:val="auto"/>
        </w:rPr>
        <w:t>Failure to comply with applicable regulations could jeopardize our ability to sell our products and result in enforcement actions such as fines, civil penalties, injunctions, warning letters, recalls of products, delays in the introduction of products into the market, refusal of the FDA or other regulators to grant future clearances or approvals, and the suspension or withdrawal of existing approvals by the FDA or other regulators. Any of these sanctions could result in higher than anticipated costs or lower than anticipated sales and have a material adverse effect on our reputation, business, financial condition and operating results.</w:t>
      </w:r>
    </w:p>
    <w:p>
      <w:pPr>
        <w:spacing w:after="0" w:line="184" w:lineRule="exact"/>
        <w:rPr>
          <w:sz w:val="20"/>
          <w:szCs w:val="20"/>
          <w:color w:val="auto"/>
        </w:rPr>
      </w:pPr>
    </w:p>
    <w:p>
      <w:pPr>
        <w:ind w:right="140" w:firstLine="518"/>
        <w:spacing w:after="0" w:line="261" w:lineRule="auto"/>
        <w:rPr>
          <w:sz w:val="20"/>
          <w:szCs w:val="20"/>
          <w:color w:val="auto"/>
        </w:rPr>
      </w:pPr>
      <w:r>
        <w:rPr>
          <w:rFonts w:ascii="Times New Roman" w:cs="Times New Roman" w:eastAsia="Times New Roman" w:hAnsi="Times New Roman"/>
          <w:sz w:val="18"/>
          <w:szCs w:val="18"/>
          <w:color w:val="auto"/>
        </w:rPr>
        <w:t>Further, we are evaluating international expansion opportunities for a potential launch in 2018. If we expand our operations outside of the United States, we will become subject to various additional regulatory and legal requirements under the applicable laws and regulations of the international markets we enter. These additional regulatory requirements may involve significant costs and expenditures and, if we are not able to comply with any such requirements, our international expansion and business could be significantly harmed.</w:t>
      </w:r>
    </w:p>
    <w:p>
      <w:pPr>
        <w:spacing w:after="0" w:line="176"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Modifications to our products may require new 510(k) clearances or PMAs, or may require us to cease marketing or recall the modified products until clearances are obtained.</w:t>
      </w:r>
    </w:p>
    <w:p>
      <w:pPr>
        <w:spacing w:after="0" w:line="159" w:lineRule="exact"/>
        <w:rPr>
          <w:sz w:val="20"/>
          <w:szCs w:val="20"/>
          <w:color w:val="auto"/>
        </w:rPr>
      </w:pPr>
    </w:p>
    <w:p>
      <w:pPr>
        <w:ind w:right="80" w:firstLine="518"/>
        <w:spacing w:after="0" w:line="255" w:lineRule="auto"/>
        <w:rPr>
          <w:sz w:val="20"/>
          <w:szCs w:val="20"/>
          <w:color w:val="auto"/>
        </w:rPr>
      </w:pPr>
      <w:r>
        <w:rPr>
          <w:rFonts w:ascii="Times New Roman" w:cs="Times New Roman" w:eastAsia="Times New Roman" w:hAnsi="Times New Roman"/>
          <w:sz w:val="18"/>
          <w:szCs w:val="18"/>
          <w:color w:val="auto"/>
        </w:rPr>
        <w:t>Any modification to a 510(k)-cleared device that could significantly affect its safety or effectiveness, or that would constitute a major change in its intended use, design, or manufacture, requires a new 510(k) clearance or, possibly, a PMA. The FDA requires every manufacturer to make this determination in the first instance, but the FDA may review any manufacturer’s decision. The FDA may not agree with our decisions regarding whether new clearances or approvals are necessary for changes that we have made to our products. If the FDA disagrees with our determination and requires us to submit new 510(k) notifications or PMAs for modifications to our previously cleared or approved products, for which we concluded that new clearances or approvals were not necessary, we may be required to cease marketing or to recall the modified product until we obtain clearance or approval, and we may be subject to significant regulatory fines or penalties.</w:t>
      </w:r>
    </w:p>
    <w:p>
      <w:pPr>
        <w:spacing w:after="0" w:line="189" w:lineRule="exact"/>
        <w:rPr>
          <w:sz w:val="20"/>
          <w:szCs w:val="20"/>
          <w:color w:val="auto"/>
        </w:rPr>
      </w:pPr>
    </w:p>
    <w:p>
      <w:pPr>
        <w:jc w:val="both"/>
        <w:ind w:right="40" w:firstLine="518"/>
        <w:spacing w:after="0" w:line="266" w:lineRule="auto"/>
        <w:rPr>
          <w:sz w:val="20"/>
          <w:szCs w:val="20"/>
          <w:color w:val="auto"/>
        </w:rPr>
      </w:pPr>
      <w:r>
        <w:rPr>
          <w:rFonts w:ascii="Times New Roman" w:cs="Times New Roman" w:eastAsia="Times New Roman" w:hAnsi="Times New Roman"/>
          <w:sz w:val="18"/>
          <w:szCs w:val="18"/>
          <w:color w:val="auto"/>
        </w:rPr>
        <w:t>Further, the FDA’s ongoing review of and potential changes to the 510(k) program may make it more difficult for us to modify our previously cleared products, either by imposing stricter requirements on when a new 510(k) for a modification to a previously cleared product must be submitted, or by applying more onerous review criteria to such submissions.</w:t>
      </w:r>
    </w:p>
    <w:p>
      <w:pPr>
        <w:spacing w:after="0" w:line="172"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our third-party suppliers fail to comply with the FDA’s good manufacturing practice regulations, this could impair our ability to market our products in a cost-effective and timely manner.</w:t>
      </w:r>
    </w:p>
    <w:p>
      <w:pPr>
        <w:spacing w:after="0" w:line="159" w:lineRule="exact"/>
        <w:rPr>
          <w:sz w:val="20"/>
          <w:szCs w:val="20"/>
          <w:color w:val="auto"/>
        </w:rPr>
      </w:pPr>
    </w:p>
    <w:p>
      <w:pPr>
        <w:ind w:right="60" w:firstLine="518"/>
        <w:spacing w:after="0" w:line="256" w:lineRule="auto"/>
        <w:rPr>
          <w:sz w:val="20"/>
          <w:szCs w:val="20"/>
          <w:color w:val="auto"/>
        </w:rPr>
      </w:pPr>
      <w:r>
        <w:rPr>
          <w:rFonts w:ascii="Times New Roman" w:cs="Times New Roman" w:eastAsia="Times New Roman" w:hAnsi="Times New Roman"/>
          <w:sz w:val="18"/>
          <w:szCs w:val="18"/>
          <w:color w:val="auto"/>
        </w:rPr>
        <w:t>We and our third-party suppliers are required to comply with the FDA’s Quality System Regulation, or QSR, which covers the methods and documentation of the design, testing, production, control, quality assurance, labeling, packaging, sterilization, storage and shipping of our products. The FDA audits compliance with the QSR through periodic announced and unannounced inspections of manufacturing and other facilities. The FDA may impose inspections or audits at any time. If we or our suppliers have significant non-compliance issues or if any corrective action plan that we or our suppliers propose in response to observed deficiencies is not sufficient, the FDA could take enforcement action against us. Any of the foregoing actions could have a material adverse effect on our reputation, business, financial condition and operating results.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recall of our products, or the discovery of serious safety issues with our products, could have a significant negative impact on us.</w:t>
      </w:r>
    </w:p>
    <w:p>
      <w:pPr>
        <w:spacing w:after="0" w:line="229" w:lineRule="exact"/>
        <w:rPr>
          <w:sz w:val="20"/>
          <w:szCs w:val="20"/>
          <w:color w:val="auto"/>
        </w:rPr>
      </w:pPr>
    </w:p>
    <w:p>
      <w:pPr>
        <w:ind w:right="60" w:firstLine="518"/>
        <w:spacing w:after="0" w:line="256" w:lineRule="auto"/>
        <w:rPr>
          <w:sz w:val="20"/>
          <w:szCs w:val="20"/>
          <w:color w:val="auto"/>
        </w:rPr>
      </w:pPr>
      <w:r>
        <w:rPr>
          <w:rFonts w:ascii="Times New Roman" w:cs="Times New Roman" w:eastAsia="Times New Roman" w:hAnsi="Times New Roman"/>
          <w:sz w:val="18"/>
          <w:szCs w:val="18"/>
          <w:color w:val="auto"/>
        </w:rPr>
        <w:t>The FDA has the authority to require the recall of commercialized products in the event of material deficiencies or defects in design or manufacture or in the event that a product poses an unacceptable risk to health. Manufacturers may, under their own initiative, recall a product if any material deficiency in a device is found. A government-mandated or voluntary recall by us, one of our distributors or any of our other third-party suppliers could occur as a result of an unacceptable risk to health, component failures, manufacturing errors, design or labeling defects or other deficiencies and issues. Recalls of any products that we distribute would divert managerial and financial resources, which could impair our ability to produce our products in a cost-effective and timely manner, and have an adverse effect on our reputation, financial condition and operating results.</w:t>
      </w:r>
    </w:p>
    <w:p>
      <w:pPr>
        <w:spacing w:after="0" w:line="188"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Further, under the FDA’s Medical Device Reporting, or MDR, regulations, we are required to report to the FDA any incident in which our product may have caused or contributed to a death or serious injury or in which our product malfunctioned and, if the malfunction were to recur, would likely cause or contribute to death or serious injury. Repeated product malfunctions may result in a voluntary or involuntary product recall, which could divert managerial and financial resources, impair our ability to manufacture our products in a cost-effective and timely manner and have an adverse effect on our reputation, financial condition and operating results.</w:t>
      </w:r>
    </w:p>
    <w:p>
      <w:pPr>
        <w:spacing w:after="0" w:line="184" w:lineRule="exact"/>
        <w:rPr>
          <w:sz w:val="20"/>
          <w:szCs w:val="20"/>
          <w:color w:val="auto"/>
        </w:rPr>
      </w:pPr>
    </w:p>
    <w:p>
      <w:pPr>
        <w:ind w:right="220" w:firstLine="518"/>
        <w:spacing w:after="0" w:line="261" w:lineRule="auto"/>
        <w:rPr>
          <w:sz w:val="20"/>
          <w:szCs w:val="20"/>
          <w:color w:val="auto"/>
        </w:rPr>
      </w:pPr>
      <w:r>
        <w:rPr>
          <w:rFonts w:ascii="Times New Roman" w:cs="Times New Roman" w:eastAsia="Times New Roman" w:hAnsi="Times New Roman"/>
          <w:sz w:val="18"/>
          <w:szCs w:val="18"/>
          <w:color w:val="auto"/>
        </w:rPr>
        <w:t>Any adverse event involving any products that we distribute could result in future voluntary corrective actions, such as recalls or customer notifications, or regulatory agency action, which could include inspection, mandatory recall or other enforcement action. Any corrective action, whether voluntary or involuntary, will require the dedication of our time and capital, distract management from operating our business and may harm our reputation and financial results.</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2" w:name="page53"/>
    <w:bookmarkEnd w:id="52"/>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comply with U.S. federal and state fraud and abuse laws, including anti-kickback laws and other U.S. federal and state anti-referral laws, could have a material, adverse impact on our business.</w:t>
      </w:r>
    </w:p>
    <w:p>
      <w:pPr>
        <w:spacing w:after="0" w:line="159"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There are numerous U.S. federal and state laws pertaining to healthcare fraud and abuse, including anti-kickback laws and physician self-referral laws. Our relationships with healthcare providers and other third parties are subject to scrutiny under these laws. Violations of these laws are punishable by criminal and civil sanctions, including, in some instances, imprisonment and exclusion from participation in federal and state healthcare programs, including the Medicare, Medicaid and Veterans Administration health programs.</w:t>
      </w:r>
    </w:p>
    <w:p>
      <w:pPr>
        <w:spacing w:after="0" w:line="180" w:lineRule="exact"/>
        <w:rPr>
          <w:sz w:val="20"/>
          <w:szCs w:val="20"/>
          <w:color w:val="auto"/>
        </w:rPr>
      </w:pPr>
    </w:p>
    <w:p>
      <w:pPr>
        <w:ind w:right="240" w:firstLine="518"/>
        <w:spacing w:after="0" w:line="282" w:lineRule="auto"/>
        <w:rPr>
          <w:sz w:val="20"/>
          <w:szCs w:val="20"/>
          <w:color w:val="auto"/>
        </w:rPr>
      </w:pPr>
      <w:r>
        <w:rPr>
          <w:rFonts w:ascii="Times New Roman" w:cs="Times New Roman" w:eastAsia="Times New Roman" w:hAnsi="Times New Roman"/>
          <w:sz w:val="18"/>
          <w:szCs w:val="18"/>
          <w:color w:val="auto"/>
        </w:rPr>
        <w:t>Healthcare fraud and abuse regulations are complex, and even minor irregularities can potentially give rise to claims that a statute or prohibition has been violated. The laws that may affect our ability to operate include:</w:t>
      </w:r>
    </w:p>
    <w:p>
      <w:pPr>
        <w:spacing w:after="0" w:line="162" w:lineRule="exact"/>
        <w:rPr>
          <w:sz w:val="20"/>
          <w:szCs w:val="20"/>
          <w:color w:val="auto"/>
        </w:rPr>
      </w:pPr>
    </w:p>
    <w:p>
      <w:pPr>
        <w:ind w:left="1040" w:right="120" w:hanging="384"/>
        <w:spacing w:after="0" w:line="261" w:lineRule="auto"/>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healthcare programs’ Anti-Kickback Statute, which prohibits, among other things, persons from knowingly and willfully soliciting, receiving, offering or providing remuneration, directly or indirectly, in exchange for or to induce either the referral of an individual for, or the purchase, order or recommendation of, any good or service for which payment may be made under federal healthcare programs such as the Medicare and Medicaid programs;</w:t>
      </w:r>
    </w:p>
    <w:p>
      <w:pPr>
        <w:spacing w:after="0" w:line="180" w:lineRule="exact"/>
        <w:rPr>
          <w:rFonts w:ascii="Times New Roman" w:cs="Times New Roman" w:eastAsia="Times New Roman" w:hAnsi="Times New Roman"/>
          <w:sz w:val="18"/>
          <w:szCs w:val="18"/>
          <w:color w:val="auto"/>
        </w:rPr>
      </w:pPr>
    </w:p>
    <w:p>
      <w:pPr>
        <w:ind w:left="1040" w:right="360" w:hanging="384"/>
        <w:spacing w:after="0" w:line="282" w:lineRule="auto"/>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false claims laws which prohibit, among other things, individuals or entities from knowingly presenting, or causing to be presented, claims for payment from Medicare, Medicaid, or other third-party payors that are false or fraudulent;</w:t>
      </w:r>
    </w:p>
    <w:p>
      <w:pPr>
        <w:spacing w:after="0" w:line="161" w:lineRule="exact"/>
        <w:rPr>
          <w:rFonts w:ascii="Times New Roman" w:cs="Times New Roman" w:eastAsia="Times New Roman" w:hAnsi="Times New Roman"/>
          <w:sz w:val="18"/>
          <w:szCs w:val="18"/>
          <w:color w:val="auto"/>
        </w:rPr>
      </w:pPr>
    </w:p>
    <w:p>
      <w:pPr>
        <w:ind w:left="1040" w:hanging="384"/>
        <w:spacing w:after="0" w:line="266" w:lineRule="auto"/>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physician referral laws, such as the federal “Stark Law,” that prohibit a physician from referring Medicare or Medicaid patients to an entity providing “designated health services,” including a company that furnishes durable medical equipment, in which the physician has an ownership or investment interest or with which the physician has entered into a compensation arrangement;</w:t>
      </w:r>
    </w:p>
    <w:p>
      <w:pPr>
        <w:spacing w:after="0" w:line="176" w:lineRule="exact"/>
        <w:rPr>
          <w:rFonts w:ascii="Times New Roman" w:cs="Times New Roman" w:eastAsia="Times New Roman" w:hAnsi="Times New Roman"/>
          <w:sz w:val="18"/>
          <w:szCs w:val="18"/>
          <w:color w:val="auto"/>
        </w:rPr>
      </w:pPr>
    </w:p>
    <w:p>
      <w:pPr>
        <w:ind w:left="1040" w:right="360" w:hanging="384"/>
        <w:spacing w:after="0" w:line="282" w:lineRule="auto"/>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criminal laws enacted as part of HIPAA that prohibit executing a scheme to defraud any healthcare benefit program or making false statements relating to healthcare matters;</w:t>
      </w:r>
    </w:p>
    <w:p>
      <w:pPr>
        <w:spacing w:after="0" w:line="161"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Trade Commission Act and similar laws regulating advertisement and consumer protections; and</w:t>
      </w:r>
    </w:p>
    <w:p>
      <w:pPr>
        <w:spacing w:after="0" w:line="225" w:lineRule="exact"/>
        <w:rPr>
          <w:rFonts w:ascii="Times New Roman" w:cs="Times New Roman" w:eastAsia="Times New Roman" w:hAnsi="Times New Roman"/>
          <w:sz w:val="18"/>
          <w:szCs w:val="18"/>
          <w:color w:val="auto"/>
        </w:rPr>
      </w:pPr>
    </w:p>
    <w:p>
      <w:pPr>
        <w:ind w:left="1040" w:right="100" w:hanging="384"/>
        <w:spacing w:after="0" w:line="282" w:lineRule="auto"/>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and U.S. state law equivalents of each of the above federal laws, such as anti-kickback and false claims laws which may apply to items or services reimbursed by any third-party payor, including commercial insurers.</w:t>
      </w:r>
    </w:p>
    <w:p>
      <w:pPr>
        <w:spacing w:after="0" w:line="162"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Further, the Patient Protection and Affordable Care Act, as amended by the Healthcare and Education Affordability Reconciliation Act, or, collectively, the PPACA, among other things, amends the intent requirement of the federal anti-kickback and criminal healthcare fraud statutes. An individual or entity can now be found guilty under the PPACA without actual knowledge of the statute or specific intent to violate it. In addition, the PPACA provides that claims submitted in violation of the Anti-Kickback Statute automatically constitute false claims for purposes of the False Claims Act. Possible sanctions for violation of these laws include monetary fines, civil and criminal penalties, exclusion from Medicare, Medicaid and other federal healthcare programs, and forfeiture of amounts collected in violation of those prohibitions. Any violation of these laws, or any action against us for violation of these laws, even if we successfully defend against it, could result in a material adverse effect on our reputation, business, financial condition and operating results.</w:t>
      </w:r>
    </w:p>
    <w:p>
      <w:pPr>
        <w:spacing w:after="0" w:line="189"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To enforce compliance with the federal laws, the U.S. Department of Justice, or DOJ, has recently increased its scrutiny of interactions between healthcare companies and healthcare providers, which has led to a number of investigations, prosecutions, convictions and settlements in the healthcare industry. Dealing with investigations can be time- and resource-consuming and can divert management’s attention from our core business. Additionally, if a healthcare company settles an investigation with the DOJ or other law enforcement agencies, we may be forced to agree to additional onerous compliance and reporting requirements as part of a consent decree or corporate integrity agreement. Any such investigation or settlement could increase our costs or otherwise have an adverse effect on our business.</w:t>
      </w:r>
    </w:p>
    <w:p>
      <w:pPr>
        <w:spacing w:after="0" w:line="188" w:lineRule="exact"/>
        <w:rPr>
          <w:sz w:val="20"/>
          <w:szCs w:val="20"/>
          <w:color w:val="auto"/>
        </w:rPr>
      </w:pPr>
    </w:p>
    <w:p>
      <w:pPr>
        <w:ind w:right="260" w:firstLine="518"/>
        <w:spacing w:after="0" w:line="261" w:lineRule="auto"/>
        <w:rPr>
          <w:sz w:val="20"/>
          <w:szCs w:val="20"/>
          <w:color w:val="auto"/>
        </w:rPr>
      </w:pPr>
      <w:r>
        <w:rPr>
          <w:rFonts w:ascii="Times New Roman" w:cs="Times New Roman" w:eastAsia="Times New Roman" w:hAnsi="Times New Roman"/>
          <w:sz w:val="18"/>
          <w:szCs w:val="18"/>
          <w:color w:val="auto"/>
        </w:rPr>
        <w:t>The scope and enforcement of these laws is uncertain and subject to rapid change in the current environment of healthcare reform. Federal or state regulatory authorities might challenge our current or future activities under these laws. Any of these challenges could have a material adverse effect on our reputation, business, financial condition and operating results. Any state or federal regulatory review of us, regardless of the outcome, would be costly and time-consuming. Additionally, we cannot predict the impact of any changes in these laws, whether or not retroactive.</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liable if we engage in the promotion of the off-label use of our products.</w:t>
      </w:r>
    </w:p>
    <w:p>
      <w:pPr>
        <w:spacing w:after="0" w:line="229" w:lineRule="exact"/>
        <w:rPr>
          <w:sz w:val="20"/>
          <w:szCs w:val="20"/>
          <w:color w:val="auto"/>
        </w:rPr>
      </w:pPr>
    </w:p>
    <w:p>
      <w:pPr>
        <w:ind w:right="100" w:firstLine="518"/>
        <w:spacing w:after="0" w:line="271" w:lineRule="auto"/>
        <w:rPr>
          <w:sz w:val="20"/>
          <w:szCs w:val="20"/>
          <w:color w:val="auto"/>
        </w:rPr>
      </w:pPr>
      <w:r>
        <w:rPr>
          <w:rFonts w:ascii="Times New Roman" w:cs="Times New Roman" w:eastAsia="Times New Roman" w:hAnsi="Times New Roman"/>
          <w:sz w:val="17"/>
          <w:szCs w:val="17"/>
          <w:color w:val="auto"/>
        </w:rPr>
        <w:t>Our promotional materials and training methods must comply with FDA and other applicable laws and regulations, including the prohibition against the promotion of the off-label use of our products. Healthcare providers may use our products off-label, as the FDA does not restrict or regulate a physician’s choice of treatment within the practice of medicine. However, if the FDA determines that our promotional materials or training constitutes promotion of an off-label use, it could request that we modify our training or promotional materials or subject us to regulatory or enforcement actions, including the issuance of an untitled letter, a warning letter, injunction, seizure, civil fine and criminal penalties. It is also possible that other federal, state or foreign enforcement authorities might take action if they consider our promotional or training materials to constitute promotion of an unapproved use, which could result in significant fines or penalties. Although our policy is to refrain from statements that could be considered off-label promotion of our products, the FDA or another regulatory agency could disagree and conclude that we have engaged in off-label promotion. In addition, the off-label use of our products may increase the risk of product liability claims, which are expensive to defend and could result in substantial damage awards against us and harm our reputation.</w:t>
      </w:r>
    </w:p>
    <w:p>
      <w:pPr>
        <w:spacing w:after="0" w:line="170"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Legislative or regulatory healthcare reforms may result in downward pressure on the price of and decrease reimbursement for our products, and uncertainty regarding the healthcare regulatory environment could have a material adverse effect on our business.*</w:t>
      </w:r>
    </w:p>
    <w:p>
      <w:pPr>
        <w:spacing w:after="0" w:line="159"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The sales of our products depend in part on the availability of coverage and reimbursement from third-party payors such as government health administration authorities, private health insurers, health maintenance organizations and other healthcare-related organizations. Both the federal and state governments in the United States continue to propose and pass new legislation and regulations designed to, among other things, expand healthcare coverage to more individuals, contain or reduce the cost of healthcare, and improve the quality of healthcare outcomes. This legislation and regulation may result in decreased reimbursement for medical devices, which may create additional pressure to reduce the prices charged for medical devices. Reduced reimbursement rates could significantly decrease our revenue, which in turn would place significant downward pressure on our gross margins and impede our ability to become profitable.</w:t>
      </w:r>
    </w:p>
    <w:p>
      <w:pPr>
        <w:spacing w:after="0" w:line="189" w:lineRule="exact"/>
        <w:rPr>
          <w:sz w:val="20"/>
          <w:szCs w:val="20"/>
          <w:color w:val="auto"/>
        </w:rPr>
      </w:pPr>
    </w:p>
    <w:p>
      <w:pPr>
        <w:ind w:right="120" w:firstLine="518"/>
        <w:spacing w:after="0" w:line="281" w:lineRule="auto"/>
        <w:rPr>
          <w:sz w:val="20"/>
          <w:szCs w:val="20"/>
          <w:color w:val="auto"/>
        </w:rPr>
      </w:pPr>
      <w:r>
        <w:rPr>
          <w:rFonts w:ascii="Times New Roman" w:cs="Times New Roman" w:eastAsia="Times New Roman" w:hAnsi="Times New Roman"/>
          <w:sz w:val="17"/>
          <w:szCs w:val="17"/>
          <w:color w:val="auto"/>
        </w:rPr>
        <w:t>The PPACA substantially changed the way healthcare is financed by both governmental and private insurers, encourages improvements in the quality of healthcare items and services, and significantly impacts the medical device industry. However, a number of legislative changes have been proposed and adopted since the PPACA was enacted, and legislation has recently been proposed that could modify or repeal the PPACA. The uncertainties regarding the future of the PPACA, and other healthcare reform initiatives, may have an adverse effect on our customers’ purchasing decisions regarding our products.</w:t>
      </w:r>
    </w:p>
    <w:p>
      <w:pPr>
        <w:spacing w:after="0" w:line="165" w:lineRule="exact"/>
        <w:rPr>
          <w:sz w:val="20"/>
          <w:szCs w:val="20"/>
          <w:color w:val="auto"/>
        </w:rPr>
      </w:pPr>
    </w:p>
    <w:p>
      <w:pPr>
        <w:ind w:right="100" w:firstLine="518"/>
        <w:spacing w:after="0" w:line="261" w:lineRule="auto"/>
        <w:rPr>
          <w:sz w:val="20"/>
          <w:szCs w:val="20"/>
          <w:color w:val="auto"/>
        </w:rPr>
      </w:pPr>
      <w:r>
        <w:rPr>
          <w:rFonts w:ascii="Times New Roman" w:cs="Times New Roman" w:eastAsia="Times New Roman" w:hAnsi="Times New Roman"/>
          <w:sz w:val="18"/>
          <w:szCs w:val="18"/>
          <w:color w:val="auto"/>
        </w:rPr>
        <w:t>In the future, additional changes could be made to governmental healthcare programs that could significantly impact the success of our products. Cost control initiatives could decrease the price that we receive for our products. At this time, we cannot predict which, if any, additional healthcare reform proposals will be adopted, when they may be adopted or what impact they may have on the existing regulatory environment, or our ability to operate our business. Any of these factors could have a material adverse effect on our operating results and financial condition.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financial performance may be adversely affected by medical device tax provisions in the healthcare reform laws.</w:t>
      </w:r>
    </w:p>
    <w:p>
      <w:pPr>
        <w:spacing w:after="0" w:line="229"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Beginning in 2013 through the end of 2015, the PPACA imposed, among other things, an annual excise tax of 2.3% on any entity that manufactures or imports medical devices offered for sale in the United States. Congress suspended this tax on December 18, 2015 for two years, for sales of devices during the period January 1, 2016 through December 31, 2017. We do not believe that our products were subject to this tax (prior to its suspension) based on the retail exemption under applicable Treasury Regulations. However, the availability of this exemption is subject to interpretation by the IRS, and the IRS may disagree with our analysis. The future of the medical device tax (and the PPACA generally) is uncertain. If the tax is not repealed and the two-year suspension of the tax is not extended beyond 2017, future products that we manufacture, produce or import may be subject to this tax (unless the retail exemption or other applicable exemption applies). The financial impact this tax may have on our business is unclear and there can be no assurance that our business will not be materially adversely affected by it.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of their significant stock ownership, certain of our executive officers, directors and principal stockholders will be able to exert control over our company and our significant corporate decisions. *</w:t>
      </w:r>
    </w:p>
    <w:p>
      <w:pPr>
        <w:spacing w:after="0" w:line="159"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Based on an aggregate of 50,228,931 shares of our common stock outstanding as of June 30, 2017, our executive officers and directors, and their affiliates owned, in the aggregate, approximately 24% of the voting power of our outstanding common stock. These persons, acting together, will have the ability to significantly influence the outcome of all matters submitted to our stockholders for approval, including the election and removal of directors and any merger, consolidation, or sale of all or substantially all of our assets.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54" w:name="page55"/>
    <w:bookmarkEnd w:id="54"/>
    <w:p>
      <w:pPr>
        <w:ind w:right="180" w:firstLine="518"/>
        <w:spacing w:after="0" w:line="282" w:lineRule="auto"/>
        <w:rPr>
          <w:sz w:val="20"/>
          <w:szCs w:val="20"/>
          <w:color w:val="auto"/>
        </w:rPr>
      </w:pPr>
      <w:r>
        <w:rPr>
          <w:rFonts w:ascii="Times New Roman" w:cs="Times New Roman" w:eastAsia="Times New Roman" w:hAnsi="Times New Roman"/>
          <w:sz w:val="18"/>
          <w:szCs w:val="18"/>
          <w:color w:val="auto"/>
        </w:rPr>
        <w:t>The interests of the aforementioned stockholders might not coincide with the interests of the other holders of our capital stock. This concentration of ownership may reduce the value of our common stock by, among other things:</w:t>
      </w:r>
    </w:p>
    <w:p>
      <w:pPr>
        <w:spacing w:after="0" w:line="162" w:lineRule="exact"/>
        <w:rPr>
          <w:sz w:val="20"/>
          <w:szCs w:val="20"/>
          <w:color w:val="auto"/>
        </w:rPr>
      </w:pPr>
    </w:p>
    <w:p>
      <w:pPr>
        <w:ind w:left="1040" w:hanging="384"/>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delaying, deferring or preventing a change of control of our company;</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impeding a merger, consolidation, takeover or other business combination involving our company; or</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causing us to enter into transactions or agreements that are not in the best interests of all stockholders.</w:t>
      </w:r>
    </w:p>
    <w:p>
      <w:pPr>
        <w:spacing w:after="0" w:line="221" w:lineRule="exact"/>
        <w:rPr>
          <w:sz w:val="20"/>
          <w:szCs w:val="20"/>
          <w:color w:val="auto"/>
        </w:rPr>
      </w:pPr>
    </w:p>
    <w:p>
      <w:pPr>
        <w:jc w:val="both"/>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organizational documents and Delaware law may discourage or prevent a change of control, even if an acquisition would be beneficial to our stockholders, which could reduce our stock price and prevent our stockholders from replacing or removing our current management.</w:t>
      </w:r>
    </w:p>
    <w:p>
      <w:pPr>
        <w:spacing w:after="0" w:line="159" w:lineRule="exact"/>
        <w:rPr>
          <w:sz w:val="20"/>
          <w:szCs w:val="20"/>
          <w:color w:val="auto"/>
        </w:rPr>
      </w:pPr>
    </w:p>
    <w:p>
      <w:pPr>
        <w:ind w:firstLine="518"/>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and bylaws contain provisions that could delay or prevent a change of control of our company or changes in our board of directors that our stockholders might consider favorable. Some of these provisions:</w:t>
      </w:r>
    </w:p>
    <w:p>
      <w:pPr>
        <w:spacing w:after="0" w:line="162" w:lineRule="exact"/>
        <w:rPr>
          <w:sz w:val="20"/>
          <w:szCs w:val="20"/>
          <w:color w:val="auto"/>
        </w:rPr>
      </w:pPr>
    </w:p>
    <w:p>
      <w:pPr>
        <w:ind w:left="1040" w:hanging="384"/>
        <w:spacing w:after="0" w:line="282" w:lineRule="auto"/>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preferred stock with powers, preferences and rights that may be senior to our common stock, which can be created and issued by the board of directors without prior stockholder approval;</w:t>
      </w:r>
    </w:p>
    <w:p>
      <w:pPr>
        <w:spacing w:after="0" w:line="161" w:lineRule="exact"/>
        <w:rPr>
          <w:rFonts w:ascii="Times New Roman" w:cs="Times New Roman" w:eastAsia="Times New Roman" w:hAnsi="Times New Roman"/>
          <w:sz w:val="18"/>
          <w:szCs w:val="18"/>
          <w:color w:val="auto"/>
        </w:rPr>
      </w:pPr>
    </w:p>
    <w:p>
      <w:pPr>
        <w:ind w:left="1040" w:right="240" w:hanging="384"/>
        <w:spacing w:after="0" w:line="282" w:lineRule="auto"/>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adoption of a staggered board of directors whereby the board is divided into three classes each of which has a different three-year term;</w:t>
      </w:r>
    </w:p>
    <w:p>
      <w:pPr>
        <w:spacing w:after="0" w:line="161"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number of directors shall be fixed by the board;</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our stockholders from filling board vacancies;</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removal of a director only with cause and then by the affirmative vote of the holders of a majority of the outstanding shares;</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stockholders from calling special stockholder meetings;</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stockholders from acting by written consent without holding a meeting of stockholders;</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vote of at least two-thirds of the outstanding shares to approve amendments to the certificate of incorporation or bylaws; and</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advance written notice of stockholder proposals and director nominations.</w:t>
      </w:r>
    </w:p>
    <w:p>
      <w:pPr>
        <w:spacing w:after="0" w:line="225"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We are subject to the provisions of Section 203 of the Delaware General Corporation Law, which may prohibit certain business combinations with stockholders owning 15% or more of our outstanding voting stock. These and other provisions in our amended and restated certificate of incorporation, bylaws and Delaware law could make it more difficult for stockholders or potential acquirers to obtain control of our board of directors or initiate actions that are opposed by our then-current board of directors, including a merger, tender offer or proxy contest involving our company. Any delay or prevention of a change of control transaction or changes in our board of directors could cause the market price of our common stock to decline.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board of directors is authorized to issue and designate shares of our preferred stock in additional series without stockholder approval.</w:t>
      </w:r>
    </w:p>
    <w:p>
      <w:pPr>
        <w:spacing w:after="0" w:line="229" w:lineRule="exact"/>
        <w:rPr>
          <w:sz w:val="20"/>
          <w:szCs w:val="20"/>
          <w:color w:val="auto"/>
        </w:rPr>
      </w:pPr>
    </w:p>
    <w:p>
      <w:pPr>
        <w:ind w:right="200" w:firstLine="518"/>
        <w:spacing w:after="0" w:line="256" w:lineRule="auto"/>
        <w:rPr>
          <w:sz w:val="20"/>
          <w:szCs w:val="20"/>
          <w:color w:val="auto"/>
        </w:rPr>
      </w:pPr>
      <w:r>
        <w:rPr>
          <w:rFonts w:ascii="Times New Roman" w:cs="Times New Roman" w:eastAsia="Times New Roman" w:hAnsi="Times New Roman"/>
          <w:sz w:val="18"/>
          <w:szCs w:val="18"/>
          <w:color w:val="auto"/>
        </w:rPr>
        <w:t>Our amended and restated certificate of incorporation authorizes our board of directors, without the approval of our stockholders, to issue 5,000,000 shares of our preferred stock, subject to limitations prescribed by applicable law, rules and regulations and the provisions of our amended and restated certificate of incorporation, as shares of preferred stock in series, and to establish from time to time the number of shares to be included in each such series, and to fix the designation, powers, preferences and rights of the shares of each such series and the qualifications, limitations or restrictions thereof. The powers, preferences and rights of these additional series of preferred stock may be senior to or on parity with our common stock, and the issuance of such shares in the future may reduce the value of our common stock.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certain other tax attributes may be limited.</w:t>
      </w:r>
    </w:p>
    <w:p>
      <w:pPr>
        <w:spacing w:after="0" w:line="229" w:lineRule="exact"/>
        <w:rPr>
          <w:sz w:val="20"/>
          <w:szCs w:val="20"/>
          <w:color w:val="auto"/>
        </w:rPr>
      </w:pPr>
    </w:p>
    <w:p>
      <w:pPr>
        <w:ind w:right="200" w:firstLine="518"/>
        <w:spacing w:after="0" w:line="266" w:lineRule="auto"/>
        <w:rPr>
          <w:sz w:val="20"/>
          <w:szCs w:val="20"/>
          <w:color w:val="auto"/>
        </w:rPr>
      </w:pPr>
      <w:r>
        <w:rPr>
          <w:rFonts w:ascii="Times New Roman" w:cs="Times New Roman" w:eastAsia="Times New Roman" w:hAnsi="Times New Roman"/>
          <w:sz w:val="18"/>
          <w:szCs w:val="18"/>
          <w:color w:val="auto"/>
        </w:rPr>
        <w:t>As of December 31, 2016, we had federal net operating loss, or NOL, carryforwards of approximately $283.5 million, not considering the limitation discussed below. The federal tax loss carryforwards begin to expire in 2026, unless previously utilized. In general, if there is an “ownership change” with respect to our company, as defined under Section 382 of the Internal Revenue Code of</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55" w:name="page56"/>
    <w:bookmarkEnd w:id="55"/>
    <w:p>
      <w:pPr>
        <w:spacing w:after="0" w:line="266" w:lineRule="auto"/>
        <w:rPr>
          <w:sz w:val="20"/>
          <w:szCs w:val="20"/>
          <w:color w:val="auto"/>
        </w:rPr>
      </w:pPr>
      <w:r>
        <w:rPr>
          <w:rFonts w:ascii="Times New Roman" w:cs="Times New Roman" w:eastAsia="Times New Roman" w:hAnsi="Times New Roman"/>
          <w:sz w:val="18"/>
          <w:szCs w:val="18"/>
          <w:color w:val="auto"/>
        </w:rPr>
        <w:t>1986, as amended, or the Code, the utilization of our NOL carryforwards may be subject to substantial limitations imposed by the Code, and similar state provisions. In general, an ownership change occurs whenever there is a shift in ownership of our company by more than 50% by one or more 5% stockholders over a specified time period.</w:t>
      </w:r>
    </w:p>
    <w:p>
      <w:pPr>
        <w:spacing w:after="0" w:line="176" w:lineRule="exact"/>
        <w:rPr>
          <w:sz w:val="20"/>
          <w:szCs w:val="20"/>
          <w:color w:val="auto"/>
        </w:rPr>
      </w:pPr>
    </w:p>
    <w:p>
      <w:pPr>
        <w:ind w:right="100" w:firstLine="518"/>
        <w:spacing w:after="0" w:line="258" w:lineRule="auto"/>
        <w:rPr>
          <w:sz w:val="20"/>
          <w:szCs w:val="20"/>
          <w:color w:val="auto"/>
        </w:rPr>
      </w:pPr>
      <w:r>
        <w:rPr>
          <w:rFonts w:ascii="Times New Roman" w:cs="Times New Roman" w:eastAsia="Times New Roman" w:hAnsi="Times New Roman"/>
          <w:sz w:val="18"/>
          <w:szCs w:val="18"/>
          <w:color w:val="auto"/>
        </w:rPr>
        <w:t>Although we have not completed an update of our Section 382 analysis subsequent to December 31, 2016, the offering that we conducted in March of 2017, either separately or together, with any future equity financing, may have caused or could cause an ownership change or could increase the likelihood that we undergo an ownership change for purposes of Section 382 of the Code in the future. Limitations imposed on our ability to utilize NOL carryforwards could cause U.S. federal income taxes to be paid earlier than would be paid if such limitations were not in effect and could cause such NOL carryforwards to expire unused, in each case reducing or eliminating the benefit of such NOL carryforwards.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cash dividends.</w:t>
      </w:r>
    </w:p>
    <w:p>
      <w:pPr>
        <w:spacing w:after="0" w:line="229" w:lineRule="exact"/>
        <w:rPr>
          <w:sz w:val="20"/>
          <w:szCs w:val="20"/>
          <w:color w:val="auto"/>
        </w:rPr>
      </w:pPr>
    </w:p>
    <w:p>
      <w:pPr>
        <w:ind w:right="80" w:firstLine="518"/>
        <w:spacing w:after="0" w:line="258"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all available funds and any future earnings for use in the operation and expansion of our business and do not anticipate paying any cash dividends in the foreseeable future. In addition, pursuant to the Term Loan Agreement, we are precluded from paying any cash dividends. Accordingly, investors may have to sell some or all of their shares of our common stock in order to generate cash flow from their investment. Investors may not receive a gain on their investment when they sell their shares of our common stock and may lose the entire amount of their investment.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requirements of being a public company have increased our costs and will continue to strain our resources and divert management’s attention.</w:t>
      </w:r>
    </w:p>
    <w:p>
      <w:pPr>
        <w:spacing w:after="0" w:line="229"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As a public company, we are subject to the reporting requirements of the Exchange Act, the Dodd-Frank Wall Street Reform and Consumer Protection Act, or the Dodd-Frank Act, the listing requirements of NASDAQ and other applicable securities rules and regulations. Compliance with these rules and regulations has increased our legal and financial compliance costs, made some activities more difficult, time-consuming or costly, and increased demand on our systems and resources.</w:t>
      </w:r>
    </w:p>
    <w:p>
      <w:pPr>
        <w:spacing w:after="0" w:line="180" w:lineRule="exact"/>
        <w:rPr>
          <w:sz w:val="20"/>
          <w:szCs w:val="20"/>
          <w:color w:val="auto"/>
        </w:rPr>
      </w:pPr>
    </w:p>
    <w:p>
      <w:pPr>
        <w:ind w:right="120" w:firstLine="518"/>
        <w:spacing w:after="0" w:line="261" w:lineRule="auto"/>
        <w:rPr>
          <w:sz w:val="20"/>
          <w:szCs w:val="20"/>
          <w:color w:val="auto"/>
        </w:rPr>
      </w:pPr>
      <w:r>
        <w:rPr>
          <w:rFonts w:ascii="Times New Roman" w:cs="Times New Roman" w:eastAsia="Times New Roman" w:hAnsi="Times New Roman"/>
          <w:sz w:val="18"/>
          <w:szCs w:val="18"/>
          <w:color w:val="auto"/>
        </w:rPr>
        <w:t>The Sarbanes-Oxley Act of 2002, or the Sarbanes-Oxley Act, requires, among other things, that we maintain effective disclosure controls and procedures and internal control over financial reporting. Recent legislation permits “emerging growth companies” to implement many of these requirements over a period of up to five years after becoming subject to the requirements. We intend to take advantage of this new legislation but cannot guarantee that we will not be required to implement these requirements sooner than budgeted or planned and thereby incur unexpected expenses.</w:t>
      </w:r>
    </w:p>
    <w:p>
      <w:pPr>
        <w:spacing w:after="0" w:line="180"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In order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harm our business and operating results. Although we have hired additional employees to help us comply with these requirements, in the future we may need to hire more employees or utilize external consultants in order to further support our efforts, which will increase our expenses.</w:t>
      </w:r>
    </w:p>
    <w:p>
      <w:pPr>
        <w:spacing w:after="0" w:line="176"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Regulations related to "conflict minerals" may cause us to incur additional expenses and could limit the supply and increase the cost of certain metals used in manufacturing our products.</w:t>
      </w:r>
    </w:p>
    <w:p>
      <w:pPr>
        <w:spacing w:after="0" w:line="159" w:lineRule="exact"/>
        <w:rPr>
          <w:sz w:val="20"/>
          <w:szCs w:val="20"/>
          <w:color w:val="auto"/>
        </w:rPr>
      </w:pPr>
    </w:p>
    <w:p>
      <w:pPr>
        <w:ind w:right="100" w:firstLine="571"/>
        <w:spacing w:after="0" w:line="254" w:lineRule="auto"/>
        <w:rPr>
          <w:sz w:val="20"/>
          <w:szCs w:val="20"/>
          <w:color w:val="auto"/>
        </w:rPr>
      </w:pPr>
      <w:r>
        <w:rPr>
          <w:rFonts w:ascii="Times New Roman" w:cs="Times New Roman" w:eastAsia="Times New Roman" w:hAnsi="Times New Roman"/>
          <w:sz w:val="18"/>
          <w:szCs w:val="18"/>
          <w:color w:val="auto"/>
        </w:rPr>
        <w:t>The SEC adopted a rule requiring disclosures by public companies of specified minerals, known as conflict minerals, that are necessary to the functionality or production of products manufactured or contracted to be manufactured. The rule requires companies to perform due diligence, disclose and annually report to the SEC whether or not such minerals originate from the Democratic Republic of Congo or an adjoining country. The rule could affect sourcing at competitive prices and availability in sufficient quantities of certain minerals used in the manufacture of our products, including tantalum, tin, gold and tungsten. The number of suppliers who provide conflict-free minerals may be limited. In addition, there may be material costs associated with complying with the disclosure requirements, such as costs related to determining the source of certain minerals used in our products, as well as costs of possible changes to products, processes, or sources of supply as a consequence of such verification activities. Within our supply chain, we may not be able to sufficiently verify the origins of the relevant minerals used in our products through the due diligence procedures that we implement, which may harm our reputation. We continue to investigate the use of conflict materials, if any, within our supply chain.</w:t>
      </w:r>
    </w:p>
    <w:p>
      <w:pPr>
        <w:spacing w:after="0" w:line="185"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we do not know whether the reduced disclosure requirements and relief from certain other significant obligations that are applicable to emerging growth companies will make our common stock less attractive to investors.</w:t>
      </w: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6" w:name="page57"/>
    <w:bookmarkEnd w:id="56"/>
    <w:p>
      <w:pPr>
        <w:ind w:right="360" w:firstLine="518"/>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or the JOBS Act, and we intend to take advantage of certain exemptions from various reporting and compliance requirements that apply to other public companies that are not “emerging growth companies.” These exemptions include the following:</w:t>
      </w:r>
    </w:p>
    <w:p>
      <w:pPr>
        <w:spacing w:after="0" w:line="176" w:lineRule="exact"/>
        <w:rPr>
          <w:sz w:val="20"/>
          <w:szCs w:val="20"/>
          <w:color w:val="auto"/>
        </w:rPr>
      </w:pPr>
    </w:p>
    <w:p>
      <w:pPr>
        <w:ind w:left="1040" w:hanging="384"/>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of Section 404(b) of the Sarbanes-Oxley Act;</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extensive disclosure obligations regarding executive compensation in our periodic reports and proxy statements; and</w:t>
      </w:r>
    </w:p>
    <w:p>
      <w:pPr>
        <w:spacing w:after="0" w:line="225" w:lineRule="exact"/>
        <w:rPr>
          <w:rFonts w:ascii="Times New Roman" w:cs="Times New Roman" w:eastAsia="Times New Roman" w:hAnsi="Times New Roman"/>
          <w:sz w:val="18"/>
          <w:szCs w:val="18"/>
          <w:color w:val="auto"/>
        </w:rPr>
      </w:pPr>
    </w:p>
    <w:p>
      <w:pPr>
        <w:ind w:left="1040" w:right="440" w:hanging="384"/>
        <w:spacing w:after="0" w:line="282" w:lineRule="auto"/>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to hold a nonbinding advisory vote on executive compensation and stockholder approval of any golden parachute payments not previously approved.</w:t>
      </w:r>
    </w:p>
    <w:p>
      <w:pPr>
        <w:spacing w:after="0" w:line="162"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We intend to take advantage of these exemptions but cannot guarantee that we will not be required to implement these requirements sooner than budgeted or planned and thereby incur unexpected expenses. We cannot predict if investors will find our common stock less attractive because of our reliance on these exemptions. If some investors find our common stock less attractive as a result, there may be a less active trading market for our common stock, which could result in a reduction in the price of our common stock.</w:t>
      </w:r>
    </w:p>
    <w:p>
      <w:pPr>
        <w:spacing w:after="0" w:line="17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175" w:lineRule="exact"/>
        <w:rPr>
          <w:sz w:val="20"/>
          <w:szCs w:val="20"/>
          <w:color w:val="auto"/>
        </w:rPr>
      </w:pPr>
    </w:p>
    <w:p>
      <w:pPr>
        <w:ind w:right="60" w:firstLine="518"/>
        <w:spacing w:after="0" w:line="255" w:lineRule="auto"/>
        <w:rPr>
          <w:sz w:val="20"/>
          <w:szCs w:val="20"/>
          <w:color w:val="auto"/>
        </w:rPr>
      </w:pPr>
      <w:r>
        <w:rPr>
          <w:rFonts w:ascii="Times New Roman" w:cs="Times New Roman" w:eastAsia="Times New Roman" w:hAnsi="Times New Roman"/>
          <w:sz w:val="18"/>
          <w:szCs w:val="18"/>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404(a) of the Sarbanes-Oxley Act, or the subsequent testing by our independent registered public accounting firm conducted in connection with Section 404(b) of the Sarbanes-Oxley Act after we no longer qualify as an “emerging growth company,”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common stock.</w:t>
      </w:r>
    </w:p>
    <w:p>
      <w:pPr>
        <w:spacing w:after="0" w:line="185" w:lineRule="exact"/>
        <w:rPr>
          <w:sz w:val="20"/>
          <w:szCs w:val="20"/>
          <w:color w:val="auto"/>
        </w:rPr>
      </w:pPr>
    </w:p>
    <w:p>
      <w:pPr>
        <w:ind w:right="160" w:firstLine="518"/>
        <w:spacing w:after="0" w:line="256" w:lineRule="auto"/>
        <w:rPr>
          <w:sz w:val="20"/>
          <w:szCs w:val="20"/>
          <w:color w:val="auto"/>
        </w:rPr>
      </w:pPr>
      <w:r>
        <w:rPr>
          <w:rFonts w:ascii="Times New Roman" w:cs="Times New Roman" w:eastAsia="Times New Roman" w:hAnsi="Times New Roman"/>
          <w:sz w:val="18"/>
          <w:szCs w:val="18"/>
          <w:color w:val="auto"/>
        </w:rPr>
        <w:t>We are required to disclose changes made to our internal control procedures on a quarterly basis and our management is required to assess the effectiveness of these controls annually. However, for as long as we are an “emerging growth company” under the JOBS Act, our independent registered public accounting firm will not be required to attest to the effectiveness of our internal control over financial reporting pursuant to Section 404. We could be an “emerging growth company” for up to five years from our November 2013 initial public offering. An independent assessment of the effectiveness of our internal controls could detect problems that our management’s assessment might not. Undetected material weaknesses in our internal controls could lead to financial statement restatements and require us to incur the expense of remediation.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might fluctuate significantly.</w:t>
      </w:r>
    </w:p>
    <w:p>
      <w:pPr>
        <w:spacing w:after="0" w:line="229" w:lineRule="exact"/>
        <w:rPr>
          <w:sz w:val="20"/>
          <w:szCs w:val="20"/>
          <w:color w:val="auto"/>
        </w:rPr>
      </w:pPr>
    </w:p>
    <w:p>
      <w:pPr>
        <w:ind w:right="60" w:firstLine="518"/>
        <w:spacing w:after="0" w:line="282" w:lineRule="auto"/>
        <w:rPr>
          <w:sz w:val="20"/>
          <w:szCs w:val="20"/>
          <w:color w:val="auto"/>
        </w:rPr>
      </w:pPr>
      <w:r>
        <w:rPr>
          <w:rFonts w:ascii="Times New Roman" w:cs="Times New Roman" w:eastAsia="Times New Roman" w:hAnsi="Times New Roman"/>
          <w:sz w:val="18"/>
          <w:szCs w:val="18"/>
          <w:color w:val="auto"/>
        </w:rPr>
        <w:t>Our common stock is listed on NASDAQ under the symbol “TNDM.” Our stock price could be subject to wide fluctuations in response to a variety of factors, including the following:</w:t>
      </w:r>
    </w:p>
    <w:p>
      <w:pPr>
        <w:spacing w:after="0" w:line="162" w:lineRule="exact"/>
        <w:rPr>
          <w:sz w:val="20"/>
          <w:szCs w:val="20"/>
          <w:color w:val="auto"/>
        </w:rPr>
      </w:pPr>
    </w:p>
    <w:p>
      <w:pPr>
        <w:ind w:left="1040" w:right="740" w:hanging="384"/>
        <w:spacing w:after="0" w:line="282" w:lineRule="auto"/>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financial and operating results, including the financial and accounting impacts of the Technology Upgrade Program;</w:t>
      </w:r>
    </w:p>
    <w:p>
      <w:pPr>
        <w:spacing w:after="0" w:line="161"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actual or perceived need for additional capital to fund our operations and the potential associated dilution;</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perceptions about our financial stability relative to our competitors and our ability to sustain our business operations long term;</w:t>
      </w:r>
    </w:p>
    <w:p>
      <w:pPr>
        <w:spacing w:after="0" w:line="225" w:lineRule="exact"/>
        <w:rPr>
          <w:rFonts w:ascii="Times New Roman" w:cs="Times New Roman" w:eastAsia="Times New Roman" w:hAnsi="Times New Roman"/>
          <w:sz w:val="18"/>
          <w:szCs w:val="18"/>
          <w:color w:val="auto"/>
        </w:rPr>
      </w:pPr>
    </w:p>
    <w:p>
      <w:pPr>
        <w:ind w:left="1040" w:right="280" w:hanging="384"/>
        <w:spacing w:after="0" w:line="282" w:lineRule="auto"/>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reaction of investors to our conclusion that if we do not successfully raise additional capital there is substantial doubt about our ability to continue as a going concern;</w:t>
      </w:r>
    </w:p>
    <w:p>
      <w:pPr>
        <w:spacing w:after="0" w:line="161"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performance of the equity markets;</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perceptions about the market acceptance of our products and the recognition of our brand;</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proposed products, or announcements of significant contracts, licenses or acquisitions, by us or our competitors;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7" w:name="page58"/>
    <w:bookmarkEnd w:id="57"/>
    <w:p>
      <w:pPr>
        <w:ind w:left="1040" w:hanging="384"/>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political or regulatory developments;</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securities analysts’ reports or recommendations;</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threatened or actual litigation and government investigations;</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 of shares of our common stock by us or members of our management; and</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w:t>
      </w:r>
    </w:p>
    <w:p>
      <w:pPr>
        <w:spacing w:after="0" w:line="225"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These and other factors might cause the market price of our common stock to fluctuate substantially, which may negatively affect the liquidity of our common stock. In addition, in recent years, the stock market has experienced significant price and volume fluctuations. This volatility has had a significant impact on the market price of securities issued by many companies across many industries. The changes frequently appear to occur without regard to the operating performance of the affected companies. Accordingly, the price of our common stock could fluctuate based upon factors that have little or nothing to do with our company, and these fluctuations could materially reduce the market price of our common stock.</w:t>
      </w:r>
    </w:p>
    <w:p>
      <w:pPr>
        <w:spacing w:after="0" w:line="184" w:lineRule="exact"/>
        <w:rPr>
          <w:sz w:val="20"/>
          <w:szCs w:val="20"/>
          <w:color w:val="auto"/>
        </w:rPr>
      </w:pPr>
    </w:p>
    <w:p>
      <w:pPr>
        <w:ind w:right="100" w:firstLine="518"/>
        <w:spacing w:after="0" w:line="266" w:lineRule="auto"/>
        <w:rPr>
          <w:sz w:val="20"/>
          <w:szCs w:val="20"/>
          <w:color w:val="auto"/>
        </w:rPr>
      </w:pPr>
      <w:r>
        <w:rPr>
          <w:rFonts w:ascii="Times New Roman" w:cs="Times New Roman" w:eastAsia="Times New Roman" w:hAnsi="Times New Roman"/>
          <w:sz w:val="18"/>
          <w:szCs w:val="18"/>
          <w:color w:val="auto"/>
        </w:rPr>
        <w:t>Securities class action litigation has often been instituted against companies following periods of volatility in the overall market and in the market price of a company’s securities. This litigation, if instituted against us, could result in substantial costs, divert our management’s attention and resources, and harm our business, operating results and financial condition.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or the perception of future sales, of shares of our common stock could materially reduce the market price of our common stock. *</w:t>
      </w:r>
    </w:p>
    <w:p>
      <w:pPr>
        <w:spacing w:after="0" w:line="229"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Sales of our common stock, or the perception in the market that the holders of a large number of our shares intend to sell such shares, could reduce the market price of our common stock, which would impair our ability to raise future capital through the sale of additional equity securities. We had outstanding 50,228,931 shares of common stock as of June 30, 2017, of which approximately 13,614,271 shares are restricted securities that may be sold only in accordance with the resale restrictions under Rule 144 of the Securities Act. In addition, as of June 30, 2017, we had outstanding options to purchase 9,337,246 shares of common stock and warrants to purchase 2,927,921 shares of common stock that, if exercised, will result in these additional shares becoming available for sale. As of June 30, 2017, there was also 396,904 shares and 133 shares of our common stock reserved for future grant or issuance under our 2013 Stock Incentive Plan, and our 2013 Employee Stock Purchase Plan, or our ESPP, respectively.</w:t>
      </w:r>
    </w:p>
    <w:p>
      <w:pPr>
        <w:spacing w:after="0" w:line="189" w:lineRule="exact"/>
        <w:rPr>
          <w:sz w:val="20"/>
          <w:szCs w:val="20"/>
          <w:color w:val="auto"/>
        </w:rPr>
      </w:pPr>
    </w:p>
    <w:p>
      <w:pPr>
        <w:ind w:right="80" w:firstLine="518"/>
        <w:spacing w:after="0" w:line="258" w:lineRule="auto"/>
        <w:rPr>
          <w:sz w:val="20"/>
          <w:szCs w:val="20"/>
          <w:color w:val="auto"/>
        </w:rPr>
      </w:pPr>
      <w:r>
        <w:rPr>
          <w:rFonts w:ascii="Times New Roman" w:cs="Times New Roman" w:eastAsia="Times New Roman" w:hAnsi="Times New Roman"/>
          <w:sz w:val="18"/>
          <w:szCs w:val="18"/>
          <w:color w:val="auto"/>
        </w:rPr>
        <w:t>Certain holders of shares of common stock have the right, subject to various conditions and limitations, to include their shares in registration statements relating to our securities. In addition, these holders are entitled to piggyback registration rights with respect to the registration under the Securities Act of shares of our common stock. Shares of common stock registered under these registration statements can be freely sold in the public market. In the event registration rights are exercised and a large number of shares of common stock are sold in the public market, those sales could reduce the trading price of our common stock.</w:t>
      </w:r>
    </w:p>
    <w:p>
      <w:pPr>
        <w:spacing w:after="0" w:line="184" w:lineRule="exact"/>
        <w:rPr>
          <w:sz w:val="20"/>
          <w:szCs w:val="20"/>
          <w:color w:val="auto"/>
        </w:rPr>
      </w:pPr>
    </w:p>
    <w:p>
      <w:pPr>
        <w:ind w:right="80" w:firstLine="518"/>
        <w:spacing w:after="0" w:line="266" w:lineRule="auto"/>
        <w:rPr>
          <w:sz w:val="20"/>
          <w:szCs w:val="20"/>
          <w:color w:val="auto"/>
        </w:rPr>
      </w:pPr>
      <w:r>
        <w:rPr>
          <w:rFonts w:ascii="Times New Roman" w:cs="Times New Roman" w:eastAsia="Times New Roman" w:hAnsi="Times New Roman"/>
          <w:sz w:val="18"/>
          <w:szCs w:val="18"/>
          <w:color w:val="auto"/>
        </w:rPr>
        <w:t>In the future, we may issue additional securities if we need to raise more capital. In particular, management currently believes that it will be necessary for us to raise additional funding. The number of new shares of our common stock issued in connection with raising additional capital could constitute a material portion of the then-outstanding shares of our common stock.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comply with certain continued listing requirements of NASDAQ, our common stock would be delisted from NASDAQ.*</w:t>
      </w:r>
    </w:p>
    <w:p>
      <w:pPr>
        <w:spacing w:after="0" w:line="121" w:lineRule="exact"/>
        <w:rPr>
          <w:sz w:val="20"/>
          <w:szCs w:val="20"/>
          <w:color w:val="auto"/>
        </w:rPr>
      </w:pPr>
    </w:p>
    <w:p>
      <w:pPr>
        <w:ind w:firstLine="571"/>
        <w:spacing w:after="0" w:line="253" w:lineRule="auto"/>
        <w:rPr>
          <w:sz w:val="20"/>
          <w:szCs w:val="20"/>
          <w:color w:val="auto"/>
        </w:rPr>
      </w:pPr>
      <w:r>
        <w:rPr>
          <w:rFonts w:ascii="Times New Roman" w:cs="Times New Roman" w:eastAsia="Times New Roman" w:hAnsi="Times New Roman"/>
          <w:sz w:val="18"/>
          <w:szCs w:val="18"/>
          <w:color w:val="auto"/>
        </w:rPr>
        <w:t>Our common stock is currently listed on NASDAQ. In order to maintain this listing, we must satisfy minimum continued listing requirements and standards, including a minimum closing bid price requirement for our common stock. On June 14, 2017, we received notice that we had failed to meet minimum closing bid price requirement of $1.00 per share for 30 consecutive business days, which could subject our common stock to delisting. Although NASDAQ rules provide us with a period of 180 days in which to regain compliance, we cannot assure you that we will be able to regain compliance within the compliance period. In order to regain compliance, the closing bid price of our common stock would need to meet or exceed $1.00 per share for at least 10 consecutive business days during the compliance period. If we are not able to regain compliance, our shares of common stock will be subject to delisting. In the event our common stock is delisted from NASDAQ, trading of our common stock may be conducted only in an over-the-counter market, such as the OTC Market. In that event, it could become more difficult to dispose of, or obtain accurate price quotations for, our common stock, and there would likely also be a reduction in our coverage by securities analysts and the news media, which could cause the price of our common stock to decline further. A determination could also be made that our common stock is a “penny stock” which would require brokers trading in our common stock to adhere to more stringent rules and possibly</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color w:val="auto"/>
        </w:rPr>
        <w:t>result in a reduced level of trading. This could have a long-term impact on our ability to raise future capital through the sale of our common stock.</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executive officers and directors may sell their shares of our common stock, and these sales could adversely affect our stock price.</w:t>
      </w:r>
    </w:p>
    <w:p>
      <w:pPr>
        <w:spacing w:after="0" w:line="121" w:lineRule="exact"/>
        <w:rPr>
          <w:sz w:val="20"/>
          <w:szCs w:val="20"/>
          <w:color w:val="auto"/>
        </w:rPr>
      </w:pPr>
    </w:p>
    <w:p>
      <w:pPr>
        <w:ind w:right="200" w:firstLine="588"/>
        <w:spacing w:after="0" w:line="313" w:lineRule="auto"/>
        <w:rPr>
          <w:sz w:val="20"/>
          <w:szCs w:val="20"/>
          <w:color w:val="auto"/>
        </w:rPr>
      </w:pPr>
      <w:r>
        <w:rPr>
          <w:rFonts w:ascii="Times New Roman" w:cs="Times New Roman" w:eastAsia="Times New Roman" w:hAnsi="Times New Roman"/>
          <w:sz w:val="17"/>
          <w:szCs w:val="17"/>
          <w:color w:val="auto"/>
        </w:rPr>
        <w:t>Sales of our common stock by our executive officers and directors, or the perception that such sales may occur, could adversely affect the market price of our common stock. Our executive officers and directors may sell our common stock in the future as part of pre-arranged trading plans or otherwise.</w:t>
      </w:r>
    </w:p>
    <w:p>
      <w:pPr>
        <w:spacing w:after="0" w:line="242"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assure you that our proposed reverse stock split will increase our stock price in the same proportion as the reduction in the number of outstanding shares.*</w:t>
      </w:r>
    </w:p>
    <w:p>
      <w:pPr>
        <w:spacing w:after="0" w:line="5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We intend to seek stockholder approval to amend our Amended and Restated Certificate of Incorporation to effect, at the option of our Board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 a reverse stock split of our issued and outstanding common stock at a reverse stock split ratio ranging from one-to-eight (1:8) to one-to-twelve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(1:12) with the exact ratio to be determined within the range by our Board of Directors prior to June 20, 2018. We expect that a reverse stock split, if approved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implemented, will increase the market price of our common stock. However, the effect of a reverse stock split on the market price of our common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cannot be predicted with any certainty, and the history of reverse stock splits for other companies is varied, particularly since some investors may view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reverse stock split negatively. It is possible that the per share price of our common stock after a reverse stock split will not increase in the same proportion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reduction in the number of our issued and outstanding shares of common stock following the reverse stock split. In addition, the reverse stock split may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result in a per share price that would be sufficiently higher than the current price to attract brokers and investors who do not trade in lower priced stocks.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Furthermore, even if we approve and implement a reverse stock split, the market price of our common stock may not increase at the ratio we expect (and may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 decrease) due to factors unrelated to the reverse stock split, which may jeopardize our ability to meet or maintain NASDAQ’s minimum closing bid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 requirement or other applicable listing standards. The market price of our common stock may also be affected by other factors which may be unrelated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number of shares outstanding. If a reverse stock split is consummated and the trading price of our common stock declines, the percentage decline as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absolute number and as a percentage of our overall market capitalization may be greater than that which would have occurred in the absence of the reverse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split.</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Our proposed reverse stock split may decrease the liquidity of our common stock and result in higher transaction costs.*</w:t>
      </w:r>
    </w:p>
    <w:p>
      <w:pPr>
        <w:spacing w:after="0" w:line="121" w:lineRule="exact"/>
        <w:rPr>
          <w:sz w:val="20"/>
          <w:szCs w:val="20"/>
          <w:color w:val="auto"/>
        </w:rPr>
      </w:pPr>
    </w:p>
    <w:p>
      <w:pPr>
        <w:ind w:right="140" w:firstLine="588"/>
        <w:spacing w:after="0" w:line="256" w:lineRule="auto"/>
        <w:rPr>
          <w:sz w:val="20"/>
          <w:szCs w:val="20"/>
          <w:color w:val="auto"/>
        </w:rPr>
      </w:pPr>
      <w:r>
        <w:rPr>
          <w:rFonts w:ascii="Times New Roman" w:cs="Times New Roman" w:eastAsia="Times New Roman" w:hAnsi="Times New Roman"/>
          <w:sz w:val="18"/>
          <w:szCs w:val="18"/>
          <w:color w:val="auto"/>
        </w:rPr>
        <w:t>If approved and implemented, the liquidity of our common stock may be negatively impacted by the reverse stock split, given the significantly reduced number of shares that would be issued and outstanding after the reverse stock split, particularly if the stock price does not increase commensurate with the ratio of the reverse stock split. In addition, if a reverse stock split is approved and implemented, it will increase the number of our stockholders who own “odd lots” of fewer than 100 shares of our common stock. Brokerage commission and other costs of transactions for the sale of odd lots are generally higher than the costs of transactions of more than 100 shares of common stock. Accordingly, a reverse stock split may not achieve the desired results of increasing marketability and liquidity of our common stock.</w:t>
      </w:r>
    </w:p>
    <w:p>
      <w:pPr>
        <w:spacing w:after="0" w:line="292" w:lineRule="exact"/>
        <w:rPr>
          <w:sz w:val="20"/>
          <w:szCs w:val="20"/>
          <w:color w:val="auto"/>
        </w:rPr>
      </w:pPr>
    </w:p>
    <w:p>
      <w:pPr>
        <w:ind w:right="160" w:firstLine="8"/>
        <w:spacing w:after="0" w:line="286" w:lineRule="auto"/>
        <w:tabs>
          <w:tab w:leader="none" w:pos="135" w:val="left"/>
        </w:tabs>
        <w:numPr>
          <w:ilvl w:val="0"/>
          <w:numId w:val="3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The effective increase in the authorized number of shares of our common stock as a result of our proposed reverse stock split could have anti-takeover implications and result in further dilution to our existing stockholders.</w:t>
      </w:r>
    </w:p>
    <w:p>
      <w:pPr>
        <w:spacing w:after="0" w:line="51" w:lineRule="exact"/>
        <w:rPr>
          <w:sz w:val="20"/>
          <w:szCs w:val="20"/>
          <w:color w:val="auto"/>
        </w:rPr>
      </w:pPr>
    </w:p>
    <w:p>
      <w:pPr>
        <w:ind w:right="40" w:firstLine="588"/>
        <w:spacing w:after="0" w:line="254" w:lineRule="auto"/>
        <w:rPr>
          <w:sz w:val="20"/>
          <w:szCs w:val="20"/>
          <w:color w:val="auto"/>
        </w:rPr>
      </w:pPr>
      <w:r>
        <w:rPr>
          <w:rFonts w:ascii="Times New Roman" w:cs="Times New Roman" w:eastAsia="Times New Roman" w:hAnsi="Times New Roman"/>
          <w:sz w:val="18"/>
          <w:szCs w:val="18"/>
          <w:color w:val="auto"/>
        </w:rPr>
        <w:t>In connection with our reverse stock split proposal, we are seeking approval to maintain the total number of authorized shares of our common stock. The combination of the reverse stock split of our issued and outstanding shares, and maintaining the number of our authorized shares, would effectively significantly increase our authorized shares relative to our issued and outstanding shares. This effective increase in the number of authorized shares will allow us to sell additional shares of our common stock (or securities convertible or exchangeable for our common stock), which would result in further dilution of our current stockholders. In addition, the effective increase in the number of authorized shares could, under certain circumstances, have anti-takeover implications. For example, the additional shares of common stock that would become available for issuance could be used by us to oppose a hostile takeover attempt or to delay or prevent changes in control or our management. Although our reverse stock split proposal was prompted by business and financial considerations and not by the threat of any hostile takeover attempt, stockholders should be aware that approval of these proposals could facilitate future efforts by us to deter or prevent changes in control, including transactions in which our stockholders might otherwise receive a premium for their shares over then-current market prices.</w:t>
      </w:r>
    </w:p>
    <w:p>
      <w:pPr>
        <w:spacing w:after="0" w:line="398"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2</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59" w:name="page60"/>
    <w:bookmarkEnd w:id="59"/>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Defaults Upon Senior Securities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0" w:type="dxa"/>
            <w:vAlign w:val="bottom"/>
          </w:tcPr>
          <w:p>
            <w:pPr>
              <w:spacing w:after="0"/>
              <w:rPr>
                <w:sz w:val="1"/>
                <w:szCs w:val="1"/>
                <w:color w:val="auto"/>
              </w:rPr>
            </w:pPr>
          </w:p>
        </w:tc>
      </w:tr>
      <w:tr>
        <w:trPr>
          <w:trHeight w:val="432"/>
        </w:trPr>
        <w:tc>
          <w:tcPr>
            <w:tcW w:w="9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None.</w:t>
            </w:r>
          </w:p>
        </w:tc>
        <w:tc>
          <w:tcPr>
            <w:tcW w:w="4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883"/>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0" w:type="dxa"/>
            <w:vAlign w:val="bottom"/>
          </w:tcPr>
          <w:p>
            <w:pPr>
              <w:spacing w:after="0"/>
              <w:rPr>
                <w:sz w:val="1"/>
                <w:szCs w:val="1"/>
                <w:color w:val="auto"/>
              </w:rPr>
            </w:pPr>
          </w:p>
        </w:tc>
      </w:tr>
      <w:tr>
        <w:trPr>
          <w:trHeight w:val="130"/>
        </w:trPr>
        <w:tc>
          <w:tcPr>
            <w:tcW w:w="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4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980" w:type="dxa"/>
            <w:vAlign w:val="bottom"/>
            <w:vMerge w:val="continue"/>
          </w:tcPr>
          <w:p>
            <w:pPr>
              <w:spacing w:after="0"/>
              <w:rPr>
                <w:sz w:val="9"/>
                <w:szCs w:val="9"/>
                <w:color w:val="auto"/>
              </w:rPr>
            </w:pPr>
          </w:p>
        </w:tc>
        <w:tc>
          <w:tcPr>
            <w:tcW w:w="4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Amended and Restated Certificate of Incorporation as</w:t>
            </w:r>
          </w:p>
        </w:tc>
        <w:tc>
          <w:tcPr>
            <w:tcW w:w="0" w:type="dxa"/>
            <w:vAlign w:val="bottom"/>
          </w:tcPr>
          <w:p>
            <w:pPr>
              <w:spacing w:after="0"/>
              <w:rPr>
                <w:sz w:val="1"/>
                <w:szCs w:val="1"/>
                <w:color w:val="auto"/>
              </w:rPr>
            </w:pPr>
          </w:p>
        </w:tc>
      </w:tr>
      <w:tr>
        <w:trPr>
          <w:trHeight w:val="211"/>
        </w:trPr>
        <w:tc>
          <w:tcPr>
            <w:tcW w:w="98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rPr>
              <w:t>3.1</w:t>
            </w:r>
          </w:p>
        </w:tc>
        <w:tc>
          <w:tcPr>
            <w:tcW w:w="4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980" w:type="dxa"/>
            <w:vAlign w:val="bottom"/>
            <w:vMerge w:val="continue"/>
          </w:tcPr>
          <w:p>
            <w:pPr>
              <w:spacing w:after="0"/>
              <w:rPr>
                <w:sz w:val="10"/>
                <w:szCs w:val="10"/>
                <w:color w:val="auto"/>
              </w:rPr>
            </w:pPr>
          </w:p>
        </w:tc>
        <w:tc>
          <w:tcPr>
            <w:tcW w:w="4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currently in effect.</w:t>
            </w:r>
          </w:p>
        </w:tc>
        <w:tc>
          <w:tcPr>
            <w:tcW w:w="0" w:type="dxa"/>
            <w:vAlign w:val="bottom"/>
          </w:tcPr>
          <w:p>
            <w:pPr>
              <w:spacing w:after="0"/>
              <w:rPr>
                <w:sz w:val="1"/>
                <w:szCs w:val="1"/>
                <w:color w:val="auto"/>
              </w:rPr>
            </w:pPr>
          </w:p>
        </w:tc>
      </w:tr>
      <w:tr>
        <w:trPr>
          <w:trHeight w:val="103"/>
        </w:trPr>
        <w:tc>
          <w:tcPr>
            <w:tcW w:w="980" w:type="dxa"/>
            <w:vAlign w:val="bottom"/>
          </w:tcPr>
          <w:p>
            <w:pPr>
              <w:spacing w:after="0"/>
              <w:rPr>
                <w:sz w:val="8"/>
                <w:szCs w:val="8"/>
                <w:color w:val="auto"/>
              </w:rPr>
            </w:pPr>
          </w:p>
        </w:tc>
        <w:tc>
          <w:tcPr>
            <w:tcW w:w="4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3.2</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Amended and Restated Bylaws as currently in effect.</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 of Kim D. Blickenstaff, Chief Executive</w:t>
            </w:r>
          </w:p>
        </w:tc>
        <w:tc>
          <w:tcPr>
            <w:tcW w:w="0" w:type="dxa"/>
            <w:vAlign w:val="bottom"/>
          </w:tcPr>
          <w:p>
            <w:pPr>
              <w:spacing w:after="0"/>
              <w:rPr>
                <w:sz w:val="1"/>
                <w:szCs w:val="1"/>
                <w:color w:val="auto"/>
              </w:rPr>
            </w:pPr>
          </w:p>
        </w:tc>
      </w:tr>
      <w:tr>
        <w:trPr>
          <w:trHeight w:val="216"/>
        </w:trPr>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31.1</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Officer, pursuant to Section 302 of the Sarbanes-Oxley</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19"/>
                <w:szCs w:val="19"/>
                <w:color w:val="auto"/>
              </w:rPr>
            </w:pP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 of 2002.</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 of John Cajigas, Chief Financial Officer,</w:t>
            </w:r>
          </w:p>
        </w:tc>
        <w:tc>
          <w:tcPr>
            <w:tcW w:w="0" w:type="dxa"/>
            <w:vAlign w:val="bottom"/>
          </w:tcPr>
          <w:p>
            <w:pPr>
              <w:spacing w:after="0"/>
              <w:rPr>
                <w:sz w:val="1"/>
                <w:szCs w:val="1"/>
                <w:color w:val="auto"/>
              </w:rPr>
            </w:pPr>
          </w:p>
        </w:tc>
      </w:tr>
      <w:tr>
        <w:trPr>
          <w:trHeight w:val="216"/>
        </w:trPr>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31.2</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pursuant to Section 302 of the Sarbanes-Oxley Act of</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19"/>
                <w:szCs w:val="19"/>
                <w:color w:val="auto"/>
              </w:rPr>
            </w:pP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2002.</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 of Kim D. Blickenstaff, Chief Executive</w:t>
            </w:r>
          </w:p>
        </w:tc>
        <w:tc>
          <w:tcPr>
            <w:tcW w:w="0" w:type="dxa"/>
            <w:vAlign w:val="bottom"/>
          </w:tcPr>
          <w:p>
            <w:pPr>
              <w:spacing w:after="0"/>
              <w:rPr>
                <w:sz w:val="1"/>
                <w:szCs w:val="1"/>
                <w:color w:val="auto"/>
              </w:rPr>
            </w:pPr>
          </w:p>
        </w:tc>
      </w:tr>
      <w:tr>
        <w:trPr>
          <w:trHeight w:val="216"/>
        </w:trPr>
        <w:tc>
          <w:tcPr>
            <w:tcW w:w="98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8"/>
              </w:rPr>
              <w:t>32.1*</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Officer, pursuant to U.S.C. Section 1350, as adopted</w:t>
            </w:r>
          </w:p>
        </w:tc>
        <w:tc>
          <w:tcPr>
            <w:tcW w:w="0" w:type="dxa"/>
            <w:vAlign w:val="bottom"/>
          </w:tcPr>
          <w:p>
            <w:pPr>
              <w:spacing w:after="0"/>
              <w:rPr>
                <w:sz w:val="1"/>
                <w:szCs w:val="1"/>
                <w:color w:val="auto"/>
              </w:rPr>
            </w:pPr>
          </w:p>
        </w:tc>
      </w:tr>
      <w:tr>
        <w:trPr>
          <w:trHeight w:val="126"/>
        </w:trPr>
        <w:tc>
          <w:tcPr>
            <w:tcW w:w="980" w:type="dxa"/>
            <w:vAlign w:val="bottom"/>
            <w:vMerge w:val="continue"/>
          </w:tcPr>
          <w:p>
            <w:pPr>
              <w:spacing w:after="0"/>
              <w:rPr>
                <w:sz w:val="10"/>
                <w:szCs w:val="10"/>
                <w:color w:val="auto"/>
              </w:rPr>
            </w:pPr>
          </w:p>
        </w:tc>
        <w:tc>
          <w:tcPr>
            <w:tcW w:w="4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pursuant to Section 906 of the Sarbanes-Oxley Act of</w:t>
            </w:r>
          </w:p>
        </w:tc>
        <w:tc>
          <w:tcPr>
            <w:tcW w:w="0" w:type="dxa"/>
            <w:vAlign w:val="bottom"/>
          </w:tcPr>
          <w:p>
            <w:pPr>
              <w:spacing w:after="0"/>
              <w:rPr>
                <w:sz w:val="1"/>
                <w:szCs w:val="1"/>
                <w:color w:val="auto"/>
              </w:rPr>
            </w:pPr>
          </w:p>
        </w:tc>
      </w:tr>
      <w:tr>
        <w:trPr>
          <w:trHeight w:val="90"/>
        </w:trPr>
        <w:tc>
          <w:tcPr>
            <w:tcW w:w="980" w:type="dxa"/>
            <w:vAlign w:val="bottom"/>
          </w:tcPr>
          <w:p>
            <w:pPr>
              <w:spacing w:after="0"/>
              <w:rPr>
                <w:sz w:val="7"/>
                <w:szCs w:val="7"/>
                <w:color w:val="auto"/>
              </w:rPr>
            </w:pPr>
          </w:p>
        </w:tc>
        <w:tc>
          <w:tcPr>
            <w:tcW w:w="4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19"/>
                <w:szCs w:val="19"/>
                <w:color w:val="auto"/>
              </w:rPr>
            </w:pP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2002.</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 of John Cajigas, Chief Financial Officer,</w:t>
            </w:r>
          </w:p>
        </w:tc>
        <w:tc>
          <w:tcPr>
            <w:tcW w:w="0" w:type="dxa"/>
            <w:vAlign w:val="bottom"/>
          </w:tcPr>
          <w:p>
            <w:pPr>
              <w:spacing w:after="0"/>
              <w:rPr>
                <w:sz w:val="1"/>
                <w:szCs w:val="1"/>
                <w:color w:val="auto"/>
              </w:rPr>
            </w:pPr>
          </w:p>
        </w:tc>
      </w:tr>
      <w:tr>
        <w:trPr>
          <w:trHeight w:val="216"/>
        </w:trPr>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32.2*</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pursuant to U.S.C. Section 1350, as adopted pursuant to</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19"/>
                <w:szCs w:val="19"/>
                <w:color w:val="auto"/>
              </w:rPr>
            </w:pP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906 of the Sarbanes-Oxley Act of 2002.</w:t>
            </w:r>
          </w:p>
        </w:tc>
        <w:tc>
          <w:tcPr>
            <w:tcW w:w="0" w:type="dxa"/>
            <w:vAlign w:val="bottom"/>
          </w:tcPr>
          <w:p>
            <w:pPr>
              <w:spacing w:after="0"/>
              <w:rPr>
                <w:sz w:val="1"/>
                <w:szCs w:val="1"/>
                <w:color w:val="auto"/>
              </w:rPr>
            </w:pPr>
          </w:p>
        </w:tc>
      </w:tr>
      <w:tr>
        <w:trPr>
          <w:trHeight w:val="230"/>
        </w:trPr>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101.INS</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Instance Document.</w:t>
            </w:r>
          </w:p>
        </w:tc>
        <w:tc>
          <w:tcPr>
            <w:tcW w:w="0" w:type="dxa"/>
            <w:vAlign w:val="bottom"/>
          </w:tcPr>
          <w:p>
            <w:pPr>
              <w:spacing w:after="0"/>
              <w:rPr>
                <w:sz w:val="1"/>
                <w:szCs w:val="1"/>
                <w:color w:val="auto"/>
              </w:rPr>
            </w:pPr>
          </w:p>
        </w:tc>
      </w:tr>
      <w:tr>
        <w:trPr>
          <w:trHeight w:val="230"/>
        </w:trPr>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101.SCH</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216"/>
        </w:trPr>
        <w:tc>
          <w:tcPr>
            <w:tcW w:w="98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rPr>
              <w:t>101.CAL</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Taxonomy Extension Calculation Linkbase</w:t>
            </w:r>
          </w:p>
        </w:tc>
        <w:tc>
          <w:tcPr>
            <w:tcW w:w="0" w:type="dxa"/>
            <w:vAlign w:val="bottom"/>
          </w:tcPr>
          <w:p>
            <w:pPr>
              <w:spacing w:after="0"/>
              <w:rPr>
                <w:sz w:val="1"/>
                <w:szCs w:val="1"/>
                <w:color w:val="auto"/>
              </w:rPr>
            </w:pPr>
          </w:p>
        </w:tc>
      </w:tr>
      <w:tr>
        <w:trPr>
          <w:trHeight w:val="126"/>
        </w:trPr>
        <w:tc>
          <w:tcPr>
            <w:tcW w:w="980" w:type="dxa"/>
            <w:vAlign w:val="bottom"/>
            <w:vMerge w:val="continue"/>
          </w:tcPr>
          <w:p>
            <w:pPr>
              <w:spacing w:after="0"/>
              <w:rPr>
                <w:sz w:val="10"/>
                <w:szCs w:val="10"/>
                <w:color w:val="auto"/>
              </w:rPr>
            </w:pPr>
          </w:p>
        </w:tc>
        <w:tc>
          <w:tcPr>
            <w:tcW w:w="4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Document.</w:t>
            </w:r>
          </w:p>
        </w:tc>
        <w:tc>
          <w:tcPr>
            <w:tcW w:w="0" w:type="dxa"/>
            <w:vAlign w:val="bottom"/>
          </w:tcPr>
          <w:p>
            <w:pPr>
              <w:spacing w:after="0"/>
              <w:rPr>
                <w:sz w:val="1"/>
                <w:szCs w:val="1"/>
                <w:color w:val="auto"/>
              </w:rPr>
            </w:pPr>
          </w:p>
        </w:tc>
      </w:tr>
      <w:tr>
        <w:trPr>
          <w:trHeight w:val="103"/>
        </w:trPr>
        <w:tc>
          <w:tcPr>
            <w:tcW w:w="980" w:type="dxa"/>
            <w:vAlign w:val="bottom"/>
          </w:tcPr>
          <w:p>
            <w:pPr>
              <w:spacing w:after="0"/>
              <w:rPr>
                <w:sz w:val="8"/>
                <w:szCs w:val="8"/>
                <w:color w:val="auto"/>
              </w:rPr>
            </w:pPr>
          </w:p>
        </w:tc>
        <w:tc>
          <w:tcPr>
            <w:tcW w:w="4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8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7"/>
              </w:rPr>
              <w:t>101.DEF</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Taxonomy Extension Definition Linkbase</w:t>
            </w:r>
          </w:p>
        </w:tc>
        <w:tc>
          <w:tcPr>
            <w:tcW w:w="0" w:type="dxa"/>
            <w:vAlign w:val="bottom"/>
          </w:tcPr>
          <w:p>
            <w:pPr>
              <w:spacing w:after="0"/>
              <w:rPr>
                <w:sz w:val="1"/>
                <w:szCs w:val="1"/>
                <w:color w:val="auto"/>
              </w:rPr>
            </w:pPr>
          </w:p>
        </w:tc>
      </w:tr>
      <w:tr>
        <w:trPr>
          <w:trHeight w:val="126"/>
        </w:trPr>
        <w:tc>
          <w:tcPr>
            <w:tcW w:w="980" w:type="dxa"/>
            <w:vAlign w:val="bottom"/>
            <w:vMerge w:val="continue"/>
          </w:tcPr>
          <w:p>
            <w:pPr>
              <w:spacing w:after="0"/>
              <w:rPr>
                <w:sz w:val="10"/>
                <w:szCs w:val="10"/>
                <w:color w:val="auto"/>
              </w:rPr>
            </w:pPr>
          </w:p>
        </w:tc>
        <w:tc>
          <w:tcPr>
            <w:tcW w:w="4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Document.</w:t>
            </w:r>
          </w:p>
        </w:tc>
        <w:tc>
          <w:tcPr>
            <w:tcW w:w="0" w:type="dxa"/>
            <w:vAlign w:val="bottom"/>
          </w:tcPr>
          <w:p>
            <w:pPr>
              <w:spacing w:after="0"/>
              <w:rPr>
                <w:sz w:val="1"/>
                <w:szCs w:val="1"/>
                <w:color w:val="auto"/>
              </w:rPr>
            </w:pPr>
          </w:p>
        </w:tc>
      </w:tr>
      <w:tr>
        <w:trPr>
          <w:trHeight w:val="103"/>
        </w:trPr>
        <w:tc>
          <w:tcPr>
            <w:tcW w:w="980" w:type="dxa"/>
            <w:vAlign w:val="bottom"/>
          </w:tcPr>
          <w:p>
            <w:pPr>
              <w:spacing w:after="0"/>
              <w:rPr>
                <w:sz w:val="8"/>
                <w:szCs w:val="8"/>
                <w:color w:val="auto"/>
              </w:rPr>
            </w:pPr>
          </w:p>
        </w:tc>
        <w:tc>
          <w:tcPr>
            <w:tcW w:w="4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101.LAB</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XBRL Taxonomy Extension Label Linkbase Document.</w:t>
            </w:r>
          </w:p>
        </w:tc>
        <w:tc>
          <w:tcPr>
            <w:tcW w:w="0" w:type="dxa"/>
            <w:vAlign w:val="bottom"/>
          </w:tcPr>
          <w:p>
            <w:pPr>
              <w:spacing w:after="0"/>
              <w:rPr>
                <w:sz w:val="1"/>
                <w:szCs w:val="1"/>
                <w:color w:val="auto"/>
              </w:rPr>
            </w:pPr>
          </w:p>
        </w:tc>
      </w:tr>
      <w:tr>
        <w:trPr>
          <w:trHeight w:val="216"/>
        </w:trPr>
        <w:tc>
          <w:tcPr>
            <w:tcW w:w="98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9"/>
              </w:rPr>
              <w:t>101.PRE</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Taxonomy Extension Presentation Linkbase</w:t>
            </w:r>
          </w:p>
        </w:tc>
        <w:tc>
          <w:tcPr>
            <w:tcW w:w="0" w:type="dxa"/>
            <w:vAlign w:val="bottom"/>
          </w:tcPr>
          <w:p>
            <w:pPr>
              <w:spacing w:after="0"/>
              <w:rPr>
                <w:sz w:val="1"/>
                <w:szCs w:val="1"/>
                <w:color w:val="auto"/>
              </w:rPr>
            </w:pPr>
          </w:p>
        </w:tc>
      </w:tr>
      <w:tr>
        <w:trPr>
          <w:trHeight w:val="126"/>
        </w:trPr>
        <w:tc>
          <w:tcPr>
            <w:tcW w:w="980" w:type="dxa"/>
            <w:vAlign w:val="bottom"/>
            <w:vMerge w:val="continue"/>
          </w:tcPr>
          <w:p>
            <w:pPr>
              <w:spacing w:after="0"/>
              <w:rPr>
                <w:sz w:val="10"/>
                <w:szCs w:val="10"/>
                <w:color w:val="auto"/>
              </w:rPr>
            </w:pPr>
          </w:p>
        </w:tc>
        <w:tc>
          <w:tcPr>
            <w:tcW w:w="4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Document.</w:t>
            </w:r>
          </w:p>
        </w:tc>
        <w:tc>
          <w:tcPr>
            <w:tcW w:w="0" w:type="dxa"/>
            <w:vAlign w:val="bottom"/>
          </w:tcPr>
          <w:p>
            <w:pPr>
              <w:spacing w:after="0"/>
              <w:rPr>
                <w:sz w:val="1"/>
                <w:szCs w:val="1"/>
                <w:color w:val="auto"/>
              </w:rPr>
            </w:pPr>
          </w:p>
        </w:tc>
      </w:tr>
      <w:tr>
        <w:trPr>
          <w:trHeight w:val="108"/>
        </w:trPr>
        <w:tc>
          <w:tcPr>
            <w:tcW w:w="980" w:type="dxa"/>
            <w:vAlign w:val="bottom"/>
          </w:tcPr>
          <w:p>
            <w:pPr>
              <w:spacing w:after="0"/>
              <w:rPr>
                <w:sz w:val="9"/>
                <w:szCs w:val="9"/>
                <w:color w:val="auto"/>
              </w:rPr>
            </w:pPr>
          </w:p>
        </w:tc>
        <w:tc>
          <w:tcPr>
            <w:tcW w:w="4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820" w:type="dxa"/>
            <w:vAlign w:val="bottom"/>
          </w:tcPr>
          <w:p>
            <w:pPr>
              <w:spacing w:after="0"/>
              <w:rPr>
                <w:sz w:val="18"/>
                <w:szCs w:val="18"/>
                <w:color w:val="auto"/>
              </w:rPr>
            </w:pPr>
          </w:p>
        </w:tc>
        <w:tc>
          <w:tcPr>
            <w:tcW w:w="29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020" w:type="dxa"/>
            <w:vAlign w:val="bottom"/>
          </w:tcPr>
          <w:p>
            <w:pPr>
              <w:spacing w:after="0"/>
              <w:rPr>
                <w:sz w:val="18"/>
                <w:szCs w:val="18"/>
                <w:color w:val="auto"/>
              </w:rPr>
            </w:pPr>
          </w:p>
        </w:tc>
        <w:tc>
          <w:tcPr>
            <w:tcW w:w="14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Provided</w:t>
            </w:r>
          </w:p>
        </w:tc>
        <w:tc>
          <w:tcPr>
            <w:tcW w:w="0" w:type="dxa"/>
            <w:vAlign w:val="bottom"/>
          </w:tcPr>
          <w:p>
            <w:pPr>
              <w:spacing w:after="0"/>
              <w:rPr>
                <w:sz w:val="1"/>
                <w:szCs w:val="1"/>
                <w:color w:val="auto"/>
              </w:rPr>
            </w:pPr>
          </w:p>
        </w:tc>
      </w:tr>
      <w:tr>
        <w:trPr>
          <w:trHeight w:val="130"/>
        </w:trPr>
        <w:tc>
          <w:tcPr>
            <w:tcW w:w="820" w:type="dxa"/>
            <w:vAlign w:val="bottom"/>
          </w:tcPr>
          <w:p>
            <w:pPr>
              <w:spacing w:after="0"/>
              <w:rPr>
                <w:sz w:val="11"/>
                <w:szCs w:val="11"/>
                <w:color w:val="auto"/>
              </w:rPr>
            </w:pPr>
          </w:p>
        </w:tc>
        <w:tc>
          <w:tcPr>
            <w:tcW w:w="2980" w:type="dxa"/>
            <w:vAlign w:val="bottom"/>
            <w:gridSpan w:val="2"/>
            <w:vMerge w:val="continue"/>
          </w:tcPr>
          <w:p>
            <w:pPr>
              <w:spacing w:after="0"/>
              <w:rPr>
                <w:sz w:val="11"/>
                <w:szCs w:val="11"/>
                <w:color w:val="auto"/>
              </w:rPr>
            </w:pPr>
          </w:p>
        </w:tc>
        <w:tc>
          <w:tcPr>
            <w:tcW w:w="1020" w:type="dxa"/>
            <w:vAlign w:val="bottom"/>
          </w:tcPr>
          <w:p>
            <w:pPr>
              <w:spacing w:after="0"/>
              <w:rPr>
                <w:sz w:val="11"/>
                <w:szCs w:val="11"/>
                <w:color w:val="auto"/>
              </w:rPr>
            </w:pPr>
          </w:p>
        </w:tc>
        <w:tc>
          <w:tcPr>
            <w:tcW w:w="1400" w:type="dxa"/>
            <w:vAlign w:val="bottom"/>
            <w:vMerge w:val="restart"/>
          </w:tcPr>
          <w:p>
            <w:pPr>
              <w:ind w:left="340"/>
              <w:spacing w:after="0"/>
              <w:rPr>
                <w:sz w:val="20"/>
                <w:szCs w:val="20"/>
                <w:color w:val="auto"/>
              </w:rPr>
            </w:pPr>
            <w:r>
              <w:rPr>
                <w:rFonts w:ascii="Times New Roman" w:cs="Times New Roman" w:eastAsia="Times New Roman" w:hAnsi="Times New Roman"/>
                <w:sz w:val="18"/>
                <w:szCs w:val="18"/>
                <w:b w:val="1"/>
                <w:bCs w:val="1"/>
                <w:color w:val="auto"/>
              </w:rPr>
              <w:t>Herewith</w:t>
            </w:r>
          </w:p>
        </w:tc>
        <w:tc>
          <w:tcPr>
            <w:tcW w:w="0" w:type="dxa"/>
            <w:vAlign w:val="bottom"/>
          </w:tcPr>
          <w:p>
            <w:pPr>
              <w:spacing w:after="0"/>
              <w:rPr>
                <w:sz w:val="1"/>
                <w:szCs w:val="1"/>
                <w:color w:val="auto"/>
              </w:rPr>
            </w:pPr>
          </w:p>
        </w:tc>
      </w:tr>
      <w:tr>
        <w:trPr>
          <w:trHeight w:val="108"/>
        </w:trPr>
        <w:tc>
          <w:tcPr>
            <w:tcW w:w="820" w:type="dxa"/>
            <w:vAlign w:val="bottom"/>
            <w:tcBorders>
              <w:bottom w:val="single" w:sz="8" w:color="auto"/>
            </w:tcBorders>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40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7"/>
        </w:trPr>
        <w:tc>
          <w:tcPr>
            <w:tcW w:w="8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36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Date of First</w:t>
            </w:r>
          </w:p>
        </w:tc>
        <w:tc>
          <w:tcPr>
            <w:tcW w:w="1020" w:type="dxa"/>
            <w:vAlign w:val="bottom"/>
            <w:vMerge w:val="continue"/>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62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9"/>
              </w:rPr>
              <w:t>File No.</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Filing</w:t>
            </w:r>
          </w:p>
        </w:tc>
        <w:tc>
          <w:tcPr>
            <w:tcW w:w="2420" w:type="dxa"/>
            <w:vAlign w:val="bottom"/>
            <w:gridSpan w:val="2"/>
          </w:tcPr>
          <w:p>
            <w:pPr>
              <w:jc w:val="center"/>
              <w:ind w:right="133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0" w:type="dxa"/>
            <w:vAlign w:val="bottom"/>
          </w:tcPr>
          <w:p>
            <w:pPr>
              <w:spacing w:after="0"/>
              <w:rPr>
                <w:sz w:val="1"/>
                <w:szCs w:val="1"/>
                <w:color w:val="auto"/>
              </w:rPr>
            </w:pPr>
          </w:p>
        </w:tc>
      </w:tr>
      <w:tr>
        <w:trPr>
          <w:trHeight w:val="338"/>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S-1/A</w:t>
            </w:r>
          </w:p>
        </w:tc>
        <w:tc>
          <w:tcPr>
            <w:tcW w:w="162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rPr>
              <w:t>333-191601</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1-Nov-13</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3.4</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S-1/A</w:t>
            </w:r>
          </w:p>
        </w:tc>
        <w:tc>
          <w:tcPr>
            <w:tcW w:w="162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rPr>
              <w:t>333-191601</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1-Nov-13</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3.5</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5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36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36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X</w:t>
      </w:r>
    </w:p>
    <w:p>
      <w:pPr>
        <w:spacing w:after="0" w:line="23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X</w:t>
      </w:r>
    </w:p>
    <w:p>
      <w:pPr>
        <w:spacing w:after="0" w:line="2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X</w:t>
      </w:r>
    </w:p>
    <w:p>
      <w:pPr>
        <w:spacing w:after="0" w:line="12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X</w:t>
      </w:r>
    </w:p>
    <w:p>
      <w:pPr>
        <w:spacing w:after="0" w:line="23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X</w:t>
      </w:r>
    </w:p>
    <w:p>
      <w:pPr>
        <w:spacing w:after="0" w:line="13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X</w:t>
      </w:r>
    </w:p>
    <w:p>
      <w:pPr>
        <w:spacing w:after="0" w:line="13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X</w:t>
      </w:r>
    </w:p>
    <w:p>
      <w:pPr>
        <w:spacing w:after="0" w:line="335" w:lineRule="exact"/>
        <w:rPr>
          <w:sz w:val="20"/>
          <w:szCs w:val="20"/>
          <w:color w:val="auto"/>
        </w:rPr>
      </w:pPr>
    </w:p>
    <w:p>
      <w:pPr>
        <w:sectPr>
          <w:pgSz w:w="11900" w:h="16838" w:orient="portrait"/>
          <w:cols w:equalWidth="0" w:num="2">
            <w:col w:w="5060" w:space="140"/>
            <w:col w:w="6220"/>
          </w:cols>
          <w:pgMar w:left="240" w:top="117" w:right="2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ind w:left="520" w:right="180" w:hanging="512"/>
        <w:spacing w:after="0" w:line="266"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not deemed “filed” for purposes of Section 18 of the Securities Exchange Act of 1934, or otherwise subject to the liability of that section. Such certification will not be deemed to be incorporated by reference into any filing under the Securities Act of 1933 or the Securities Exchange Act of 1934,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type w:val="continuous"/>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20" w:firstLine="51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40" w:type="dxa"/>
            <w:vAlign w:val="bottom"/>
          </w:tcPr>
          <w:p>
            <w:pPr>
              <w:spacing w:after="0"/>
              <w:rPr>
                <w:sz w:val="20"/>
                <w:szCs w:val="20"/>
                <w:color w:val="auto"/>
              </w:rPr>
            </w:pPr>
          </w:p>
        </w:tc>
        <w:tc>
          <w:tcPr>
            <w:tcW w:w="7580" w:type="dxa"/>
            <w:vAlign w:val="bottom"/>
            <w:gridSpan w:val="2"/>
          </w:tcPr>
          <w:p>
            <w:pPr>
              <w:ind w:left="2320"/>
              <w:spacing w:after="0"/>
              <w:rPr>
                <w:sz w:val="20"/>
                <w:szCs w:val="20"/>
                <w:color w:val="auto"/>
              </w:rPr>
            </w:pPr>
            <w:r>
              <w:rPr>
                <w:rFonts w:ascii="Times New Roman" w:cs="Times New Roman" w:eastAsia="Times New Roman" w:hAnsi="Times New Roman"/>
                <w:sz w:val="18"/>
                <w:szCs w:val="18"/>
                <w:color w:val="auto"/>
              </w:rPr>
              <w:t>Tandem Diabetes Care, Inc.</w:t>
            </w:r>
          </w:p>
        </w:tc>
      </w:tr>
      <w:tr>
        <w:trPr>
          <w:trHeight w:val="459"/>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Dated: July 27, 2017</w:t>
            </w:r>
          </w:p>
        </w:tc>
        <w:tc>
          <w:tcPr>
            <w:tcW w:w="278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By:</w:t>
            </w:r>
          </w:p>
        </w:tc>
        <w:tc>
          <w:tcPr>
            <w:tcW w:w="4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Kim D. Blickenstaff</w:t>
            </w:r>
          </w:p>
        </w:tc>
      </w:tr>
      <w:tr>
        <w:trPr>
          <w:trHeight w:val="191"/>
        </w:trPr>
        <w:tc>
          <w:tcPr>
            <w:tcW w:w="384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48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Kim D. Blickenstaff</w:t>
            </w:r>
          </w:p>
        </w:tc>
      </w:tr>
      <w:tr>
        <w:trPr>
          <w:trHeight w:val="216"/>
        </w:trPr>
        <w:tc>
          <w:tcPr>
            <w:tcW w:w="38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16"/>
        </w:trPr>
        <w:tc>
          <w:tcPr>
            <w:tcW w:w="38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(on behalf of the registrant and as the registrant’s</w:t>
            </w:r>
          </w:p>
        </w:tc>
      </w:tr>
      <w:tr>
        <w:trPr>
          <w:trHeight w:val="234"/>
        </w:trPr>
        <w:tc>
          <w:tcPr>
            <w:tcW w:w="384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73"/>
        </w:trPr>
        <w:tc>
          <w:tcPr>
            <w:tcW w:w="3840" w:type="dxa"/>
            <w:vAlign w:val="bottom"/>
          </w:tcPr>
          <w:p>
            <w:pPr>
              <w:spacing w:after="0"/>
              <w:rPr>
                <w:sz w:val="24"/>
                <w:szCs w:val="24"/>
                <w:color w:val="auto"/>
              </w:rPr>
            </w:pPr>
          </w:p>
        </w:tc>
        <w:tc>
          <w:tcPr>
            <w:tcW w:w="278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By:</w:t>
            </w:r>
          </w:p>
        </w:tc>
        <w:tc>
          <w:tcPr>
            <w:tcW w:w="4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Cajigas</w:t>
            </w:r>
          </w:p>
        </w:tc>
      </w:tr>
      <w:tr>
        <w:trPr>
          <w:trHeight w:val="191"/>
        </w:trPr>
        <w:tc>
          <w:tcPr>
            <w:tcW w:w="384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48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John Cajigas</w:t>
            </w:r>
          </w:p>
        </w:tc>
      </w:tr>
      <w:tr>
        <w:trPr>
          <w:trHeight w:val="234"/>
        </w:trPr>
        <w:tc>
          <w:tcPr>
            <w:tcW w:w="384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Chief Financial Officer and Treasurer</w:t>
            </w:r>
          </w:p>
        </w:tc>
      </w:tr>
    </w:tbl>
    <w:p>
      <w:pPr>
        <w:ind w:left="6620"/>
        <w:spacing w:after="0"/>
        <w:rPr>
          <w:sz w:val="20"/>
          <w:szCs w:val="20"/>
          <w:color w:val="auto"/>
        </w:rPr>
      </w:pPr>
      <w:r>
        <w:rPr>
          <w:rFonts w:ascii="Times New Roman" w:cs="Times New Roman" w:eastAsia="Times New Roman" w:hAnsi="Times New Roman"/>
          <w:sz w:val="18"/>
          <w:szCs w:val="18"/>
          <w:color w:val="auto"/>
        </w:rPr>
        <w:t>(on behalf of the registrant and as the registrant’s</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59</w:t>
      </w:r>
    </w:p>
    <w:p>
      <w:pPr>
        <w:sectPr>
          <w:pgSz w:w="11900" w:h="16838" w:orient="portrait"/>
          <w:cols w:equalWidth="0" w:num="1">
            <w:col w:w="11420"/>
          </w:cols>
          <w:pgMar w:left="240" w:top="117" w:right="2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Kim D. Blickenstaff, certify that:</w:t>
      </w:r>
    </w:p>
    <w:p>
      <w:pPr>
        <w:spacing w:after="0" w:line="225" w:lineRule="exact"/>
        <w:rPr>
          <w:sz w:val="20"/>
          <w:szCs w:val="20"/>
          <w:color w:val="auto"/>
        </w:rPr>
      </w:pPr>
    </w:p>
    <w:p>
      <w:pPr>
        <w:ind w:left="380" w:hanging="372"/>
        <w:spacing w:after="0"/>
        <w:tabs>
          <w:tab w:leader="none" w:pos="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Tandem Diabetes Care, Inc.;</w:t>
      </w:r>
    </w:p>
    <w:p>
      <w:pPr>
        <w:spacing w:after="0" w:line="225" w:lineRule="exact"/>
        <w:rPr>
          <w:rFonts w:ascii="Times New Roman" w:cs="Times New Roman" w:eastAsia="Times New Roman" w:hAnsi="Times New Roman"/>
          <w:sz w:val="18"/>
          <w:szCs w:val="18"/>
          <w:color w:val="auto"/>
        </w:rPr>
      </w:pPr>
    </w:p>
    <w:p>
      <w:pPr>
        <w:ind w:left="380" w:right="60" w:hanging="372"/>
        <w:spacing w:after="0" w:line="282" w:lineRule="auto"/>
        <w:tabs>
          <w:tab w:leader="none" w:pos="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left="380" w:right="520" w:hanging="372"/>
        <w:spacing w:after="0" w:line="282" w:lineRule="auto"/>
        <w:tabs>
          <w:tab w:leader="none" w:pos="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80" w:right="140" w:hanging="372"/>
        <w:spacing w:after="0" w:line="266" w:lineRule="auto"/>
        <w:tabs>
          <w:tab w:leader="none" w:pos="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1140" w:right="60" w:hanging="376"/>
        <w:spacing w:after="0" w:line="266" w:lineRule="auto"/>
        <w:tabs>
          <w:tab w:leader="none" w:pos="114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1140" w:right="380" w:hanging="376"/>
        <w:spacing w:after="0" w:line="266" w:lineRule="auto"/>
        <w:tabs>
          <w:tab w:leader="none" w:pos="114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jc w:val="both"/>
        <w:ind w:left="1140" w:right="540" w:hanging="376"/>
        <w:spacing w:after="0" w:line="282" w:lineRule="auto"/>
        <w:tabs>
          <w:tab w:leader="none" w:pos="114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140" w:right="60" w:hanging="376"/>
        <w:spacing w:after="0" w:line="266" w:lineRule="auto"/>
        <w:tabs>
          <w:tab w:leader="none" w:pos="114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380" w:right="260" w:hanging="372"/>
        <w:spacing w:after="0" w:line="282" w:lineRule="auto"/>
        <w:tabs>
          <w:tab w:leader="none" w:pos="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140" w:right="800" w:hanging="376"/>
        <w:spacing w:after="0" w:line="282" w:lineRule="auto"/>
        <w:tabs>
          <w:tab w:leader="none" w:pos="114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140" w:right="280" w:hanging="376"/>
        <w:spacing w:after="0" w:line="282" w:lineRule="auto"/>
        <w:tabs>
          <w:tab w:leader="none" w:pos="114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Tandem Diabetes Care, Inc.</w:t>
      </w:r>
    </w:p>
    <w:p>
      <w:pPr>
        <w:spacing w:after="0" w:line="225" w:lineRule="exact"/>
        <w:rPr>
          <w:sz w:val="20"/>
          <w:szCs w:val="20"/>
          <w:color w:val="auto"/>
        </w:rPr>
      </w:pPr>
    </w:p>
    <w:p>
      <w:pPr>
        <w:ind w:left="6860"/>
        <w:spacing w:after="0"/>
        <w:tabs>
          <w:tab w:leader="none" w:pos="7340" w:val="left"/>
        </w:tabs>
        <w:rPr>
          <w:sz w:val="20"/>
          <w:szCs w:val="20"/>
          <w:color w:val="auto"/>
        </w:rPr>
      </w:pPr>
      <w:r>
        <w:rPr>
          <w:rFonts w:ascii="Times New Roman" w:cs="Times New Roman" w:eastAsia="Times New Roman" w:hAnsi="Times New Roman"/>
          <w:sz w:val="18"/>
          <w:szCs w:val="18"/>
          <w:color w:val="auto"/>
        </w:rPr>
        <w:t>By:</w:t>
        <w:tab/>
        <w:t>/s/ Kim D. Blickenstaff</w:t>
      </w:r>
    </w:p>
    <w:p>
      <w:pPr>
        <w:spacing w:after="0" w:line="27"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color w:val="auto"/>
        </w:rPr>
        <w:t>Kim D. Blickenstaff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4670425</wp:posOffset>
            </wp:positionH>
            <wp:positionV relativeFrom="paragraph">
              <wp:posOffset>-130810</wp:posOffset>
            </wp:positionV>
            <wp:extent cx="258127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pacing w:after="0" w:line="3"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July 27, 2017</w:t>
      </w:r>
    </w:p>
    <w:p>
      <w:pPr>
        <w:sectPr>
          <w:pgSz w:w="11900" w:h="16838" w:orient="portrait"/>
          <w:cols w:equalWidth="0" w:num="1">
            <w:col w:w="11420"/>
          </w:cols>
          <w:pgMar w:left="240" w:top="117" w:right="2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Cajigas, certify that:</w:t>
      </w:r>
    </w:p>
    <w:p>
      <w:pPr>
        <w:spacing w:after="0" w:line="225" w:lineRule="exact"/>
        <w:rPr>
          <w:sz w:val="20"/>
          <w:szCs w:val="20"/>
          <w:color w:val="auto"/>
        </w:rPr>
      </w:pPr>
    </w:p>
    <w:p>
      <w:pPr>
        <w:ind w:left="380" w:hanging="372"/>
        <w:spacing w:after="0"/>
        <w:tabs>
          <w:tab w:leader="none" w:pos="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Tandem Diabetes Care, Inc.;</w:t>
      </w:r>
    </w:p>
    <w:p>
      <w:pPr>
        <w:spacing w:after="0" w:line="225" w:lineRule="exact"/>
        <w:rPr>
          <w:rFonts w:ascii="Times New Roman" w:cs="Times New Roman" w:eastAsia="Times New Roman" w:hAnsi="Times New Roman"/>
          <w:sz w:val="18"/>
          <w:szCs w:val="18"/>
          <w:color w:val="auto"/>
        </w:rPr>
      </w:pPr>
    </w:p>
    <w:p>
      <w:pPr>
        <w:ind w:left="380" w:right="60" w:hanging="372"/>
        <w:spacing w:after="0" w:line="282" w:lineRule="auto"/>
        <w:tabs>
          <w:tab w:leader="none" w:pos="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left="380" w:right="520" w:hanging="372"/>
        <w:spacing w:after="0" w:line="282" w:lineRule="auto"/>
        <w:tabs>
          <w:tab w:leader="none" w:pos="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80" w:right="140" w:hanging="372"/>
        <w:spacing w:after="0" w:line="266" w:lineRule="auto"/>
        <w:tabs>
          <w:tab w:leader="none" w:pos="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1140" w:right="60" w:hanging="376"/>
        <w:spacing w:after="0" w:line="266" w:lineRule="auto"/>
        <w:tabs>
          <w:tab w:leader="none" w:pos="114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1140" w:right="380" w:hanging="376"/>
        <w:spacing w:after="0" w:line="266" w:lineRule="auto"/>
        <w:tabs>
          <w:tab w:leader="none" w:pos="114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jc w:val="both"/>
        <w:ind w:left="1140" w:right="540" w:hanging="376"/>
        <w:spacing w:after="0" w:line="282" w:lineRule="auto"/>
        <w:tabs>
          <w:tab w:leader="none" w:pos="114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140" w:right="60" w:hanging="376"/>
        <w:spacing w:after="0" w:line="266" w:lineRule="auto"/>
        <w:tabs>
          <w:tab w:leader="none" w:pos="114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380" w:right="260" w:hanging="372"/>
        <w:spacing w:after="0" w:line="282" w:lineRule="auto"/>
        <w:tabs>
          <w:tab w:leader="none" w:pos="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140" w:right="800" w:hanging="376"/>
        <w:spacing w:after="0" w:line="282" w:lineRule="auto"/>
        <w:tabs>
          <w:tab w:leader="none" w:pos="114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140" w:right="480" w:hanging="376"/>
        <w:spacing w:after="0" w:line="282" w:lineRule="auto"/>
        <w:tabs>
          <w:tab w:leader="none" w:pos="114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Tandem Diabetes Care, Inc.</w:t>
      </w:r>
    </w:p>
    <w:p>
      <w:pPr>
        <w:spacing w:after="0" w:line="225" w:lineRule="exact"/>
        <w:rPr>
          <w:sz w:val="20"/>
          <w:szCs w:val="20"/>
          <w:color w:val="auto"/>
        </w:rPr>
      </w:pPr>
    </w:p>
    <w:p>
      <w:pPr>
        <w:ind w:left="6860"/>
        <w:spacing w:after="0"/>
        <w:tabs>
          <w:tab w:leader="none" w:pos="7340" w:val="left"/>
        </w:tabs>
        <w:rPr>
          <w:sz w:val="20"/>
          <w:szCs w:val="20"/>
          <w:color w:val="auto"/>
        </w:rPr>
      </w:pPr>
      <w:r>
        <w:rPr>
          <w:rFonts w:ascii="Times New Roman" w:cs="Times New Roman" w:eastAsia="Times New Roman" w:hAnsi="Times New Roman"/>
          <w:sz w:val="18"/>
          <w:szCs w:val="18"/>
          <w:color w:val="auto"/>
        </w:rPr>
        <w:t>By:</w:t>
        <w:tab/>
        <w:t>/s/ John Cajigas</w:t>
      </w:r>
    </w:p>
    <w:p>
      <w:pPr>
        <w:spacing w:after="0" w:line="27"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color w:val="auto"/>
        </w:rPr>
        <w:t>John Cajigas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4670425</wp:posOffset>
            </wp:positionH>
            <wp:positionV relativeFrom="paragraph">
              <wp:posOffset>-130810</wp:posOffset>
            </wp:positionV>
            <wp:extent cx="258127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pacing w:after="0" w:line="3"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color w:val="auto"/>
        </w:rPr>
        <w:t>Executive Vice President, Chief Financial Officer and</w:t>
      </w:r>
    </w:p>
    <w:p>
      <w:pPr>
        <w:spacing w:after="0" w:line="9"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color w:val="auto"/>
        </w:rPr>
        <w:t>Treasurer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July 27, 2017</w:t>
      </w:r>
    </w:p>
    <w:p>
      <w:pPr>
        <w:sectPr>
          <w:pgSz w:w="11900" w:h="16838" w:orient="portrait"/>
          <w:cols w:equalWidth="0" w:num="1">
            <w:col w:w="11420"/>
          </w:cols>
          <w:pgMar w:left="240" w:top="117" w:right="2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U.S.C. SECTION 1350, AS ADOPTED PURSUANT TO SECTION 906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207" w:lineRule="exact"/>
        <w:rPr>
          <w:sz w:val="20"/>
          <w:szCs w:val="20"/>
          <w:color w:val="auto"/>
        </w:rPr>
      </w:pPr>
    </w:p>
    <w:p>
      <w:pPr>
        <w:ind w:right="240" w:firstLine="51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Tandem Diabetes Care, Inc. (the “Company”) for the period ended June 30, 2017, as filed with the Securities and Exchange Commission on the date hereof (the “Report”), I, Kim D. Blickenstaff, President and Chief Executive Officer of the Company, certify, pursuant to 18 U.S.C. Section 1350, as adopted pursuant to Section 906 of the Sarbanes-Oxley Act of 2002, that to my knowledge:</w:t>
      </w:r>
    </w:p>
    <w:p>
      <w:pPr>
        <w:spacing w:after="0" w:line="176" w:lineRule="exact"/>
        <w:rPr>
          <w:sz w:val="20"/>
          <w:szCs w:val="20"/>
          <w:color w:val="auto"/>
        </w:rPr>
      </w:pPr>
    </w:p>
    <w:p>
      <w:pPr>
        <w:ind w:left="700" w:hanging="174"/>
        <w:spacing w:after="0"/>
        <w:tabs>
          <w:tab w:leader="none" w:pos="7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right="100" w:firstLine="526"/>
        <w:spacing w:after="0" w:line="282" w:lineRule="auto"/>
        <w:tabs>
          <w:tab w:leader="none" w:pos="69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as of the dates and for the periods presented.</w:t>
      </w:r>
    </w:p>
    <w:p>
      <w:pPr>
        <w:spacing w:after="0" w:line="200" w:lineRule="exact"/>
        <w:rPr>
          <w:sz w:val="20"/>
          <w:szCs w:val="20"/>
          <w:color w:val="auto"/>
        </w:rPr>
      </w:pPr>
    </w:p>
    <w:p>
      <w:pPr>
        <w:spacing w:after="0" w:line="205" w:lineRule="exact"/>
        <w:rPr>
          <w:sz w:val="20"/>
          <w:szCs w:val="20"/>
          <w:color w:val="auto"/>
        </w:rPr>
      </w:pPr>
    </w:p>
    <w:p>
      <w:pPr>
        <w:spacing w:after="0"/>
        <w:tabs>
          <w:tab w:leader="none" w:pos="6160" w:val="left"/>
        </w:tabs>
        <w:rPr>
          <w:sz w:val="20"/>
          <w:szCs w:val="20"/>
          <w:color w:val="auto"/>
        </w:rPr>
      </w:pPr>
      <w:r>
        <w:rPr>
          <w:rFonts w:ascii="Times New Roman" w:cs="Times New Roman" w:eastAsia="Times New Roman" w:hAnsi="Times New Roman"/>
          <w:sz w:val="18"/>
          <w:szCs w:val="18"/>
          <w:color w:val="auto"/>
        </w:rPr>
        <w:t>Date: July 27, 2017</w:t>
      </w:r>
      <w:r>
        <w:rPr>
          <w:sz w:val="20"/>
          <w:szCs w:val="20"/>
          <w:color w:val="auto"/>
        </w:rPr>
        <w:tab/>
      </w:r>
      <w:r>
        <w:rPr>
          <w:rFonts w:ascii="Times New Roman" w:cs="Times New Roman" w:eastAsia="Times New Roman" w:hAnsi="Times New Roman"/>
          <w:sz w:val="17"/>
          <w:szCs w:val="17"/>
          <w:color w:val="auto"/>
        </w:rPr>
        <w:t>/s/ Kim D. Blickenstaff</w:t>
      </w:r>
    </w:p>
    <w:p>
      <w:pPr>
        <w:spacing w:after="0" w:line="3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Kim D. Blickenstaff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-127635</wp:posOffset>
            </wp:positionV>
            <wp:extent cx="33274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0" w:lineRule="exact"/>
        <w:rPr>
          <w:sz w:val="20"/>
          <w:szCs w:val="20"/>
          <w:color w:val="auto"/>
        </w:rPr>
      </w:pPr>
    </w:p>
    <w:p>
      <w:pPr>
        <w:spacing w:after="0" w:line="248" w:lineRule="exact"/>
        <w:rPr>
          <w:sz w:val="20"/>
          <w:szCs w:val="20"/>
          <w:color w:val="auto"/>
        </w:rPr>
      </w:pPr>
    </w:p>
    <w:p>
      <w:pPr>
        <w:ind w:right="160" w:firstLine="588"/>
        <w:spacing w:after="0" w:line="261" w:lineRule="auto"/>
        <w:rPr>
          <w:sz w:val="20"/>
          <w:szCs w:val="20"/>
          <w:color w:val="auto"/>
        </w:rPr>
      </w:pPr>
      <w:r>
        <w:rPr>
          <w:rFonts w:ascii="Times New Roman" w:cs="Times New Roman" w:eastAsia="Times New Roman" w:hAnsi="Times New Roman"/>
          <w:sz w:val="18"/>
          <w:szCs w:val="18"/>
          <w:i w:val="1"/>
          <w:iCs w:val="1"/>
          <w:color w:val="auto"/>
        </w:rPr>
        <w:t>The foregoing certification is being furnished solely to accompany the Report pursuant to 18 U.S.C. § 1350, and is not being filed for purposes of Section 18 of the Exchange Act,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420"/>
          </w:cols>
          <w:pgMar w:left="240" w:top="117" w:right="2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U.S.C. SECTION 1350, AS ADOPTED PURSUANT TO SECTION 906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207" w:lineRule="exact"/>
        <w:rPr>
          <w:sz w:val="20"/>
          <w:szCs w:val="20"/>
          <w:color w:val="auto"/>
        </w:rPr>
      </w:pPr>
    </w:p>
    <w:p>
      <w:pPr>
        <w:ind w:right="240" w:firstLine="518"/>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Tandem Diabetes Care, Inc. (the “Company”) for the period ended June 30, 2017, as filed with the Securities and Exchange Commission on the date hereof (the “Report”), I, John Cajigas, Executive Vice President, Chief Financial Officer and Treasurer of the Company, certify, pursuant to 18 U.S.C. Section 1350, as adopted pursuant to Section 906 of the Sarbanes-Oxley Act of 2002, that to my knowledge:</w:t>
      </w:r>
    </w:p>
    <w:p>
      <w:pPr>
        <w:spacing w:after="0" w:line="180" w:lineRule="exact"/>
        <w:rPr>
          <w:sz w:val="20"/>
          <w:szCs w:val="20"/>
          <w:color w:val="auto"/>
        </w:rPr>
      </w:pPr>
    </w:p>
    <w:p>
      <w:pPr>
        <w:ind w:left="700" w:hanging="174"/>
        <w:spacing w:after="0"/>
        <w:tabs>
          <w:tab w:leader="none" w:pos="7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right="100" w:firstLine="526"/>
        <w:spacing w:after="0" w:line="282" w:lineRule="auto"/>
        <w:tabs>
          <w:tab w:leader="none" w:pos="69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as of the dates and for the periods presented.</w:t>
      </w:r>
    </w:p>
    <w:p>
      <w:pPr>
        <w:spacing w:after="0" w:line="200" w:lineRule="exact"/>
        <w:rPr>
          <w:sz w:val="20"/>
          <w:szCs w:val="20"/>
          <w:color w:val="auto"/>
        </w:rPr>
      </w:pPr>
    </w:p>
    <w:p>
      <w:pPr>
        <w:spacing w:after="0" w:line="205" w:lineRule="exact"/>
        <w:rPr>
          <w:sz w:val="20"/>
          <w:szCs w:val="20"/>
          <w:color w:val="auto"/>
        </w:rPr>
      </w:pPr>
    </w:p>
    <w:p>
      <w:pPr>
        <w:spacing w:after="0"/>
        <w:tabs>
          <w:tab w:leader="none" w:pos="6160" w:val="left"/>
        </w:tabs>
        <w:rPr>
          <w:sz w:val="20"/>
          <w:szCs w:val="20"/>
          <w:color w:val="auto"/>
        </w:rPr>
      </w:pPr>
      <w:r>
        <w:rPr>
          <w:rFonts w:ascii="Times New Roman" w:cs="Times New Roman" w:eastAsia="Times New Roman" w:hAnsi="Times New Roman"/>
          <w:sz w:val="18"/>
          <w:szCs w:val="18"/>
          <w:color w:val="auto"/>
        </w:rPr>
        <w:t>Date: July 27, 2017</w:t>
      </w:r>
      <w:r>
        <w:rPr>
          <w:sz w:val="20"/>
          <w:szCs w:val="20"/>
          <w:color w:val="auto"/>
        </w:rPr>
        <w:tab/>
      </w:r>
      <w:r>
        <w:rPr>
          <w:rFonts w:ascii="Times New Roman" w:cs="Times New Roman" w:eastAsia="Times New Roman" w:hAnsi="Times New Roman"/>
          <w:sz w:val="17"/>
          <w:szCs w:val="17"/>
          <w:color w:val="auto"/>
        </w:rPr>
        <w:t>/s/ John Cajigas</w:t>
      </w:r>
    </w:p>
    <w:p>
      <w:pPr>
        <w:spacing w:after="0" w:line="3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John Cajigas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-127635</wp:posOffset>
            </wp:positionV>
            <wp:extent cx="33274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Executive Vice President, Chief Financial Officer and Treasurer</w:t>
      </w:r>
    </w:p>
    <w:p>
      <w:pPr>
        <w:spacing w:after="0" w:line="232" w:lineRule="exact"/>
        <w:rPr>
          <w:sz w:val="20"/>
          <w:szCs w:val="20"/>
          <w:color w:val="auto"/>
        </w:rPr>
      </w:pPr>
    </w:p>
    <w:p>
      <w:pPr>
        <w:ind w:right="160" w:firstLine="588"/>
        <w:spacing w:after="0" w:line="261" w:lineRule="auto"/>
        <w:rPr>
          <w:sz w:val="20"/>
          <w:szCs w:val="20"/>
          <w:color w:val="auto"/>
        </w:rPr>
      </w:pPr>
      <w:r>
        <w:rPr>
          <w:rFonts w:ascii="Times New Roman" w:cs="Times New Roman" w:eastAsia="Times New Roman" w:hAnsi="Times New Roman"/>
          <w:sz w:val="18"/>
          <w:szCs w:val="18"/>
          <w:i w:val="1"/>
          <w:iCs w:val="1"/>
          <w:color w:val="auto"/>
        </w:rPr>
        <w:t>The foregoing certification is being furnished solely to accompany the Report pursuant to 18 U.S.C. § 1350, and is not being filed for purposes of Section 18 of the Exchange Act,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lvl w:ilvl="1">
      <w:lvlJc w:val="left"/>
      <w:lvlText w:val="●"/>
      <w:numFmt w:val="bullet"/>
      <w:start w:val="1"/>
    </w:lvl>
  </w:abstractNum>
  <w:abstractNum w:abstractNumId="3">
    <w:nsid w:val="333AB105"/>
    <w:multiLevelType w:val="hybridMultilevel"/>
    <w:lvl w:ilvl="0">
      <w:lvlJc w:val="left"/>
      <w:lvlText w:val="(%1)"/>
      <w:numFmt w:val="decimal"/>
      <w:start w:val="1"/>
    </w:lvl>
  </w:abstractNum>
  <w:abstractNum w:abstractNumId="4">
    <w:nsid w:val="721DA317"/>
    <w:multiLevelType w:val="hybridMultilevel"/>
    <w:lvl w:ilvl="0">
      <w:lvlJc w:val="left"/>
      <w:lvlText w:val="(%1)"/>
      <w:numFmt w:val="decimal"/>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1)"/>
      <w:numFmt w:val="decimal"/>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
      <w:numFmt w:val="bullet"/>
      <w:start w:val="1"/>
    </w:lvl>
  </w:abstractNum>
  <w:abstractNum w:abstractNumId="30">
    <w:nsid w:val="5577F8E1"/>
    <w:multiLevelType w:val="hybridMultilevel"/>
    <w:lvl w:ilvl="0">
      <w:lvlJc w:val="left"/>
      <w:lvlText w:val="●"/>
      <w:numFmt w:val="bullet"/>
      <w:start w:val="1"/>
    </w:lvl>
  </w:abstractNum>
  <w:abstractNum w:abstractNumId="31">
    <w:nsid w:val="440BADFC"/>
    <w:multiLevelType w:val="hybridMultilevel"/>
    <w:lvl w:ilvl="0">
      <w:lvlJc w:val="left"/>
      <w:lvlText w:val="●"/>
      <w:numFmt w:val="bullet"/>
      <w:start w:val="1"/>
    </w:lvl>
  </w:abstractNum>
  <w:abstractNum w:abstractNumId="32">
    <w:nsid w:val="5072367"/>
    <w:multiLevelType w:val="hybridMultilevel"/>
    <w:lvl w:ilvl="0">
      <w:lvlJc w:val="left"/>
      <w:lvlText w:val="●"/>
      <w:numFmt w:val="bullet"/>
      <w:start w:val="1"/>
    </w:lvl>
  </w:abstractNum>
  <w:abstractNum w:abstractNumId="33">
    <w:nsid w:val="3804823E"/>
    <w:multiLevelType w:val="hybridMultilevel"/>
    <w:lvl w:ilvl="0">
      <w:lvlJc w:val="left"/>
      <w:lvlText w:val="*"/>
      <w:numFmt w:val="bullet"/>
      <w:start w:val="1"/>
    </w:lvl>
  </w:abstractNum>
  <w:abstractNum w:abstractNumId="34">
    <w:nsid w:val="77465F01"/>
    <w:multiLevelType w:val="hybridMultilevel"/>
    <w:lvl w:ilvl="0">
      <w:lvlJc w:val="left"/>
      <w:lvlText w:val="*"/>
      <w:numFmt w:val="bullet"/>
      <w:start w:val="1"/>
    </w:lvl>
  </w:abstractNum>
  <w:abstractNum w:abstractNumId="35">
    <w:nsid w:val="7724C67E"/>
    <w:multiLevelType w:val="hybridMultilevel"/>
    <w:lvl w:ilvl="0">
      <w:lvlJc w:val="left"/>
      <w:lvlText w:val="%1."/>
      <w:numFmt w:val="decimal"/>
      <w:start w:val="1"/>
    </w:lvl>
    <w:lvl w:ilvl="1">
      <w:lvlJc w:val="left"/>
      <w:lvlText w:val="%2)"/>
      <w:numFmt w:val="lowerLetter"/>
      <w:start w:val="1"/>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2019-12-29T05:53:12Z</dcterms:created>
  <dcterms:modified xsi:type="dcterms:W3CDTF">2019-12-29T05:53:12Z</dcterms:modified>
</cp:coreProperties>
</file>