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May 27, 2026</w:t>
      </w:r>
    </w:p>
    <w:p>
      <w:pPr>
        <w:spacing w:after="0" w:line="3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39370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64135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7"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7"/>
          <w:szCs w:val="17"/>
          <w:color w:val="auto"/>
        </w:rPr>
        <w:t>____________________________</w:t>
      </w:r>
    </w:p>
    <w:p>
      <w:pPr>
        <w:spacing w:after="0" w:line="150" w:lineRule="exact"/>
        <w:rPr>
          <w:sz w:val="24"/>
          <w:szCs w:val="24"/>
          <w:color w:val="auto"/>
        </w:rPr>
      </w:pPr>
    </w:p>
    <w:p>
      <w:pPr>
        <w:jc w:val="center"/>
        <w:spacing w:after="0" w:line="311" w:lineRule="exact"/>
        <w:rPr>
          <w:sz w:val="20"/>
          <w:szCs w:val="20"/>
          <w:color w:val="auto"/>
        </w:rPr>
      </w:pPr>
      <w:r>
        <w:rPr>
          <w:rFonts w:ascii="Times New Roman" w:cs="Times New Roman" w:eastAsia="Times New Roman" w:hAnsi="Times New Roman"/>
          <w:sz w:val="27"/>
          <w:szCs w:val="27"/>
          <w:b w:val="1"/>
          <w:bCs w:val="1"/>
          <w:color w:val="auto"/>
        </w:rPr>
        <w:t>FORM S</w:t>
      </w:r>
      <w:r>
        <w:rPr>
          <w:rFonts w:ascii="MS PGothic" w:cs="MS PGothic" w:eastAsia="MS PGothic" w:hAnsi="MS PGothic"/>
          <w:sz w:val="27"/>
          <w:szCs w:val="27"/>
          <w:color w:val="auto"/>
          <w:strike w:val="1"/>
        </w:rPr>
        <w:t>‑</w:t>
      </w:r>
      <w:r>
        <w:rPr>
          <w:rFonts w:ascii="Times New Roman" w:cs="Times New Roman" w:eastAsia="Times New Roman" w:hAnsi="Times New Roman"/>
          <w:sz w:val="27"/>
          <w:szCs w:val="27"/>
          <w:b w:val="1"/>
          <w:bCs w:val="1"/>
          <w:color w:val="auto"/>
        </w:rPr>
        <w:t>8</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REGISTRATION STATEMENT UNDER THE SECURITIES ACT OF 1933</w:t>
      </w:r>
    </w:p>
    <w:p>
      <w:pPr>
        <w:spacing w:after="0" w:line="10"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7"/>
          <w:szCs w:val="17"/>
          <w:color w:val="auto"/>
        </w:rPr>
        <w:t>____________________________</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Tandem Diabetes Care, Inc.</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35" w:lineRule="exact"/>
        <w:rPr>
          <w:sz w:val="24"/>
          <w:szCs w:val="24"/>
          <w:color w:val="auto"/>
        </w:rPr>
      </w:pPr>
    </w:p>
    <w:tbl>
      <w:tblPr>
        <w:tblLayout w:type="fixed"/>
        <w:tblInd w:w="920" w:type="dxa"/>
        <w:tblCellMar>
          <w:top w:w="0" w:type="dxa"/>
          <w:left w:w="0" w:type="dxa"/>
          <w:bottom w:w="0" w:type="dxa"/>
          <w:right w:w="0" w:type="dxa"/>
        </w:tblCellMar>
      </w:tblPr>
      <w:tr>
        <w:trPr>
          <w:trHeight w:val="223"/>
        </w:trPr>
        <w:tc>
          <w:tcPr>
            <w:tcW w:w="6120" w:type="dxa"/>
            <w:vAlign w:val="bottom"/>
          </w:tcPr>
          <w:p>
            <w:pPr>
              <w:jc w:val="center"/>
              <w:ind w:right="1914"/>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2800" w:type="dxa"/>
            <w:vAlign w:val="bottom"/>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20-4327508</w:t>
            </w:r>
          </w:p>
        </w:tc>
      </w:tr>
      <w:tr>
        <w:trPr>
          <w:trHeight w:val="215"/>
        </w:trPr>
        <w:tc>
          <w:tcPr>
            <w:tcW w:w="6120" w:type="dxa"/>
            <w:vAlign w:val="bottom"/>
          </w:tcPr>
          <w:p>
            <w:pPr>
              <w:jc w:val="center"/>
              <w:ind w:right="1914"/>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tc>
        <w:tc>
          <w:tcPr>
            <w:tcW w:w="2800" w:type="dxa"/>
            <w:vAlign w:val="bottom"/>
          </w:tcPr>
          <w:p>
            <w:pPr>
              <w:jc w:val="center"/>
              <w:ind w:left="234"/>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223"/>
        </w:trPr>
        <w:tc>
          <w:tcPr>
            <w:tcW w:w="6120" w:type="dxa"/>
            <w:vAlign w:val="bottom"/>
          </w:tcPr>
          <w:p>
            <w:pPr>
              <w:jc w:val="center"/>
              <w:ind w:right="1914"/>
              <w:spacing w:after="0"/>
              <w:rPr>
                <w:sz w:val="20"/>
                <w:szCs w:val="20"/>
                <w:color w:val="auto"/>
              </w:rPr>
            </w:pPr>
            <w:r>
              <w:rPr>
                <w:rFonts w:ascii="Times New Roman" w:cs="Times New Roman" w:eastAsia="Times New Roman" w:hAnsi="Times New Roman"/>
                <w:sz w:val="17"/>
                <w:szCs w:val="17"/>
                <w:b w:val="1"/>
                <w:bCs w:val="1"/>
                <w:color w:val="auto"/>
              </w:rPr>
              <w:t>12400 High Bluff Drive, San Diego, CA</w:t>
            </w:r>
          </w:p>
        </w:tc>
        <w:tc>
          <w:tcPr>
            <w:tcW w:w="2800" w:type="dxa"/>
            <w:vAlign w:val="bottom"/>
          </w:tcPr>
          <w:p>
            <w:pPr>
              <w:jc w:val="right"/>
              <w:ind w:right="934"/>
              <w:spacing w:after="0"/>
              <w:rPr>
                <w:sz w:val="20"/>
                <w:szCs w:val="20"/>
                <w:color w:val="auto"/>
              </w:rPr>
            </w:pPr>
            <w:r>
              <w:rPr>
                <w:rFonts w:ascii="Times New Roman" w:cs="Times New Roman" w:eastAsia="Times New Roman" w:hAnsi="Times New Roman"/>
                <w:sz w:val="17"/>
                <w:szCs w:val="17"/>
                <w:b w:val="1"/>
                <w:bCs w:val="1"/>
                <w:color w:val="auto"/>
              </w:rPr>
              <w:t>92130</w:t>
            </w:r>
          </w:p>
        </w:tc>
      </w:tr>
      <w:tr>
        <w:trPr>
          <w:trHeight w:val="223"/>
        </w:trPr>
        <w:tc>
          <w:tcPr>
            <w:tcW w:w="6120" w:type="dxa"/>
            <w:vAlign w:val="bottom"/>
          </w:tcPr>
          <w:p>
            <w:pPr>
              <w:jc w:val="center"/>
              <w:ind w:right="1914"/>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2800" w:type="dxa"/>
            <w:vAlign w:val="bottom"/>
          </w:tcPr>
          <w:p>
            <w:pPr>
              <w:jc w:val="center"/>
              <w:ind w:left="234"/>
              <w:spacing w:after="0"/>
              <w:rPr>
                <w:sz w:val="20"/>
                <w:szCs w:val="20"/>
                <w:color w:val="auto"/>
              </w:rPr>
            </w:pPr>
            <w:r>
              <w:rPr>
                <w:rFonts w:ascii="Times New Roman" w:cs="Times New Roman" w:eastAsia="Times New Roman" w:hAnsi="Times New Roman"/>
                <w:sz w:val="17"/>
                <w:szCs w:val="17"/>
                <w:color w:val="auto"/>
              </w:rPr>
              <w:t>(Zip Code)</w:t>
            </w:r>
          </w:p>
        </w:tc>
      </w:tr>
      <w:tr>
        <w:trPr>
          <w:trHeight w:val="284"/>
        </w:trPr>
        <w:tc>
          <w:tcPr>
            <w:tcW w:w="61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__________________________</w:t>
            </w:r>
          </w:p>
        </w:tc>
        <w:tc>
          <w:tcPr>
            <w:tcW w:w="2800" w:type="dxa"/>
            <w:vAlign w:val="bottom"/>
          </w:tcPr>
          <w:p>
            <w:pPr>
              <w:spacing w:after="0"/>
              <w:rPr>
                <w:sz w:val="24"/>
                <w:szCs w:val="24"/>
                <w:color w:val="auto"/>
              </w:rPr>
            </w:pPr>
          </w:p>
        </w:tc>
      </w:tr>
    </w:tbl>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Tandem Diabetes Care, Inc. 2023 Long-Term Incentive Plan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(Full title of the plan)</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Shannon M. Hansen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Tandem Diabetes Care, Inc.</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Vice President, Chief Legal, Privacy &amp; Compliance Officer and Secretary</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and address of agent for service)</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(858) 366-6900</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(Telephone number, including area code, of agent for service)</w:t>
      </w:r>
    </w:p>
    <w:p>
      <w:pPr>
        <w:spacing w:after="0" w:line="1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7"/>
          <w:szCs w:val="17"/>
          <w:color w:val="auto"/>
        </w:rPr>
        <w:t>____________________________</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Copies to:</w:t>
      </w:r>
    </w:p>
    <w:p>
      <w:pPr>
        <w:ind w:left="5060"/>
        <w:spacing w:after="0" w:line="237" w:lineRule="auto"/>
        <w:rPr>
          <w:sz w:val="20"/>
          <w:szCs w:val="20"/>
          <w:color w:val="auto"/>
        </w:rPr>
      </w:pPr>
      <w:r>
        <w:rPr>
          <w:rFonts w:ascii="Times New Roman" w:cs="Times New Roman" w:eastAsia="Times New Roman" w:hAnsi="Times New Roman"/>
          <w:sz w:val="17"/>
          <w:szCs w:val="17"/>
          <w:b w:val="1"/>
          <w:bCs w:val="1"/>
          <w:color w:val="auto"/>
        </w:rPr>
        <w:t>Charles J. Bair</w:t>
      </w:r>
    </w:p>
    <w:p>
      <w:pPr>
        <w:ind w:left="5120"/>
        <w:spacing w:after="0" w:line="237" w:lineRule="auto"/>
        <w:rPr>
          <w:sz w:val="20"/>
          <w:szCs w:val="20"/>
          <w:color w:val="auto"/>
        </w:rPr>
      </w:pPr>
      <w:r>
        <w:rPr>
          <w:rFonts w:ascii="Times New Roman" w:cs="Times New Roman" w:eastAsia="Times New Roman" w:hAnsi="Times New Roman"/>
          <w:sz w:val="17"/>
          <w:szCs w:val="17"/>
          <w:b w:val="1"/>
          <w:bCs w:val="1"/>
          <w:color w:val="auto"/>
        </w:rPr>
        <w:t>Asa M. Henin</w:t>
      </w:r>
    </w:p>
    <w:p>
      <w:pPr>
        <w:ind w:left="5180"/>
        <w:spacing w:after="0" w:line="222" w:lineRule="auto"/>
        <w:rPr>
          <w:sz w:val="20"/>
          <w:szCs w:val="20"/>
          <w:color w:val="auto"/>
        </w:rPr>
      </w:pPr>
      <w:r>
        <w:rPr>
          <w:rFonts w:ascii="Times New Roman" w:cs="Times New Roman" w:eastAsia="Times New Roman" w:hAnsi="Times New Roman"/>
          <w:sz w:val="17"/>
          <w:szCs w:val="17"/>
          <w:b w:val="1"/>
          <w:bCs w:val="1"/>
          <w:color w:val="auto"/>
        </w:rPr>
        <w:t>Cooley LLP</w:t>
      </w:r>
    </w:p>
    <w:p>
      <w:pPr>
        <w:jc w:val="center"/>
        <w:spacing w:after="0" w:line="237" w:lineRule="auto"/>
        <w:rPr>
          <w:sz w:val="20"/>
          <w:szCs w:val="20"/>
          <w:color w:val="auto"/>
        </w:rPr>
      </w:pPr>
      <w:r>
        <w:rPr>
          <w:rFonts w:ascii="Times New Roman" w:cs="Times New Roman" w:eastAsia="Times New Roman" w:hAnsi="Times New Roman"/>
          <w:sz w:val="17"/>
          <w:szCs w:val="17"/>
          <w:b w:val="1"/>
          <w:bCs w:val="1"/>
          <w:color w:val="auto"/>
        </w:rPr>
        <w:t>10265 Science Center Drive</w:t>
      </w:r>
    </w:p>
    <w:p>
      <w:pPr>
        <w:jc w:val="center"/>
        <w:spacing w:after="0" w:line="238" w:lineRule="auto"/>
        <w:rPr>
          <w:sz w:val="20"/>
          <w:szCs w:val="20"/>
          <w:color w:val="auto"/>
        </w:rPr>
      </w:pPr>
      <w:r>
        <w:rPr>
          <w:rFonts w:ascii="Times New Roman" w:cs="Times New Roman" w:eastAsia="Times New Roman" w:hAnsi="Times New Roman"/>
          <w:sz w:val="17"/>
          <w:szCs w:val="17"/>
          <w:b w:val="1"/>
          <w:bCs w:val="1"/>
          <w:color w:val="auto"/>
        </w:rPr>
        <w:t>San Diego, California 92121</w:t>
      </w:r>
    </w:p>
    <w:p>
      <w:pPr>
        <w:jc w:val="center"/>
        <w:spacing w:after="0"/>
        <w:rPr>
          <w:sz w:val="20"/>
          <w:szCs w:val="20"/>
          <w:color w:val="auto"/>
        </w:rPr>
      </w:pPr>
      <w:r>
        <w:rPr>
          <w:rFonts w:ascii="Times New Roman" w:cs="Times New Roman" w:eastAsia="Times New Roman" w:hAnsi="Times New Roman"/>
          <w:sz w:val="17"/>
          <w:szCs w:val="17"/>
          <w:b w:val="1"/>
          <w:bCs w:val="1"/>
          <w:color w:val="auto"/>
        </w:rPr>
        <w:t>Tel: (858) 550-6000</w:t>
      </w:r>
    </w:p>
    <w:p>
      <w:pPr>
        <w:spacing w:after="0" w:line="10"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7"/>
          <w:szCs w:val="17"/>
          <w:color w:val="auto"/>
        </w:rPr>
        <w:t>____________________________</w:t>
      </w:r>
    </w:p>
    <w:p>
      <w:pPr>
        <w:spacing w:after="0" w:line="222" w:lineRule="exact"/>
        <w:rPr>
          <w:sz w:val="24"/>
          <w:szCs w:val="24"/>
          <w:color w:val="auto"/>
        </w:rPr>
      </w:pPr>
    </w:p>
    <w:p>
      <w:pPr>
        <w:ind w:right="180"/>
        <w:spacing w:after="0" w:line="27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680" w:type="dxa"/>
            <w:vAlign w:val="bottom"/>
          </w:tcPr>
          <w:p>
            <w:pPr>
              <w:ind w:left="1400"/>
              <w:spacing w:after="0"/>
              <w:rPr>
                <w:sz w:val="20"/>
                <w:szCs w:val="20"/>
                <w:color w:val="auto"/>
              </w:rPr>
            </w:pPr>
            <w:r>
              <w:rPr>
                <w:rFonts w:ascii="Wingdings" w:cs="Wingdings" w:eastAsia="Wingdings" w:hAnsi="Wingdings"/>
                <w:sz w:val="14"/>
                <w:szCs w:val="14"/>
                <w:b w:val="1"/>
                <w:bCs w:val="1"/>
                <w:color w:val="auto"/>
              </w:rPr>
              <w:t>x</w:t>
            </w:r>
          </w:p>
        </w:tc>
        <w:tc>
          <w:tcPr>
            <w:tcW w:w="39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Accelerated filer</w:t>
            </w:r>
          </w:p>
        </w:tc>
        <w:tc>
          <w:tcPr>
            <w:tcW w:w="1400" w:type="dxa"/>
            <w:vAlign w:val="bottom"/>
          </w:tcPr>
          <w:p>
            <w:pPr>
              <w:ind w:left="1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6"/>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680" w:type="dxa"/>
            <w:vAlign w:val="bottom"/>
          </w:tcPr>
          <w:p>
            <w:pPr>
              <w:ind w:left="1400"/>
              <w:spacing w:after="0" w:line="141" w:lineRule="exact"/>
              <w:rPr>
                <w:sz w:val="20"/>
                <w:szCs w:val="20"/>
                <w:color w:val="auto"/>
              </w:rPr>
            </w:pPr>
            <w:r>
              <w:rPr>
                <w:rFonts w:ascii="MS PGothic" w:cs="MS PGothic" w:eastAsia="MS PGothic" w:hAnsi="MS PGothic"/>
                <w:sz w:val="14"/>
                <w:szCs w:val="14"/>
                <w:color w:val="auto"/>
              </w:rPr>
              <w:t>☐</w:t>
            </w:r>
          </w:p>
        </w:tc>
        <w:tc>
          <w:tcPr>
            <w:tcW w:w="39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400" w:type="dxa"/>
            <w:vAlign w:val="bottom"/>
          </w:tcPr>
          <w:p>
            <w:pPr>
              <w:ind w:left="1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26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9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400" w:type="dxa"/>
            <w:vAlign w:val="bottom"/>
          </w:tcPr>
          <w:p>
            <w:pPr>
              <w:ind w:left="12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6" w:lineRule="exact"/>
        <w:rPr>
          <w:sz w:val="24"/>
          <w:szCs w:val="24"/>
          <w:color w:val="auto"/>
        </w:rPr>
      </w:pPr>
    </w:p>
    <w:p>
      <w:pPr>
        <w:ind w:right="500"/>
        <w:spacing w:after="0" w:line="275"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81280</wp:posOffset>
            </wp:positionV>
            <wp:extent cx="7138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106045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3880"/>
        <w:spacing w:after="0"/>
        <w:rPr>
          <w:sz w:val="20"/>
          <w:szCs w:val="20"/>
          <w:color w:val="auto"/>
        </w:rPr>
      </w:pPr>
      <w:r>
        <w:rPr>
          <w:rFonts w:ascii="Times New Roman" w:cs="Times New Roman" w:eastAsia="Times New Roman" w:hAnsi="Times New Roman"/>
          <w:sz w:val="17"/>
          <w:szCs w:val="17"/>
          <w:b w:val="1"/>
          <w:bCs w:val="1"/>
          <w:color w:val="auto"/>
        </w:rPr>
        <w:t>REGISTRATION OF ADDITIONAL SHARES</w:t>
      </w:r>
    </w:p>
    <w:p>
      <w:pPr>
        <w:spacing w:after="0" w:line="2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b w:val="1"/>
          <w:bCs w:val="1"/>
          <w:color w:val="auto"/>
        </w:rPr>
        <w:t>PURSUANT TO GENERAL INSTRUCTION E</w:t>
      </w:r>
    </w:p>
    <w:p>
      <w:pPr>
        <w:spacing w:after="0" w:line="225" w:lineRule="exact"/>
        <w:rPr>
          <w:sz w:val="20"/>
          <w:szCs w:val="20"/>
          <w:color w:val="auto"/>
        </w:rPr>
      </w:pPr>
    </w:p>
    <w:p>
      <w:pPr>
        <w:jc w:val="both"/>
        <w:ind w:firstLine="773"/>
        <w:spacing w:after="0" w:line="270" w:lineRule="auto"/>
        <w:rPr>
          <w:sz w:val="20"/>
          <w:szCs w:val="20"/>
          <w:color w:val="auto"/>
        </w:rPr>
      </w:pPr>
      <w:r>
        <w:rPr>
          <w:rFonts w:ascii="Times New Roman" w:cs="Times New Roman" w:eastAsia="Times New Roman" w:hAnsi="Times New Roman"/>
          <w:sz w:val="17"/>
          <w:szCs w:val="17"/>
          <w:color w:val="auto"/>
        </w:rPr>
        <w:t>This Registration Statement on Form S-8 (this Registration Statement) is being filed by Tandem Diabetes Care, Inc. (the Registrant) for the purpose of registering an additional 3,260,000 shares of common stock, par value $0.001 per share, of the Registrant (the Additional Shares) that became issuable under the Tandem Diabetes Care, Inc. 2023 Long-Term Incentive Plan, as amended (the Plan).</w:t>
      </w:r>
    </w:p>
    <w:p>
      <w:pPr>
        <w:spacing w:after="0" w:line="191" w:lineRule="exact"/>
        <w:rPr>
          <w:sz w:val="20"/>
          <w:szCs w:val="20"/>
          <w:color w:val="auto"/>
        </w:rPr>
      </w:pPr>
    </w:p>
    <w:p>
      <w:pPr>
        <w:jc w:val="both"/>
        <w:ind w:firstLine="619"/>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Additional Shares are securities of the same class as other securities for which previous Registration Statements on Form S-8 were filed by the Registrant with the U.S. Securities and Exchange Commission (the SEC) on </w:t>
      </w:r>
      <w:hyperlink r:id="rId12">
        <w:r>
          <w:rPr>
            <w:rFonts w:ascii="Times New Roman" w:cs="Times New Roman" w:eastAsia="Times New Roman" w:hAnsi="Times New Roman"/>
            <w:sz w:val="17"/>
            <w:szCs w:val="17"/>
            <w:u w:val="single" w:color="auto"/>
            <w:color w:val="auto"/>
          </w:rPr>
          <w:t xml:space="preserve">August 3, 2023 </w:t>
        </w:r>
      </w:hyperlink>
      <w:r>
        <w:rPr>
          <w:rFonts w:ascii="Times New Roman" w:cs="Times New Roman" w:eastAsia="Times New Roman" w:hAnsi="Times New Roman"/>
          <w:sz w:val="17"/>
          <w:szCs w:val="17"/>
          <w:color w:val="auto"/>
        </w:rPr>
        <w:t xml:space="preserve">(File No. 333-273648) and </w:t>
      </w:r>
      <w:hyperlink r:id="rId13">
        <w:r>
          <w:rPr>
            <w:rFonts w:ascii="Times New Roman" w:cs="Times New Roman" w:eastAsia="Times New Roman" w:hAnsi="Times New Roman"/>
            <w:sz w:val="17"/>
            <w:szCs w:val="17"/>
            <w:u w:val="single" w:color="auto"/>
            <w:color w:val="auto"/>
          </w:rPr>
          <w:t xml:space="preserve">May 23, 2024 </w:t>
        </w:r>
      </w:hyperlink>
      <w:r>
        <w:rPr>
          <w:rFonts w:ascii="Times New Roman" w:cs="Times New Roman" w:eastAsia="Times New Roman" w:hAnsi="Times New Roman"/>
          <w:sz w:val="17"/>
          <w:szCs w:val="17"/>
          <w:color w:val="auto"/>
        </w:rPr>
        <w:t>(File No. 333-279642) (together, the Prior Registration Statements).</w:t>
      </w:r>
    </w:p>
    <w:p>
      <w:pPr>
        <w:spacing w:after="0" w:line="19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Pursuant to General Instruction E to Form S-8, this Registration Statement hereby incorporates by reference the contents of the Prior Registration Statements.</w:t>
      </w:r>
    </w:p>
    <w:p>
      <w:pPr>
        <w:sectPr>
          <w:pgSz w:w="11900" w:h="16838" w:orient="portrait"/>
          <w:cols w:equalWidth="0" w:num="1">
            <w:col w:w="11240"/>
          </w:cols>
          <w:pgMar w:left="320" w:top="1344" w:right="339" w:bottom="1440" w:gutter="0" w:footer="0" w:header="0"/>
        </w:sectPr>
      </w:pPr>
    </w:p>
    <w:bookmarkStart w:id="2" w:name="page3"/>
    <w:bookmarkEnd w:id="2"/>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4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7"/>
          <w:szCs w:val="17"/>
          <w:b w:val="1"/>
          <w:bCs w:val="1"/>
          <w:color w:val="auto"/>
        </w:rPr>
        <w:t>INFORMATION REQUIRED IN THE REGISTRATION STATEMENT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INCORPORATION OF DOCUMENTS BY REFERENCE.</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documents filed by the Registrant with the SEC are incorporated by reference into this Registration Statement:</w:t>
      </w:r>
    </w:p>
    <w:p>
      <w:pPr>
        <w:spacing w:after="0" w:line="243" w:lineRule="exact"/>
        <w:rPr>
          <w:sz w:val="20"/>
          <w:szCs w:val="20"/>
          <w:color w:val="auto"/>
        </w:rPr>
      </w:pPr>
    </w:p>
    <w:p>
      <w:pPr>
        <w:ind w:left="940" w:hanging="318"/>
        <w:spacing w:after="0" w:line="263" w:lineRule="auto"/>
        <w:tabs>
          <w:tab w:leader="none" w:pos="864"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Annual Report on Form 10-K for the fiscal year ended December 31, 2025, filed with the SEC on February 19, 2026 (the 2025 10-K);</w:t>
      </w:r>
    </w:p>
    <w:p>
      <w:pPr>
        <w:spacing w:after="0" w:line="200" w:lineRule="exact"/>
        <w:rPr>
          <w:rFonts w:ascii="Times New Roman" w:cs="Times New Roman" w:eastAsia="Times New Roman" w:hAnsi="Times New Roman"/>
          <w:sz w:val="17"/>
          <w:szCs w:val="17"/>
          <w:color w:val="auto"/>
        </w:rPr>
      </w:pPr>
    </w:p>
    <w:p>
      <w:pPr>
        <w:spacing w:after="0" w:line="230" w:lineRule="exact"/>
        <w:rPr>
          <w:rFonts w:ascii="Times New Roman" w:cs="Times New Roman" w:eastAsia="Times New Roman" w:hAnsi="Times New Roman"/>
          <w:sz w:val="17"/>
          <w:szCs w:val="17"/>
          <w:color w:val="auto"/>
        </w:rPr>
      </w:pPr>
    </w:p>
    <w:p>
      <w:pPr>
        <w:ind w:left="940" w:hanging="318"/>
        <w:spacing w:after="0" w:line="287" w:lineRule="auto"/>
        <w:tabs>
          <w:tab w:leader="none" w:pos="1024"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specifically incorporated by reference into the 2025 10-K from the Registrant’s Definitive Proxy Statement on Schedule 14A filed with the SEC on April 7, 2026;</w:t>
      </w:r>
    </w:p>
    <w:p>
      <w:pPr>
        <w:spacing w:after="0" w:line="177" w:lineRule="exact"/>
        <w:rPr>
          <w:rFonts w:ascii="Times New Roman" w:cs="Times New Roman" w:eastAsia="Times New Roman" w:hAnsi="Times New Roman"/>
          <w:sz w:val="17"/>
          <w:szCs w:val="17"/>
          <w:color w:val="auto"/>
        </w:rPr>
      </w:pPr>
    </w:p>
    <w:p>
      <w:pPr>
        <w:ind w:left="980" w:hanging="358"/>
        <w:spacing w:after="0"/>
        <w:tabs>
          <w:tab w:leader="none" w:pos="9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Quarterly Report on Form 10-Q for the quarterly period ended March 31, 2026, filed with the SEC on May 7, 2026;</w:t>
      </w:r>
    </w:p>
    <w:p>
      <w:pPr>
        <w:spacing w:after="0" w:line="242" w:lineRule="exact"/>
        <w:rPr>
          <w:rFonts w:ascii="Times New Roman" w:cs="Times New Roman" w:eastAsia="Times New Roman" w:hAnsi="Times New Roman"/>
          <w:sz w:val="17"/>
          <w:szCs w:val="17"/>
          <w:color w:val="auto"/>
        </w:rPr>
      </w:pPr>
    </w:p>
    <w:p>
      <w:pPr>
        <w:ind w:left="1000" w:hanging="378"/>
        <w:spacing w:after="0"/>
        <w:tabs>
          <w:tab w:leader="none" w:pos="10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Current Reports on Form 8-K filed with the SEC on February 27, 2026, May 15, 2026 and May 21, 2026; and</w:t>
      </w:r>
    </w:p>
    <w:p>
      <w:pPr>
        <w:spacing w:after="0" w:line="242" w:lineRule="exact"/>
        <w:rPr>
          <w:rFonts w:ascii="Times New Roman" w:cs="Times New Roman" w:eastAsia="Times New Roman" w:hAnsi="Times New Roman"/>
          <w:sz w:val="17"/>
          <w:szCs w:val="17"/>
          <w:color w:val="auto"/>
        </w:rPr>
      </w:pPr>
    </w:p>
    <w:p>
      <w:pPr>
        <w:ind w:left="940" w:hanging="318"/>
        <w:spacing w:after="0" w:line="287" w:lineRule="auto"/>
        <w:tabs>
          <w:tab w:leader="none" w:pos="1077"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description of the Registrant’s Capital Stock included as Exhibit 4.2 to the 2025 10-K, including any amendments or reports filed for the purpose of updating such description.</w:t>
      </w:r>
    </w:p>
    <w:p>
      <w:pPr>
        <w:spacing w:after="0" w:line="17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All documents, reports, and definitive proxy or information statements filed by the Registrant pursuant to Sections 13(a), 13(c), 14 or 15(d) of the Securities Exchange Act of 1934, as amended (the Exchange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provided, however, that documents, reports and definitive proxy or information statements, or portions thereof, that are furnished and not filed or are otherwise not incorporated into registration statements filed in accordance with the rules of the SEC, shall not be deemed incorporated by reference into this Registration Statement. Any statement contained in a document incorporated or deemed to be incorporated herein by reference shall be deemed to be modified or superseded for purposes of this Registration Statement to the extent that a statement herein or in any other subsequently filed document which also is or is deemed to be incorporated by reference herein modifies or supersedes that statement. Any such statement so modified or superseded shall not constitute a part of this Registration Statement, except as so modified or superseded.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8.</w:t>
            </w:r>
          </w:p>
        </w:tc>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EXHIBITS.</w:t>
            </w:r>
          </w:p>
        </w:tc>
        <w:tc>
          <w:tcPr>
            <w:tcW w:w="0" w:type="dxa"/>
            <w:vAlign w:val="bottom"/>
          </w:tcPr>
          <w:p>
            <w:pPr>
              <w:spacing w:after="0"/>
              <w:rPr>
                <w:sz w:val="1"/>
                <w:szCs w:val="1"/>
                <w:color w:val="auto"/>
              </w:rPr>
            </w:pPr>
          </w:p>
        </w:tc>
      </w:tr>
      <w:tr>
        <w:trPr>
          <w:trHeight w:val="658"/>
        </w:trPr>
        <w:tc>
          <w:tcPr>
            <w:tcW w:w="80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0" w:type="dxa"/>
            <w:vAlign w:val="bottom"/>
          </w:tcPr>
          <w:p>
            <w:pPr>
              <w:spacing w:after="0"/>
              <w:rPr>
                <w:sz w:val="24"/>
                <w:szCs w:val="24"/>
                <w:color w:val="auto"/>
              </w:rPr>
            </w:pPr>
          </w:p>
        </w:tc>
        <w:tc>
          <w:tcPr>
            <w:tcW w:w="3560" w:type="dxa"/>
            <w:vAlign w:val="bottom"/>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05"/>
        </w:trPr>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9"/>
                <w:szCs w:val="9"/>
                <w:color w:val="auto"/>
              </w:rPr>
            </w:pPr>
          </w:p>
        </w:tc>
        <w:tc>
          <w:tcPr>
            <w:tcW w:w="3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800" w:type="dxa"/>
            <w:vAlign w:val="bottom"/>
            <w:vMerge w:val="restart"/>
          </w:tcPr>
          <w:p>
            <w:pPr>
              <w:jc w:val="center"/>
              <w:ind w:right="284"/>
              <w:spacing w:after="0"/>
              <w:rPr>
                <w:sz w:val="20"/>
                <w:szCs w:val="20"/>
                <w:color w:val="auto"/>
              </w:rPr>
            </w:pPr>
            <w:r>
              <w:rPr>
                <w:rFonts w:ascii="Times New Roman" w:cs="Times New Roman" w:eastAsia="Times New Roman" w:hAnsi="Times New Roman"/>
                <w:sz w:val="15"/>
                <w:szCs w:val="15"/>
                <w:color w:val="auto"/>
              </w:rPr>
              <w:t>4.1</w:t>
            </w:r>
          </w:p>
        </w:tc>
        <w:tc>
          <w:tcPr>
            <w:tcW w:w="100" w:type="dxa"/>
            <w:vAlign w:val="bottom"/>
          </w:tcPr>
          <w:p>
            <w:pPr>
              <w:spacing w:after="0"/>
              <w:rPr>
                <w:sz w:val="14"/>
                <w:szCs w:val="14"/>
                <w:color w:val="auto"/>
              </w:rPr>
            </w:pPr>
          </w:p>
        </w:tc>
        <w:tc>
          <w:tcPr>
            <w:tcW w:w="3560" w:type="dxa"/>
            <w:vAlign w:val="bottom"/>
          </w:tcPr>
          <w:p>
            <w:pPr>
              <w:spacing w:after="0" w:line="161" w:lineRule="exact"/>
              <w:rPr>
                <w:rFonts w:ascii="Times New Roman" w:cs="Times New Roman" w:eastAsia="Times New Roman" w:hAnsi="Times New Roman"/>
                <w:sz w:val="15"/>
                <w:szCs w:val="15"/>
                <w:color w:val="auto"/>
              </w:rPr>
            </w:pPr>
            <w:hyperlink r:id="rId14">
              <w:r>
                <w:rPr>
                  <w:rFonts w:ascii="Times New Roman" w:cs="Times New Roman" w:eastAsia="Times New Roman" w:hAnsi="Times New Roman"/>
                  <w:sz w:val="15"/>
                  <w:szCs w:val="15"/>
                  <w:color w:val="auto"/>
                </w:rPr>
                <w:t>Amended and Restated Certificate of Incorporation of</w:t>
              </w:r>
            </w:hyperlink>
          </w:p>
        </w:tc>
        <w:tc>
          <w:tcPr>
            <w:tcW w:w="0" w:type="dxa"/>
            <w:vAlign w:val="bottom"/>
          </w:tcPr>
          <w:p>
            <w:pPr>
              <w:spacing w:after="0"/>
              <w:rPr>
                <w:sz w:val="1"/>
                <w:szCs w:val="1"/>
                <w:color w:val="auto"/>
              </w:rPr>
            </w:pPr>
          </w:p>
        </w:tc>
      </w:tr>
      <w:tr>
        <w:trPr>
          <w:trHeight w:val="122"/>
        </w:trPr>
        <w:tc>
          <w:tcPr>
            <w:tcW w:w="8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560" w:type="dxa"/>
            <w:vAlign w:val="bottom"/>
            <w:vMerge w:val="restart"/>
          </w:tcPr>
          <w:p>
            <w:pPr>
              <w:spacing w:after="0"/>
              <w:rPr>
                <w:rFonts w:ascii="Times New Roman" w:cs="Times New Roman" w:eastAsia="Times New Roman" w:hAnsi="Times New Roman"/>
                <w:sz w:val="15"/>
                <w:szCs w:val="15"/>
                <w:color w:val="auto"/>
              </w:rPr>
            </w:pPr>
            <w:hyperlink r:id="rId14">
              <w:r>
                <w:rPr>
                  <w:rFonts w:ascii="Times New Roman" w:cs="Times New Roman" w:eastAsia="Times New Roman" w:hAnsi="Times New Roman"/>
                  <w:sz w:val="15"/>
                  <w:szCs w:val="15"/>
                  <w:color w:val="auto"/>
                </w:rPr>
                <w:t>the Registrant (as amended and currently in effect).</w:t>
              </w:r>
            </w:hyperlink>
          </w:p>
        </w:tc>
        <w:tc>
          <w:tcPr>
            <w:tcW w:w="0" w:type="dxa"/>
            <w:vAlign w:val="bottom"/>
          </w:tcPr>
          <w:p>
            <w:pPr>
              <w:spacing w:after="0"/>
              <w:rPr>
                <w:sz w:val="1"/>
                <w:szCs w:val="1"/>
                <w:color w:val="auto"/>
              </w:rPr>
            </w:pPr>
          </w:p>
        </w:tc>
      </w:tr>
      <w:tr>
        <w:trPr>
          <w:trHeight w:val="77"/>
        </w:trPr>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800" w:type="dxa"/>
            <w:vAlign w:val="bottom"/>
            <w:vMerge w:val="restart"/>
          </w:tcPr>
          <w:p>
            <w:pPr>
              <w:jc w:val="center"/>
              <w:ind w:right="284"/>
              <w:spacing w:after="0"/>
              <w:rPr>
                <w:sz w:val="20"/>
                <w:szCs w:val="20"/>
                <w:color w:val="auto"/>
              </w:rPr>
            </w:pPr>
            <w:r>
              <w:rPr>
                <w:rFonts w:ascii="Times New Roman" w:cs="Times New Roman" w:eastAsia="Times New Roman" w:hAnsi="Times New Roman"/>
                <w:sz w:val="15"/>
                <w:szCs w:val="15"/>
                <w:color w:val="auto"/>
              </w:rPr>
              <w:t>4.2</w:t>
            </w:r>
          </w:p>
        </w:tc>
        <w:tc>
          <w:tcPr>
            <w:tcW w:w="100" w:type="dxa"/>
            <w:vAlign w:val="bottom"/>
          </w:tcPr>
          <w:p>
            <w:pPr>
              <w:spacing w:after="0"/>
              <w:rPr>
                <w:sz w:val="17"/>
                <w:szCs w:val="17"/>
                <w:color w:val="auto"/>
              </w:rPr>
            </w:pPr>
          </w:p>
        </w:tc>
        <w:tc>
          <w:tcPr>
            <w:tcW w:w="3560" w:type="dxa"/>
            <w:vAlign w:val="bottom"/>
          </w:tcPr>
          <w:p>
            <w:pPr>
              <w:spacing w:after="0"/>
              <w:rPr>
                <w:rFonts w:ascii="Times New Roman" w:cs="Times New Roman" w:eastAsia="Times New Roman" w:hAnsi="Times New Roman"/>
                <w:sz w:val="15"/>
                <w:szCs w:val="15"/>
                <w:color w:val="auto"/>
              </w:rPr>
            </w:pPr>
            <w:hyperlink r:id="rId15">
              <w:r>
                <w:rPr>
                  <w:rFonts w:ascii="Times New Roman" w:cs="Times New Roman" w:eastAsia="Times New Roman" w:hAnsi="Times New Roman"/>
                  <w:sz w:val="15"/>
                  <w:szCs w:val="15"/>
                  <w:color w:val="auto"/>
                </w:rPr>
                <w:t>Amended and Restated Bylaws of the Registrant (as</w:t>
              </w:r>
            </w:hyperlink>
          </w:p>
        </w:tc>
        <w:tc>
          <w:tcPr>
            <w:tcW w:w="0" w:type="dxa"/>
            <w:vAlign w:val="bottom"/>
          </w:tcPr>
          <w:p>
            <w:pPr>
              <w:spacing w:after="0"/>
              <w:rPr>
                <w:sz w:val="1"/>
                <w:szCs w:val="1"/>
                <w:color w:val="auto"/>
              </w:rPr>
            </w:pPr>
          </w:p>
        </w:tc>
      </w:tr>
      <w:tr>
        <w:trPr>
          <w:trHeight w:val="122"/>
        </w:trPr>
        <w:tc>
          <w:tcPr>
            <w:tcW w:w="8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560" w:type="dxa"/>
            <w:vAlign w:val="bottom"/>
            <w:vMerge w:val="restart"/>
          </w:tcPr>
          <w:p>
            <w:pPr>
              <w:spacing w:after="0"/>
              <w:rPr>
                <w:rFonts w:ascii="Times New Roman" w:cs="Times New Roman" w:eastAsia="Times New Roman" w:hAnsi="Times New Roman"/>
                <w:sz w:val="15"/>
                <w:szCs w:val="15"/>
                <w:color w:val="auto"/>
              </w:rPr>
            </w:pPr>
            <w:hyperlink r:id="rId15">
              <w:r>
                <w:rPr>
                  <w:rFonts w:ascii="Times New Roman" w:cs="Times New Roman" w:eastAsia="Times New Roman" w:hAnsi="Times New Roman"/>
                  <w:sz w:val="15"/>
                  <w:szCs w:val="15"/>
                  <w:color w:val="auto"/>
                </w:rPr>
                <w:t>amended and currently in effect).</w:t>
              </w:r>
            </w:hyperlink>
          </w:p>
        </w:tc>
        <w:tc>
          <w:tcPr>
            <w:tcW w:w="0" w:type="dxa"/>
            <w:vAlign w:val="bottom"/>
          </w:tcPr>
          <w:p>
            <w:pPr>
              <w:spacing w:after="0"/>
              <w:rPr>
                <w:sz w:val="1"/>
                <w:szCs w:val="1"/>
                <w:color w:val="auto"/>
              </w:rPr>
            </w:pPr>
          </w:p>
        </w:tc>
      </w:tr>
      <w:tr>
        <w:trPr>
          <w:trHeight w:val="77"/>
        </w:trPr>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800" w:type="dxa"/>
            <w:vAlign w:val="bottom"/>
          </w:tcPr>
          <w:p>
            <w:pPr>
              <w:jc w:val="center"/>
              <w:ind w:right="284"/>
              <w:spacing w:after="0"/>
              <w:rPr>
                <w:sz w:val="20"/>
                <w:szCs w:val="20"/>
                <w:color w:val="auto"/>
              </w:rPr>
            </w:pPr>
            <w:r>
              <w:rPr>
                <w:rFonts w:ascii="Times New Roman" w:cs="Times New Roman" w:eastAsia="Times New Roman" w:hAnsi="Times New Roman"/>
                <w:sz w:val="15"/>
                <w:szCs w:val="15"/>
                <w:color w:val="auto"/>
              </w:rPr>
              <w:t>5.1</w:t>
            </w:r>
          </w:p>
        </w:tc>
        <w:tc>
          <w:tcPr>
            <w:tcW w:w="10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5"/>
                <w:szCs w:val="15"/>
                <w:color w:val="auto"/>
              </w:rPr>
              <w:t>Opinion of Cooley LLP.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Incorporated by Reference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0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2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File No.</w:t>
            </w:r>
          </w:p>
        </w:tc>
        <w:tc>
          <w:tcPr>
            <w:tcW w:w="216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Date of</w:t>
            </w:r>
          </w:p>
        </w:tc>
        <w:tc>
          <w:tcPr>
            <w:tcW w:w="114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Provided</w:t>
            </w:r>
          </w:p>
        </w:tc>
        <w:tc>
          <w:tcPr>
            <w:tcW w:w="0" w:type="dxa"/>
            <w:vAlign w:val="bottom"/>
          </w:tcPr>
          <w:p>
            <w:pPr>
              <w:spacing w:after="0"/>
              <w:rPr>
                <w:sz w:val="1"/>
                <w:szCs w:val="1"/>
                <w:color w:val="auto"/>
              </w:rPr>
            </w:pPr>
          </w:p>
        </w:tc>
      </w:tr>
      <w:tr>
        <w:trPr>
          <w:trHeight w:val="105"/>
        </w:trPr>
        <w:tc>
          <w:tcPr>
            <w:tcW w:w="1000" w:type="dxa"/>
            <w:vAlign w:val="bottom"/>
            <w:gridSpan w:val="2"/>
            <w:vMerge w:val="continue"/>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2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First Filing</w:t>
            </w: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herewith</w:t>
            </w:r>
          </w:p>
        </w:tc>
        <w:tc>
          <w:tcPr>
            <w:tcW w:w="0" w:type="dxa"/>
            <w:vAlign w:val="bottom"/>
          </w:tcPr>
          <w:p>
            <w:pPr>
              <w:spacing w:after="0"/>
              <w:rPr>
                <w:sz w:val="1"/>
                <w:szCs w:val="1"/>
                <w:color w:val="auto"/>
              </w:rPr>
            </w:pPr>
          </w:p>
        </w:tc>
      </w:tr>
      <w:tr>
        <w:trPr>
          <w:trHeight w:val="77"/>
        </w:trPr>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160" w:type="dxa"/>
            <w:vAlign w:val="bottom"/>
            <w:gridSpan w:val="2"/>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001-36189</w:t>
            </w:r>
          </w:p>
        </w:tc>
        <w:tc>
          <w:tcPr>
            <w:tcW w:w="100" w:type="dxa"/>
            <w:vAlign w:val="bottom"/>
          </w:tcPr>
          <w:p>
            <w:pPr>
              <w:spacing w:after="0"/>
              <w:rPr>
                <w:sz w:val="24"/>
                <w:szCs w:val="24"/>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May 21, 2026</w:t>
            </w: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3.1</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001-36189</w:t>
            </w:r>
          </w:p>
        </w:tc>
        <w:tc>
          <w:tcPr>
            <w:tcW w:w="100" w:type="dxa"/>
            <w:vAlign w:val="bottom"/>
          </w:tcPr>
          <w:p>
            <w:pPr>
              <w:spacing w:after="0"/>
              <w:rPr>
                <w:sz w:val="24"/>
                <w:szCs w:val="24"/>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December 30, 2025</w:t>
            </w: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3.1</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-642620</wp:posOffset>
            </wp:positionV>
            <wp:extent cx="7138670" cy="262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7138670" cy="26225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-127000</wp:posOffset>
            </wp:positionV>
            <wp:extent cx="7138670" cy="139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ectPr>
          <w:pgSz w:w="11900" w:h="16838" w:orient="portrait"/>
          <w:cols w:equalWidth="0" w:num="2">
            <w:col w:w="4460" w:space="100"/>
            <w:col w:w="6680"/>
          </w:cols>
          <w:pgMar w:left="320" w:top="1440"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72"/>
        </w:trPr>
        <w:tc>
          <w:tcPr>
            <w:tcW w:w="5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23.1</w:t>
            </w:r>
          </w:p>
        </w:tc>
        <w:tc>
          <w:tcPr>
            <w:tcW w:w="36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Consent of Independent Registered Public Accounting</w:t>
            </w:r>
          </w:p>
        </w:tc>
        <w:tc>
          <w:tcPr>
            <w:tcW w:w="0" w:type="dxa"/>
            <w:vAlign w:val="bottom"/>
          </w:tcPr>
          <w:p>
            <w:pPr>
              <w:spacing w:after="0"/>
              <w:rPr>
                <w:sz w:val="1"/>
                <w:szCs w:val="1"/>
                <w:color w:val="auto"/>
              </w:rPr>
            </w:pPr>
          </w:p>
        </w:tc>
      </w:tr>
      <w:tr>
        <w:trPr>
          <w:trHeight w:val="122"/>
        </w:trPr>
        <w:tc>
          <w:tcPr>
            <w:tcW w:w="540" w:type="dxa"/>
            <w:vAlign w:val="bottom"/>
            <w:vMerge w:val="continue"/>
          </w:tcPr>
          <w:p>
            <w:pPr>
              <w:spacing w:after="0"/>
              <w:rPr>
                <w:sz w:val="10"/>
                <w:szCs w:val="10"/>
                <w:color w:val="auto"/>
              </w:rPr>
            </w:pPr>
          </w:p>
        </w:tc>
        <w:tc>
          <w:tcPr>
            <w:tcW w:w="3680" w:type="dxa"/>
            <w:vAlign w:val="bottom"/>
            <w:vMerge w:val="restart"/>
          </w:tcPr>
          <w:p>
            <w:pPr>
              <w:ind w:left="240"/>
              <w:spacing w:after="0"/>
              <w:rPr>
                <w:sz w:val="20"/>
                <w:szCs w:val="20"/>
                <w:color w:val="auto"/>
              </w:rPr>
            </w:pPr>
            <w:r>
              <w:rPr>
                <w:rFonts w:ascii="Times New Roman" w:cs="Times New Roman" w:eastAsia="Times New Roman" w:hAnsi="Times New Roman"/>
                <w:sz w:val="15"/>
                <w:szCs w:val="15"/>
                <w:color w:val="auto"/>
              </w:rPr>
              <w:t>Firm.</w:t>
            </w:r>
          </w:p>
        </w:tc>
        <w:tc>
          <w:tcPr>
            <w:tcW w:w="0" w:type="dxa"/>
            <w:vAlign w:val="bottom"/>
          </w:tcPr>
          <w:p>
            <w:pPr>
              <w:spacing w:after="0"/>
              <w:rPr>
                <w:sz w:val="1"/>
                <w:szCs w:val="1"/>
                <w:color w:val="auto"/>
              </w:rPr>
            </w:pPr>
          </w:p>
        </w:tc>
      </w:tr>
      <w:tr>
        <w:trPr>
          <w:trHeight w:val="77"/>
        </w:trPr>
        <w:tc>
          <w:tcPr>
            <w:tcW w:w="540" w:type="dxa"/>
            <w:vAlign w:val="bottom"/>
          </w:tcPr>
          <w:p>
            <w:pPr>
              <w:spacing w:after="0"/>
              <w:rPr>
                <w:sz w:val="6"/>
                <w:szCs w:val="6"/>
                <w:color w:val="auto"/>
              </w:rPr>
            </w:pPr>
          </w:p>
        </w:tc>
        <w:tc>
          <w:tcPr>
            <w:tcW w:w="3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5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23.2</w:t>
            </w:r>
          </w:p>
        </w:tc>
        <w:tc>
          <w:tcPr>
            <w:tcW w:w="36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Consent of Cooley LLP. Reference is made to Exhibit</w:t>
            </w:r>
          </w:p>
        </w:tc>
        <w:tc>
          <w:tcPr>
            <w:tcW w:w="0" w:type="dxa"/>
            <w:vAlign w:val="bottom"/>
          </w:tcPr>
          <w:p>
            <w:pPr>
              <w:spacing w:after="0"/>
              <w:rPr>
                <w:sz w:val="1"/>
                <w:szCs w:val="1"/>
                <w:color w:val="auto"/>
              </w:rPr>
            </w:pPr>
          </w:p>
        </w:tc>
      </w:tr>
      <w:tr>
        <w:trPr>
          <w:trHeight w:val="122"/>
        </w:trPr>
        <w:tc>
          <w:tcPr>
            <w:tcW w:w="540" w:type="dxa"/>
            <w:vAlign w:val="bottom"/>
            <w:vMerge w:val="continue"/>
          </w:tcPr>
          <w:p>
            <w:pPr>
              <w:spacing w:after="0"/>
              <w:rPr>
                <w:sz w:val="10"/>
                <w:szCs w:val="10"/>
                <w:color w:val="auto"/>
              </w:rPr>
            </w:pPr>
          </w:p>
        </w:tc>
        <w:tc>
          <w:tcPr>
            <w:tcW w:w="3680" w:type="dxa"/>
            <w:vAlign w:val="bottom"/>
            <w:vMerge w:val="restart"/>
          </w:tcPr>
          <w:p>
            <w:pPr>
              <w:ind w:left="240"/>
              <w:spacing w:after="0"/>
              <w:rPr>
                <w:sz w:val="20"/>
                <w:szCs w:val="20"/>
                <w:color w:val="auto"/>
              </w:rPr>
            </w:pPr>
            <w:r>
              <w:rPr>
                <w:rFonts w:ascii="Times New Roman" w:cs="Times New Roman" w:eastAsia="Times New Roman" w:hAnsi="Times New Roman"/>
                <w:sz w:val="15"/>
                <w:szCs w:val="15"/>
                <w:color w:val="auto"/>
              </w:rPr>
              <w:t>5.1.</w:t>
            </w:r>
          </w:p>
        </w:tc>
        <w:tc>
          <w:tcPr>
            <w:tcW w:w="0" w:type="dxa"/>
            <w:vAlign w:val="bottom"/>
          </w:tcPr>
          <w:p>
            <w:pPr>
              <w:spacing w:after="0"/>
              <w:rPr>
                <w:sz w:val="1"/>
                <w:szCs w:val="1"/>
                <w:color w:val="auto"/>
              </w:rPr>
            </w:pPr>
          </w:p>
        </w:tc>
      </w:tr>
      <w:tr>
        <w:trPr>
          <w:trHeight w:val="77"/>
        </w:trPr>
        <w:tc>
          <w:tcPr>
            <w:tcW w:w="540" w:type="dxa"/>
            <w:vAlign w:val="bottom"/>
          </w:tcPr>
          <w:p>
            <w:pPr>
              <w:spacing w:after="0"/>
              <w:rPr>
                <w:sz w:val="6"/>
                <w:szCs w:val="6"/>
                <w:color w:val="auto"/>
              </w:rPr>
            </w:pPr>
          </w:p>
        </w:tc>
        <w:tc>
          <w:tcPr>
            <w:tcW w:w="3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5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24.1</w:t>
            </w:r>
          </w:p>
        </w:tc>
        <w:tc>
          <w:tcPr>
            <w:tcW w:w="36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Power of Attorney. Reference is made to the signature</w:t>
            </w:r>
          </w:p>
        </w:tc>
        <w:tc>
          <w:tcPr>
            <w:tcW w:w="0" w:type="dxa"/>
            <w:vAlign w:val="bottom"/>
          </w:tcPr>
          <w:p>
            <w:pPr>
              <w:spacing w:after="0"/>
              <w:rPr>
                <w:sz w:val="1"/>
                <w:szCs w:val="1"/>
                <w:color w:val="auto"/>
              </w:rPr>
            </w:pPr>
          </w:p>
        </w:tc>
      </w:tr>
      <w:tr>
        <w:trPr>
          <w:trHeight w:val="122"/>
        </w:trPr>
        <w:tc>
          <w:tcPr>
            <w:tcW w:w="540" w:type="dxa"/>
            <w:vAlign w:val="bottom"/>
            <w:vMerge w:val="continue"/>
          </w:tcPr>
          <w:p>
            <w:pPr>
              <w:spacing w:after="0"/>
              <w:rPr>
                <w:sz w:val="10"/>
                <w:szCs w:val="10"/>
                <w:color w:val="auto"/>
              </w:rPr>
            </w:pPr>
          </w:p>
        </w:tc>
        <w:tc>
          <w:tcPr>
            <w:tcW w:w="3680" w:type="dxa"/>
            <w:vAlign w:val="bottom"/>
            <w:vMerge w:val="restart"/>
          </w:tcPr>
          <w:p>
            <w:pPr>
              <w:ind w:left="240"/>
              <w:spacing w:after="0"/>
              <w:rPr>
                <w:sz w:val="20"/>
                <w:szCs w:val="20"/>
                <w:color w:val="auto"/>
              </w:rPr>
            </w:pPr>
            <w:r>
              <w:rPr>
                <w:rFonts w:ascii="Times New Roman" w:cs="Times New Roman" w:eastAsia="Times New Roman" w:hAnsi="Times New Roman"/>
                <w:sz w:val="15"/>
                <w:szCs w:val="15"/>
                <w:color w:val="auto"/>
              </w:rPr>
              <w:t>page hereto.</w:t>
            </w:r>
          </w:p>
        </w:tc>
        <w:tc>
          <w:tcPr>
            <w:tcW w:w="0" w:type="dxa"/>
            <w:vAlign w:val="bottom"/>
          </w:tcPr>
          <w:p>
            <w:pPr>
              <w:spacing w:after="0"/>
              <w:rPr>
                <w:sz w:val="1"/>
                <w:szCs w:val="1"/>
                <w:color w:val="auto"/>
              </w:rPr>
            </w:pPr>
          </w:p>
        </w:tc>
      </w:tr>
      <w:tr>
        <w:trPr>
          <w:trHeight w:val="77"/>
        </w:trPr>
        <w:tc>
          <w:tcPr>
            <w:tcW w:w="540" w:type="dxa"/>
            <w:vAlign w:val="bottom"/>
          </w:tcPr>
          <w:p>
            <w:pPr>
              <w:spacing w:after="0"/>
              <w:rPr>
                <w:sz w:val="6"/>
                <w:szCs w:val="6"/>
                <w:color w:val="auto"/>
              </w:rPr>
            </w:pPr>
          </w:p>
        </w:tc>
        <w:tc>
          <w:tcPr>
            <w:tcW w:w="3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5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99.1</w:t>
            </w:r>
          </w:p>
        </w:tc>
        <w:tc>
          <w:tcPr>
            <w:tcW w:w="3680" w:type="dxa"/>
            <w:vAlign w:val="bottom"/>
          </w:tcPr>
          <w:p>
            <w:pPr>
              <w:ind w:left="240"/>
              <w:spacing w:after="0"/>
              <w:rPr>
                <w:rFonts w:ascii="Times New Roman" w:cs="Times New Roman" w:eastAsia="Times New Roman" w:hAnsi="Times New Roman"/>
                <w:sz w:val="15"/>
                <w:szCs w:val="15"/>
                <w:color w:val="auto"/>
              </w:rPr>
            </w:pPr>
            <w:hyperlink r:id="rId18">
              <w:r>
                <w:rPr>
                  <w:rFonts w:ascii="Times New Roman" w:cs="Times New Roman" w:eastAsia="Times New Roman" w:hAnsi="Times New Roman"/>
                  <w:sz w:val="15"/>
                  <w:szCs w:val="15"/>
                  <w:color w:val="auto"/>
                </w:rPr>
                <w:t>Tandem Diabetes Care, Inc. 2023 Long-Term Incentive</w:t>
              </w:r>
            </w:hyperlink>
          </w:p>
        </w:tc>
        <w:tc>
          <w:tcPr>
            <w:tcW w:w="0" w:type="dxa"/>
            <w:vAlign w:val="bottom"/>
          </w:tcPr>
          <w:p>
            <w:pPr>
              <w:spacing w:after="0"/>
              <w:rPr>
                <w:sz w:val="1"/>
                <w:szCs w:val="1"/>
                <w:color w:val="auto"/>
              </w:rPr>
            </w:pPr>
          </w:p>
        </w:tc>
      </w:tr>
      <w:tr>
        <w:trPr>
          <w:trHeight w:val="122"/>
        </w:trPr>
        <w:tc>
          <w:tcPr>
            <w:tcW w:w="540" w:type="dxa"/>
            <w:vAlign w:val="bottom"/>
            <w:vMerge w:val="continue"/>
          </w:tcPr>
          <w:p>
            <w:pPr>
              <w:spacing w:after="0"/>
              <w:rPr>
                <w:sz w:val="10"/>
                <w:szCs w:val="10"/>
                <w:color w:val="auto"/>
              </w:rPr>
            </w:pPr>
          </w:p>
        </w:tc>
        <w:tc>
          <w:tcPr>
            <w:tcW w:w="3680" w:type="dxa"/>
            <w:vAlign w:val="bottom"/>
            <w:vMerge w:val="restart"/>
          </w:tcPr>
          <w:p>
            <w:pPr>
              <w:ind w:left="240"/>
              <w:spacing w:after="0"/>
              <w:rPr>
                <w:rFonts w:ascii="Times New Roman" w:cs="Times New Roman" w:eastAsia="Times New Roman" w:hAnsi="Times New Roman"/>
                <w:sz w:val="15"/>
                <w:szCs w:val="15"/>
                <w:color w:val="auto"/>
              </w:rPr>
            </w:pPr>
            <w:hyperlink r:id="rId18">
              <w:r>
                <w:rPr>
                  <w:rFonts w:ascii="Times New Roman" w:cs="Times New Roman" w:eastAsia="Times New Roman" w:hAnsi="Times New Roman"/>
                  <w:sz w:val="15"/>
                  <w:szCs w:val="15"/>
                  <w:color w:val="auto"/>
                </w:rPr>
                <w:t>Plan, as amended.</w:t>
              </w:r>
            </w:hyperlink>
          </w:p>
        </w:tc>
        <w:tc>
          <w:tcPr>
            <w:tcW w:w="0" w:type="dxa"/>
            <w:vAlign w:val="bottom"/>
          </w:tcPr>
          <w:p>
            <w:pPr>
              <w:spacing w:after="0"/>
              <w:rPr>
                <w:sz w:val="1"/>
                <w:szCs w:val="1"/>
                <w:color w:val="auto"/>
              </w:rPr>
            </w:pPr>
          </w:p>
        </w:tc>
      </w:tr>
      <w:tr>
        <w:trPr>
          <w:trHeight w:val="77"/>
        </w:trPr>
        <w:tc>
          <w:tcPr>
            <w:tcW w:w="540" w:type="dxa"/>
            <w:vAlign w:val="bottom"/>
          </w:tcPr>
          <w:p>
            <w:pPr>
              <w:spacing w:after="0"/>
              <w:rPr>
                <w:sz w:val="6"/>
                <w:szCs w:val="6"/>
                <w:color w:val="auto"/>
              </w:rPr>
            </w:pPr>
          </w:p>
        </w:tc>
        <w:tc>
          <w:tcPr>
            <w:tcW w:w="3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5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99.2</w:t>
            </w:r>
          </w:p>
        </w:tc>
        <w:tc>
          <w:tcPr>
            <w:tcW w:w="3680" w:type="dxa"/>
            <w:vAlign w:val="bottom"/>
          </w:tcPr>
          <w:p>
            <w:pPr>
              <w:ind w:left="240"/>
              <w:spacing w:after="0"/>
              <w:rPr>
                <w:rFonts w:ascii="Times New Roman" w:cs="Times New Roman" w:eastAsia="Times New Roman" w:hAnsi="Times New Roman"/>
                <w:sz w:val="15"/>
                <w:szCs w:val="15"/>
                <w:color w:val="auto"/>
              </w:rPr>
            </w:pPr>
            <w:hyperlink r:id="rId19">
              <w:r>
                <w:rPr>
                  <w:rFonts w:ascii="Times New Roman" w:cs="Times New Roman" w:eastAsia="Times New Roman" w:hAnsi="Times New Roman"/>
                  <w:sz w:val="15"/>
                  <w:szCs w:val="15"/>
                  <w:color w:val="auto"/>
                </w:rPr>
                <w:t>Form of Restricted Stock Units Agreement under the</w:t>
              </w:r>
            </w:hyperlink>
          </w:p>
        </w:tc>
        <w:tc>
          <w:tcPr>
            <w:tcW w:w="0" w:type="dxa"/>
            <w:vAlign w:val="bottom"/>
          </w:tcPr>
          <w:p>
            <w:pPr>
              <w:spacing w:after="0"/>
              <w:rPr>
                <w:sz w:val="1"/>
                <w:szCs w:val="1"/>
                <w:color w:val="auto"/>
              </w:rPr>
            </w:pPr>
          </w:p>
        </w:tc>
      </w:tr>
      <w:tr>
        <w:trPr>
          <w:trHeight w:val="122"/>
        </w:trPr>
        <w:tc>
          <w:tcPr>
            <w:tcW w:w="540" w:type="dxa"/>
            <w:vAlign w:val="bottom"/>
            <w:vMerge w:val="continue"/>
          </w:tcPr>
          <w:p>
            <w:pPr>
              <w:spacing w:after="0"/>
              <w:rPr>
                <w:sz w:val="10"/>
                <w:szCs w:val="10"/>
                <w:color w:val="auto"/>
              </w:rPr>
            </w:pPr>
          </w:p>
        </w:tc>
        <w:tc>
          <w:tcPr>
            <w:tcW w:w="3680" w:type="dxa"/>
            <w:vAlign w:val="bottom"/>
            <w:vMerge w:val="restart"/>
          </w:tcPr>
          <w:p>
            <w:pPr>
              <w:ind w:left="240"/>
              <w:spacing w:after="0"/>
              <w:rPr>
                <w:rFonts w:ascii="Times New Roman" w:cs="Times New Roman" w:eastAsia="Times New Roman" w:hAnsi="Times New Roman"/>
                <w:sz w:val="15"/>
                <w:szCs w:val="15"/>
                <w:color w:val="auto"/>
              </w:rPr>
            </w:pPr>
            <w:hyperlink r:id="rId19">
              <w:r>
                <w:rPr>
                  <w:rFonts w:ascii="Times New Roman" w:cs="Times New Roman" w:eastAsia="Times New Roman" w:hAnsi="Times New Roman"/>
                  <w:sz w:val="15"/>
                  <w:szCs w:val="15"/>
                  <w:color w:val="auto"/>
                </w:rPr>
                <w:t>2023 Long-Term Incentive Plan.</w:t>
              </w:r>
            </w:hyperlink>
          </w:p>
        </w:tc>
        <w:tc>
          <w:tcPr>
            <w:tcW w:w="0" w:type="dxa"/>
            <w:vAlign w:val="bottom"/>
          </w:tcPr>
          <w:p>
            <w:pPr>
              <w:spacing w:after="0"/>
              <w:rPr>
                <w:sz w:val="1"/>
                <w:szCs w:val="1"/>
                <w:color w:val="auto"/>
              </w:rPr>
            </w:pPr>
          </w:p>
        </w:tc>
      </w:tr>
      <w:tr>
        <w:trPr>
          <w:trHeight w:val="77"/>
        </w:trPr>
        <w:tc>
          <w:tcPr>
            <w:tcW w:w="540" w:type="dxa"/>
            <w:vAlign w:val="bottom"/>
          </w:tcPr>
          <w:p>
            <w:pPr>
              <w:spacing w:after="0"/>
              <w:rPr>
                <w:sz w:val="6"/>
                <w:szCs w:val="6"/>
                <w:color w:val="auto"/>
              </w:rPr>
            </w:pPr>
          </w:p>
        </w:tc>
        <w:tc>
          <w:tcPr>
            <w:tcW w:w="3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107</w:t>
            </w:r>
          </w:p>
        </w:tc>
        <w:tc>
          <w:tcPr>
            <w:tcW w:w="36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Filing Fee Table.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86360</wp:posOffset>
            </wp:positionV>
            <wp:extent cx="7138670" cy="2540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7138670" cy="254000"/>
                    </a:xfrm>
                    <a:prstGeom prst="rect">
                      <a:avLst/>
                    </a:prstGeom>
                    <a:noFill/>
                  </pic:spPr>
                </pic:pic>
              </a:graphicData>
            </a:graphic>
          </wp:anchor>
        </w:drawing>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X</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86360</wp:posOffset>
            </wp:positionV>
            <wp:extent cx="7138670" cy="2540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7138670" cy="25400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60" w:type="dxa"/>
            <w:vAlign w:val="bottom"/>
          </w:tcPr>
          <w:p>
            <w:pPr>
              <w:jc w:val="center"/>
              <w:ind w:right="263"/>
              <w:spacing w:after="0"/>
              <w:rPr>
                <w:sz w:val="20"/>
                <w:szCs w:val="20"/>
                <w:color w:val="auto"/>
              </w:rPr>
            </w:pPr>
            <w:r>
              <w:rPr>
                <w:rFonts w:ascii="Times New Roman" w:cs="Times New Roman" w:eastAsia="Times New Roman" w:hAnsi="Times New Roman"/>
                <w:sz w:val="15"/>
                <w:szCs w:val="15"/>
                <w:color w:val="auto"/>
              </w:rPr>
              <w:t>8-K</w:t>
            </w:r>
          </w:p>
        </w:tc>
        <w:tc>
          <w:tcPr>
            <w:tcW w:w="1460" w:type="dxa"/>
            <w:vAlign w:val="bottom"/>
          </w:tcPr>
          <w:p>
            <w:pPr>
              <w:jc w:val="right"/>
              <w:ind w:right="383"/>
              <w:spacing w:after="0"/>
              <w:rPr>
                <w:sz w:val="20"/>
                <w:szCs w:val="20"/>
                <w:color w:val="auto"/>
              </w:rPr>
            </w:pPr>
            <w:r>
              <w:rPr>
                <w:rFonts w:ascii="Times New Roman" w:cs="Times New Roman" w:eastAsia="Times New Roman" w:hAnsi="Times New Roman"/>
                <w:sz w:val="15"/>
                <w:szCs w:val="15"/>
                <w:color w:val="auto"/>
              </w:rPr>
              <w:t>001-36189</w:t>
            </w:r>
          </w:p>
        </w:tc>
        <w:tc>
          <w:tcPr>
            <w:tcW w:w="1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May 21, 2026</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w:t>
            </w:r>
          </w:p>
        </w:tc>
      </w:tr>
      <w:tr>
        <w:trPr>
          <w:trHeight w:val="400"/>
        </w:trPr>
        <w:tc>
          <w:tcPr>
            <w:tcW w:w="660" w:type="dxa"/>
            <w:vAlign w:val="bottom"/>
          </w:tcPr>
          <w:p>
            <w:pPr>
              <w:jc w:val="center"/>
              <w:ind w:right="263"/>
              <w:spacing w:after="0"/>
              <w:rPr>
                <w:sz w:val="20"/>
                <w:szCs w:val="20"/>
                <w:color w:val="auto"/>
              </w:rPr>
            </w:pPr>
            <w:r>
              <w:rPr>
                <w:rFonts w:ascii="Times New Roman" w:cs="Times New Roman" w:eastAsia="Times New Roman" w:hAnsi="Times New Roman"/>
                <w:sz w:val="15"/>
                <w:szCs w:val="15"/>
                <w:color w:val="auto"/>
              </w:rPr>
              <w:t>10-Q</w:t>
            </w:r>
          </w:p>
        </w:tc>
        <w:tc>
          <w:tcPr>
            <w:tcW w:w="1460" w:type="dxa"/>
            <w:vAlign w:val="bottom"/>
          </w:tcPr>
          <w:p>
            <w:pPr>
              <w:jc w:val="right"/>
              <w:ind w:right="383"/>
              <w:spacing w:after="0"/>
              <w:rPr>
                <w:sz w:val="20"/>
                <w:szCs w:val="20"/>
                <w:color w:val="auto"/>
              </w:rPr>
            </w:pPr>
            <w:r>
              <w:rPr>
                <w:rFonts w:ascii="Times New Roman" w:cs="Times New Roman" w:eastAsia="Times New Roman" w:hAnsi="Times New Roman"/>
                <w:sz w:val="15"/>
                <w:szCs w:val="15"/>
                <w:color w:val="auto"/>
              </w:rPr>
              <w:t>001-36189</w:t>
            </w:r>
          </w:p>
        </w:tc>
        <w:tc>
          <w:tcPr>
            <w:tcW w:w="1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August 3,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69215</wp:posOffset>
            </wp:positionV>
            <wp:extent cx="7138670" cy="139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X</w:t>
      </w:r>
    </w:p>
    <w:p>
      <w:pPr>
        <w:sectPr>
          <w:pgSz w:w="11900" w:h="16838" w:orient="portrait"/>
          <w:cols w:equalWidth="0" w:num="2">
            <w:col w:w="4220" w:space="500"/>
            <w:col w:w="5940"/>
          </w:cols>
          <w:pgMar w:left="440" w:top="1399" w:right="7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34" w:lineRule="exact"/>
        <w:rPr>
          <w:sz w:val="20"/>
          <w:szCs w:val="20"/>
          <w:color w:val="auto"/>
        </w:rPr>
      </w:pPr>
    </w:p>
    <w:p>
      <w:pPr>
        <w:jc w:val="both"/>
        <w:ind w:firstLine="773"/>
        <w:spacing w:after="0" w:line="254"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Diego, State of California.</w:t>
      </w:r>
    </w:p>
    <w:p>
      <w:pPr>
        <w:spacing w:after="0" w:line="8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Tandem Diabetes Care, Inc.</w:t>
      </w:r>
    </w:p>
    <w:p>
      <w:pPr>
        <w:spacing w:after="0" w:line="273" w:lineRule="exact"/>
        <w:rPr>
          <w:sz w:val="20"/>
          <w:szCs w:val="20"/>
          <w:color w:val="auto"/>
        </w:rPr>
      </w:pPr>
    </w:p>
    <w:p>
      <w:pPr>
        <w:ind w:left="6180"/>
        <w:spacing w:after="0"/>
        <w:tabs>
          <w:tab w:leader="none" w:pos="67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John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17145</wp:posOffset>
            </wp:positionV>
            <wp:extent cx="28327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2832735" cy="8255"/>
                    </a:xfrm>
                    <a:prstGeom prst="rect">
                      <a:avLst/>
                    </a:prstGeom>
                    <a:noFill/>
                  </pic:spPr>
                </pic:pic>
              </a:graphicData>
            </a:graphic>
          </wp:anchor>
        </w:drawing>
      </w:r>
    </w:p>
    <w:p>
      <w:pPr>
        <w:spacing w:after="0" w:line="1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7"/>
          <w:szCs w:val="17"/>
          <w:color w:val="auto"/>
        </w:rPr>
        <w:t>John Sheridan</w:t>
      </w:r>
    </w:p>
    <w:p>
      <w:pPr>
        <w:spacing w:after="0" w:line="28"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4"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May 27, 2026</w:t>
      </w:r>
    </w:p>
    <w:p>
      <w:pPr>
        <w:sectPr>
          <w:pgSz w:w="11900" w:h="16838" w:orient="portrait"/>
          <w:cols w:equalWidth="0" w:num="1">
            <w:col w:w="11240"/>
          </w:cols>
          <w:pgMar w:left="320" w:top="1357" w:right="339" w:bottom="1440" w:gutter="0" w:footer="0" w:header="0"/>
        </w:sectPr>
      </w:pPr>
    </w:p>
    <w:bookmarkStart w:id="5" w:name="page6"/>
    <w:bookmarkEnd w:id="5"/>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82" w:lineRule="exact"/>
        <w:rPr>
          <w:sz w:val="20"/>
          <w:szCs w:val="20"/>
          <w:color w:val="auto"/>
        </w:rPr>
      </w:pPr>
    </w:p>
    <w:p>
      <w:pPr>
        <w:jc w:val="both"/>
        <w:ind w:firstLine="773"/>
        <w:spacing w:after="0" w:line="258"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hereby constitutes and appoints John F. Sheridan and Leigh A. Vosseller, and each of them individually, his and her true and lawful attorneys-in-fact and agents, with full power of substitution and resubstitution, for him and her and in his and her name, place, and stead, in any and all capacities, to sign any and all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40" w:lineRule="exact"/>
        <w:rPr>
          <w:sz w:val="20"/>
          <w:szCs w:val="20"/>
          <w:color w:val="auto"/>
        </w:rPr>
      </w:pPr>
    </w:p>
    <w:p>
      <w:pPr>
        <w:jc w:val="both"/>
        <w:ind w:firstLine="773"/>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this Registration Statement on Form S-8 has been signed below by the following persons on behalf of the Registrant and in the capacities and on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0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120" w:type="dxa"/>
            <w:vAlign w:val="bottom"/>
          </w:tcPr>
          <w:p>
            <w:pPr>
              <w:spacing w:after="0"/>
              <w:rPr>
                <w:sz w:val="19"/>
                <w:szCs w:val="19"/>
                <w:color w:val="auto"/>
              </w:rPr>
            </w:pPr>
          </w:p>
        </w:tc>
        <w:tc>
          <w:tcPr>
            <w:tcW w:w="464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120" w:type="dxa"/>
            <w:vAlign w:val="bottom"/>
          </w:tcPr>
          <w:p>
            <w:pPr>
              <w:spacing w:after="0"/>
              <w:rPr>
                <w:sz w:val="19"/>
                <w:szCs w:val="19"/>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Date</w:t>
            </w:r>
          </w:p>
        </w:tc>
        <w:tc>
          <w:tcPr>
            <w:tcW w:w="0" w:type="dxa"/>
            <w:vAlign w:val="bottom"/>
          </w:tcPr>
          <w:p>
            <w:pPr>
              <w:spacing w:after="0"/>
              <w:rPr>
                <w:sz w:val="1"/>
                <w:szCs w:val="1"/>
                <w:color w:val="auto"/>
              </w:rPr>
            </w:pPr>
          </w:p>
        </w:tc>
      </w:tr>
      <w:tr>
        <w:trPr>
          <w:trHeight w:val="260"/>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/s/ JOHN SHERIDAN</w:t>
            </w:r>
          </w:p>
        </w:tc>
        <w:tc>
          <w:tcPr>
            <w:tcW w:w="120" w:type="dxa"/>
            <w:vAlign w:val="bottom"/>
          </w:tcPr>
          <w:p>
            <w:pPr>
              <w:spacing w:after="0"/>
              <w:rPr>
                <w:sz w:val="22"/>
                <w:szCs w:val="22"/>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President, Chief Executive Officer and Director (Principal</w:t>
            </w:r>
          </w:p>
        </w:tc>
        <w:tc>
          <w:tcPr>
            <w:tcW w:w="2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Executive Officer)</w:t>
            </w:r>
          </w:p>
        </w:tc>
        <w:tc>
          <w:tcPr>
            <w:tcW w:w="2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27, 2026</w:t>
            </w: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John Sheridan</w:t>
            </w:r>
          </w:p>
        </w:tc>
        <w:tc>
          <w:tcPr>
            <w:tcW w:w="1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/s/ LEIGH VOSSELLER</w:t>
            </w:r>
          </w:p>
        </w:tc>
        <w:tc>
          <w:tcPr>
            <w:tcW w:w="120" w:type="dxa"/>
            <w:vAlign w:val="bottom"/>
          </w:tcPr>
          <w:p>
            <w:pPr>
              <w:spacing w:after="0"/>
              <w:rPr>
                <w:sz w:val="24"/>
                <w:szCs w:val="24"/>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Executive Vice President, Chief Financial Officer and Treasurer</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c>
          <w:tcPr>
            <w:tcW w:w="2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27, 2026</w:t>
            </w: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Leigh Vosseller</w:t>
            </w:r>
          </w:p>
        </w:tc>
        <w:tc>
          <w:tcPr>
            <w:tcW w:w="1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/s/ REBECCA ROBERTSON</w:t>
            </w:r>
          </w:p>
        </w:tc>
        <w:tc>
          <w:tcPr>
            <w:tcW w:w="120" w:type="dxa"/>
            <w:vAlign w:val="bottom"/>
          </w:tcPr>
          <w:p>
            <w:pPr>
              <w:spacing w:after="0"/>
              <w:rPr>
                <w:sz w:val="24"/>
                <w:szCs w:val="24"/>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Chair of the Board</w:t>
            </w:r>
          </w:p>
        </w:tc>
        <w:tc>
          <w:tcPr>
            <w:tcW w:w="2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27, 2026</w:t>
            </w: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Rebecca Robertson</w:t>
            </w:r>
          </w:p>
        </w:tc>
        <w:tc>
          <w:tcPr>
            <w:tcW w:w="1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/s/ SANDRA BEAVER</w:t>
            </w:r>
          </w:p>
        </w:tc>
        <w:tc>
          <w:tcPr>
            <w:tcW w:w="120" w:type="dxa"/>
            <w:vAlign w:val="bottom"/>
          </w:tcPr>
          <w:p>
            <w:pPr>
              <w:spacing w:after="0"/>
              <w:rPr>
                <w:sz w:val="24"/>
                <w:szCs w:val="24"/>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27, 2026</w:t>
            </w: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Sandra Beaver</w:t>
            </w:r>
          </w:p>
        </w:tc>
        <w:tc>
          <w:tcPr>
            <w:tcW w:w="1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/s/ MYOUNGIL CHA</w:t>
            </w:r>
          </w:p>
        </w:tc>
        <w:tc>
          <w:tcPr>
            <w:tcW w:w="120" w:type="dxa"/>
            <w:vAlign w:val="bottom"/>
          </w:tcPr>
          <w:p>
            <w:pPr>
              <w:spacing w:after="0"/>
              <w:rPr>
                <w:sz w:val="24"/>
                <w:szCs w:val="24"/>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27, 2026</w:t>
            </w: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Myoungil Cha</w:t>
            </w:r>
          </w:p>
        </w:tc>
        <w:tc>
          <w:tcPr>
            <w:tcW w:w="1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/s/ PEYTON HOWELL</w:t>
            </w:r>
          </w:p>
        </w:tc>
        <w:tc>
          <w:tcPr>
            <w:tcW w:w="120" w:type="dxa"/>
            <w:vAlign w:val="bottom"/>
          </w:tcPr>
          <w:p>
            <w:pPr>
              <w:spacing w:after="0"/>
              <w:rPr>
                <w:sz w:val="24"/>
                <w:szCs w:val="24"/>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27, 2026</w:t>
            </w: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Peyton Howell</w:t>
            </w:r>
          </w:p>
        </w:tc>
        <w:tc>
          <w:tcPr>
            <w:tcW w:w="1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/s/ JOAO MALAGUEIRA</w:t>
            </w:r>
          </w:p>
        </w:tc>
        <w:tc>
          <w:tcPr>
            <w:tcW w:w="120" w:type="dxa"/>
            <w:vAlign w:val="bottom"/>
          </w:tcPr>
          <w:p>
            <w:pPr>
              <w:spacing w:after="0"/>
              <w:rPr>
                <w:sz w:val="24"/>
                <w:szCs w:val="24"/>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27, 2026</w:t>
            </w: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Joao Malagueira</w:t>
            </w:r>
          </w:p>
        </w:tc>
        <w:tc>
          <w:tcPr>
            <w:tcW w:w="1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/s/ KATHLEEN MCGRODDY-GOETZ</w:t>
            </w:r>
          </w:p>
        </w:tc>
        <w:tc>
          <w:tcPr>
            <w:tcW w:w="120" w:type="dxa"/>
            <w:vAlign w:val="bottom"/>
          </w:tcPr>
          <w:p>
            <w:pPr>
              <w:spacing w:after="0"/>
              <w:rPr>
                <w:sz w:val="24"/>
                <w:szCs w:val="24"/>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27, 2026</w:t>
            </w: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Kathleen McGroddy-Goetz</w:t>
            </w:r>
          </w:p>
        </w:tc>
        <w:tc>
          <w:tcPr>
            <w:tcW w:w="1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/s/ RAJWANT SODHI</w:t>
            </w:r>
          </w:p>
        </w:tc>
        <w:tc>
          <w:tcPr>
            <w:tcW w:w="120" w:type="dxa"/>
            <w:vAlign w:val="bottom"/>
          </w:tcPr>
          <w:p>
            <w:pPr>
              <w:spacing w:after="0"/>
              <w:rPr>
                <w:sz w:val="24"/>
                <w:szCs w:val="24"/>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27, 2026</w:t>
            </w: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Rajwant Sodhi</w:t>
            </w:r>
          </w:p>
        </w:tc>
        <w:tc>
          <w:tcPr>
            <w:tcW w:w="1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/s/ CHRISTOPHER TWOMEY</w:t>
            </w:r>
          </w:p>
        </w:tc>
        <w:tc>
          <w:tcPr>
            <w:tcW w:w="120" w:type="dxa"/>
            <w:vAlign w:val="bottom"/>
          </w:tcPr>
          <w:p>
            <w:pPr>
              <w:spacing w:after="0"/>
              <w:rPr>
                <w:sz w:val="24"/>
                <w:szCs w:val="24"/>
                <w:color w:val="auto"/>
              </w:rPr>
            </w:pPr>
          </w:p>
        </w:tc>
        <w:tc>
          <w:tcPr>
            <w:tcW w:w="4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27, 2026</w:t>
            </w: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Christopher Twomey</w:t>
            </w:r>
          </w:p>
        </w:tc>
        <w:tc>
          <w:tcPr>
            <w:tcW w:w="1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6" w:name="page7"/>
    <w:bookmarkEnd w:id="6"/>
    <w:p>
      <w:pPr>
        <w:ind w:left="3000"/>
        <w:spacing w:after="0"/>
        <w:rPr>
          <w:sz w:val="20"/>
          <w:szCs w:val="20"/>
          <w:color w:val="auto"/>
        </w:rPr>
      </w:pPr>
      <w:r>
        <w:rPr>
          <w:rFonts w:ascii="Arial" w:cs="Arial" w:eastAsia="Arial" w:hAnsi="Arial"/>
          <w:sz w:val="34"/>
          <w:szCs w:val="34"/>
          <w:b w:val="1"/>
          <w:bCs w:val="1"/>
          <w:color w:val="auto"/>
        </w:rPr>
        <w:t>Calculation of Filing Fee Tables</w:t>
      </w:r>
    </w:p>
    <w:p>
      <w:pPr>
        <w:spacing w:after="0" w:line="215" w:lineRule="exact"/>
        <w:rPr>
          <w:sz w:val="20"/>
          <w:szCs w:val="20"/>
          <w:color w:val="auto"/>
        </w:rPr>
      </w:pPr>
    </w:p>
    <w:p>
      <w:pPr>
        <w:ind w:left="5280"/>
        <w:spacing w:after="0"/>
        <w:rPr>
          <w:sz w:val="20"/>
          <w:szCs w:val="20"/>
          <w:color w:val="auto"/>
        </w:rPr>
      </w:pPr>
      <w:r>
        <w:rPr>
          <w:rFonts w:ascii="Arial" w:cs="Arial" w:eastAsia="Arial" w:hAnsi="Arial"/>
          <w:sz w:val="34"/>
          <w:szCs w:val="34"/>
          <w:b w:val="1"/>
          <w:bCs w:val="1"/>
          <w:color w:val="auto"/>
        </w:rPr>
        <w:t>S-8</w:t>
      </w:r>
    </w:p>
    <w:p>
      <w:pPr>
        <w:spacing w:after="0" w:line="125" w:lineRule="exact"/>
        <w:rPr>
          <w:sz w:val="20"/>
          <w:szCs w:val="20"/>
          <w:color w:val="auto"/>
        </w:rPr>
      </w:pPr>
    </w:p>
    <w:p>
      <w:pPr>
        <w:jc w:val="center"/>
        <w:ind w:right="140"/>
        <w:spacing w:after="0"/>
        <w:rPr>
          <w:sz w:val="20"/>
          <w:szCs w:val="20"/>
          <w:color w:val="auto"/>
        </w:rPr>
      </w:pPr>
      <w:r>
        <w:rPr>
          <w:rFonts w:ascii="Arial" w:cs="Arial" w:eastAsia="Arial" w:hAnsi="Arial"/>
          <w:sz w:val="34"/>
          <w:szCs w:val="34"/>
          <w:b w:val="1"/>
          <w:bCs w:val="1"/>
          <w:color w:val="auto"/>
        </w:rPr>
        <w:t>TANDEM DIABETES CARE INC</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Table 1: Newly Registered Securities</w:t>
      </w:r>
    </w:p>
    <w:p>
      <w:pPr>
        <w:spacing w:after="0" w:line="41" w:lineRule="exact"/>
        <w:rPr>
          <w:sz w:val="20"/>
          <w:szCs w:val="20"/>
          <w:color w:val="auto"/>
        </w:rPr>
      </w:pPr>
    </w:p>
    <w:tbl>
      <w:tblPr>
        <w:tblLayout w:type="fixed"/>
        <w:tblInd w:w="57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6"/>
              </w:rPr>
              <w:t>Security</w:t>
            </w:r>
          </w:p>
        </w:tc>
        <w:tc>
          <w:tcPr>
            <w:tcW w:w="20" w:type="dxa"/>
            <w:vAlign w:val="bottom"/>
          </w:tcPr>
          <w:p>
            <w:pPr>
              <w:spacing w:after="0"/>
              <w:rPr>
                <w:sz w:val="18"/>
                <w:szCs w:val="18"/>
                <w:color w:val="auto"/>
              </w:rPr>
            </w:pPr>
          </w:p>
        </w:tc>
        <w:tc>
          <w:tcPr>
            <w:tcW w:w="940" w:type="dxa"/>
            <w:vAlign w:val="bottom"/>
            <w:vMerge w:val="restart"/>
            <w:shd w:val="clear" w:color="auto" w:fill="9ADAF6"/>
          </w:tcPr>
          <w:p>
            <w:pPr>
              <w:jc w:val="center"/>
              <w:ind w:left="121"/>
              <w:spacing w:after="0"/>
              <w:rPr>
                <w:sz w:val="20"/>
                <w:szCs w:val="20"/>
                <w:color w:val="auto"/>
              </w:rPr>
            </w:pPr>
            <w:r>
              <w:rPr>
                <w:rFonts w:ascii="Arial" w:cs="Arial" w:eastAsia="Arial" w:hAnsi="Arial"/>
                <w:sz w:val="21"/>
                <w:szCs w:val="21"/>
                <w:b w:val="1"/>
                <w:bCs w:val="1"/>
                <w:color w:val="auto"/>
                <w:w w:val="99"/>
              </w:rPr>
              <w:t>Fee</w:t>
            </w:r>
          </w:p>
        </w:tc>
        <w:tc>
          <w:tcPr>
            <w:tcW w:w="2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shd w:val="clear" w:color="auto" w:fill="9ADAF6"/>
          </w:tcPr>
          <w:p>
            <w:pPr>
              <w:jc w:val="center"/>
              <w:spacing w:after="0" w:line="212" w:lineRule="exact"/>
              <w:rPr>
                <w:sz w:val="20"/>
                <w:szCs w:val="20"/>
                <w:color w:val="auto"/>
              </w:rPr>
            </w:pPr>
            <w:r>
              <w:rPr>
                <w:rFonts w:ascii="Arial" w:cs="Arial" w:eastAsia="Arial" w:hAnsi="Arial"/>
                <w:sz w:val="21"/>
                <w:szCs w:val="21"/>
                <w:b w:val="1"/>
                <w:bCs w:val="1"/>
                <w:color w:val="auto"/>
                <w:w w:val="97"/>
              </w:rPr>
              <w:t>Proposed</w:t>
            </w:r>
          </w:p>
        </w:tc>
        <w:tc>
          <w:tcPr>
            <w:tcW w:w="20" w:type="dxa"/>
            <w:vAlign w:val="bottom"/>
          </w:tcPr>
          <w:p>
            <w:pPr>
              <w:spacing w:after="0"/>
              <w:rPr>
                <w:sz w:val="18"/>
                <w:szCs w:val="18"/>
                <w:color w:val="auto"/>
              </w:rPr>
            </w:pPr>
          </w:p>
        </w:tc>
        <w:tc>
          <w:tcPr>
            <w:tcW w:w="15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Maximum</w:t>
            </w: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Amount of</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 w:type="dxa"/>
            <w:vAlign w:val="bottom"/>
            <w:tcBorders>
              <w:left w:val="single" w:sz="8" w:color="auto"/>
            </w:tcBorders>
          </w:tcPr>
          <w:p>
            <w:pPr>
              <w:spacing w:after="0"/>
              <w:rPr>
                <w:sz w:val="17"/>
                <w:szCs w:val="17"/>
                <w:color w:val="auto"/>
              </w:rPr>
            </w:pPr>
          </w:p>
        </w:tc>
        <w:tc>
          <w:tcPr>
            <w:tcW w:w="18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shd w:val="clear" w:color="auto" w:fill="9ADAF6"/>
          </w:tcPr>
          <w:p>
            <w:pPr>
              <w:jc w:val="center"/>
              <w:spacing w:after="0" w:line="207" w:lineRule="exact"/>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17"/>
                <w:szCs w:val="17"/>
                <w:color w:val="auto"/>
              </w:rPr>
            </w:pPr>
          </w:p>
        </w:tc>
        <w:tc>
          <w:tcPr>
            <w:tcW w:w="960" w:type="dxa"/>
            <w:vAlign w:val="bottom"/>
            <w:vMerge w:val="continue"/>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vMerge w:val="continue"/>
            <w:shd w:val="clear" w:color="auto" w:fill="9ADAF6"/>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shd w:val="clear" w:color="auto" w:fill="9ADAF6"/>
          </w:tcPr>
          <w:p>
            <w:pPr>
              <w:jc w:val="right"/>
              <w:ind w:right="57"/>
              <w:spacing w:after="0" w:line="207" w:lineRule="exact"/>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7"/>
                <w:szCs w:val="17"/>
                <w:color w:val="auto"/>
              </w:rPr>
            </w:pPr>
          </w:p>
        </w:tc>
        <w:tc>
          <w:tcPr>
            <w:tcW w:w="1420" w:type="dxa"/>
            <w:vAlign w:val="bottom"/>
            <w:shd w:val="clear" w:color="auto" w:fill="9ADAF6"/>
          </w:tcPr>
          <w:p>
            <w:pPr>
              <w:jc w:val="center"/>
              <w:spacing w:after="0" w:line="207" w:lineRule="exact"/>
              <w:rPr>
                <w:sz w:val="20"/>
                <w:szCs w:val="20"/>
                <w:color w:val="auto"/>
              </w:rPr>
            </w:pPr>
            <w:r>
              <w:rPr>
                <w:rFonts w:ascii="Arial" w:cs="Arial" w:eastAsia="Arial" w:hAnsi="Arial"/>
                <w:sz w:val="21"/>
                <w:szCs w:val="21"/>
                <w:b w:val="1"/>
                <w:bCs w:val="1"/>
                <w:color w:val="auto"/>
                <w:w w:val="97"/>
              </w:rPr>
              <w:t>Maximum</w:t>
            </w:r>
          </w:p>
        </w:tc>
        <w:tc>
          <w:tcPr>
            <w:tcW w:w="20" w:type="dxa"/>
            <w:vAlign w:val="bottom"/>
          </w:tcPr>
          <w:p>
            <w:pPr>
              <w:spacing w:after="0"/>
              <w:rPr>
                <w:sz w:val="17"/>
                <w:szCs w:val="17"/>
                <w:color w:val="auto"/>
              </w:rPr>
            </w:pPr>
          </w:p>
        </w:tc>
        <w:tc>
          <w:tcPr>
            <w:tcW w:w="1540" w:type="dxa"/>
            <w:vAlign w:val="bottom"/>
            <w:vMerge w:val="continue"/>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Fee Rate</w:t>
            </w:r>
          </w:p>
        </w:tc>
        <w:tc>
          <w:tcPr>
            <w:tcW w:w="20" w:type="dxa"/>
            <w:vAlign w:val="bottom"/>
          </w:tcPr>
          <w:p>
            <w:pPr>
              <w:spacing w:after="0"/>
              <w:rPr>
                <w:sz w:val="17"/>
                <w:szCs w:val="17"/>
                <w:color w:val="auto"/>
              </w:rPr>
            </w:pPr>
          </w:p>
        </w:tc>
        <w:tc>
          <w:tcPr>
            <w:tcW w:w="1520" w:type="dxa"/>
            <w:vAlign w:val="bottom"/>
            <w:vMerge w:val="continue"/>
            <w:shd w:val="clear" w:color="auto" w:fill="9ADAF6"/>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40" w:type="dxa"/>
            <w:vAlign w:val="bottom"/>
            <w:tcBorders>
              <w:left w:val="single" w:sz="8" w:color="auto"/>
            </w:tcBorders>
          </w:tcPr>
          <w:p>
            <w:pPr>
              <w:spacing w:after="0"/>
              <w:rPr>
                <w:sz w:val="12"/>
                <w:szCs w:val="12"/>
                <w:color w:val="auto"/>
              </w:rPr>
            </w:pPr>
          </w:p>
        </w:tc>
        <w:tc>
          <w:tcPr>
            <w:tcW w:w="18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3"/>
              </w:rPr>
              <w:t>Type</w:t>
            </w:r>
          </w:p>
        </w:tc>
        <w:tc>
          <w:tcPr>
            <w:tcW w:w="40" w:type="dxa"/>
            <w:vAlign w:val="bottom"/>
          </w:tcPr>
          <w:p>
            <w:pPr>
              <w:spacing w:after="0"/>
              <w:rPr>
                <w:sz w:val="12"/>
                <w:szCs w:val="12"/>
                <w:color w:val="auto"/>
              </w:rPr>
            </w:pPr>
          </w:p>
        </w:tc>
        <w:tc>
          <w:tcPr>
            <w:tcW w:w="960" w:type="dxa"/>
            <w:vAlign w:val="bottom"/>
            <w:shd w:val="clear" w:color="auto" w:fill="9ADAF6"/>
          </w:tcPr>
          <w:p>
            <w:pPr>
              <w:jc w:val="center"/>
              <w:spacing w:after="0" w:line="141" w:lineRule="exact"/>
              <w:rPr>
                <w:sz w:val="20"/>
                <w:szCs w:val="20"/>
                <w:color w:val="auto"/>
              </w:rPr>
            </w:pPr>
            <w:r>
              <w:rPr>
                <w:rFonts w:ascii="Arial" w:cs="Arial" w:eastAsia="Arial" w:hAnsi="Arial"/>
                <w:sz w:val="15"/>
                <w:szCs w:val="15"/>
                <w:b w:val="1"/>
                <w:bCs w:val="1"/>
                <w:color w:val="auto"/>
              </w:rPr>
              <w:t>Class</w:t>
            </w:r>
          </w:p>
        </w:tc>
        <w:tc>
          <w:tcPr>
            <w:tcW w:w="20" w:type="dxa"/>
            <w:vAlign w:val="bottom"/>
          </w:tcPr>
          <w:p>
            <w:pPr>
              <w:spacing w:after="0"/>
              <w:rPr>
                <w:sz w:val="12"/>
                <w:szCs w:val="12"/>
                <w:color w:val="auto"/>
              </w:rPr>
            </w:pPr>
          </w:p>
        </w:tc>
        <w:tc>
          <w:tcPr>
            <w:tcW w:w="1160" w:type="dxa"/>
            <w:vAlign w:val="bottom"/>
            <w:gridSpan w:val="2"/>
            <w:shd w:val="clear" w:color="auto" w:fill="9ADAF6"/>
          </w:tcPr>
          <w:p>
            <w:pPr>
              <w:jc w:val="center"/>
              <w:spacing w:after="0" w:line="141" w:lineRule="exact"/>
              <w:rPr>
                <w:sz w:val="20"/>
                <w:szCs w:val="20"/>
                <w:color w:val="auto"/>
              </w:rPr>
            </w:pPr>
            <w:r>
              <w:rPr>
                <w:rFonts w:ascii="Arial" w:cs="Arial" w:eastAsia="Arial" w:hAnsi="Arial"/>
                <w:sz w:val="15"/>
                <w:szCs w:val="15"/>
                <w:b w:val="1"/>
                <w:bCs w:val="1"/>
                <w:color w:val="auto"/>
              </w:rPr>
              <w:t>Calculation</w:t>
            </w:r>
          </w:p>
        </w:tc>
        <w:tc>
          <w:tcPr>
            <w:tcW w:w="20" w:type="dxa"/>
            <w:vAlign w:val="bottom"/>
          </w:tcPr>
          <w:p>
            <w:pPr>
              <w:spacing w:after="0"/>
              <w:rPr>
                <w:sz w:val="12"/>
                <w:szCs w:val="12"/>
                <w:color w:val="auto"/>
              </w:rPr>
            </w:pPr>
          </w:p>
        </w:tc>
        <w:tc>
          <w:tcPr>
            <w:tcW w:w="1100" w:type="dxa"/>
            <w:vAlign w:val="bottom"/>
            <w:vMerge w:val="restart"/>
            <w:shd w:val="clear" w:color="auto" w:fill="9ADAF6"/>
          </w:tcPr>
          <w:p>
            <w:pPr>
              <w:jc w:val="right"/>
              <w:spacing w:after="0"/>
              <w:rPr>
                <w:sz w:val="20"/>
                <w:szCs w:val="20"/>
                <w:color w:val="auto"/>
              </w:rPr>
            </w:pPr>
            <w:r>
              <w:rPr>
                <w:rFonts w:ascii="Arial" w:cs="Arial" w:eastAsia="Arial" w:hAnsi="Arial"/>
                <w:sz w:val="21"/>
                <w:szCs w:val="21"/>
                <w:b w:val="1"/>
                <w:bCs w:val="1"/>
                <w:color w:val="auto"/>
                <w:w w:val="97"/>
              </w:rPr>
              <w:t>Registered</w:t>
            </w:r>
          </w:p>
        </w:tc>
        <w:tc>
          <w:tcPr>
            <w:tcW w:w="20" w:type="dxa"/>
            <w:vAlign w:val="bottom"/>
          </w:tcPr>
          <w:p>
            <w:pPr>
              <w:spacing w:after="0"/>
              <w:rPr>
                <w:sz w:val="12"/>
                <w:szCs w:val="12"/>
                <w:color w:val="auto"/>
              </w:rPr>
            </w:pPr>
          </w:p>
        </w:tc>
        <w:tc>
          <w:tcPr>
            <w:tcW w:w="14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Offering Price</w:t>
            </w:r>
          </w:p>
        </w:tc>
        <w:tc>
          <w:tcPr>
            <w:tcW w:w="20" w:type="dxa"/>
            <w:vAlign w:val="bottom"/>
          </w:tcPr>
          <w:p>
            <w:pPr>
              <w:spacing w:after="0"/>
              <w:rPr>
                <w:sz w:val="12"/>
                <w:szCs w:val="12"/>
                <w:color w:val="auto"/>
              </w:rPr>
            </w:pPr>
          </w:p>
        </w:tc>
        <w:tc>
          <w:tcPr>
            <w:tcW w:w="1540" w:type="dxa"/>
            <w:vAlign w:val="bottom"/>
            <w:shd w:val="clear" w:color="auto" w:fill="9ADAF6"/>
          </w:tcPr>
          <w:p>
            <w:pPr>
              <w:jc w:val="center"/>
              <w:spacing w:after="0" w:line="141" w:lineRule="exact"/>
              <w:rPr>
                <w:sz w:val="20"/>
                <w:szCs w:val="20"/>
                <w:color w:val="auto"/>
              </w:rPr>
            </w:pPr>
            <w:r>
              <w:rPr>
                <w:rFonts w:ascii="Arial" w:cs="Arial" w:eastAsia="Arial" w:hAnsi="Arial"/>
                <w:sz w:val="15"/>
                <w:szCs w:val="15"/>
                <w:b w:val="1"/>
                <w:bCs w:val="1"/>
                <w:color w:val="auto"/>
              </w:rPr>
              <w:t>Aggregate</w:t>
            </w:r>
          </w:p>
        </w:tc>
        <w:tc>
          <w:tcPr>
            <w:tcW w:w="20" w:type="dxa"/>
            <w:vAlign w:val="bottom"/>
          </w:tcPr>
          <w:p>
            <w:pPr>
              <w:spacing w:after="0"/>
              <w:rPr>
                <w:sz w:val="12"/>
                <w:szCs w:val="12"/>
                <w:color w:val="auto"/>
              </w:rPr>
            </w:pPr>
          </w:p>
        </w:tc>
        <w:tc>
          <w:tcPr>
            <w:tcW w:w="102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shd w:val="clear" w:color="auto" w:fill="9ADAF6"/>
          </w:tcPr>
          <w:p>
            <w:pPr>
              <w:jc w:val="center"/>
              <w:spacing w:after="0" w:line="141" w:lineRule="exact"/>
              <w:rPr>
                <w:sz w:val="20"/>
                <w:szCs w:val="20"/>
                <w:color w:val="auto"/>
              </w:rPr>
            </w:pPr>
            <w:r>
              <w:rPr>
                <w:rFonts w:ascii="Arial" w:cs="Arial" w:eastAsia="Arial" w:hAnsi="Arial"/>
                <w:sz w:val="15"/>
                <w:szCs w:val="15"/>
                <w:b w:val="1"/>
                <w:bCs w:val="1"/>
                <w:color w:val="auto"/>
              </w:rPr>
              <w:t>Registration</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40" w:type="dxa"/>
            <w:vAlign w:val="bottom"/>
            <w:tcBorders>
              <w:left w:val="single" w:sz="8" w:color="auto"/>
            </w:tcBorders>
          </w:tcPr>
          <w:p>
            <w:pPr>
              <w:spacing w:after="0"/>
              <w:rPr>
                <w:sz w:val="17"/>
                <w:szCs w:val="17"/>
                <w:color w:val="auto"/>
              </w:rPr>
            </w:pPr>
          </w:p>
        </w:tc>
        <w:tc>
          <w:tcPr>
            <w:tcW w:w="18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vMerge w:val="continue"/>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shd w:val="clear" w:color="auto" w:fill="9ADAF6"/>
          </w:tcPr>
          <w:p>
            <w:pPr>
              <w:jc w:val="center"/>
              <w:spacing w:after="0" w:line="207" w:lineRule="exact"/>
              <w:rPr>
                <w:sz w:val="20"/>
                <w:szCs w:val="20"/>
                <w:color w:val="auto"/>
              </w:rPr>
            </w:pPr>
            <w:r>
              <w:rPr>
                <w:rFonts w:ascii="Arial" w:cs="Arial" w:eastAsia="Arial" w:hAnsi="Arial"/>
                <w:sz w:val="21"/>
                <w:szCs w:val="21"/>
                <w:b w:val="1"/>
                <w:bCs w:val="1"/>
                <w:color w:val="auto"/>
                <w:w w:val="97"/>
              </w:rPr>
              <w:t>Title</w:t>
            </w:r>
          </w:p>
        </w:tc>
        <w:tc>
          <w:tcPr>
            <w:tcW w:w="20" w:type="dxa"/>
            <w:vAlign w:val="bottom"/>
          </w:tcPr>
          <w:p>
            <w:pPr>
              <w:spacing w:after="0"/>
              <w:rPr>
                <w:sz w:val="17"/>
                <w:szCs w:val="17"/>
                <w:color w:val="auto"/>
              </w:rPr>
            </w:pPr>
          </w:p>
        </w:tc>
        <w:tc>
          <w:tcPr>
            <w:tcW w:w="940" w:type="dxa"/>
            <w:vAlign w:val="bottom"/>
            <w:shd w:val="clear" w:color="auto" w:fill="9ADAF6"/>
          </w:tcPr>
          <w:p>
            <w:pPr>
              <w:jc w:val="center"/>
              <w:ind w:left="121"/>
              <w:spacing w:after="0" w:line="207" w:lineRule="exact"/>
              <w:rPr>
                <w:sz w:val="20"/>
                <w:szCs w:val="20"/>
                <w:color w:val="auto"/>
              </w:rPr>
            </w:pPr>
            <w:r>
              <w:rPr>
                <w:rFonts w:ascii="Arial" w:cs="Arial" w:eastAsia="Arial" w:hAnsi="Arial"/>
                <w:sz w:val="21"/>
                <w:szCs w:val="21"/>
                <w:b w:val="1"/>
                <w:bCs w:val="1"/>
                <w:color w:val="auto"/>
                <w:w w:val="96"/>
              </w:rPr>
              <w:t>Rule</w:t>
            </w:r>
          </w:p>
        </w:tc>
        <w:tc>
          <w:tcPr>
            <w:tcW w:w="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vMerge w:val="continue"/>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vMerge w:val="continue"/>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shd w:val="clear" w:color="auto" w:fill="9ADAF6"/>
          </w:tcPr>
          <w:p>
            <w:pPr>
              <w:jc w:val="center"/>
              <w:spacing w:after="0" w:line="207" w:lineRule="exact"/>
              <w:rPr>
                <w:sz w:val="20"/>
                <w:szCs w:val="20"/>
                <w:color w:val="auto"/>
              </w:rPr>
            </w:pPr>
            <w:r>
              <w:rPr>
                <w:rFonts w:ascii="Arial" w:cs="Arial" w:eastAsia="Arial" w:hAnsi="Arial"/>
                <w:sz w:val="21"/>
                <w:szCs w:val="21"/>
                <w:b w:val="1"/>
                <w:bCs w:val="1"/>
                <w:color w:val="auto"/>
                <w:w w:val="97"/>
              </w:rPr>
              <w:t>Offering Price</w:t>
            </w: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shd w:val="clear" w:color="auto" w:fill="9ADAF6"/>
          </w:tcPr>
          <w:p>
            <w:pPr>
              <w:jc w:val="center"/>
              <w:spacing w:after="0" w:line="207" w:lineRule="exact"/>
              <w:rPr>
                <w:sz w:val="20"/>
                <w:szCs w:val="20"/>
                <w:color w:val="auto"/>
              </w:rPr>
            </w:pPr>
            <w:r>
              <w:rPr>
                <w:rFonts w:ascii="Arial" w:cs="Arial" w:eastAsia="Arial" w:hAnsi="Arial"/>
                <w:sz w:val="21"/>
                <w:szCs w:val="21"/>
                <w:b w:val="1"/>
                <w:bCs w:val="1"/>
                <w:color w:val="auto"/>
                <w:w w:val="99"/>
              </w:rPr>
              <w:t>Fee</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18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9ADAF6"/>
          </w:tcPr>
          <w:p>
            <w:pPr>
              <w:spacing w:after="0"/>
              <w:rPr>
                <w:sz w:val="15"/>
                <w:szCs w:val="15"/>
                <w:color w:val="auto"/>
              </w:rPr>
            </w:pPr>
          </w:p>
        </w:tc>
        <w:tc>
          <w:tcPr>
            <w:tcW w:w="2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shd w:val="clear" w:color="auto" w:fill="9ADAF6"/>
          </w:tcPr>
          <w:p>
            <w:pPr>
              <w:jc w:val="center"/>
              <w:spacing w:after="0" w:line="181" w:lineRule="exact"/>
              <w:rPr>
                <w:sz w:val="20"/>
                <w:szCs w:val="20"/>
                <w:color w:val="auto"/>
              </w:rPr>
            </w:pPr>
            <w:r>
              <w:rPr>
                <w:rFonts w:ascii="Arial" w:cs="Arial" w:eastAsia="Arial" w:hAnsi="Arial"/>
                <w:sz w:val="20"/>
                <w:szCs w:val="20"/>
                <w:b w:val="1"/>
                <w:bCs w:val="1"/>
                <w:color w:val="auto"/>
              </w:rPr>
              <w:t>Per Unit</w:t>
            </w:r>
          </w:p>
        </w:tc>
        <w:tc>
          <w:tcPr>
            <w:tcW w:w="20" w:type="dxa"/>
            <w:vAlign w:val="bottom"/>
          </w:tcPr>
          <w:p>
            <w:pPr>
              <w:spacing w:after="0"/>
              <w:rPr>
                <w:sz w:val="15"/>
                <w:szCs w:val="15"/>
                <w:color w:val="auto"/>
              </w:rPr>
            </w:pPr>
          </w:p>
        </w:tc>
        <w:tc>
          <w:tcPr>
            <w:tcW w:w="15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shd w:val="clear" w:color="auto" w:fill="9ADAF6"/>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shd w:val="clear" w:color="auto" w:fill="E7E7E2"/>
          </w:tcPr>
          <w:p>
            <w:pPr>
              <w:spacing w:after="0" w:line="219"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E7E7E2"/>
          </w:tcPr>
          <w:p>
            <w:pPr>
              <w:spacing w:after="0" w:line="232"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jc w:val="right"/>
              <w:spacing w:after="0" w:line="232" w:lineRule="exact"/>
              <w:rPr>
                <w:sz w:val="20"/>
                <w:szCs w:val="20"/>
                <w:color w:val="auto"/>
              </w:rPr>
            </w:pPr>
            <w:r>
              <w:rPr>
                <w:rFonts w:ascii="Arial" w:cs="Arial" w:eastAsia="Arial" w:hAnsi="Arial"/>
                <w:sz w:val="21"/>
                <w:szCs w:val="21"/>
                <w:color w:val="auto"/>
              </w:rPr>
              <w:t>1</w:t>
            </w:r>
          </w:p>
        </w:tc>
        <w:tc>
          <w:tcPr>
            <w:tcW w:w="40" w:type="dxa"/>
            <w:vAlign w:val="bottom"/>
          </w:tcPr>
          <w:p>
            <w:pPr>
              <w:spacing w:after="0"/>
              <w:rPr>
                <w:sz w:val="20"/>
                <w:szCs w:val="20"/>
                <w:color w:val="auto"/>
              </w:rPr>
            </w:pPr>
          </w:p>
        </w:tc>
        <w:tc>
          <w:tcPr>
            <w:tcW w:w="940" w:type="dxa"/>
            <w:vAlign w:val="bottom"/>
            <w:shd w:val="clear" w:color="auto" w:fill="E7E7E2"/>
          </w:tcPr>
          <w:p>
            <w:pPr>
              <w:spacing w:after="0" w:line="232" w:lineRule="exact"/>
              <w:rPr>
                <w:sz w:val="20"/>
                <w:szCs w:val="20"/>
                <w:color w:val="auto"/>
              </w:rPr>
            </w:pPr>
            <w:r>
              <w:rPr>
                <w:rFonts w:ascii="Arial" w:cs="Arial" w:eastAsia="Arial" w:hAnsi="Arial"/>
                <w:sz w:val="21"/>
                <w:szCs w:val="21"/>
                <w:color w:val="auto"/>
              </w:rPr>
              <w:t>Equity</w:t>
            </w:r>
          </w:p>
        </w:tc>
        <w:tc>
          <w:tcPr>
            <w:tcW w:w="40" w:type="dxa"/>
            <w:vAlign w:val="bottom"/>
          </w:tcPr>
          <w:p>
            <w:pPr>
              <w:spacing w:after="0"/>
              <w:rPr>
                <w:sz w:val="20"/>
                <w:szCs w:val="20"/>
                <w:color w:val="auto"/>
              </w:rPr>
            </w:pPr>
          </w:p>
        </w:tc>
        <w:tc>
          <w:tcPr>
            <w:tcW w:w="960" w:type="dxa"/>
            <w:vAlign w:val="bottom"/>
            <w:shd w:val="clear" w:color="auto" w:fill="E7E7E2"/>
          </w:tcPr>
          <w:p>
            <w:pPr>
              <w:spacing w:after="0" w:line="232" w:lineRule="exact"/>
              <w:rPr>
                <w:sz w:val="20"/>
                <w:szCs w:val="20"/>
                <w:color w:val="auto"/>
              </w:rPr>
            </w:pPr>
            <w:r>
              <w:rPr>
                <w:rFonts w:ascii="Arial" w:cs="Arial" w:eastAsia="Arial" w:hAnsi="Arial"/>
                <w:sz w:val="21"/>
                <w:szCs w:val="21"/>
                <w:color w:val="auto"/>
              </w:rPr>
              <w:t>$0.001</w:t>
            </w:r>
          </w:p>
        </w:tc>
        <w:tc>
          <w:tcPr>
            <w:tcW w:w="20" w:type="dxa"/>
            <w:vAlign w:val="bottom"/>
          </w:tcPr>
          <w:p>
            <w:pPr>
              <w:spacing w:after="0"/>
              <w:rPr>
                <w:sz w:val="20"/>
                <w:szCs w:val="20"/>
                <w:color w:val="auto"/>
              </w:rPr>
            </w:pPr>
          </w:p>
        </w:tc>
        <w:tc>
          <w:tcPr>
            <w:tcW w:w="940" w:type="dxa"/>
            <w:vAlign w:val="bottom"/>
            <w:shd w:val="clear" w:color="auto" w:fill="E7E7E2"/>
          </w:tcPr>
          <w:p>
            <w:pPr>
              <w:jc w:val="center"/>
              <w:ind w:left="121"/>
              <w:spacing w:after="0" w:line="232" w:lineRule="exact"/>
              <w:rPr>
                <w:sz w:val="20"/>
                <w:szCs w:val="20"/>
                <w:color w:val="auto"/>
              </w:rPr>
            </w:pPr>
            <w:r>
              <w:rPr>
                <w:rFonts w:ascii="Arial" w:cs="Arial" w:eastAsia="Arial" w:hAnsi="Arial"/>
                <w:sz w:val="21"/>
                <w:szCs w:val="21"/>
                <w:color w:val="auto"/>
                <w:w w:val="98"/>
              </w:rPr>
              <w:t>Other</w:t>
            </w:r>
          </w:p>
        </w:tc>
        <w:tc>
          <w:tcPr>
            <w:tcW w:w="2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jc w:val="right"/>
              <w:spacing w:after="0" w:line="232" w:lineRule="exact"/>
              <w:rPr>
                <w:sz w:val="20"/>
                <w:szCs w:val="20"/>
                <w:color w:val="auto"/>
              </w:rPr>
            </w:pPr>
            <w:r>
              <w:rPr>
                <w:rFonts w:ascii="Arial" w:cs="Arial" w:eastAsia="Arial" w:hAnsi="Arial"/>
                <w:sz w:val="21"/>
                <w:szCs w:val="21"/>
                <w:color w:val="auto"/>
              </w:rPr>
              <w:t>3,260,000</w:t>
            </w:r>
          </w:p>
        </w:tc>
        <w:tc>
          <w:tcPr>
            <w:tcW w:w="20" w:type="dxa"/>
            <w:vAlign w:val="bottom"/>
          </w:tcPr>
          <w:p>
            <w:pPr>
              <w:spacing w:after="0"/>
              <w:rPr>
                <w:sz w:val="20"/>
                <w:szCs w:val="20"/>
                <w:color w:val="auto"/>
              </w:rPr>
            </w:pPr>
          </w:p>
        </w:tc>
        <w:tc>
          <w:tcPr>
            <w:tcW w:w="1420" w:type="dxa"/>
            <w:vAlign w:val="bottom"/>
            <w:shd w:val="clear" w:color="auto" w:fill="E7E7E2"/>
          </w:tcPr>
          <w:p>
            <w:pPr>
              <w:jc w:val="right"/>
              <w:spacing w:after="0" w:line="232" w:lineRule="exact"/>
              <w:rPr>
                <w:sz w:val="20"/>
                <w:szCs w:val="20"/>
                <w:color w:val="auto"/>
              </w:rPr>
            </w:pPr>
            <w:r>
              <w:rPr>
                <w:rFonts w:ascii="Arial" w:cs="Arial" w:eastAsia="Arial" w:hAnsi="Arial"/>
                <w:sz w:val="21"/>
                <w:szCs w:val="21"/>
                <w:color w:val="auto"/>
              </w:rPr>
              <w:t>$ 14.36</w:t>
            </w:r>
          </w:p>
        </w:tc>
        <w:tc>
          <w:tcPr>
            <w:tcW w:w="20" w:type="dxa"/>
            <w:vAlign w:val="bottom"/>
          </w:tcPr>
          <w:p>
            <w:pPr>
              <w:spacing w:after="0"/>
              <w:rPr>
                <w:sz w:val="20"/>
                <w:szCs w:val="20"/>
                <w:color w:val="auto"/>
              </w:rPr>
            </w:pPr>
          </w:p>
        </w:tc>
        <w:tc>
          <w:tcPr>
            <w:tcW w:w="1540" w:type="dxa"/>
            <w:vAlign w:val="bottom"/>
            <w:shd w:val="clear" w:color="auto" w:fill="E7E7E2"/>
          </w:tcPr>
          <w:p>
            <w:pPr>
              <w:jc w:val="center"/>
              <w:spacing w:after="0" w:line="232" w:lineRule="exact"/>
              <w:rPr>
                <w:sz w:val="20"/>
                <w:szCs w:val="20"/>
                <w:color w:val="auto"/>
              </w:rPr>
            </w:pPr>
            <w:r>
              <w:rPr>
                <w:rFonts w:ascii="Arial" w:cs="Arial" w:eastAsia="Arial" w:hAnsi="Arial"/>
                <w:sz w:val="21"/>
                <w:szCs w:val="21"/>
                <w:color w:val="auto"/>
                <w:w w:val="97"/>
              </w:rPr>
              <w:t>$ 46,813,600.00</w:t>
            </w:r>
          </w:p>
        </w:tc>
        <w:tc>
          <w:tcPr>
            <w:tcW w:w="20" w:type="dxa"/>
            <w:vAlign w:val="bottom"/>
          </w:tcPr>
          <w:p>
            <w:pPr>
              <w:spacing w:after="0"/>
              <w:rPr>
                <w:sz w:val="20"/>
                <w:szCs w:val="20"/>
                <w:color w:val="auto"/>
              </w:rPr>
            </w:pPr>
          </w:p>
        </w:tc>
        <w:tc>
          <w:tcPr>
            <w:tcW w:w="1020" w:type="dxa"/>
            <w:vAlign w:val="bottom"/>
            <w:shd w:val="clear" w:color="auto" w:fill="E7E7E2"/>
          </w:tcPr>
          <w:p>
            <w:pPr>
              <w:jc w:val="right"/>
              <w:spacing w:after="0" w:line="232" w:lineRule="exact"/>
              <w:rPr>
                <w:sz w:val="20"/>
                <w:szCs w:val="20"/>
                <w:color w:val="auto"/>
              </w:rPr>
            </w:pPr>
            <w:r>
              <w:rPr>
                <w:rFonts w:ascii="Arial" w:cs="Arial" w:eastAsia="Arial" w:hAnsi="Arial"/>
                <w:sz w:val="21"/>
                <w:szCs w:val="21"/>
                <w:color w:val="auto"/>
                <w:w w:val="98"/>
              </w:rPr>
              <w:t>0.0001381</w:t>
            </w:r>
          </w:p>
        </w:tc>
        <w:tc>
          <w:tcPr>
            <w:tcW w:w="20" w:type="dxa"/>
            <w:vAlign w:val="bottom"/>
          </w:tcPr>
          <w:p>
            <w:pPr>
              <w:spacing w:after="0"/>
              <w:rPr>
                <w:sz w:val="20"/>
                <w:szCs w:val="20"/>
                <w:color w:val="auto"/>
              </w:rPr>
            </w:pPr>
          </w:p>
        </w:tc>
        <w:tc>
          <w:tcPr>
            <w:tcW w:w="1520" w:type="dxa"/>
            <w:vAlign w:val="bottom"/>
            <w:shd w:val="clear" w:color="auto" w:fill="E7E7E2"/>
          </w:tcPr>
          <w:p>
            <w:pPr>
              <w:jc w:val="right"/>
              <w:spacing w:after="0" w:line="232" w:lineRule="exact"/>
              <w:rPr>
                <w:sz w:val="20"/>
                <w:szCs w:val="20"/>
                <w:color w:val="auto"/>
              </w:rPr>
            </w:pPr>
            <w:r>
              <w:rPr>
                <w:rFonts w:ascii="Arial" w:cs="Arial" w:eastAsia="Arial" w:hAnsi="Arial"/>
                <w:sz w:val="21"/>
                <w:szCs w:val="21"/>
                <w:color w:val="auto"/>
              </w:rPr>
              <w:t>$ 6,464.96</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E7E7E2"/>
          </w:tcPr>
          <w:p>
            <w:pPr>
              <w:spacing w:after="0" w:line="232"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40" w:type="dxa"/>
            <w:vAlign w:val="bottom"/>
            <w:tcBorders>
              <w:left w:val="single" w:sz="8" w:color="auto"/>
            </w:tcBorders>
          </w:tcPr>
          <w:p>
            <w:pPr>
              <w:spacing w:after="0"/>
              <w:rPr>
                <w:sz w:val="23"/>
                <w:szCs w:val="23"/>
                <w:color w:val="auto"/>
              </w:rPr>
            </w:pPr>
          </w:p>
        </w:tc>
        <w:tc>
          <w:tcPr>
            <w:tcW w:w="1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960" w:type="dxa"/>
            <w:vAlign w:val="bottom"/>
            <w:shd w:val="clear" w:color="auto" w:fill="E7E7E2"/>
          </w:tcPr>
          <w:p>
            <w:pPr>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3"/>
                <w:szCs w:val="23"/>
                <w:color w:val="auto"/>
              </w:rPr>
            </w:pPr>
          </w:p>
        </w:tc>
        <w:tc>
          <w:tcPr>
            <w:tcW w:w="940" w:type="dxa"/>
            <w:vAlign w:val="bottom"/>
            <w:shd w:val="clear" w:color="auto" w:fill="E7E7E2"/>
          </w:tcPr>
          <w:p>
            <w:pPr>
              <w:spacing w:after="0"/>
              <w:rPr>
                <w:sz w:val="23"/>
                <w:szCs w:val="23"/>
                <w:color w:val="auto"/>
              </w:rPr>
            </w:pPr>
          </w:p>
        </w:tc>
        <w:tc>
          <w:tcPr>
            <w:tcW w:w="2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4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shd w:val="clear" w:color="auto" w:fill="E7E7E2"/>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4"/>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60" w:type="dxa"/>
            <w:vAlign w:val="bottom"/>
            <w:gridSpan w:val="2"/>
          </w:tcPr>
          <w:p>
            <w:pPr>
              <w:jc w:val="center"/>
              <w:spacing w:after="0"/>
              <w:rPr>
                <w:sz w:val="20"/>
                <w:szCs w:val="20"/>
                <w:color w:val="auto"/>
              </w:rPr>
            </w:pPr>
            <w:r>
              <w:rPr>
                <w:rFonts w:ascii="Arial" w:cs="Arial" w:eastAsia="Arial" w:hAnsi="Arial"/>
                <w:sz w:val="21"/>
                <w:szCs w:val="21"/>
                <w:color w:val="auto"/>
                <w:w w:val="97"/>
              </w:rPr>
              <w:t>$ 46,813,600.00</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$ 6,464.96</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4"/>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$ 6,464.96</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600"/>
        <w:spacing w:after="0"/>
        <w:rPr>
          <w:sz w:val="20"/>
          <w:szCs w:val="20"/>
          <w:color w:val="auto"/>
        </w:rPr>
      </w:pPr>
      <w:r>
        <w:rPr>
          <w:rFonts w:ascii="Arial" w:cs="Arial" w:eastAsia="Arial" w:hAnsi="Arial"/>
          <w:sz w:val="21"/>
          <w:szCs w:val="21"/>
          <w:b w:val="1"/>
          <w:bCs w:val="1"/>
          <w:color w:val="auto"/>
        </w:rPr>
        <w:t>Offering Note</w:t>
      </w:r>
    </w:p>
    <w:p>
      <w:pPr>
        <w:spacing w:after="0" w:line="146" w:lineRule="exact"/>
        <w:rPr>
          <w:sz w:val="20"/>
          <w:szCs w:val="20"/>
          <w:color w:val="auto"/>
        </w:rPr>
      </w:pPr>
    </w:p>
    <w:p>
      <w:pPr>
        <w:ind w:left="600"/>
        <w:spacing w:after="0"/>
        <w:rPr>
          <w:sz w:val="20"/>
          <w:szCs w:val="20"/>
          <w:color w:val="auto"/>
        </w:rPr>
      </w:pPr>
      <w:r>
        <w:rPr>
          <w:rFonts w:ascii="Arial" w:cs="Arial" w:eastAsia="Arial" w:hAnsi="Arial"/>
          <w:sz w:val="13"/>
          <w:szCs w:val="13"/>
          <w:color w:val="auto"/>
        </w:rPr>
        <w:t>1</w:t>
      </w:r>
    </w:p>
    <w:p>
      <w:pPr>
        <w:spacing w:after="0" w:line="69" w:lineRule="exact"/>
        <w:rPr>
          <w:sz w:val="20"/>
          <w:szCs w:val="20"/>
          <w:color w:val="auto"/>
        </w:rPr>
      </w:pPr>
    </w:p>
    <w:p>
      <w:pPr>
        <w:ind w:left="820" w:right="700"/>
        <w:spacing w:after="0" w:line="234" w:lineRule="auto"/>
        <w:rPr>
          <w:sz w:val="20"/>
          <w:szCs w:val="20"/>
          <w:color w:val="auto"/>
        </w:rPr>
      </w:pPr>
      <w:r>
        <w:rPr>
          <w:rFonts w:ascii="Arial" w:cs="Arial" w:eastAsia="Arial" w:hAnsi="Arial"/>
          <w:sz w:val="21"/>
          <w:szCs w:val="21"/>
          <w:color w:val="auto"/>
        </w:rPr>
        <w:t>This Registration Statement on Form S-8 covers (i) additional shares of common stock, par value $0.001 per share, of the Registrant (Common Stock) authorized for issuance under Tandem Diabetes Care, Inc.s 2023 Long-Term Incentive Plan, as amended (the Plan), pursuant to an amendment to the Plan approved at the Registrants 2026 Annual Meeting of Stockholders held on May 20, 2026, and (ii) pursuant to Rule 416(a) under the Securities Act of 1933, as amended (the Securities Act), such additional shares of Common Stock that may become issuable under the Plan by reason of any stock dividend, stock split, recapitalization or other similar transaction. The proposed maximum offering price per unit has been estimated solely for purposes of calculating the registration fee pursuant to Rule 457(h)(1) and Rule 457(c) of the Securities Act and is based upon the average of the high and low prices of the Common Stock on May 20, 2026, as reported on The Nasdaq Global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80645</wp:posOffset>
            </wp:positionV>
            <wp:extent cx="639445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6394450" cy="4191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4300" w:type="dxa"/>
            <w:vAlign w:val="bottom"/>
            <w:tcBorders>
              <w:bottom w:val="single" w:sz="8" w:color="auto"/>
            </w:tcBorders>
            <w:gridSpan w:val="12"/>
          </w:tcPr>
          <w:p>
            <w:pPr>
              <w:ind w:left="40"/>
              <w:spacing w:after="0"/>
              <w:rPr>
                <w:sz w:val="20"/>
                <w:szCs w:val="20"/>
                <w:color w:val="auto"/>
              </w:rPr>
            </w:pPr>
            <w:r>
              <w:rPr>
                <w:rFonts w:ascii="Arial" w:cs="Arial" w:eastAsia="Arial" w:hAnsi="Arial"/>
                <w:sz w:val="21"/>
                <w:szCs w:val="21"/>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ind w:left="300"/>
              <w:spacing w:after="0" w:line="242" w:lineRule="exact"/>
              <w:rPr>
                <w:sz w:val="20"/>
                <w:szCs w:val="20"/>
                <w:color w:val="auto"/>
              </w:rPr>
            </w:pPr>
            <w:r>
              <w:rPr>
                <w:rFonts w:ascii="MS PGothic" w:cs="MS PGothic" w:eastAsia="MS PGothic" w:hAnsi="MS PGothic"/>
                <w:sz w:val="21"/>
                <w:szCs w:val="21"/>
                <w:color w:val="auto"/>
                <w:highlight w:val="black"/>
                <w:w w:val="97"/>
              </w:rPr>
              <w:t>☑</w:t>
            </w:r>
            <w:r>
              <w:rPr>
                <w:rFonts w:ascii="Arial" w:cs="Arial" w:eastAsia="Arial" w:hAnsi="Arial"/>
                <w:sz w:val="21"/>
                <w:szCs w:val="21"/>
                <w:b w:val="1"/>
                <w:bCs w:val="1"/>
                <w:color w:val="auto"/>
                <w:w w:val="97"/>
              </w:rPr>
              <w:t>Not Applicable</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vMerge w:val="continue"/>
          </w:tcPr>
          <w:p>
            <w:pPr>
              <w:spacing w:after="0"/>
              <w:rPr>
                <w:sz w:val="19"/>
                <w:szCs w:val="19"/>
                <w:color w:val="auto"/>
              </w:rPr>
            </w:pPr>
          </w:p>
        </w:tc>
        <w:tc>
          <w:tcPr>
            <w:tcW w:w="114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9"/>
              </w:rPr>
              <w:t>Fee</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Registrant</w:t>
            </w:r>
          </w:p>
        </w:tc>
        <w:tc>
          <w:tcPr>
            <w:tcW w:w="20" w:type="dxa"/>
            <w:vAlign w:val="bottom"/>
          </w:tcPr>
          <w:p>
            <w:pPr>
              <w:spacing w:after="0"/>
              <w:rPr>
                <w:sz w:val="24"/>
                <w:szCs w:val="24"/>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Form</w:t>
            </w: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4"/>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Title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Securities</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Offering</w:t>
            </w:r>
          </w:p>
        </w:tc>
        <w:tc>
          <w:tcPr>
            <w:tcW w:w="20" w:type="dxa"/>
            <w:vAlign w:val="bottom"/>
          </w:tcPr>
          <w:p>
            <w:pPr>
              <w:spacing w:after="0"/>
              <w:rPr>
                <w:sz w:val="24"/>
                <w:szCs w:val="24"/>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Paid</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8"/>
              </w:rPr>
              <w:t>or Filer</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5"/>
              </w:rPr>
              <w:t>or</w:t>
            </w:r>
          </w:p>
        </w:tc>
        <w:tc>
          <w:tcPr>
            <w:tcW w:w="20" w:type="dxa"/>
            <w:vAlign w:val="bottom"/>
          </w:tcPr>
          <w:p>
            <w:pPr>
              <w:spacing w:after="0"/>
              <w:rPr>
                <w:sz w:val="20"/>
                <w:szCs w:val="20"/>
                <w:color w:val="auto"/>
              </w:rPr>
            </w:pPr>
          </w:p>
        </w:tc>
        <w:tc>
          <w:tcPr>
            <w:tcW w:w="82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3"/>
              </w:rPr>
              <w:t>File</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20"/>
                <w:szCs w:val="20"/>
                <w:color w:val="auto"/>
              </w:rPr>
            </w:pPr>
          </w:p>
        </w:tc>
        <w:tc>
          <w:tcPr>
            <w:tcW w:w="84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8"/>
              </w:rPr>
              <w:t>Offset</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8"/>
              </w:rPr>
              <w:t>Amount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9"/>
              </w:rPr>
              <w:t>with</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7"/>
              </w:rPr>
              <w:t>Name</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20"/>
                <w:szCs w:val="20"/>
                <w:color w:val="auto"/>
              </w:rPr>
            </w:pPr>
          </w:p>
        </w:tc>
        <w:tc>
          <w:tcPr>
            <w:tcW w:w="82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8"/>
              </w:rPr>
              <w:t>Number</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6"/>
              </w:rPr>
              <w:t>Date</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6"/>
              </w:rPr>
              <w:t>Date</w:t>
            </w:r>
          </w:p>
        </w:tc>
        <w:tc>
          <w:tcPr>
            <w:tcW w:w="20" w:type="dxa"/>
            <w:vAlign w:val="bottom"/>
          </w:tcPr>
          <w:p>
            <w:pPr>
              <w:spacing w:after="0"/>
              <w:rPr>
                <w:sz w:val="20"/>
                <w:szCs w:val="20"/>
                <w:color w:val="auto"/>
              </w:rPr>
            </w:pPr>
          </w:p>
        </w:tc>
        <w:tc>
          <w:tcPr>
            <w:tcW w:w="84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9"/>
              </w:rPr>
              <w:t>Fee</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9ADAF6"/>
          </w:tcPr>
          <w:p>
            <w:pPr>
              <w:jc w:val="center"/>
              <w:spacing w:after="0" w:line="141" w:lineRule="exact"/>
              <w:rPr>
                <w:sz w:val="20"/>
                <w:szCs w:val="20"/>
                <w:color w:val="auto"/>
              </w:rPr>
            </w:pPr>
            <w:r>
              <w:rPr>
                <w:rFonts w:ascii="Arial" w:cs="Arial" w:eastAsia="Arial" w:hAnsi="Arial"/>
                <w:sz w:val="15"/>
                <w:szCs w:val="15"/>
                <w:b w:val="1"/>
                <w:bCs w:val="1"/>
                <w:color w:val="auto"/>
              </w:rPr>
              <w:t>Type</w:t>
            </w:r>
          </w:p>
        </w:tc>
        <w:tc>
          <w:tcPr>
            <w:tcW w:w="20" w:type="dxa"/>
            <w:vAlign w:val="bottom"/>
          </w:tcPr>
          <w:p>
            <w:pPr>
              <w:spacing w:after="0"/>
              <w:rPr>
                <w:sz w:val="12"/>
                <w:szCs w:val="12"/>
                <w:color w:val="auto"/>
              </w:rPr>
            </w:pPr>
          </w:p>
        </w:tc>
        <w:tc>
          <w:tcPr>
            <w:tcW w:w="8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1" w:lineRule="exact"/>
              <w:rPr>
                <w:sz w:val="20"/>
                <w:szCs w:val="20"/>
                <w:color w:val="auto"/>
              </w:rPr>
            </w:pPr>
            <w:r>
              <w:rPr>
                <w:rFonts w:ascii="Arial" w:cs="Arial" w:eastAsia="Arial" w:hAnsi="Arial"/>
                <w:sz w:val="15"/>
                <w:szCs w:val="15"/>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1" w:lineRule="exact"/>
              <w:rPr>
                <w:sz w:val="20"/>
                <w:szCs w:val="20"/>
                <w:color w:val="auto"/>
              </w:rPr>
            </w:pPr>
            <w:r>
              <w:rPr>
                <w:rFonts w:ascii="Arial" w:cs="Arial" w:eastAsia="Arial" w:hAnsi="Arial"/>
                <w:sz w:val="15"/>
                <w:szCs w:val="15"/>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1" w:lineRule="exact"/>
              <w:rPr>
                <w:sz w:val="20"/>
                <w:szCs w:val="20"/>
                <w:color w:val="auto"/>
              </w:rPr>
            </w:pPr>
            <w:r>
              <w:rPr>
                <w:rFonts w:ascii="Arial" w:cs="Arial" w:eastAsia="Arial" w:hAnsi="Arial"/>
                <w:sz w:val="15"/>
                <w:szCs w:val="15"/>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1" w:lineRule="exact"/>
              <w:rPr>
                <w:sz w:val="20"/>
                <w:szCs w:val="20"/>
                <w:color w:val="auto"/>
              </w:rPr>
            </w:pPr>
            <w:r>
              <w:rPr>
                <w:rFonts w:ascii="Arial" w:cs="Arial" w:eastAsia="Arial" w:hAnsi="Arial"/>
                <w:sz w:val="15"/>
                <w:szCs w:val="15"/>
                <w:b w:val="1"/>
                <w:bCs w:val="1"/>
                <w:color w:val="auto"/>
              </w:rPr>
              <w:t>with Fee</w:t>
            </w:r>
          </w:p>
        </w:tc>
        <w:tc>
          <w:tcPr>
            <w:tcW w:w="20" w:type="dxa"/>
            <w:vAlign w:val="bottom"/>
          </w:tcPr>
          <w:p>
            <w:pPr>
              <w:spacing w:after="0"/>
              <w:rPr>
                <w:sz w:val="12"/>
                <w:szCs w:val="12"/>
                <w:color w:val="auto"/>
              </w:rPr>
            </w:pPr>
          </w:p>
        </w:tc>
        <w:tc>
          <w:tcPr>
            <w:tcW w:w="740" w:type="dxa"/>
            <w:vAlign w:val="bottom"/>
            <w:shd w:val="clear" w:color="auto" w:fill="9ADAF6"/>
          </w:tcPr>
          <w:p>
            <w:pPr>
              <w:jc w:val="center"/>
              <w:spacing w:after="0" w:line="141" w:lineRule="exact"/>
              <w:rPr>
                <w:sz w:val="20"/>
                <w:szCs w:val="20"/>
                <w:color w:val="auto"/>
              </w:rPr>
            </w:pPr>
            <w:r>
              <w:rPr>
                <w:rFonts w:ascii="Arial" w:cs="Arial" w:eastAsia="Arial" w:hAnsi="Arial"/>
                <w:sz w:val="15"/>
                <w:szCs w:val="15"/>
                <w:b w:val="1"/>
                <w:bCs w:val="1"/>
                <w:color w:val="auto"/>
              </w:rPr>
              <w:t>Offset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8"/>
              </w:rPr>
              <w:t>Offset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2" w:lineRule="exact"/>
              <w:rPr>
                <w:sz w:val="20"/>
                <w:szCs w:val="20"/>
                <w:color w:val="auto"/>
              </w:rPr>
            </w:pPr>
            <w:r>
              <w:rPr>
                <w:rFonts w:ascii="Arial" w:cs="Arial" w:eastAsia="Arial" w:hAnsi="Arial"/>
                <w:sz w:val="21"/>
                <w:szCs w:val="21"/>
                <w:b w:val="1"/>
                <w:bCs w:val="1"/>
                <w:color w:val="auto"/>
                <w:w w:val="98"/>
              </w:rPr>
              <w:t>Source</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82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3"/>
                <w:szCs w:val="23"/>
                <w:color w:val="auto"/>
              </w:rPr>
            </w:pPr>
          </w:p>
        </w:tc>
        <w:tc>
          <w:tcPr>
            <w:tcW w:w="740" w:type="dxa"/>
            <w:vAlign w:val="bottom"/>
            <w:shd w:val="clear" w:color="auto" w:fill="9ADAF6"/>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-1221105</wp:posOffset>
            </wp:positionV>
            <wp:extent cx="7143115" cy="23787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43115" cy="23787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1"/>
          <w:szCs w:val="21"/>
          <w:b w:val="1"/>
          <w:bCs w:val="1"/>
          <w:color w:val="auto"/>
        </w:rPr>
        <w:t>Rule 457(p)</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21"/>
          <w:szCs w:val="21"/>
          <w:color w:val="auto"/>
        </w:rPr>
        <w:t>Fee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1"/>
          <w:szCs w:val="21"/>
          <w:color w:val="auto"/>
        </w:rPr>
        <w:t>Offset</w:t>
      </w:r>
    </w:p>
    <w:p>
      <w:pPr>
        <w:ind w:left="60"/>
        <w:spacing w:after="0"/>
        <w:rPr>
          <w:sz w:val="20"/>
          <w:szCs w:val="20"/>
          <w:color w:val="auto"/>
        </w:rPr>
      </w:pPr>
      <w:r>
        <w:rPr>
          <w:rFonts w:ascii="Arial" w:cs="Arial" w:eastAsia="Arial" w:hAnsi="Arial"/>
          <w:sz w:val="21"/>
          <w:szCs w:val="21"/>
          <w:color w:val="auto"/>
        </w:rPr>
        <w:t>Claims</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21"/>
          <w:szCs w:val="21"/>
          <w:color w:val="auto"/>
        </w:rPr>
        <w:t>Fee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1"/>
          <w:szCs w:val="21"/>
          <w:color w:val="auto"/>
        </w:rPr>
        <w:t>Offset</w:t>
      </w:r>
    </w:p>
    <w:p>
      <w:pPr>
        <w:ind w:left="60"/>
        <w:spacing w:after="0"/>
        <w:rPr>
          <w:sz w:val="20"/>
          <w:szCs w:val="20"/>
          <w:color w:val="auto"/>
        </w:rPr>
      </w:pPr>
      <w:r>
        <w:rPr>
          <w:rFonts w:ascii="Arial" w:cs="Arial" w:eastAsia="Arial" w:hAnsi="Arial"/>
          <w:sz w:val="21"/>
          <w:szCs w:val="21"/>
          <w:color w:val="auto"/>
        </w:rPr>
        <w:t>Sources</w:t>
      </w:r>
    </w:p>
    <w:p>
      <w:pPr>
        <w:sectPr>
          <w:pgSz w:w="11900" w:h="16838" w:orient="portrait"/>
          <w:cols w:equalWidth="0" w:num="1">
            <w:col w:w="11240"/>
          </w:cols>
          <w:pgMar w:left="320" w:top="141"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1"/>
          <w:szCs w:val="2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941705" cy="3111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941705" cy="311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Charles J. Bair</w:t>
      </w:r>
    </w:p>
    <w:p>
      <w:pPr>
        <w:ind w:left="20"/>
        <w:spacing w:after="0" w:line="221" w:lineRule="auto"/>
        <w:rPr>
          <w:sz w:val="20"/>
          <w:szCs w:val="20"/>
          <w:color w:val="auto"/>
        </w:rPr>
      </w:pPr>
      <w:r>
        <w:rPr>
          <w:rFonts w:ascii="Arial" w:cs="Arial" w:eastAsia="Arial" w:hAnsi="Arial"/>
          <w:sz w:val="17"/>
          <w:szCs w:val="17"/>
          <w:color w:val="auto"/>
        </w:rPr>
        <w:t>+1 858 550 6142</w:t>
      </w:r>
    </w:p>
    <w:p>
      <w:pPr>
        <w:ind w:left="20"/>
        <w:spacing w:after="0"/>
        <w:rPr>
          <w:sz w:val="20"/>
          <w:szCs w:val="20"/>
          <w:color w:val="auto"/>
        </w:rPr>
      </w:pPr>
      <w:r>
        <w:rPr>
          <w:rFonts w:ascii="Arial" w:cs="Arial" w:eastAsia="Arial" w:hAnsi="Arial"/>
          <w:sz w:val="17"/>
          <w:szCs w:val="17"/>
          <w:color w:val="auto"/>
        </w:rPr>
        <w:t>cbair@cooley.com</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27, 2026</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Tandem Diabetes Care, Inc.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12400 High Bluff Drive</w:t>
      </w:r>
    </w:p>
    <w:p>
      <w:pPr>
        <w:spacing w:after="0"/>
        <w:rPr>
          <w:sz w:val="20"/>
          <w:szCs w:val="20"/>
          <w:color w:val="auto"/>
        </w:rPr>
      </w:pPr>
      <w:r>
        <w:rPr>
          <w:rFonts w:ascii="Times New Roman" w:cs="Times New Roman" w:eastAsia="Times New Roman" w:hAnsi="Times New Roman"/>
          <w:sz w:val="17"/>
          <w:szCs w:val="17"/>
          <w:color w:val="auto"/>
        </w:rPr>
        <w:t>San Diego, CA 92130</w:t>
      </w:r>
    </w:p>
    <w:p>
      <w:pPr>
        <w:spacing w:after="0" w:line="19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7"/>
          <w:szCs w:val="17"/>
          <w:b w:val="1"/>
          <w:bCs w:val="1"/>
          <w:color w:val="auto"/>
        </w:rPr>
        <w:t>Re:</w:t>
        <w:tab/>
        <w:t>Registration on Form S-8</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24" w:lineRule="exact"/>
        <w:rPr>
          <w:sz w:val="20"/>
          <w:szCs w:val="20"/>
          <w:color w:val="auto"/>
        </w:rPr>
      </w:pPr>
    </w:p>
    <w:p>
      <w:pPr>
        <w:ind w:right="20"/>
        <w:spacing w:after="0" w:line="202" w:lineRule="exact"/>
        <w:rPr>
          <w:sz w:val="20"/>
          <w:szCs w:val="20"/>
          <w:color w:val="auto"/>
        </w:rPr>
      </w:pPr>
      <w:r>
        <w:rPr>
          <w:rFonts w:ascii="Times New Roman" w:cs="Times New Roman" w:eastAsia="Times New Roman" w:hAnsi="Times New Roman"/>
          <w:sz w:val="17"/>
          <w:szCs w:val="17"/>
          <w:color w:val="auto"/>
        </w:rPr>
        <w:t>We have acted as counsel to Tandem Diabetes Care,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in connection with the filing by the Company of a Registration Statement on Form 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8 (the “</w:t>
      </w:r>
      <w:r>
        <w:rPr>
          <w:rFonts w:ascii="Times New Roman" w:cs="Times New Roman" w:eastAsia="Times New Roman" w:hAnsi="Times New Roman"/>
          <w:sz w:val="17"/>
          <w:szCs w:val="17"/>
          <w:b w:val="1"/>
          <w:bCs w:val="1"/>
          <w:i w:val="1"/>
          <w:iCs w:val="1"/>
          <w:color w:val="auto"/>
        </w:rPr>
        <w:t>Registration Statement</w:t>
      </w:r>
      <w:r>
        <w:rPr>
          <w:rFonts w:ascii="Times New Roman" w:cs="Times New Roman" w:eastAsia="Times New Roman" w:hAnsi="Times New Roman"/>
          <w:sz w:val="17"/>
          <w:szCs w:val="17"/>
          <w:color w:val="auto"/>
        </w:rPr>
        <w:t>”) with the Securities and Exchange Commission (the “</w:t>
      </w:r>
      <w:r>
        <w:rPr>
          <w:rFonts w:ascii="Times New Roman" w:cs="Times New Roman" w:eastAsia="Times New Roman" w:hAnsi="Times New Roman"/>
          <w:sz w:val="17"/>
          <w:szCs w:val="17"/>
          <w:b w:val="1"/>
          <w:bCs w:val="1"/>
          <w:i w:val="1"/>
          <w:iCs w:val="1"/>
          <w:color w:val="auto"/>
        </w:rPr>
        <w:t>Commission</w:t>
      </w:r>
      <w:r>
        <w:rPr>
          <w:rFonts w:ascii="Times New Roman" w:cs="Times New Roman" w:eastAsia="Times New Roman" w:hAnsi="Times New Roman"/>
          <w:sz w:val="17"/>
          <w:szCs w:val="17"/>
          <w:color w:val="auto"/>
        </w:rPr>
        <w:t>”) covering the offering of up to 3,260,000 shares (the “</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of the Company’s Common Stock, par value $0.001 per share (the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issuable pursuant to the Company’s 2023 Long-Term Incentive Plan, as amended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7"/>
          <w:szCs w:val="17"/>
          <w:color w:val="auto"/>
        </w:rPr>
        <w:t>In connection with this opinion, we have examined and relied upon (a) the Registration Statement and the related prospectuses, (b) the Plan, (c) the Company’s certificate of incorporation and bylaws, each as currently in effect, and (d) such other documents, records,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spacing w:after="0" w:line="18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7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On the basis of the foregoing, and in reliance thereon, we are of the opinion that the Shares, when sold and issued in accordance with the Plan, the Registration Statement and the related prospectuses, will be validly issued, fully paid and nonassessable (except as to Shares issued pursuant to deferred payment arrangements, which will be fully paid and nonassessable when such deferred payments are made in full).</w:t>
      </w:r>
    </w:p>
    <w:p>
      <w:pPr>
        <w:spacing w:after="0" w:line="192"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17"/>
          <w:szCs w:val="17"/>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spacing w:after="0" w:line="192"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Cooley LLP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Charles J. Bair</w:t>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Charles J. Bair</w:t>
      </w:r>
    </w:p>
    <w:p>
      <w:pPr>
        <w:sectPr>
          <w:pgSz w:w="11900" w:h="16838" w:orient="portrait"/>
          <w:cols w:equalWidth="0" w:num="1">
            <w:col w:w="11240"/>
          </w:cols>
          <w:pgMar w:left="320" w:top="12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1"/>
          <w:szCs w:val="2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34"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 (Form S-8) pertaining to the Tandem Diabetes Care, Inc. 2023 Long-Term Incentive Plan of our reports dated February 19, 2026, with respect to the consolidated financial statements of Tandem Diabetes Care, Inc. and the effectiveness of internal control over financial reporting of Tandem Diabetes Care, Inc. included in its Annual Report (Form 10-K) for the year ended December 31, 2025, filed with the Securities and Exchange Commission.</w:t>
      </w: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/s/ Ernst &amp; Young LLP</w:t>
      </w: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San Diego, California</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May 27, 2026</w:t>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jpeg"/><Relationship Id="rId12" Type="http://schemas.openxmlformats.org/officeDocument/2006/relationships/hyperlink" Target="https://www.sec.gov/Archives/edgar/data/1438133/000143813323000155/forms-8x2023sharepool.htm" TargetMode="External"/><Relationship Id="rId13" Type="http://schemas.openxmlformats.org/officeDocument/2006/relationships/hyperlink" Target="https://www.sec.gov/Archives/edgar/data/1438133/000143813324000107/forms-8x2024.htm" TargetMode="External"/><Relationship Id="rId14" Type="http://schemas.openxmlformats.org/officeDocument/2006/relationships/hyperlink" Target="https://www.sec.gov/Archives/edgar/data/1438133/000143813326000070/ex31-archarter.htm" TargetMode="External"/><Relationship Id="rId15" Type="http://schemas.openxmlformats.org/officeDocument/2006/relationships/hyperlink" Target="https://www.sec.gov/Archives/edgar/data/1438133/000143813325000237/exhibit31amendedandrestate.htm" TargetMode="External"/><Relationship Id="rId18" Type="http://schemas.openxmlformats.org/officeDocument/2006/relationships/hyperlink" Target="https://www.sec.gov/Archives/edgar/data/1438133/000143813326000070/ex101-incentiveplan.htm" TargetMode="External"/><Relationship Id="rId19" Type="http://schemas.openxmlformats.org/officeDocument/2006/relationships/hyperlink" Target="https://www.sec.gov/Archives/edgar/data/1438133/000143813323000153/exhibit102formofrestricte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2026-05-27T16:03:27Z</dcterms:created>
  <dcterms:modified xsi:type="dcterms:W3CDTF">2026-05-27T16:03:27Z</dcterms:modified>
</cp:coreProperties>
</file>