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80" w:after="283"/>
        <w:jc w:val="center"/>
        <w:rPr>
          <w:rFonts w:ascii="Times New Roman;sans-serif" w:hAnsi="Times New Roman;sans-serif"/>
          <w:b/>
          <w:color w:val="000000"/>
          <w:sz w:val="12"/>
        </w:rPr>
      </w:pPr>
      <w:r>
        <w:rPr>
          <w:rFonts w:ascii="Times New Roman;sans-serif" w:hAnsi="Times New Roman;sans-serif"/>
          <w:b/>
          <w:color w:val="000000"/>
          <w:sz w:val="12"/>
        </w:rPr>
        <w:t xml:space="preserve">____________________________________________________________________________________________ </w:t>
      </w:r>
    </w:p>
    <w:p>
      <w:pPr>
        <w:pStyle w:val="TextBody"/>
        <w:bidi w:val="0"/>
        <w:spacing w:lineRule="auto" w:line="288" w:before="8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80" w:after="283"/>
        <w:jc w:val="center"/>
        <w:rPr>
          <w:rFonts w:ascii="Times New Roman;sans-serif" w:hAnsi="Times New Roman;sans-serif"/>
          <w:b/>
          <w:color w:val="000000"/>
          <w:sz w:val="12"/>
        </w:rPr>
      </w:pPr>
      <w:r>
        <w:rPr>
          <w:rFonts w:ascii="Times New Roman;sans-serif" w:hAnsi="Times New Roman;sans-serif"/>
          <w:b/>
          <w:color w:val="000000"/>
          <w:sz w:val="12"/>
        </w:rPr>
        <w:t xml:space="preserve">_____________________________________________________________________________________________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2023</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001-36189 </w:t>
      </w:r>
    </w:p>
    <w:p>
      <w:pPr>
        <w:pStyle w:val="TextBody"/>
        <w:bidi w:val="0"/>
        <w:spacing w:lineRule="auto" w:line="288" w:before="80" w:after="283"/>
        <w:jc w:val="center"/>
        <w:rPr>
          <w:rFonts w:ascii="Times New Roman;sans-serif" w:hAnsi="Times New Roman;sans-serif"/>
          <w:b/>
          <w:color w:val="000000"/>
          <w:sz w:val="12"/>
        </w:rPr>
      </w:pPr>
      <w:r>
        <w:rPr>
          <w:rFonts w:ascii="Times New Roman;sans-serif" w:hAnsi="Times New Roman;sans-serif"/>
          <w:b/>
          <w:color w:val="000000"/>
          <w:sz w:val="12"/>
        </w:rPr>
        <w:t xml:space="preserve">_____________________________________________________________________________________________ </w:t>
      </w:r>
    </w:p>
    <w:p>
      <w:pPr>
        <w:pStyle w:val="TextBody"/>
        <w:bidi w:val="0"/>
        <w:spacing w:lineRule="auto" w:line="288" w:before="80" w:after="283"/>
        <w:jc w:val="center"/>
        <w:rPr>
          <w:rFonts w:ascii="Times New Roman;sans-serif" w:hAnsi="Times New Roman;sans-serif"/>
          <w:b/>
          <w:color w:val="000000"/>
          <w:sz w:val="40"/>
        </w:rPr>
      </w:pPr>
      <w:r>
        <w:rPr>
          <w:rFonts w:ascii="Times New Roman;sans-serif" w:hAnsi="Times New Roman;sans-serif"/>
          <w:b/>
          <w:color w:val="000000"/>
          <w:sz w:val="40"/>
        </w:rPr>
        <w:t xml:space="preserve">Tandem Diabetes Care,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80" w:after="283"/>
        <w:jc w:val="center"/>
        <w:rPr>
          <w:rFonts w:ascii="Times New Roman;sans-serif" w:hAnsi="Times New Roman;sans-serif"/>
          <w:b/>
          <w:color w:val="000000"/>
          <w:sz w:val="12"/>
        </w:rPr>
      </w:pPr>
      <w:r>
        <w:rPr>
          <w:rFonts w:ascii="Times New Roman;sans-serif" w:hAnsi="Times New Roman;sans-serif"/>
          <w:b/>
          <w:color w:val="000000"/>
          <w:sz w:val="12"/>
        </w:rPr>
        <w:t xml:space="preserve">_____________________________________________________________________________________________ </w:t>
      </w:r>
    </w:p>
    <w:tbl>
      <w:tblPr>
        <w:tblW w:w="4736" w:type="dxa"/>
        <w:jc w:val="left"/>
        <w:tblInd w:w="0" w:type="dxa"/>
        <w:tblLayout w:type="fixed"/>
        <w:tblCellMar>
          <w:top w:w="28" w:type="dxa"/>
          <w:left w:w="28" w:type="dxa"/>
          <w:bottom w:w="28" w:type="dxa"/>
          <w:right w:w="28" w:type="dxa"/>
        </w:tblCellMar>
      </w:tblPr>
      <w:tblGrid>
        <w:gridCol w:w="539"/>
        <w:gridCol w:w="473"/>
        <w:gridCol w:w="473"/>
        <w:gridCol w:w="473"/>
        <w:gridCol w:w="473"/>
        <w:gridCol w:w="494"/>
        <w:gridCol w:w="109"/>
        <w:gridCol w:w="109"/>
        <w:gridCol w:w="109"/>
        <w:gridCol w:w="433"/>
        <w:gridCol w:w="433"/>
        <w:gridCol w:w="618"/>
      </w:tblGrid>
      <w:tr>
        <w:trPr/>
        <w:tc>
          <w:tcPr>
            <w:tcW w:w="53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20-4327508</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12400 High Bluff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92130</w:t>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San Diego,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(858) 366-6900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277" w:type="dxa"/>
        <w:jc w:val="left"/>
        <w:tblInd w:w="0" w:type="dxa"/>
        <w:tblLayout w:type="fixed"/>
        <w:tblCellMar>
          <w:top w:w="28" w:type="dxa"/>
          <w:left w:w="28" w:type="dxa"/>
          <w:bottom w:w="28" w:type="dxa"/>
          <w:right w:w="28" w:type="dxa"/>
        </w:tblCellMar>
      </w:tblPr>
      <w:tblGrid>
        <w:gridCol w:w="1358"/>
        <w:gridCol w:w="1199"/>
        <w:gridCol w:w="1207"/>
        <w:gridCol w:w="484"/>
        <w:gridCol w:w="484"/>
        <w:gridCol w:w="486"/>
        <w:gridCol w:w="895"/>
        <w:gridCol w:w="895"/>
        <w:gridCol w:w="1269"/>
      </w:tblGrid>
      <w:tr>
        <w:trPr/>
        <w:tc>
          <w:tcPr>
            <w:tcW w:w="135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Exchange on Which Registered</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TNDM</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Nasdaq Global Market</w:t>
            </w:r>
          </w:p>
        </w:tc>
      </w:tr>
    </w:tbl>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 xml:space="preserve">_____________________________________________________________________________________________ </w:t>
      </w:r>
    </w:p>
    <w:p>
      <w:pPr>
        <w:pStyle w:val="TextBody"/>
        <w:bidi w:val="0"/>
        <w:spacing w:lineRule="auto" w:line="288" w:before="0" w:after="0"/>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  ☐</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4715"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3"/>
        <w:gridCol w:w="673"/>
        <w:gridCol w:w="678"/>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16"/>
        </w:rPr>
        <w:t xml:space="preserve">Indicate by check mark whether the registrant is a shell company (as defined in Rule 12b-2 of the Exchange Act).    Yes  ☐    No   </w:t>
      </w:r>
      <w:r>
        <w:rPr>
          <w:color w:val="000000"/>
        </w:rPr>
        <w:t>☒</w:t>
      </w:r>
    </w:p>
    <w:p>
      <w:pPr>
        <w:pStyle w:val="TextBody"/>
        <w:bidi w:val="0"/>
        <w:spacing w:lineRule="auto" w:line="240" w:before="80" w:after="283"/>
        <w:ind w:left="0" w:right="0" w:firstLine="900"/>
        <w:jc w:val="left"/>
        <w:rPr>
          <w:rFonts w:ascii="Times New Roman;sans-serif" w:hAnsi="Times New Roman;sans-serif"/>
          <w:b w:val="false"/>
          <w:color w:val="000000"/>
          <w:sz w:val="16"/>
        </w:rPr>
      </w:pPr>
      <w:r>
        <w:rPr>
          <w:rFonts w:ascii="Times New Roman;sans-serif" w:hAnsi="Times New Roman;sans-serif"/>
          <w:b w:val="false"/>
          <w:color w:val="000000"/>
          <w:sz w:val="16"/>
        </w:rPr>
        <w:t>As of July 28, 2023, there were 65,077,705 shares of the registrant’s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47"/>
        <w:gridCol w:w="219"/>
        <w:gridCol w:w="220"/>
        <w:gridCol w:w="3106"/>
        <w:gridCol w:w="3015"/>
        <w:gridCol w:w="3024"/>
        <w:gridCol w:w="109"/>
        <w:gridCol w:w="109"/>
        <w:gridCol w:w="156"/>
      </w:tblGrid>
      <w:tr>
        <w:trPr/>
        <w:tc>
          <w:tcPr>
            <w:tcW w:w="2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06" w:type="dxa"/>
            <w:tcBorders/>
            <w:vAlign w:val="center"/>
          </w:tcPr>
          <w:p>
            <w:pPr>
              <w:pStyle w:val="TableContents"/>
              <w:bidi w:val="0"/>
              <w:spacing w:before="0" w:after="283"/>
              <w:jc w:val="left"/>
              <w:rPr>
                <w:sz w:val="4"/>
                <w:szCs w:val="4"/>
              </w:rPr>
            </w:pPr>
            <w:r>
              <w:rPr>
                <w:sz w:val="4"/>
                <w:szCs w:val="4"/>
              </w:rPr>
            </w:r>
          </w:p>
        </w:tc>
        <w:tc>
          <w:tcPr>
            <w:tcW w:w="3015" w:type="dxa"/>
            <w:tcBorders/>
            <w:vAlign w:val="center"/>
          </w:tcPr>
          <w:p>
            <w:pPr>
              <w:pStyle w:val="TableContents"/>
              <w:bidi w:val="0"/>
              <w:spacing w:before="0" w:after="283"/>
              <w:jc w:val="left"/>
              <w:rPr>
                <w:sz w:val="4"/>
                <w:szCs w:val="4"/>
              </w:rPr>
            </w:pPr>
            <w:r>
              <w:rPr>
                <w:sz w:val="4"/>
                <w:szCs w:val="4"/>
              </w:rPr>
            </w:r>
          </w:p>
        </w:tc>
        <w:tc>
          <w:tcPr>
            <w:tcW w:w="3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9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Information</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5fa47158b47428a8e4620d70a2051eb_22">
              <w:r>
                <w:rPr>
                  <w:rStyle w:val="InternetLink"/>
                  <w:rFonts w:ascii="Times New Roman;sans-serif" w:hAnsi="Times New Roman;sans-serif"/>
                  <w:b w:val="false"/>
                  <w:color w:val="0000FF"/>
                  <w:sz w:val="20"/>
                  <w:u w:val="single"/>
                </w:rPr>
                <w:t>1</w:t>
              </w:r>
            </w:hyperlink>
          </w:p>
        </w:tc>
      </w:tr>
      <w:tr>
        <w:trPr/>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9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5fa47158b47428a8e4620d70a2051eb_25">
              <w:r>
                <w:rPr>
                  <w:rStyle w:val="InternetLink"/>
                  <w:rFonts w:ascii="Times New Roman;sans-serif" w:hAnsi="Times New Roman;sans-serif"/>
                  <w:b w:val="false"/>
                  <w:color w:val="0000FF"/>
                  <w:sz w:val="20"/>
                  <w:u w:val="single"/>
                </w:rPr>
                <w:t>1</w:t>
              </w:r>
            </w:hyperlink>
          </w:p>
        </w:tc>
      </w:tr>
      <w:tr>
        <w:trPr/>
        <w:tc>
          <w:tcPr>
            <w:tcW w:w="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Balance Sheets at June 30, 2023 (Unaudited) and December 31, 2022</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5fa47158b47428a8e4620d70a2051eb_37">
              <w:r>
                <w:rPr>
                  <w:rStyle w:val="InternetLink"/>
                  <w:rFonts w:ascii="Times New Roman;sans-serif" w:hAnsi="Times New Roman;sans-serif"/>
                  <w:b w:val="false"/>
                  <w:color w:val="0000FF"/>
                  <w:sz w:val="20"/>
                  <w:u w:val="single"/>
                </w:rPr>
                <w:t>1</w:t>
              </w:r>
            </w:hyperlink>
          </w:p>
        </w:tc>
      </w:tr>
      <w:tr>
        <w:trPr/>
        <w:tc>
          <w:tcPr>
            <w:tcW w:w="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Operations and Comprehensive Loss for the Three and Six Months Ended June 30, 2023 and 2022 (Unaudited)</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5fa47158b47428a8e4620d70a2051eb_40">
              <w:r>
                <w:rPr>
                  <w:rStyle w:val="InternetLink"/>
                  <w:rFonts w:ascii="Times New Roman;sans-serif" w:hAnsi="Times New Roman;sans-serif"/>
                  <w:b w:val="false"/>
                  <w:color w:val="0000FF"/>
                  <w:sz w:val="20"/>
                  <w:u w:val="single"/>
                </w:rPr>
                <w:t>2</w:t>
              </w:r>
            </w:hyperlink>
          </w:p>
        </w:tc>
      </w:tr>
      <w:tr>
        <w:trPr/>
        <w:tc>
          <w:tcPr>
            <w:tcW w:w="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Stockholders’ Equity for the Three and Six Months Ended June 30, 2023 and 2022 (Unaudited)</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5fa47158b47428a8e4620d70a2051eb_46">
              <w:r>
                <w:rPr>
                  <w:rStyle w:val="InternetLink"/>
                  <w:rFonts w:ascii="Times New Roman;sans-serif" w:hAnsi="Times New Roman;sans-serif"/>
                  <w:b w:val="false"/>
                  <w:color w:val="0000FF"/>
                  <w:sz w:val="20"/>
                  <w:u w:val="single"/>
                </w:rPr>
                <w:t>3</w:t>
              </w:r>
            </w:hyperlink>
          </w:p>
        </w:tc>
      </w:tr>
      <w:tr>
        <w:trPr/>
        <w:tc>
          <w:tcPr>
            <w:tcW w:w="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Cash Flows for the Six Months Ended June 30, 2023 and 2022 (Unaudited)</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5fa47158b47428a8e4620d70a2051eb_58">
              <w:r>
                <w:rPr>
                  <w:rStyle w:val="InternetLink"/>
                  <w:rFonts w:ascii="Times New Roman;sans-serif" w:hAnsi="Times New Roman;sans-serif"/>
                  <w:b w:val="false"/>
                  <w:color w:val="0000FF"/>
                  <w:sz w:val="20"/>
                  <w:u w:val="single"/>
                </w:rPr>
                <w:t>5</w:t>
              </w:r>
            </w:hyperlink>
          </w:p>
        </w:tc>
      </w:tr>
      <w:tr>
        <w:trPr/>
        <w:tc>
          <w:tcPr>
            <w:tcW w:w="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Unaudited Condensed Consolidated Financial Statements</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5fa47158b47428a8e4620d70a2051eb_64">
              <w:r>
                <w:rPr>
                  <w:rStyle w:val="InternetLink"/>
                  <w:rFonts w:ascii="Times New Roman;sans-serif" w:hAnsi="Times New Roman;sans-serif"/>
                  <w:b w:val="false"/>
                  <w:color w:val="0000FF"/>
                  <w:sz w:val="20"/>
                  <w:u w:val="single"/>
                </w:rPr>
                <w:t>6</w:t>
              </w:r>
            </w:hyperlink>
          </w:p>
        </w:tc>
      </w:tr>
      <w:tr>
        <w:trPr/>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9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5fa47158b47428a8e4620d70a2051eb_292">
              <w:r>
                <w:rPr>
                  <w:rStyle w:val="InternetLink"/>
                  <w:rFonts w:ascii="Times New Roman;sans-serif" w:hAnsi="Times New Roman;sans-serif"/>
                  <w:b w:val="false"/>
                  <w:color w:val="0000FF"/>
                  <w:sz w:val="20"/>
                  <w:u w:val="single"/>
                </w:rPr>
                <w:t>23</w:t>
              </w:r>
            </w:hyperlink>
          </w:p>
        </w:tc>
      </w:tr>
      <w:tr>
        <w:trPr/>
        <w:tc>
          <w:tcPr>
            <w:tcW w:w="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9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Quantitative and Qualitative Disclosures About Market Risk</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5fa47158b47428a8e4620d70a2051eb_355">
              <w:r>
                <w:rPr>
                  <w:rStyle w:val="InternetLink"/>
                  <w:rFonts w:ascii="Times New Roman;sans-serif" w:hAnsi="Times New Roman;sans-serif"/>
                  <w:b w:val="false"/>
                  <w:color w:val="0000FF"/>
                  <w:sz w:val="20"/>
                  <w:u w:val="single"/>
                </w:rPr>
                <w:t>37</w:t>
              </w:r>
            </w:hyperlink>
          </w:p>
        </w:tc>
      </w:tr>
      <w:tr>
        <w:trPr/>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9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Controls and Procedures</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5fa47158b47428a8e4620d70a2051eb_361">
              <w:r>
                <w:rPr>
                  <w:rStyle w:val="InternetLink"/>
                  <w:rFonts w:ascii="Times New Roman;sans-serif" w:hAnsi="Times New Roman;sans-serif"/>
                  <w:b w:val="false"/>
                  <w:color w:val="0000FF"/>
                  <w:sz w:val="20"/>
                  <w:u w:val="single"/>
                </w:rPr>
                <w:t>37</w:t>
              </w:r>
            </w:hyperlink>
          </w:p>
        </w:tc>
      </w:tr>
      <w:tr>
        <w:trPr/>
        <w:tc>
          <w:tcPr>
            <w:tcW w:w="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9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5fa47158b47428a8e4620d70a2051eb_367">
              <w:r>
                <w:rPr>
                  <w:rStyle w:val="InternetLink"/>
                  <w:rFonts w:ascii="Times New Roman;sans-serif" w:hAnsi="Times New Roman;sans-serif"/>
                  <w:b w:val="false"/>
                  <w:color w:val="0000FF"/>
                  <w:sz w:val="20"/>
                  <w:u w:val="single"/>
                </w:rPr>
                <w:t>39</w:t>
              </w:r>
            </w:hyperlink>
          </w:p>
        </w:tc>
      </w:tr>
      <w:tr>
        <w:trPr/>
        <w:tc>
          <w:tcPr>
            <w:tcW w:w="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9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Proceedings</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5fa47158b47428a8e4620d70a2051eb_370">
              <w:r>
                <w:rPr>
                  <w:rStyle w:val="InternetLink"/>
                  <w:rFonts w:ascii="Times New Roman;sans-serif" w:hAnsi="Times New Roman;sans-serif"/>
                  <w:b w:val="false"/>
                  <w:color w:val="0000FF"/>
                  <w:sz w:val="20"/>
                  <w:u w:val="single"/>
                </w:rPr>
                <w:t>39</w:t>
              </w:r>
            </w:hyperlink>
          </w:p>
        </w:tc>
      </w:tr>
      <w:tr>
        <w:trPr/>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9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Factors</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5fa47158b47428a8e4620d70a2051eb_373">
              <w:r>
                <w:rPr>
                  <w:rStyle w:val="InternetLink"/>
                  <w:rFonts w:ascii="Times New Roman;sans-serif" w:hAnsi="Times New Roman;sans-serif"/>
                  <w:b w:val="false"/>
                  <w:color w:val="0000FF"/>
                  <w:sz w:val="20"/>
                  <w:u w:val="single"/>
                </w:rPr>
                <w:t>39</w:t>
              </w:r>
            </w:hyperlink>
          </w:p>
        </w:tc>
      </w:tr>
      <w:tr>
        <w:trPr/>
        <w:tc>
          <w:tcPr>
            <w:tcW w:w="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9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5fa47158b47428a8e4620d70a2051eb_2267">
              <w:r>
                <w:rPr>
                  <w:rStyle w:val="InternetLink"/>
                  <w:rFonts w:ascii="Times New Roman;sans-serif" w:hAnsi="Times New Roman;sans-serif"/>
                  <w:b w:val="false"/>
                  <w:color w:val="0000FF"/>
                  <w:sz w:val="20"/>
                  <w:u w:val="single"/>
                </w:rPr>
                <w:t>45</w:t>
              </w:r>
            </w:hyperlink>
          </w:p>
        </w:tc>
      </w:tr>
      <w:tr>
        <w:trPr/>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9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5fa47158b47428a8e4620d70a2051eb_490">
              <w:r>
                <w:rPr>
                  <w:rStyle w:val="InternetLink"/>
                  <w:rFonts w:ascii="Times New Roman;sans-serif" w:hAnsi="Times New Roman;sans-serif"/>
                  <w:b w:val="false"/>
                  <w:color w:val="0000FF"/>
                  <w:sz w:val="20"/>
                  <w:u w:val="single"/>
                </w:rPr>
                <w:t>46</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40" w:after="283"/>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TANDEM DIABETES 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par value)</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35"/>
        <w:gridCol w:w="2190"/>
        <w:gridCol w:w="2147"/>
        <w:gridCol w:w="109"/>
        <w:gridCol w:w="109"/>
        <w:gridCol w:w="211"/>
        <w:gridCol w:w="826"/>
        <w:gridCol w:w="109"/>
        <w:gridCol w:w="109"/>
        <w:gridCol w:w="109"/>
        <w:gridCol w:w="109"/>
        <w:gridCol w:w="211"/>
        <w:gridCol w:w="976"/>
        <w:gridCol w:w="155"/>
      </w:tblGrid>
      <w:tr>
        <w:trPr/>
        <w:tc>
          <w:tcPr>
            <w:tcW w:w="2835"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(Note 1)</w:t>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444,384 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849,976 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1,052,785 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net - long-term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long-term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 long-term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617,442 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612,838 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200,000 shares authorized, 65,062 and 64,513 shares issued and outstanding at June 30, 2023 and December 31, 2022,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1,170,888 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(729,189)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439,947 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946,676 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1,052,785 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TANDEM DIABETES 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639"/>
        <w:gridCol w:w="1382"/>
        <w:gridCol w:w="1298"/>
        <w:gridCol w:w="211"/>
        <w:gridCol w:w="826"/>
        <w:gridCol w:w="109"/>
        <w:gridCol w:w="109"/>
        <w:gridCol w:w="109"/>
        <w:gridCol w:w="109"/>
        <w:gridCol w:w="211"/>
        <w:gridCol w:w="826"/>
        <w:gridCol w:w="109"/>
        <w:gridCol w:w="109"/>
        <w:gridCol w:w="109"/>
        <w:gridCol w:w="109"/>
        <w:gridCol w:w="211"/>
        <w:gridCol w:w="883"/>
        <w:gridCol w:w="109"/>
        <w:gridCol w:w="109"/>
        <w:gridCol w:w="109"/>
        <w:gridCol w:w="109"/>
        <w:gridCol w:w="211"/>
        <w:gridCol w:w="826"/>
        <w:gridCol w:w="109"/>
        <w:gridCol w:w="109"/>
        <w:gridCol w:w="155"/>
      </w:tblGrid>
      <w:tr>
        <w:trPr/>
        <w:tc>
          <w:tcPr>
            <w:tcW w:w="1639"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in-process research and development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short-term investments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loss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 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to compute basic net loss per share</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64,830 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64,077 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64,690 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63,979 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to compute diluted net loss per share</w:t>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64,830 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64,078 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64,690 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63,980 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240" w:after="283"/>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TANDEM DIABETES 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Three Months Ended June 30, 2023</w:t>
      </w:r>
    </w:p>
    <w:tbl>
      <w:tblPr>
        <w:tblW w:w="10205" w:type="dxa"/>
        <w:jc w:val="center"/>
        <w:tblInd w:w="0" w:type="dxa"/>
        <w:tblLayout w:type="fixed"/>
        <w:tblCellMar>
          <w:top w:w="28" w:type="dxa"/>
          <w:left w:w="28" w:type="dxa"/>
          <w:bottom w:w="28" w:type="dxa"/>
          <w:right w:w="28" w:type="dxa"/>
        </w:tblCellMar>
      </w:tblPr>
      <w:tblGrid>
        <w:gridCol w:w="1031"/>
        <w:gridCol w:w="677"/>
        <w:gridCol w:w="683"/>
        <w:gridCol w:w="323"/>
        <w:gridCol w:w="323"/>
        <w:gridCol w:w="196"/>
        <w:gridCol w:w="109"/>
        <w:gridCol w:w="109"/>
        <w:gridCol w:w="109"/>
        <w:gridCol w:w="212"/>
        <w:gridCol w:w="359"/>
        <w:gridCol w:w="120"/>
        <w:gridCol w:w="109"/>
        <w:gridCol w:w="109"/>
        <w:gridCol w:w="109"/>
        <w:gridCol w:w="196"/>
        <w:gridCol w:w="871"/>
        <w:gridCol w:w="109"/>
        <w:gridCol w:w="109"/>
        <w:gridCol w:w="109"/>
        <w:gridCol w:w="109"/>
        <w:gridCol w:w="275"/>
        <w:gridCol w:w="802"/>
        <w:gridCol w:w="153"/>
        <w:gridCol w:w="109"/>
        <w:gridCol w:w="109"/>
        <w:gridCol w:w="109"/>
        <w:gridCol w:w="196"/>
        <w:gridCol w:w="773"/>
        <w:gridCol w:w="109"/>
        <w:gridCol w:w="109"/>
        <w:gridCol w:w="109"/>
        <w:gridCol w:w="109"/>
        <w:gridCol w:w="208"/>
        <w:gridCol w:w="784"/>
        <w:gridCol w:w="170"/>
      </w:tblGrid>
      <w:tr>
        <w:trPr/>
        <w:tc>
          <w:tcPr>
            <w:tcW w:w="103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 xml:space="preserve">Paid-in </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 xml:space="preserve">Other </w:t>
              <w:br/>
              <w:t xml:space="preserve">Comprehensive </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 xml:space="preserve">Stockholders’ </w:t>
              <w:br/>
              <w:t xml:space="preserve">Equity </w:t>
            </w:r>
          </w:p>
        </w:tc>
      </w:tr>
      <w:tr>
        <w:trPr/>
        <w:tc>
          <w:tcPr>
            <w:tcW w:w="2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7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2023</w:t>
            </w:r>
          </w:p>
        </w:tc>
        <w:tc>
          <w:tcPr>
            <w:tcW w:w="64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64,609 </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2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1,191,843 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w:t>
            </w:r>
          </w:p>
        </w:tc>
        <w:tc>
          <w:tcPr>
            <w:tcW w:w="15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(853,062)</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338,753 </w:t>
            </w:r>
          </w:p>
        </w:tc>
        <w:tc>
          <w:tcPr>
            <w:tcW w:w="17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 net of shares withheld for taxes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39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3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23,410 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23,410 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short-term investments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losses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(35,775)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2023</w:t>
            </w:r>
          </w:p>
        </w:tc>
        <w:tc>
          <w:tcPr>
            <w:tcW w:w="64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65,062 </w:t>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2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1,219,199 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(1,193)</w:t>
            </w:r>
          </w:p>
        </w:tc>
        <w:tc>
          <w:tcPr>
            <w:tcW w:w="15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(888,837)</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329,234 </w:t>
            </w:r>
          </w:p>
        </w:tc>
        <w:tc>
          <w:tcPr>
            <w:tcW w:w="17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Six Months Ended June 30, 2023</w:t>
      </w:r>
    </w:p>
    <w:tbl>
      <w:tblPr>
        <w:tblW w:w="10205" w:type="dxa"/>
        <w:jc w:val="center"/>
        <w:tblInd w:w="0" w:type="dxa"/>
        <w:tblLayout w:type="fixed"/>
        <w:tblCellMar>
          <w:top w:w="28" w:type="dxa"/>
          <w:left w:w="28" w:type="dxa"/>
          <w:bottom w:w="28" w:type="dxa"/>
          <w:right w:w="28" w:type="dxa"/>
        </w:tblCellMar>
      </w:tblPr>
      <w:tblGrid>
        <w:gridCol w:w="968"/>
        <w:gridCol w:w="710"/>
        <w:gridCol w:w="713"/>
        <w:gridCol w:w="323"/>
        <w:gridCol w:w="323"/>
        <w:gridCol w:w="196"/>
        <w:gridCol w:w="109"/>
        <w:gridCol w:w="109"/>
        <w:gridCol w:w="109"/>
        <w:gridCol w:w="212"/>
        <w:gridCol w:w="359"/>
        <w:gridCol w:w="120"/>
        <w:gridCol w:w="109"/>
        <w:gridCol w:w="109"/>
        <w:gridCol w:w="109"/>
        <w:gridCol w:w="196"/>
        <w:gridCol w:w="871"/>
        <w:gridCol w:w="109"/>
        <w:gridCol w:w="109"/>
        <w:gridCol w:w="109"/>
        <w:gridCol w:w="109"/>
        <w:gridCol w:w="275"/>
        <w:gridCol w:w="802"/>
        <w:gridCol w:w="153"/>
        <w:gridCol w:w="109"/>
        <w:gridCol w:w="109"/>
        <w:gridCol w:w="109"/>
        <w:gridCol w:w="196"/>
        <w:gridCol w:w="773"/>
        <w:gridCol w:w="109"/>
        <w:gridCol w:w="109"/>
        <w:gridCol w:w="109"/>
        <w:gridCol w:w="109"/>
        <w:gridCol w:w="207"/>
        <w:gridCol w:w="784"/>
        <w:gridCol w:w="171"/>
      </w:tblGrid>
      <w:tr>
        <w:trPr/>
        <w:tc>
          <w:tcPr>
            <w:tcW w:w="96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 xml:space="preserve">Paid-in </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 xml:space="preserve">Other </w:t>
              <w:br/>
              <w:t xml:space="preserve">Comprehensive </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 xml:space="preserve">Stockholders’ </w:t>
              <w:br/>
              <w:t>Equity</w:t>
            </w:r>
          </w:p>
        </w:tc>
      </w:tr>
      <w:tr>
        <w:trPr/>
        <w:tc>
          <w:tcPr>
            <w:tcW w:w="2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7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64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64,513 </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2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1,170,888 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(1,817)</w:t>
            </w:r>
          </w:p>
        </w:tc>
        <w:tc>
          <w:tcPr>
            <w:tcW w:w="15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(729,189)</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439,947 </w:t>
            </w:r>
          </w:p>
        </w:tc>
        <w:tc>
          <w:tcPr>
            <w:tcW w:w="1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 net of shares withheld for taxes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39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3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44,906 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44,906 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short-term investments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losses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(159,648)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2023</w:t>
            </w:r>
          </w:p>
        </w:tc>
        <w:tc>
          <w:tcPr>
            <w:tcW w:w="64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65,062 </w:t>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2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1,219,199 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(1,193)</w:t>
            </w:r>
          </w:p>
        </w:tc>
        <w:tc>
          <w:tcPr>
            <w:tcW w:w="15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(888,837)</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329,234 </w:t>
            </w:r>
          </w:p>
        </w:tc>
        <w:tc>
          <w:tcPr>
            <w:tcW w:w="17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27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140" w:after="283"/>
        <w:ind w:left="0" w:right="0" w:hanging="27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Three Months Ended June 30, 2022</w:t>
      </w:r>
    </w:p>
    <w:tbl>
      <w:tblPr>
        <w:tblW w:w="10205" w:type="dxa"/>
        <w:jc w:val="center"/>
        <w:tblInd w:w="0" w:type="dxa"/>
        <w:tblLayout w:type="fixed"/>
        <w:tblCellMar>
          <w:top w:w="28" w:type="dxa"/>
          <w:left w:w="28" w:type="dxa"/>
          <w:bottom w:w="28" w:type="dxa"/>
          <w:right w:w="28" w:type="dxa"/>
        </w:tblCellMar>
      </w:tblPr>
      <w:tblGrid>
        <w:gridCol w:w="1040"/>
        <w:gridCol w:w="688"/>
        <w:gridCol w:w="695"/>
        <w:gridCol w:w="323"/>
        <w:gridCol w:w="323"/>
        <w:gridCol w:w="196"/>
        <w:gridCol w:w="109"/>
        <w:gridCol w:w="109"/>
        <w:gridCol w:w="109"/>
        <w:gridCol w:w="212"/>
        <w:gridCol w:w="359"/>
        <w:gridCol w:w="120"/>
        <w:gridCol w:w="109"/>
        <w:gridCol w:w="109"/>
        <w:gridCol w:w="109"/>
        <w:gridCol w:w="196"/>
        <w:gridCol w:w="871"/>
        <w:gridCol w:w="109"/>
        <w:gridCol w:w="109"/>
        <w:gridCol w:w="109"/>
        <w:gridCol w:w="109"/>
        <w:gridCol w:w="272"/>
        <w:gridCol w:w="792"/>
        <w:gridCol w:w="152"/>
        <w:gridCol w:w="109"/>
        <w:gridCol w:w="109"/>
        <w:gridCol w:w="109"/>
        <w:gridCol w:w="196"/>
        <w:gridCol w:w="774"/>
        <w:gridCol w:w="109"/>
        <w:gridCol w:w="109"/>
        <w:gridCol w:w="109"/>
        <w:gridCol w:w="109"/>
        <w:gridCol w:w="205"/>
        <w:gridCol w:w="773"/>
        <w:gridCol w:w="165"/>
      </w:tblGrid>
      <w:tr>
        <w:trPr/>
        <w:tc>
          <w:tcPr>
            <w:tcW w:w="104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 xml:space="preserve">Paid-in </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20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2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63,941 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1,089,689 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(3,061)</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(649,310)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437,382 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 net of shares withheld for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7,915 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common stock warrants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20,157 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short-term investments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losses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(15,056)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2022</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64,210 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1,118,168 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(4,282)</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(664,366)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449,584 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Six Months Ended June 30, 2022</w:t>
      </w:r>
    </w:p>
    <w:tbl>
      <w:tblPr>
        <w:tblW w:w="10205" w:type="dxa"/>
        <w:jc w:val="center"/>
        <w:tblInd w:w="0" w:type="dxa"/>
        <w:tblLayout w:type="fixed"/>
        <w:tblCellMar>
          <w:top w:w="28" w:type="dxa"/>
          <w:left w:w="28" w:type="dxa"/>
          <w:bottom w:w="28" w:type="dxa"/>
          <w:right w:w="28" w:type="dxa"/>
        </w:tblCellMar>
      </w:tblPr>
      <w:tblGrid>
        <w:gridCol w:w="978"/>
        <w:gridCol w:w="721"/>
        <w:gridCol w:w="724"/>
        <w:gridCol w:w="323"/>
        <w:gridCol w:w="323"/>
        <w:gridCol w:w="196"/>
        <w:gridCol w:w="109"/>
        <w:gridCol w:w="109"/>
        <w:gridCol w:w="109"/>
        <w:gridCol w:w="212"/>
        <w:gridCol w:w="359"/>
        <w:gridCol w:w="120"/>
        <w:gridCol w:w="109"/>
        <w:gridCol w:w="109"/>
        <w:gridCol w:w="109"/>
        <w:gridCol w:w="196"/>
        <w:gridCol w:w="871"/>
        <w:gridCol w:w="109"/>
        <w:gridCol w:w="109"/>
        <w:gridCol w:w="109"/>
        <w:gridCol w:w="109"/>
        <w:gridCol w:w="272"/>
        <w:gridCol w:w="792"/>
        <w:gridCol w:w="152"/>
        <w:gridCol w:w="109"/>
        <w:gridCol w:w="109"/>
        <w:gridCol w:w="109"/>
        <w:gridCol w:w="196"/>
        <w:gridCol w:w="773"/>
        <w:gridCol w:w="109"/>
        <w:gridCol w:w="109"/>
        <w:gridCol w:w="109"/>
        <w:gridCol w:w="109"/>
        <w:gridCol w:w="205"/>
        <w:gridCol w:w="773"/>
        <w:gridCol w:w="166"/>
      </w:tblGrid>
      <w:tr>
        <w:trPr/>
        <w:tc>
          <w:tcPr>
            <w:tcW w:w="97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 xml:space="preserve">Paid-in </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20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2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7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2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2021</w:t>
            </w:r>
          </w:p>
        </w:tc>
        <w:tc>
          <w:tcPr>
            <w:tcW w:w="64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63,833 </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2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1,068,259 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w:t>
            </w:r>
          </w:p>
        </w:tc>
        <w:tc>
          <w:tcPr>
            <w:tcW w:w="15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(634,595)</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433,112 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 net of shares withheld for taxes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7,915 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common stock warrants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38,088 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short-term investments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(3,641)</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losses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(29,771)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(29,771)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2022</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64,210 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1,118,168 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(4,282)</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(664,366)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449,584 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TANDEM DIABETES 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tbl>
      <w:tblPr>
        <w:tblW w:w="8897" w:type="dxa"/>
        <w:jc w:val="left"/>
        <w:tblInd w:w="0" w:type="dxa"/>
        <w:tblLayout w:type="fixed"/>
        <w:tblCellMar>
          <w:top w:w="28" w:type="dxa"/>
          <w:left w:w="28" w:type="dxa"/>
          <w:bottom w:w="28" w:type="dxa"/>
          <w:right w:w="28" w:type="dxa"/>
        </w:tblCellMar>
      </w:tblPr>
      <w:tblGrid>
        <w:gridCol w:w="2225"/>
        <w:gridCol w:w="1955"/>
        <w:gridCol w:w="1970"/>
        <w:gridCol w:w="196"/>
        <w:gridCol w:w="811"/>
        <w:gridCol w:w="109"/>
        <w:gridCol w:w="109"/>
        <w:gridCol w:w="109"/>
        <w:gridCol w:w="109"/>
        <w:gridCol w:w="196"/>
        <w:gridCol w:w="736"/>
        <w:gridCol w:w="109"/>
        <w:gridCol w:w="109"/>
        <w:gridCol w:w="154"/>
      </w:tblGrid>
      <w:tr>
        <w:trPr/>
        <w:tc>
          <w:tcPr>
            <w:tcW w:w="2225"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provided by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expected credit losses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inventory obsolescence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impairment charge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premium on short-term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Acquired in-process research and development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and other 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Employee-related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leases and other current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short-term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maturities and redemptions of short-term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including in-process research and development, net of cash acquired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intangible assets and strategic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under Company stock plans,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common stock warrants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foreign exchange rate changes on cash</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and cash equivalents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cash flow information</w:t>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paid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schedule of non-cash investing and financing activities</w:t>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 obtained in exchange for operating lease obligations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Purchase of property and equipment included in accounts payable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costs in accounts payable and other long-term liabilities</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TANDEM DIABETES CARE,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 Organization and Basis of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The Company</w:t>
      </w: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Tandem Diabetes Care, Inc. is a medical device company focused on the design, development and commercialization of technology solutions for people living with diabetes. Tandem Diabetes Care, Inc. is incorporated in the state of Delaware. Unless the context requires otherwise, the terms the “Company” or “Tandem” refer to Tandem Diabetes Care, Inc., together with its wholly-owned subsidiaries.</w:t>
      </w: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manufactures, sells, and supports insulin pump products that are designed to address the evolving needs and preferences of differentiated segments of the insulin-dependent diabetes market. The Company’s manufacturing, sales and support activities principally focus on the t:slim X2 Insulin Delivery System (t:slim X2), the Company’s flagship pump platform which has an advanced algorithm for managing insulin delivery, and is designed to display continuous glucose monitoring (CGM) sensor information directly on the pump home screen. The Company’s insulin pump products are compatible with other complementary digital health offerings, such as the t:connect mobile app, cloud-based diabetes management applications and the Tandem Device Updater, a Mac- and PC-compatible tool that offers and supports remote updates of the Company’s insulin pump software from a personal computer. The Company’s insulin pump products are generally considered durable medical equipment and have an expected lifespan of at least four years. In addition to insulin pumps, the Company sells disposable products that are used together with the pumps and are replaced every few days, including cartridges for storing and delivering insulin, and infusion sets that connect the insulin pump to a user’s body.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prepared the accompanying unaudited condensed consolidated financial statements in accordance with accounting principles generally accepted in the United States of America (U.S. GAAP) for interim financial information and pursuant to the instructions to Form 10-Q and Article 10 of Regulation S-X. Accordingly, they do not include all of the information and disclosures required by U.S. GAAP for complete financial statements. In the opinion of management, all adjustments which are of a normal and recurring nature and considered necessary for a fair presentation of the financial information contained herein, have been included.</w:t>
      </w: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Interim financial results are not necessarily indicative of results anticipated for the full year or any other period(s). These unaudited condensed consolidated financial statements should be read in conjunction with the Company’s audited consolidated financial statements and accompanying notes included in the Company’s Annual Report on Form 10-K for the year ended December 31, 2022 (Annual Report), from which the balance sheet information herein was derived. The condensed consolidated financial statements include the accounts of Tandem Diabetes Care, Inc. and its wholly-owned subsidiaries. All significant intercompany balances and transactions have been eliminated in consolidation.</w:t>
      </w: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the Company’s foreign subsidiaries is their respective local currency. The Company translates the financial statements of its foreign subsidiaries into U.S. dollars using period-end exchange rates for assets and liabilities and average exchange rates for each period for revenue, costs and expenses. Translation related adjustments are included in other comprehensive income (loss) in the condensed consolidated statements of operations, and in accumulated other comprehensive income (loss) in the stockholders’ equity section of the Company’s condensed consolidated balance sheets. Foreign exchange gains or losses resulting from balances denominated in a currency other than the functional currency are recognized in interest income and other, net in the Company’s condensed consolidated statements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Reclassifications</w:t>
      </w: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fair value of common stock warrants for the three and six months ended June 30, 2022, which was previously reported separately, is now reported as a component of interest income and other, net on the condensed consolidated statements of operations. In addition, certain prior year balances on the condensed consolidated statement of cash flows have been reclassified to conform to the current year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Company’s significant accounting policies during the six months ended June 30, 2023, as compared to those disclosed in the Company’s 2022 Annual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condensed consolidated financial statements in conformity with U.S. GAAP requires management to make estimates and judgments that affect the reported amounts of assets, liabilities, revenues and expenses and the disclosure of contingent assets and liabilities in the Company’s condensed consolidated financial statements and accompanying notes as of the date of the condensed consolidated financial statements. Some of those judgments can be subjective and complex, and therefore, actual results could differ materially from those estimates under different assumptions or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grants credit to various customers in the ordinary course of business and is paid directly by customers who use its products, distributors and third-party insurance payors. The Company maintains an allowance for its current estimate of expected credit losses. Provisions for expected credit losses are estimated based on historical experience, assessment of specific customer-related risks, review of outstanding invoices, forecasts about the future, and various other assumptions and estimates that are believed to be reasonable under the circumstances, including changes to credit risks as a result of recessionary concerns, changes in discretionary spending, increased interest rates, and other macroeconomic factors. Uncollectible accounts are written off against the allowance after appropriate collection efforts have been exhausted and when it is deemed that a balance is uncollectible.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amounts of cash and cash equivalents, accounts receivable, accounts payable, accrued expenses, and employee-related liabilities are reasonable estimates of their fair values because of the short-term nature of these assets and liabilities. Short-term investments are carried at fair value.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convertible senior notes are carried at amortized cost on the condensed consolidated balance sheets (see Note 7, “Debt”). The Company measures the fair value of its convertible senior notes for disclosure purposes. The Company estimated the fair value of its convertible senior notes to be $265.9 million and $260.5 million at June 30, 2023 and December 31, 2022, respectively, based on Level 2 quoted market prices as of those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Operating Lease Right-of-Use Assets and Liabilities</w:t>
      </w:r>
    </w:p>
    <w:p>
      <w:pPr>
        <w:pStyle w:val="TextBody"/>
        <w:bidi w:val="0"/>
        <w:spacing w:lineRule="auto" w:line="288" w:before="200" w:after="283"/>
        <w:ind w:left="0" w:right="0" w:firstLine="900"/>
        <w:jc w:val="left"/>
        <w:rPr/>
      </w:pPr>
      <w:r>
        <w:rPr>
          <w:rFonts w:ascii="Times New Roman;sans-serif" w:hAnsi="Times New Roman;sans-serif"/>
          <w:b w:val="false"/>
          <w:color w:val="000000"/>
          <w:sz w:val="20"/>
        </w:rPr>
        <w:t xml:space="preserve">Operating lease right-of-use assets represent the Company’s right to use an underlying asset for the lease term and lease liabilities represent its obligation to make lease payments arising from the lease. Operating lease right-of-use assets and liabilities are recognized when the Company takes possession of the leased property (Commencement Date) based on the present value of lease payments over the lease term. For lease agreements entered into or reassessed after the adoption of ASC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the Company combines lease and non-lease components. Rent expense on noncancelable leases containing known future scheduled rent increases is recorded on a straight-line basis over the term of the respective leases beginning on the Commencement Date. The difference between rent expense and rent paid is accounted for as a component of operating lease right-of-use assets on the Company’s condensed consolidated balance sheets. Landlord improvement allowances and other similar lease incentives are recorded as a reduction of the right-of-use leased assets, and are amortized on a straight-line basis as a reduction to operating lease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ans-serif" w:hAnsi="Times New Roman;sans-serif"/>
          <w:b/>
          <w:i/>
          <w:color w:val="000000"/>
          <w:sz w:val="20"/>
        </w:rPr>
        <w:t>Intangible Assets Subject to Amortizatio</w:t>
      </w:r>
      <w:r>
        <w:rPr>
          <w:rFonts w:ascii="Times New Roman;sans-serif" w:hAnsi="Times New Roman;sans-serif"/>
          <w:b w:val="false"/>
          <w:i/>
          <w:color w:val="000000"/>
          <w:sz w:val="20"/>
        </w:rPr>
        <w:t>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Finite-lived intangible assets are recorded at cost, net of accumulated amortization and, if applicable, impairment charges. Amortization of finite-lived intangible assets is recognized over their estimated useful lives on a straight-line basis. The Company did not recognize any intangible asset impairment losses during the six months ended June 30,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Strategic Investments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holds equity investments totaling $10.1 million in two separate private companies, each of which represented less than 5% of the outstanding equity of the respective company as of the date of investment. The investments are carried at cost minus impairment, if any, adjusted for changes in observable prices. The investments were included as a component of other long-term assets on the condensed consolidated balance sheets. The Company monitors these investments to evaluate whether a decline in value has occurred based on the implied value of recent company financings, public market prices of comparable companies and general market conditions.</w:t>
      </w:r>
    </w:p>
    <w:p>
      <w:pPr>
        <w:pStyle w:val="TextBody"/>
        <w:bidi w:val="0"/>
        <w:spacing w:before="0" w:after="0"/>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Revenue is generated primarily from sales of insulin pumps, disposable insulin cartridges and infusion sets to individual customers with third-party insurance coverage and through a network of distributors that resell the products to insulin-dependent diabetes customers. The Company recognizes revenue when it transfers control of the promised goods or services to customers in an amount that reflects the consideration to which the Company expects to be entitled in exchange for those goods or services, net of estimated returns.</w:t>
      </w:r>
    </w:p>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 for Arrangements with Multiple Performance Obligations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the individual deliverables in its product offering to be separate performance obligations. The transaction price is determined based on the consideration expected to be received, based either on the stated value in contractual arrangements or the estimated cash to be collected in non-contracted arrangements. The Company allocates the consideration to the individual performance obligations and recognizes the consideration based on when the performance obligation is satisfied, considering whether or not this occurs at a point in time or over time. Generally, insulin pumps, cartridges, infusion sets, and accessories are deemed performance obligations that are satisfied at a point in time when the customer obtains control of the promised good, which typically is upon shipment for our distributor arrangements and upon receipt for sales directly to individual customers. Complementary products, such as t:connect, Tandem Source and the Tandem Device Updater, are considered distinct performance obligations that are satisfied over time, as access and support for these products is provided throughout the typical four-year warranty period of the insulin pumps. Accordingly, revenue related to the complementary products is deferred and recognized over a four-year period. Where there is no standalone value for the complementary product, the Company determines its value by applying the expected cost plus a margin approach and then allocates the residual to the insulin pumps.</w:t>
      </w:r>
    </w:p>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 for Tandem Choice Program</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2022, the Company launched a new technology access program referred to as Tandem Choice, that provides eligible, in-warranty t:slim X2 customers in the United States with the flexibility to obtain the newest hardware platform, Tandem Mobi, when it becomes commercially available. Participating customers have the right to purchase the alternative Tandem pump for a fee, referred to as Choice Right. Tandem Choice expires on December 31, 2024.</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For purposes of evaluating Tandem Choice in accordance with ASC 606, the Company has determined that the ability for a customer to upgrade to a new technology represents a material right because the pricing inherent in such option provides the customer with a discount that is incremental to the range of discounts that would otherwise be granted for the related goods and services to comparable customers. The standalone selling price for the Choice Right was estimated based on the adjusted market assessment approach and contemplated the likelihood that the respective option will be exercised. At June 30, 2023 and December 31, 2022, $10.5 million and $6.8 million, respectively, were allocated to the material right provided to customers and recorded in current deferred revenue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Warranty Reserve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generally provides a four-year warranty on its insulin pumps to end-user customers and may replace any pumps that do not function as intended in accordance with the product specifications within the warranty period. Additionally, the Company offers a six-month warranty on disposable insulin cartridges and infusion sets. Estimated warranty costs are recorded at the time of shipment, and the Company reevaluates the estimate of the warranty reserve obligation at each reporting period. Warranty costs are estimated primarily based on the current expected product replacement cost and expected replacement rates using historical experience. Insulin pumps returned to the Company may be refurbished and redeployed. Experience has shown that initial data for any given pump version may be insufficient; therefore, the Company’s process relies on long-term historical averages until sufficient data are available. As actual experience becomes available, the Company uses the data to update the historical averages. The Company may make further adjustments to the warranty reserve when deemed appropriate, giving additional consideration to revised future expectations of performance based on enhanced hardware components, or new features and capabilities that may become available through Tandem Device Updater. Warranty expense is recorded as a component of cost of sales in the condensed consolidated statements of operations.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changes in product warranty liabilities for the three and six months ended June 30, 2023 and 2022 (in thousands):</w:t>
      </w:r>
    </w:p>
    <w:tbl>
      <w:tblPr>
        <w:tblW w:w="9490" w:type="dxa"/>
        <w:jc w:val="left"/>
        <w:tblInd w:w="0" w:type="dxa"/>
        <w:tblLayout w:type="fixed"/>
        <w:tblCellMar>
          <w:top w:w="28" w:type="dxa"/>
          <w:left w:w="28" w:type="dxa"/>
          <w:bottom w:w="28" w:type="dxa"/>
          <w:right w:w="28" w:type="dxa"/>
        </w:tblCellMar>
      </w:tblPr>
      <w:tblGrid>
        <w:gridCol w:w="1467"/>
        <w:gridCol w:w="1289"/>
        <w:gridCol w:w="1293"/>
        <w:gridCol w:w="214"/>
        <w:gridCol w:w="732"/>
        <w:gridCol w:w="110"/>
        <w:gridCol w:w="110"/>
        <w:gridCol w:w="110"/>
        <w:gridCol w:w="110"/>
        <w:gridCol w:w="214"/>
        <w:gridCol w:w="732"/>
        <w:gridCol w:w="110"/>
        <w:gridCol w:w="109"/>
        <w:gridCol w:w="109"/>
        <w:gridCol w:w="109"/>
        <w:gridCol w:w="211"/>
        <w:gridCol w:w="721"/>
        <w:gridCol w:w="109"/>
        <w:gridCol w:w="109"/>
        <w:gridCol w:w="109"/>
        <w:gridCol w:w="109"/>
        <w:gridCol w:w="211"/>
        <w:gridCol w:w="721"/>
        <w:gridCol w:w="109"/>
        <w:gridCol w:w="109"/>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the period</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warranties issued during the period</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 made during the period</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(decreases) in warranty estimates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the period</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total product warranty reserves were included in the following condensed consolidated balance sheet accounts (in thousands):</w:t>
      </w:r>
    </w:p>
    <w:tbl>
      <w:tblPr>
        <w:tblW w:w="5307" w:type="dxa"/>
        <w:jc w:val="left"/>
        <w:tblInd w:w="0" w:type="dxa"/>
        <w:tblLayout w:type="fixed"/>
        <w:tblCellMar>
          <w:top w:w="28" w:type="dxa"/>
          <w:left w:w="28" w:type="dxa"/>
          <w:bottom w:w="28" w:type="dxa"/>
          <w:right w:w="28" w:type="dxa"/>
        </w:tblCellMar>
      </w:tblPr>
      <w:tblGrid>
        <w:gridCol w:w="809"/>
        <w:gridCol w:w="712"/>
        <w:gridCol w:w="714"/>
        <w:gridCol w:w="234"/>
        <w:gridCol w:w="800"/>
        <w:gridCol w:w="121"/>
        <w:gridCol w:w="109"/>
        <w:gridCol w:w="109"/>
        <w:gridCol w:w="109"/>
        <w:gridCol w:w="309"/>
        <w:gridCol w:w="1056"/>
        <w:gridCol w:w="225"/>
      </w:tblGrid>
      <w:tr>
        <w:trPr/>
        <w:tc>
          <w:tcPr>
            <w:tcW w:w="8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warranty reserve</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36,537 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Company’s stock incentive plans, and the fair value of the employees’ purchase rights under the Company’s Employee Stock Purchase Plan (ESPP), using the Black-Scholes option-pricing model on the date of grant. The Black-Scholes option-pricing model requires the use of assumptions about a number of variables, including stock price volatility, expected term, dividend yield and risk-free interest rate (see Note 8, “Stockholders’ Equity”). The fair value of restricted stock unit (RSU) awards issued under the Company’s stock incentive plans that vest solely based on service, is estimated based on the fair market value of the underlying stock on the date of grant. The fair value of RSU awards that vest based upon the Company’s actual performance relative to predefined performance metrics, and the awardee’s continuing service through the measurement date, is estimated based on the fair market value of the underlying stock on the date of grant and the probability that the specified performance criteria will be met. At each reporting period, the Company reassesses the probability of the achievement of such performance metrics. Any expense change resulting from an adjustment in the estimated shares to be released is recorded in the period of adjustment.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Net Income (Loss) Per Share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income (loss) per share is calculated by dividing the net income or loss by the weighted average number of common shares outstanding for the period, without consideration for common stock equivalents. Diluted net income (loss) per share reflects the potential dilution that would occur if securities exercisable for or convertible into common stock were exercised for or converted into common stock. Dilutive common share equivalents are comprised of stock options and unvested RSUs outstanding under the Company’s stock plans, potential awards to be granted pursuant to the ESPP, and common stock warrants, each calculated using the treasury stock method; and shares issuable upon conversion of the convertible senior notes calculated using the if-converted method.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2023, there was no difference in the weighted average number of shares used to calculate basic and diluted net loss per share due to the Company’s net loss position for each of the periods presented. For the three and six months ended June 30, 2022, the net loss used in the calculation of diluted net loss per share was increased by $57,000 and $91,000, respectively, to remove the gain recognized from the change in fair value of certain common stock warrants based on the dilutive effect of assumed exercise, and the denominator was increased by 958 shares and 965 shares, respectively, calculated under the treasury stock method.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Potentially dilutive securities outstanding and not included in the calculation of diluted net loss per share (because inclusion would be anti-dilutive) are as follows (in thousands, in common stock equivalent shares):</w:t>
      </w:r>
    </w:p>
    <w:tbl>
      <w:tblPr>
        <w:tblW w:w="8598" w:type="dxa"/>
        <w:jc w:val="left"/>
        <w:tblInd w:w="0" w:type="dxa"/>
        <w:tblLayout w:type="fixed"/>
        <w:tblCellMar>
          <w:top w:w="28" w:type="dxa"/>
          <w:left w:w="28" w:type="dxa"/>
          <w:bottom w:w="28" w:type="dxa"/>
          <w:right w:w="28" w:type="dxa"/>
        </w:tblCellMar>
      </w:tblPr>
      <w:tblGrid>
        <w:gridCol w:w="1182"/>
        <w:gridCol w:w="1042"/>
        <w:gridCol w:w="1046"/>
        <w:gridCol w:w="335"/>
        <w:gridCol w:w="281"/>
        <w:gridCol w:w="195"/>
        <w:gridCol w:w="195"/>
        <w:gridCol w:w="195"/>
        <w:gridCol w:w="195"/>
        <w:gridCol w:w="336"/>
        <w:gridCol w:w="280"/>
        <w:gridCol w:w="195"/>
        <w:gridCol w:w="109"/>
        <w:gridCol w:w="109"/>
        <w:gridCol w:w="109"/>
        <w:gridCol w:w="327"/>
        <w:gridCol w:w="289"/>
        <w:gridCol w:w="248"/>
        <w:gridCol w:w="248"/>
        <w:gridCol w:w="248"/>
        <w:gridCol w:w="248"/>
        <w:gridCol w:w="427"/>
        <w:gridCol w:w="248"/>
        <w:gridCol w:w="248"/>
        <w:gridCol w:w="109"/>
        <w:gridCol w:w="154"/>
      </w:tblGrid>
      <w:tr>
        <w:trPr/>
        <w:tc>
          <w:tcPr>
            <w:tcW w:w="118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units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to purchase common stock</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granted under the ESPP</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(if-converted)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4,975 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4,579 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4,847 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3. Short-Term Investments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invests in marketable securities primarily consisting of debt instruments of the U.S. Government, U.S. Government-sponsored enterprises, and financial institutions and corporations with strong credit ratings. The following represents a summary of the estimated fair value of short-term investments at June 30, 2023 and December 31, 2022 (in thousands):</w:t>
      </w:r>
    </w:p>
    <w:tbl>
      <w:tblPr>
        <w:tblW w:w="9902" w:type="dxa"/>
        <w:jc w:val="left"/>
        <w:tblInd w:w="0" w:type="dxa"/>
        <w:tblLayout w:type="fixed"/>
        <w:tblCellMar>
          <w:top w:w="28" w:type="dxa"/>
          <w:left w:w="28" w:type="dxa"/>
          <w:bottom w:w="28" w:type="dxa"/>
          <w:right w:w="28" w:type="dxa"/>
        </w:tblCellMar>
      </w:tblPr>
      <w:tblGrid>
        <w:gridCol w:w="1189"/>
        <w:gridCol w:w="1051"/>
        <w:gridCol w:w="1059"/>
        <w:gridCol w:w="109"/>
        <w:gridCol w:w="109"/>
        <w:gridCol w:w="109"/>
        <w:gridCol w:w="109"/>
        <w:gridCol w:w="211"/>
        <w:gridCol w:w="826"/>
        <w:gridCol w:w="109"/>
        <w:gridCol w:w="109"/>
        <w:gridCol w:w="109"/>
        <w:gridCol w:w="109"/>
        <w:gridCol w:w="522"/>
        <w:gridCol w:w="632"/>
        <w:gridCol w:w="271"/>
        <w:gridCol w:w="109"/>
        <w:gridCol w:w="109"/>
        <w:gridCol w:w="109"/>
        <w:gridCol w:w="297"/>
        <w:gridCol w:w="974"/>
        <w:gridCol w:w="153"/>
        <w:gridCol w:w="109"/>
        <w:gridCol w:w="109"/>
        <w:gridCol w:w="109"/>
        <w:gridCol w:w="211"/>
        <w:gridCol w:w="826"/>
        <w:gridCol w:w="154"/>
      </w:tblGrid>
      <w:tr>
        <w:trPr/>
        <w:tc>
          <w:tcPr>
            <w:tcW w:w="118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At June 30, 2023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w:t>
              <w:br/>
              <w:t>Fair Value</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enterprises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tbl>
      <w:tblPr>
        <w:tblW w:w="9902" w:type="dxa"/>
        <w:jc w:val="left"/>
        <w:tblInd w:w="0" w:type="dxa"/>
        <w:tblLayout w:type="fixed"/>
        <w:tblCellMar>
          <w:top w:w="28" w:type="dxa"/>
          <w:left w:w="28" w:type="dxa"/>
          <w:bottom w:w="28" w:type="dxa"/>
          <w:right w:w="28" w:type="dxa"/>
        </w:tblCellMar>
      </w:tblPr>
      <w:tblGrid>
        <w:gridCol w:w="1195"/>
        <w:gridCol w:w="1050"/>
        <w:gridCol w:w="1054"/>
        <w:gridCol w:w="109"/>
        <w:gridCol w:w="109"/>
        <w:gridCol w:w="109"/>
        <w:gridCol w:w="109"/>
        <w:gridCol w:w="211"/>
        <w:gridCol w:w="826"/>
        <w:gridCol w:w="109"/>
        <w:gridCol w:w="109"/>
        <w:gridCol w:w="109"/>
        <w:gridCol w:w="109"/>
        <w:gridCol w:w="441"/>
        <w:gridCol w:w="755"/>
        <w:gridCol w:w="229"/>
        <w:gridCol w:w="109"/>
        <w:gridCol w:w="109"/>
        <w:gridCol w:w="109"/>
        <w:gridCol w:w="297"/>
        <w:gridCol w:w="974"/>
        <w:gridCol w:w="153"/>
        <w:gridCol w:w="109"/>
        <w:gridCol w:w="109"/>
        <w:gridCol w:w="109"/>
        <w:gridCol w:w="211"/>
        <w:gridCol w:w="826"/>
        <w:gridCol w:w="154"/>
      </w:tblGrid>
      <w:tr>
        <w:trPr/>
        <w:tc>
          <w:tcPr>
            <w:tcW w:w="119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At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w:t>
              <w:br/>
              <w:t>Fair Value</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enterprises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Supranational bonds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447,241 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444,384 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contractual maturities of available-for-sale debt securities as of June 30, 2023, were as follows (in thousands):</w:t>
      </w:r>
    </w:p>
    <w:tbl>
      <w:tblPr>
        <w:tblW w:w="8662" w:type="dxa"/>
        <w:jc w:val="left"/>
        <w:tblInd w:w="0" w:type="dxa"/>
        <w:tblLayout w:type="fixed"/>
        <w:tblCellMar>
          <w:top w:w="28" w:type="dxa"/>
          <w:left w:w="28" w:type="dxa"/>
          <w:bottom w:w="28" w:type="dxa"/>
          <w:right w:w="28" w:type="dxa"/>
        </w:tblCellMar>
      </w:tblPr>
      <w:tblGrid>
        <w:gridCol w:w="1190"/>
        <w:gridCol w:w="1050"/>
        <w:gridCol w:w="1060"/>
        <w:gridCol w:w="262"/>
        <w:gridCol w:w="1027"/>
        <w:gridCol w:w="135"/>
        <w:gridCol w:w="109"/>
        <w:gridCol w:w="109"/>
        <w:gridCol w:w="109"/>
        <w:gridCol w:w="304"/>
        <w:gridCol w:w="1039"/>
        <w:gridCol w:w="157"/>
        <w:gridCol w:w="109"/>
        <w:gridCol w:w="109"/>
        <w:gridCol w:w="109"/>
        <w:gridCol w:w="316"/>
        <w:gridCol w:w="1238"/>
        <w:gridCol w:w="230"/>
      </w:tblGrid>
      <w:tr>
        <w:trPr/>
        <w:tc>
          <w:tcPr>
            <w:tcW w:w="119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At June 30, 2023</w:t>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Within One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One to Two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Fair Value</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enterprises</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102,060 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50,556 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152,616 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90,381 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98,347 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115,048 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115,048 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317,973 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58,522 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376,495 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0"/>
        <w:jc w:val="left"/>
        <w:rPr/>
      </w:pPr>
      <w:r>
        <w:rPr/>
      </w:r>
    </w:p>
    <w:p>
      <w:pPr>
        <w:pStyle w:val="TextBody"/>
        <w:bidi w:val="0"/>
        <w:spacing w:lineRule="auto" w:line="276"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classified all marketable securities, regardless of maturity, as short-term investments based upon the Company’s ability and intent to use any of those marketable securities to satisfy the Company’s liquidity requirements.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reviews the portfolio of available-for-sale debt securities quarterly to determine if any investment is impaired due to changes in credit risk or other potential valuation concerns. Unrealized losses on available-for-sale debt securities at June 30, 2023 were primarily due to the recent increases in market interest rates. The Company does not intend to sell the available-for-sale debt securities that are in an unrealized loss position, and it is not more likely than not that the Company will be required to sell these debt securities before recovery of their amortized cost bases, which may be at maturity. Based on the credit quality of the available-for-sale debt securities in an unrealized loss position, and the Company’s estimates of future cash flows to be collected from those securities, the Company believes the unrealized losses are not credit losses. Accordingly, the Company did not record an allowance for credit losses related to its available-for-sale debt securities at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4. Composition of Certain Financial Statement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consisted of the following at June 30, 2023 and December 31, 2022 (in thousands):</w:t>
      </w:r>
    </w:p>
    <w:tbl>
      <w:tblPr>
        <w:tblW w:w="5379" w:type="dxa"/>
        <w:jc w:val="left"/>
        <w:tblInd w:w="0" w:type="dxa"/>
        <w:tblLayout w:type="fixed"/>
        <w:tblCellMar>
          <w:top w:w="28" w:type="dxa"/>
          <w:left w:w="28" w:type="dxa"/>
          <w:bottom w:w="28" w:type="dxa"/>
          <w:right w:w="28" w:type="dxa"/>
        </w:tblCellMar>
      </w:tblPr>
      <w:tblGrid>
        <w:gridCol w:w="984"/>
        <w:gridCol w:w="864"/>
        <w:gridCol w:w="867"/>
        <w:gridCol w:w="211"/>
        <w:gridCol w:w="826"/>
        <w:gridCol w:w="109"/>
        <w:gridCol w:w="109"/>
        <w:gridCol w:w="109"/>
        <w:gridCol w:w="109"/>
        <w:gridCol w:w="211"/>
        <w:gridCol w:w="826"/>
        <w:gridCol w:w="154"/>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Allowance for Credit Losses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changes in the allowance for estimated accounts receivable credit losses for the three and six months ended June 30, 2023 and 2022 (in thousands):</w:t>
      </w:r>
    </w:p>
    <w:tbl>
      <w:tblPr>
        <w:tblW w:w="8738" w:type="dxa"/>
        <w:jc w:val="left"/>
        <w:tblInd w:w="0" w:type="dxa"/>
        <w:tblLayout w:type="fixed"/>
        <w:tblCellMar>
          <w:top w:w="28" w:type="dxa"/>
          <w:left w:w="28" w:type="dxa"/>
          <w:bottom w:w="28" w:type="dxa"/>
          <w:right w:w="28" w:type="dxa"/>
        </w:tblCellMar>
      </w:tblPr>
      <w:tblGrid>
        <w:gridCol w:w="1347"/>
        <w:gridCol w:w="1184"/>
        <w:gridCol w:w="1188"/>
        <w:gridCol w:w="211"/>
        <w:gridCol w:w="616"/>
        <w:gridCol w:w="109"/>
        <w:gridCol w:w="109"/>
        <w:gridCol w:w="109"/>
        <w:gridCol w:w="109"/>
        <w:gridCol w:w="211"/>
        <w:gridCol w:w="616"/>
        <w:gridCol w:w="109"/>
        <w:gridCol w:w="109"/>
        <w:gridCol w:w="109"/>
        <w:gridCol w:w="109"/>
        <w:gridCol w:w="214"/>
        <w:gridCol w:w="626"/>
        <w:gridCol w:w="110"/>
        <w:gridCol w:w="110"/>
        <w:gridCol w:w="110"/>
        <w:gridCol w:w="110"/>
        <w:gridCol w:w="214"/>
        <w:gridCol w:w="626"/>
        <w:gridCol w:w="110"/>
        <w:gridCol w:w="109"/>
        <w:gridCol w:w="154"/>
      </w:tblGrid>
      <w:tr>
        <w:trPr/>
        <w:tc>
          <w:tcPr>
            <w:tcW w:w="134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expected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 and adjustments, net of recoveries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the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4,842 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Inventories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consisted of the following at June 30, 2023 and December 31, 2022 (in thousands):</w:t>
      </w:r>
    </w:p>
    <w:tbl>
      <w:tblPr>
        <w:tblW w:w="4179" w:type="dxa"/>
        <w:jc w:val="left"/>
        <w:tblInd w:w="0" w:type="dxa"/>
        <w:tblLayout w:type="fixed"/>
        <w:tblCellMar>
          <w:top w:w="28" w:type="dxa"/>
          <w:left w:w="28" w:type="dxa"/>
          <w:bottom w:w="28" w:type="dxa"/>
          <w:right w:w="28" w:type="dxa"/>
        </w:tblCellMar>
      </w:tblPr>
      <w:tblGrid>
        <w:gridCol w:w="548"/>
        <w:gridCol w:w="481"/>
        <w:gridCol w:w="486"/>
        <w:gridCol w:w="211"/>
        <w:gridCol w:w="826"/>
        <w:gridCol w:w="109"/>
        <w:gridCol w:w="109"/>
        <w:gridCol w:w="109"/>
        <w:gridCol w:w="109"/>
        <w:gridCol w:w="211"/>
        <w:gridCol w:w="82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5. Fair Value Measurements</w:t>
      </w:r>
    </w:p>
    <w:p>
      <w:pPr>
        <w:pStyle w:val="TextBody"/>
        <w:bidi w:val="0"/>
        <w:spacing w:lineRule="auto" w:line="276"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Authoritative guidance on fair value measurements defines fair value, and provides a consistent framework for measuring fair value and for disclosures of each major asset and liability category measured at fair value on either a recurring or a nonrecurring basis. Fair value is intended to reflect an assumed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authoritative guidance establishes a three-tier fair value hierarchy, which prioritizes the inputs used in measuring fair value as follows:</w:t>
      </w:r>
    </w:p>
    <w:tbl>
      <w:tblPr>
        <w:tblW w:w="10205" w:type="dxa"/>
        <w:jc w:val="left"/>
        <w:tblInd w:w="0" w:type="dxa"/>
        <w:tblLayout w:type="fixed"/>
        <w:tblCellMar>
          <w:top w:w="28" w:type="dxa"/>
          <w:left w:w="28" w:type="dxa"/>
          <w:bottom w:w="28" w:type="dxa"/>
          <w:right w:w="28" w:type="dxa"/>
        </w:tblCellMar>
      </w:tblPr>
      <w:tblGrid>
        <w:gridCol w:w="275"/>
        <w:gridCol w:w="242"/>
        <w:gridCol w:w="244"/>
        <w:gridCol w:w="109"/>
        <w:gridCol w:w="109"/>
        <w:gridCol w:w="109"/>
        <w:gridCol w:w="2692"/>
        <w:gridCol w:w="2659"/>
        <w:gridCol w:w="3766"/>
      </w:tblGrid>
      <w:tr>
        <w:trPr/>
        <w:tc>
          <w:tcPr>
            <w:tcW w:w="2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Observable inputs such as unadjusted quoted prices in active markets that are accessible at the measurement date for identical, unrestricted assets or liabilities.</w:t>
            </w:r>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Inputs, other than quoted prices in active markets, that are observable either directly or indirectly for substantially the full term of the asset or liability.</w:t>
            </w:r>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Unobservable inputs in which there is little or no market data and that are significant to the fair value of the assets or liabilities, which require the reporting entity to develop its own valuation techniques that require input assumptions.</w:t>
            </w:r>
          </w:p>
        </w:tc>
      </w:tr>
    </w:tbl>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about the Company’s financial assets and liabilities measured at fair value on a recurring basis as of June 30, 2023 and December 31, 2022, and indicates the fair value hierarchy of the valuation techniques used by the Company to determine such fair value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tbl>
      <w:tblPr>
        <w:tblW w:w="8490" w:type="dxa"/>
        <w:jc w:val="left"/>
        <w:tblInd w:w="0" w:type="dxa"/>
        <w:tblLayout w:type="fixed"/>
        <w:tblCellMar>
          <w:top w:w="28" w:type="dxa"/>
          <w:left w:w="28" w:type="dxa"/>
          <w:bottom w:w="28" w:type="dxa"/>
          <w:right w:w="28" w:type="dxa"/>
        </w:tblCellMar>
      </w:tblPr>
      <w:tblGrid>
        <w:gridCol w:w="1190"/>
        <w:gridCol w:w="1047"/>
        <w:gridCol w:w="106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406"/>
        <w:gridCol w:w="154"/>
      </w:tblGrid>
      <w:tr>
        <w:trPr/>
        <w:tc>
          <w:tcPr>
            <w:tcW w:w="119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Fair Value Measurements at</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Cash equivalents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enterprises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8490" w:type="dxa"/>
        <w:jc w:val="left"/>
        <w:tblInd w:w="0" w:type="dxa"/>
        <w:tblLayout w:type="fixed"/>
        <w:tblCellMar>
          <w:top w:w="28" w:type="dxa"/>
          <w:left w:w="28" w:type="dxa"/>
          <w:bottom w:w="28" w:type="dxa"/>
          <w:right w:w="28" w:type="dxa"/>
        </w:tblCellMar>
      </w:tblPr>
      <w:tblGrid>
        <w:gridCol w:w="1190"/>
        <w:gridCol w:w="1047"/>
        <w:gridCol w:w="106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406"/>
        <w:gridCol w:w="154"/>
      </w:tblGrid>
      <w:tr>
        <w:trPr/>
        <w:tc>
          <w:tcPr>
            <w:tcW w:w="119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Measurements at</w:t>
              <w:br/>
              <w:t>December 31, 2022</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Cash equivalents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enterprises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Supranational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361,903 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(1)Generally, cash equivalents include money market funds and investments with a maturity of three months or less from the date of purchase.</w:t>
      </w: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6. Leases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leases consist of operating leases for general office space, research and development, manufacturing and warehouse facilities, and equipment. These noncancellable operating leases have initial lease terms from two years to thirteen years. Leases with an initial term of 12 months or less (Short-term Lease) are expensed as incurred and are not recorded as right-of-use leased assets on the Company’s condensed consolidated balance sheets. The Company is required to recognize operating lease right-of-use assets and liabilities, and begin recording lease expense when the Company takes possession of the leased property (Commencement Date). The Company recognizes lease expense for these leases on a straight-line basis over the lease term. Because the Company’s leases do not provide an implicit interest rate, the Company uses its incremental borrowing rate based on the information available at the lease Commencement Date to determine the operating lease right-of-use assets and liabilities based on the present value of future lease payments over the lease term.</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leases include an option to renew, with renewal terms that can extend the lease term for additional periods. The exercise of lease renewal options is at the Company’s sole discretion. For renewal options that are reasonably certain at the lease Commencement Date of being exercised, the Company includes the renewal option period in the lease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Headquarters Lease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2021, the Company entered into a lease agreement for 181,949 square feet of general administrative, laboratory, and research and development office space (the Premises) located on High Bluff Drive in San Diego, California (Headquarters Lease), formerly referred to as the Tech Center Lease. Possession of the Premises will be tendered to the Company by the landlord in two phases, with Phase I consisting of 143,850 rentable square feet, and Phase II consisting of 38,099 rentable square feet. The Headquarters Lease also includes a first right of offer with respect to an additional 34,569 rentable square feet of general office space should the space become available.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Phase I Commencement Date occurred in March 2022 when the Company was tendered possession of the Phase I portion of the Premises, and rent payments commenced in September 2022 (Phase I Rent Commencement Date). The Phase II Commencement Date is expected to occur upon the earlier of (i) the date upon which the Company first commences business in the Phase II portion of the Premises, and (ii) May 1, 2025 (Phase II Rent Commencement Date). The Headquarters Lease term expires in April 2035. The Company has two options to extend the term of the lease, with each option providing for an additional period of five years. The Headquarters Lease term was determined assuming the renewal options would not be exercised.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initial base rent for the Headquarters Lease is approximately $906,000 per month beginning on the Phase I Rent Commencement Date, and the base rent increases by approximately $255,000 per month on the Phase II Rent Commencement Date. The monthly base rent will increase by 3.0% on each annual anniversary of the respective Rent Commencement Date. In addition to the monthly base rent, the Company is required to pay its proportionate share of certain ongoing operating expenses throughout the duration of the lease. No base rent, other than the proportionate share of operating expenses, will be due for the Phase I portion of the Premises for months two through nine following the Phase I Rent Commencement Date, and for the Phase II portion of the Premises for months two through five following the Phase II Rent Commencement Date. The Company recognized operating lease right-of-use assets and corresponding operating lease liabilities of $107.5 million on the condensed consolidated balance sheet on the Phase I Commencement Date in the first quarter of 2022.</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2023, the Company began using Phase I of the Headquarters Lease for operations that previously occupied 77,458 square feet of leased space located on Roselle Street (Roselle leases) in San Diego, California. The Roselle leases expired in May 2023. Also in the second quarter of 2023, the Company relocated operations that occupied 73,929 square feet of leased space on Vista Sorrento Parkway in San Diego, California (Vista Sorrento Lease) to the new Headquarters Lease location.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Operating Lease Impairment Charge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2023, the Company consolidated facilities by moving the administrative functions and other operations from the Vista Sorrento Lease facility to the new Headquarters Lease location. In connection with permanently ceasing use of the Vista Sorrento facility, the Company recorded a $14.1 million impairment charge as the carrying amount of the assets related to the Vista Sorrento Lease exceeded its fair value based on the Company’s estimate of future discounted cash flows related to the leased facility. Estimates used to determine the present value of future cash flows over the remaining lease term included projected sublease income and a discount rate. The $14.1 million charge was comprised of an $11.2 million impairment of operating lease right-of-use assets and a $2.9 million write-off of fixed assets consisting primarily of leasehold improvements, and was recorded as a component of selling, general and administrative expenses in the condensed consolidated statements of operations.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Supplemental Lease Disclosure Information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lease costs recorded in the condensed consolidated statements of operations were as follows (in thousands):</w:t>
      </w:r>
    </w:p>
    <w:p>
      <w:pPr>
        <w:pStyle w:val="TextBody"/>
        <w:bidi w:val="0"/>
        <w:spacing w:before="0" w:after="0"/>
        <w:ind w:left="0" w:right="0" w:firstLine="900"/>
        <w:jc w:val="left"/>
        <w:rPr/>
      </w:pPr>
      <w:r>
        <w:rPr/>
      </w:r>
    </w:p>
    <w:tbl>
      <w:tblPr>
        <w:tblW w:w="8470" w:type="dxa"/>
        <w:jc w:val="left"/>
        <w:tblInd w:w="0" w:type="dxa"/>
        <w:tblLayout w:type="fixed"/>
        <w:tblCellMar>
          <w:top w:w="28" w:type="dxa"/>
          <w:left w:w="28" w:type="dxa"/>
          <w:bottom w:w="28" w:type="dxa"/>
          <w:right w:w="28" w:type="dxa"/>
        </w:tblCellMar>
      </w:tblPr>
      <w:tblGrid>
        <w:gridCol w:w="1134"/>
        <w:gridCol w:w="997"/>
        <w:gridCol w:w="1004"/>
        <w:gridCol w:w="224"/>
        <w:gridCol w:w="765"/>
        <w:gridCol w:w="115"/>
        <w:gridCol w:w="115"/>
        <w:gridCol w:w="115"/>
        <w:gridCol w:w="115"/>
        <w:gridCol w:w="224"/>
        <w:gridCol w:w="653"/>
        <w:gridCol w:w="115"/>
        <w:gridCol w:w="109"/>
        <w:gridCol w:w="109"/>
        <w:gridCol w:w="109"/>
        <w:gridCol w:w="211"/>
        <w:gridCol w:w="721"/>
        <w:gridCol w:w="109"/>
        <w:gridCol w:w="109"/>
        <w:gridCol w:w="109"/>
        <w:gridCol w:w="109"/>
        <w:gridCol w:w="211"/>
        <w:gridCol w:w="616"/>
        <w:gridCol w:w="109"/>
        <w:gridCol w:w="109"/>
        <w:gridCol w:w="154"/>
      </w:tblGrid>
      <w:tr>
        <w:trPr/>
        <w:tc>
          <w:tcPr>
            <w:tcW w:w="113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 impairment charge</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15,647 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5,098 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operating lease liabilities at June 30, 2023 were as follows (in thousands):</w:t>
      </w:r>
    </w:p>
    <w:tbl>
      <w:tblPr>
        <w:tblW w:w="5301" w:type="dxa"/>
        <w:jc w:val="left"/>
        <w:tblInd w:w="0" w:type="dxa"/>
        <w:tblLayout w:type="fixed"/>
        <w:tblCellMar>
          <w:top w:w="28" w:type="dxa"/>
          <w:left w:w="28" w:type="dxa"/>
          <w:bottom w:w="28" w:type="dxa"/>
          <w:right w:w="28" w:type="dxa"/>
        </w:tblCellMar>
      </w:tblPr>
      <w:tblGrid>
        <w:gridCol w:w="1489"/>
        <w:gridCol w:w="1308"/>
        <w:gridCol w:w="1313"/>
        <w:gridCol w:w="211"/>
        <w:gridCol w:w="826"/>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Years Ending December 31,</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lease payments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representing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operating lease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long-term</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118,400 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900"/>
        <w:jc w:val="left"/>
        <w:rPr>
          <w:rFonts w:ascii="Times New Roman;sans-serif" w:hAnsi="Times New Roman;sans-serif"/>
          <w:b w:val="false"/>
          <w:color w:val="212529"/>
          <w:sz w:val="20"/>
        </w:rPr>
      </w:pPr>
      <w:r>
        <w:rPr>
          <w:rFonts w:ascii="Times New Roman;sans-serif" w:hAnsi="Times New Roman;sans-serif"/>
          <w:b w:val="false"/>
          <w:color w:val="212529"/>
          <w:sz w:val="20"/>
        </w:rPr>
        <w:t>The weighted-average remaining lease term and weighted-average discount rate for operating leases were as follows:</w:t>
      </w:r>
    </w:p>
    <w:tbl>
      <w:tblPr>
        <w:tblW w:w="9355" w:type="dxa"/>
        <w:jc w:val="left"/>
        <w:tblInd w:w="0" w:type="dxa"/>
        <w:tblLayout w:type="fixed"/>
        <w:tblCellMar>
          <w:top w:w="28" w:type="dxa"/>
          <w:left w:w="28" w:type="dxa"/>
          <w:bottom w:w="28" w:type="dxa"/>
          <w:right w:w="28" w:type="dxa"/>
        </w:tblCellMar>
      </w:tblPr>
      <w:tblGrid>
        <w:gridCol w:w="2278"/>
        <w:gridCol w:w="1999"/>
        <w:gridCol w:w="2007"/>
        <w:gridCol w:w="257"/>
        <w:gridCol w:w="257"/>
        <w:gridCol w:w="640"/>
        <w:gridCol w:w="109"/>
        <w:gridCol w:w="109"/>
        <w:gridCol w:w="109"/>
        <w:gridCol w:w="323"/>
        <w:gridCol w:w="323"/>
        <w:gridCol w:w="944"/>
      </w:tblGrid>
      <w:tr>
        <w:trPr/>
        <w:tc>
          <w:tcPr>
            <w:tcW w:w="2278"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(in years)</w:t>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used to determine operating lease liabilities</w:t>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 representing operating cash flows from operating leases, was $4.4 million and $5.9 million for the six months ended June 30, 2023 and 2022, respectively.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Lease For Which Accounting Has Not Yet Commenced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Phase II Commencement Date for the Headquarters Lease had not yet occurred. Accordingly, the condensed consolidated balance sheet at June 30, 2023 does not include operating lease right-of-use assets and operating lease liabilities, and the condensed consolidated statements of operations for the three and six months ended June 30, 2023 and 2022 do not include any lease costs, related to Phase II of the Headquarters Lease. In addition, the above disclosures of the Company’s lease costs, maturities of operating lease liabilities, weighted-average remaining lease term, and weighted-average discount rate do not include any amounts related to Phase II of the Headquarters Lease.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currently estimates that Phase II Commencement Date will occur in the first quarter of 2025, at which time the Phase II operating lease right-of-use assets and liabilities will be recorded. Future minimum payments for monthly base rent due under Phase II of the Headquarters Lease, are currently estimated to be $34.7 million in total from 2025 through 2035, subject to the actual Phase II Commencement Date. Because the incremental borrowing rate will not be available until the Phase II Commencement Date, we are not yet able to determine the Phase II operating lease right-of-use assets and liabilities.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7. Debt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Convertible Senior Notes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May 2020, the Company entered into a purchase agreement with certain counterparties for the sale of an aggregate of $287.5 million principal amount of 1.50% Convertible Senior Notes due 2025 (Notes) in a private offering to qualified institutional buyers pursuant to Rule 144A under the Securities Act of 1933, as amended. The proceeds from the issuance of the Notes were $244.6 million, net of debt issuance costs and cash used to pay the cost of the capped call transactions (Capped Call Transactions) discussed below.</w:t>
      </w:r>
    </w:p>
    <w:p>
      <w:pPr>
        <w:pStyle w:val="TextBody"/>
        <w:bidi w:val="0"/>
        <w:spacing w:before="0" w:after="0"/>
        <w:ind w:left="0" w:right="0" w:firstLine="90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Notes are the Company’s senior unsecured obligations. Interest is payable in cash semi-annually in arrears beginning on November 1, 2020 at a rate of 1.50% per year. The Notes mature on May 1, 2025 unless repurchased, redeemed, or converted in accordance with their terms before the maturity date.</w:t>
      </w:r>
    </w:p>
    <w:p>
      <w:pPr>
        <w:pStyle w:val="TextBody"/>
        <w:bidi w:val="0"/>
        <w:spacing w:before="0" w:after="0"/>
        <w:ind w:left="0" w:right="0" w:firstLine="9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Notes are convertible into cash, shares of the Company’s common stock, or a combination of cash and shares of the Company’s common stock, at the Company’s election, at an initial conversion rate of 8.8836 shares of common stock per $1,000 principal amount of the Notes, which is equivalent to an initial conversion price of $112.57 (Conversion Price) per share of the Company’s common stock. The conversion rate is subject to customary adjustments for certain events as described in the Indenture governing the Notes. </w:t>
      </w:r>
    </w:p>
    <w:p>
      <w:pPr>
        <w:pStyle w:val="TextBody"/>
        <w:bidi w:val="0"/>
        <w:spacing w:before="0" w:after="0"/>
        <w:ind w:left="0" w:right="0" w:firstLine="90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the option to redeem for cash all or any portion of the Notes on or after May 6, 2023 if the last reported sale price of the Company’s common stock has been at least 130% of the Conversion Price then in effect for at least 20 trading days (whether or not consecutive), including the trading day immediately preceding the date on which the Company provides notice of redemption, during any 30 consecutive trading day period, at a redemption price equal to 100% of the principal amount of the Notes to be redeemed, plus accrued and unpaid interest. No sinking fund is provided for the Notes.</w:t>
      </w:r>
    </w:p>
    <w:p>
      <w:pPr>
        <w:pStyle w:val="TextBody"/>
        <w:bidi w:val="0"/>
        <w:spacing w:before="0" w:after="0"/>
        <w:ind w:left="0" w:right="0" w:firstLine="90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Holders of the Notes may convert all or a portion of their Notes at their option before November 1, 2024, in multiples of $1,000 principal amounts, only under the following circumstances:</w:t>
      </w:r>
    </w:p>
    <w:p>
      <w:pPr>
        <w:pStyle w:val="TextBody"/>
        <w:bidi w:val="0"/>
        <w:spacing w:before="0" w:after="0"/>
        <w:jc w:val="left"/>
        <w:rPr/>
      </w:pPr>
      <w:r>
        <w:rPr/>
      </w:r>
    </w:p>
    <w:p>
      <w:pPr>
        <w:pStyle w:val="TextBody"/>
        <w:bidi w:val="0"/>
        <w:spacing w:lineRule="auto" w:line="288" w:before="0" w:after="0"/>
        <w:ind w:left="0" w:right="0" w:hanging="540"/>
        <w:jc w:val="left"/>
        <w:rPr/>
      </w:pPr>
      <w:r>
        <w:rPr>
          <w:color w:val="000000"/>
        </w:rPr>
        <w:t>•</w:t>
      </w:r>
      <w:r>
        <w:rPr>
          <w:rFonts w:ascii="Times New Roman;sans-serif" w:hAnsi="Times New Roman;sans-serif"/>
          <w:b w:val="false"/>
          <w:color w:val="000000"/>
          <w:sz w:val="20"/>
        </w:rPr>
        <w:t>if the last reported sale price of the Company’s common stock for at least 20 trading days (whether or not consecutive) during the period of 30 consecutive trading days ending on the last trading day of the immediately preceding calendar quarter is greater than or equal to 130% of the applicable conversion price of the Notes on each such trading day;</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color w:val="000000"/>
        </w:rPr>
        <w:t>•</w:t>
      </w:r>
      <w:r>
        <w:rPr>
          <w:rFonts w:ascii="Times New Roman;sans-serif" w:hAnsi="Times New Roman;sans-serif"/>
          <w:b w:val="false"/>
          <w:color w:val="000000"/>
          <w:sz w:val="20"/>
        </w:rPr>
        <w:t>during the five business day period after any five consecutive trading day period in which the trading price per $1,000 principal amount of the Notes for each day of that five consecutive trading day period was less than 98% of the product of the last reported sale price of the Company’s common stock and the applicable conversion rate of the Notes on such trading day;</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color w:val="000000"/>
        </w:rPr>
        <w:t>•</w:t>
      </w:r>
      <w:r>
        <w:rPr>
          <w:rFonts w:ascii="Times New Roman;sans-serif" w:hAnsi="Times New Roman;sans-serif"/>
          <w:b w:val="false"/>
          <w:color w:val="000000"/>
          <w:sz w:val="20"/>
        </w:rPr>
        <w:t>if the Company calls any or all of the Notes for redemption, at any time prior to the close of business on the scheduled trading day immediately preceding the redemption date; or</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color w:val="000000"/>
        </w:rPr>
        <w:t>•</w:t>
      </w:r>
      <w:r>
        <w:rPr>
          <w:rFonts w:ascii="Times New Roman;sans-serif" w:hAnsi="Times New Roman;sans-serif"/>
          <w:b w:val="false"/>
          <w:color w:val="000000"/>
          <w:sz w:val="20"/>
        </w:rPr>
        <w:t>on the occurrence of specified corporate events.</w:t>
      </w:r>
    </w:p>
    <w:p>
      <w:pPr>
        <w:pStyle w:val="TextBody"/>
        <w:bidi w:val="0"/>
        <w:spacing w:before="0" w:after="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On or after November 1, 2024, until the close of business on the second scheduled trading day immediately preceding the maturity date, holders may convert their Notes at any time, regardless of the foregoing circumstances.</w:t>
      </w:r>
    </w:p>
    <w:p>
      <w:pPr>
        <w:pStyle w:val="TextBody"/>
        <w:bidi w:val="0"/>
        <w:spacing w:before="0" w:after="0"/>
        <w:ind w:left="0" w:right="0" w:firstLine="90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Holders of the Notes who convert in connection with a make-whole fundamental change or in connection with a redemption are entitled to an increase in the conversion rate. Additionally, in the event of a fundamental change, holders of the Notes may require us to repurchase all or a portion of the Notes at a price equal to 100% of the principal amount of the Notes, plus any accrued and unpaid interest.</w:t>
      </w: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net carrying amount of the Notes on the condensed consolidated balance sheets consisted of the following (in thousands):</w:t>
      </w:r>
    </w:p>
    <w:tbl>
      <w:tblPr>
        <w:tblW w:w="5829" w:type="dxa"/>
        <w:jc w:val="left"/>
        <w:tblInd w:w="0" w:type="dxa"/>
        <w:tblLayout w:type="fixed"/>
        <w:tblCellMar>
          <w:top w:w="28" w:type="dxa"/>
          <w:left w:w="28" w:type="dxa"/>
          <w:bottom w:w="28" w:type="dxa"/>
          <w:right w:w="28" w:type="dxa"/>
        </w:tblCellMar>
      </w:tblPr>
      <w:tblGrid>
        <w:gridCol w:w="1000"/>
        <w:gridCol w:w="876"/>
        <w:gridCol w:w="883"/>
        <w:gridCol w:w="212"/>
        <w:gridCol w:w="833"/>
        <w:gridCol w:w="109"/>
        <w:gridCol w:w="109"/>
        <w:gridCol w:w="109"/>
        <w:gridCol w:w="109"/>
        <w:gridCol w:w="281"/>
        <w:gridCol w:w="1103"/>
        <w:gridCol w:w="205"/>
      </w:tblGrid>
      <w:tr>
        <w:trPr/>
        <w:tc>
          <w:tcPr>
            <w:tcW w:w="10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7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amount</w:t>
            </w:r>
          </w:p>
        </w:tc>
        <w:tc>
          <w:tcPr>
            <w:tcW w:w="21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287,500 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287,500 </w:t>
            </w:r>
          </w:p>
        </w:tc>
        <w:tc>
          <w:tcPr>
            <w:tcW w:w="20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c>
          <w:tcPr>
            <w:tcW w:w="21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284,128 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283,232 </w:t>
            </w:r>
          </w:p>
        </w:tc>
        <w:tc>
          <w:tcPr>
            <w:tcW w:w="20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Notes will have a dilutive effect to the extent the average market price per share of common stock for a given reporting period exceeds the conversion price of $112.57. As of June 30, 2023 and December 31, 2022, the if-converted value of the Notes did not exceed the principal amount.</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unamortized debt issuance costs of $3.4 million associated with the Notes will be amortized to interest expense, at an effective interest rate of 2.2% over the remaining period of approximately 1.8 years.</w:t>
      </w:r>
    </w:p>
    <w:p>
      <w:pPr>
        <w:pStyle w:val="TextBody"/>
        <w:bidi w:val="0"/>
        <w:spacing w:before="0" w:after="0"/>
        <w:ind w:left="0" w:right="0" w:firstLine="9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interest expense related to the Notes recognized for the three and six months ended June 30, 2023 and 2022 (in thousands):</w:t>
      </w:r>
    </w:p>
    <w:tbl>
      <w:tblPr>
        <w:tblW w:w="8262" w:type="dxa"/>
        <w:jc w:val="left"/>
        <w:tblInd w:w="0" w:type="dxa"/>
        <w:tblLayout w:type="fixed"/>
        <w:tblCellMar>
          <w:top w:w="28" w:type="dxa"/>
          <w:left w:w="28" w:type="dxa"/>
          <w:bottom w:w="28" w:type="dxa"/>
          <w:right w:w="28" w:type="dxa"/>
        </w:tblCellMar>
      </w:tblPr>
      <w:tblGrid>
        <w:gridCol w:w="1085"/>
        <w:gridCol w:w="954"/>
        <w:gridCol w:w="960"/>
        <w:gridCol w:w="234"/>
        <w:gridCol w:w="685"/>
        <w:gridCol w:w="121"/>
        <w:gridCol w:w="121"/>
        <w:gridCol w:w="121"/>
        <w:gridCol w:w="121"/>
        <w:gridCol w:w="234"/>
        <w:gridCol w:w="685"/>
        <w:gridCol w:w="121"/>
        <w:gridCol w:w="109"/>
        <w:gridCol w:w="109"/>
        <w:gridCol w:w="109"/>
        <w:gridCol w:w="214"/>
        <w:gridCol w:w="626"/>
        <w:gridCol w:w="110"/>
        <w:gridCol w:w="110"/>
        <w:gridCol w:w="110"/>
        <w:gridCol w:w="110"/>
        <w:gridCol w:w="214"/>
        <w:gridCol w:w="626"/>
        <w:gridCol w:w="110"/>
        <w:gridCol w:w="10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Capped Call Transactions</w:t>
      </w:r>
    </w:p>
    <w:p>
      <w:pPr>
        <w:pStyle w:val="TextBody"/>
        <w:bidi w:val="0"/>
        <w:spacing w:before="0" w:after="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Notes, the Company entered into Capped Call Transactions in May 2020 with certain counterparties at a net cost of $34.1 million. The Capped Call Transactions are intended to reduce potential dilution to holders of the Company’s common stock beyond the conversion price of $112.57, up to a conversion price of $173.18 on any conversion of the Notes, or to offset any cash payments the Company is required to make in excess of the principal amount of such converted Notes, as the case may be, with such reduction or offset subject to a cap. The cap price of the Capped Call Transactions is initially $173.18 per share of the Company’s common stock, representing a premium of 100% above the last reported sale price of $86.59 per share of the Company’s common stock on May 12, 2020, and is subject to certain adjustments under the terms of the Capped Call Transactions. Conditions that cause adjustments to the initial strike price of the Capped Call Transactions mirror conditions that result in corresponding adjustments for the Notes.</w:t>
      </w:r>
    </w:p>
    <w:p>
      <w:pPr>
        <w:pStyle w:val="TextBody"/>
        <w:bidi w:val="0"/>
        <w:spacing w:before="0" w:after="0"/>
        <w:ind w:left="0" w:right="0" w:firstLine="90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For accounting purposes, the Capped Call Transactions are separate transactions, and not part of the terms of the Notes, while they are integrated for federal tax purposes. As these transactions met certain criteria under the applicable accounting guidance, the Capped Call Transactions were recorded in stockholders' equity and were not accounted for as derivatives. The cost of the Capped Call Transactions was recorded as a reduction of the Company’s additional paid-in capital in the Company’s condensed consolidated balance sheet and will not be remeasured.</w:t>
      </w:r>
    </w:p>
    <w:p>
      <w:pPr>
        <w:pStyle w:val="TextBody"/>
        <w:bidi w:val="0"/>
        <w:spacing w:before="0" w:after="0"/>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Line of Credit</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On May 18, 2022, the Company entered into a three-year Revolving Line of Credit Agreement that provides the Company with a maximum principal borrowing amount of $100.0 million (Line of Credit), reduced by any letters of credit issued and outstanding under a $15.0 million letter of credit sub-limit. The Line of Credit allows the Company to request advances thereunder, and to use the proceeds of such advances for general corporate purposes, including working capital and capital expenditures. The Line of Credit matures on the earlier of (i) May 18, 2025 or (ii) the Springing Maturity Date, unless renewed at maturity upon approval by the Company’s board of directors and the lender. The Springing Maturity Date is any date during the 91 days before the May 1, 2025 maturity date of the Company’s Convertible Senior Notes, that the Company does not satisfy a predefined liquidity threshold. During the term of the Line of Credit, the Company is required to maintain compliance with two financial maintenance covenants: a minimum consolidated interest coverage ratio and a maximum consolidated net leverage ratio. The Company was in compliance with the minimum consolidated interest coverage ratio covenant as of June 30, 2023. On August 2, 2023, the Revolving Line of Credit Agreement was amended to lower the maximum principal borrowing amount to $50.0 million for the remainder of the term and provide that the maximum consolidated net leverage ratio will not be tested, and the borrowing base will be limited to a percentage of eligible accounts receivable for the second and third quarters of 2023. The Line of Credit is secured by a first priority security interest in substantially all of the assets of the Company and its subsidiaries.</w:t>
      </w:r>
    </w:p>
    <w:p>
      <w:pPr>
        <w:pStyle w:val="TextBody"/>
        <w:bidi w:val="0"/>
        <w:spacing w:before="0" w:after="0"/>
        <w:ind w:left="0" w:right="0" w:firstLine="90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Advances drawn under the Line of Credit bear interest at an annual rate of (1) the SOFR Rate (as defined in the Line of Credit); plus (2) an applicable credit spread adjustment ranging from 0.10% to 0.25%; plus (3) an applicable margin ranging from 1.25% to 2.00%, and each advance will be payable on the Maturity Date with the interest on outstanding advances payable quarterly. The Credit Agreement also includes a commitment fee ranging from 0.20% to 0.35% per annum on the average daily unused amount of the Line of Credit, payable quarterly. The Company may, at its option, prepay any borrowings under the Line of Credit, in whole or in part at any time before the maturity date, without premium or penalty. As of June 30, 2023, the Company had no outstanding borrowings under the Line of Credit, and a $4.9 million outstanding standby letter of credit.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8.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Shares Reserved for Future Issuance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shares of the Company's common stock were reserved for future issuance at June 30, 2023 (in thousands):</w:t>
      </w:r>
    </w:p>
    <w:tbl>
      <w:tblPr>
        <w:tblW w:w="6965" w:type="dxa"/>
        <w:jc w:val="left"/>
        <w:tblInd w:w="0" w:type="dxa"/>
        <w:tblLayout w:type="fixed"/>
        <w:tblCellMar>
          <w:top w:w="28" w:type="dxa"/>
          <w:left w:w="28" w:type="dxa"/>
          <w:bottom w:w="28" w:type="dxa"/>
          <w:right w:w="28" w:type="dxa"/>
        </w:tblCellMar>
      </w:tblPr>
      <w:tblGrid>
        <w:gridCol w:w="2206"/>
        <w:gridCol w:w="1939"/>
        <w:gridCol w:w="1945"/>
        <w:gridCol w:w="360"/>
        <w:gridCol w:w="361"/>
        <w:gridCol w:w="154"/>
      </w:tblGrid>
      <w:tr>
        <w:trPr/>
        <w:tc>
          <w:tcPr>
            <w:tcW w:w="2206"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reserved for issuance upon conversion of Convertible Senior Notes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underlying outstanding warrants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underlying outstanding stock options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underlying unvested restricted stock units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authorized for issuance pursuant to awards granted under the ESPP</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authorized for future equity award grants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Common Stock Warrants</w:t>
      </w:r>
    </w:p>
    <w:p>
      <w:pPr>
        <w:pStyle w:val="TextBody"/>
        <w:bidi w:val="0"/>
        <w:spacing w:before="0" w:after="0"/>
        <w:ind w:left="0" w:right="0" w:firstLine="90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Warrants outstanding to purchase shares of the Company's common stock as of June 30, 2023 were as follows:</w:t>
      </w:r>
    </w:p>
    <w:tbl>
      <w:tblPr>
        <w:tblW w:w="9631" w:type="dxa"/>
        <w:jc w:val="left"/>
        <w:tblInd w:w="0" w:type="dxa"/>
        <w:tblLayout w:type="fixed"/>
        <w:tblCellMar>
          <w:top w:w="28" w:type="dxa"/>
          <w:left w:w="28" w:type="dxa"/>
          <w:bottom w:w="28" w:type="dxa"/>
          <w:right w:w="28" w:type="dxa"/>
        </w:tblCellMar>
      </w:tblPr>
      <w:tblGrid>
        <w:gridCol w:w="401"/>
        <w:gridCol w:w="352"/>
        <w:gridCol w:w="357"/>
        <w:gridCol w:w="109"/>
        <w:gridCol w:w="109"/>
        <w:gridCol w:w="109"/>
        <w:gridCol w:w="649"/>
        <w:gridCol w:w="649"/>
        <w:gridCol w:w="652"/>
        <w:gridCol w:w="109"/>
        <w:gridCol w:w="109"/>
        <w:gridCol w:w="109"/>
        <w:gridCol w:w="624"/>
        <w:gridCol w:w="624"/>
        <w:gridCol w:w="626"/>
        <w:gridCol w:w="109"/>
        <w:gridCol w:w="109"/>
        <w:gridCol w:w="109"/>
        <w:gridCol w:w="109"/>
        <w:gridCol w:w="109"/>
        <w:gridCol w:w="109"/>
        <w:gridCol w:w="990"/>
        <w:gridCol w:w="990"/>
        <w:gridCol w:w="1409"/>
      </w:tblGrid>
      <w:tr>
        <w:trPr/>
        <w:tc>
          <w:tcPr>
            <w:tcW w:w="40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Issue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Warrants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Expiration Date of Warrants Outstanding</w:t>
            </w:r>
          </w:p>
        </w:tc>
      </w:tr>
      <w:tr>
        <w:trPr/>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9" w:type="dxa"/>
            <w:gridSpan w:val="3"/>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2017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$23.50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193,788 </w:t>
            </w:r>
          </w:p>
        </w:tc>
        <w:tc>
          <w:tcPr>
            <w:tcW w:w="62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2027</w:t>
            </w:r>
          </w:p>
        </w:tc>
      </w:tr>
      <w:tr>
        <w:trPr/>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Each warrant allows the holder to purchase one share of common stock at the per share exercise price of the warrant.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Stock Plans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May 2023, the Company’s stockholders approved the 2023 Long-Term Incentive Plan (2023 Plan), under which 2,602,184 shares of common stock were initially reserved for issuance. Under the 2023 Plan, the Company may grant stock options, stock appreciation rights, restricted stock and restricted stock units to individuals who are then employees, officers, directors or consultants of the Company. The 2023 Plan replaced the Company’s Amended and Restated 2013 Stock Incentive Plan (2013 Plan), and no further equity awards will be granted under the 2013 Plan.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Employee Stock Purchase Plan (ESPP) was approved by the Board in October 2013. The ESPP enables eligible employees to purchase shares of the Company’s common stock using their after-tax payroll deductions, subject to certain conditions. The purchase price of common stock under the ESPP is the lesser of: (a) 85% of the fair market value of a share of the Company’s common stock on the first date of an offering or (b) 85% of the fair market value of a share of the Company’s common stock on the date of purchase. Generally, offerings under the ESPP consist of a two-year offering period with four six-month purchase periods which begin in May and November of each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(RSUs) have a grant value equal to the closing price of the Company’s common stock on the award date. RSUs granted before March 2022 generally vest over a four-year period based on continued service to the Company as to 25% of the underlying shares on the first anniversary of the award, with the balance of the RSUs vesting quarterly over the following three years. RSUs granted in March 2022 and thereafter vest over a three-year period based on continued service to the Company as to 33% of the underlying shares on the first anniversary of the award, with the balance of the RSUs vesting quarterly over the following two years. In addition, the Company granted 110,074 performance-based RSUs during the three and six months ended June 30, 2023, and 53,662 performance-based RSUs during the three and six months ended June 30, 2022. The performance-based RSUs have a grant value equal to the closing price of the Company’s common stock on the award date, and vest upon the Company’s actual performance relative to predefined performance metrics and subject to the awardee’s continuing service through the respective December 31, 2024 and 2025 measurement 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total number of RSUs granted, which includes performance-based RSUs, and the respective weighted average grant date fair value were as follows:</w:t>
      </w:r>
    </w:p>
    <w:tbl>
      <w:tblPr>
        <w:tblW w:w="9732" w:type="dxa"/>
        <w:jc w:val="left"/>
        <w:tblInd w:w="0" w:type="dxa"/>
        <w:tblLayout w:type="fixed"/>
        <w:tblCellMar>
          <w:top w:w="28" w:type="dxa"/>
          <w:left w:w="28" w:type="dxa"/>
          <w:bottom w:w="28" w:type="dxa"/>
          <w:right w:w="28" w:type="dxa"/>
        </w:tblCellMar>
      </w:tblPr>
      <w:tblGrid>
        <w:gridCol w:w="1496"/>
        <w:gridCol w:w="1317"/>
        <w:gridCol w:w="1327"/>
        <w:gridCol w:w="249"/>
        <w:gridCol w:w="727"/>
        <w:gridCol w:w="121"/>
        <w:gridCol w:w="121"/>
        <w:gridCol w:w="121"/>
        <w:gridCol w:w="121"/>
        <w:gridCol w:w="234"/>
        <w:gridCol w:w="685"/>
        <w:gridCol w:w="121"/>
        <w:gridCol w:w="109"/>
        <w:gridCol w:w="109"/>
        <w:gridCol w:w="109"/>
        <w:gridCol w:w="249"/>
        <w:gridCol w:w="727"/>
        <w:gridCol w:w="110"/>
        <w:gridCol w:w="110"/>
        <w:gridCol w:w="110"/>
        <w:gridCol w:w="110"/>
        <w:gridCol w:w="249"/>
        <w:gridCol w:w="727"/>
        <w:gridCol w:w="110"/>
        <w:gridCol w:w="109"/>
        <w:gridCol w:w="154"/>
      </w:tblGrid>
      <w:tr>
        <w:trPr/>
        <w:tc>
          <w:tcPr>
            <w:tcW w:w="1496"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4495" w:type="dxa"/>
            <w:gridSpan w:val="20"/>
            <w:tcBorders/>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granted</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1,635,679 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820,173 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1,789,825 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1,007,249 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 (per share)</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have an exercise price equal to the closing price of the Company's common stock on the applicable grant date, and have a maximum term of ten years. Stock options granted before the second quarter of 2022 generally vest over a four-year period as to 25% of the underlying shares on the first anniversary of the grant date, with the balance of the options vesting monthly over the following three years. Stock options granted during the second quarter of 2022 and thereafter vest over a three-year period as to 33% of the underlying shares on the first anniversary of the grant date, with the balance of the options vesting monthly over the following two years. There were no common stock options granted during the three and six months ended June 30, 2023. The total number of common stock options granted during the three and six months ended June 30, 2022, along with the assumptions used in the Black-Scholes option-pricing model were as follows:</w:t>
      </w:r>
    </w:p>
    <w:tbl>
      <w:tblPr>
        <w:tblW w:w="6832" w:type="dxa"/>
        <w:jc w:val="left"/>
        <w:tblInd w:w="0" w:type="dxa"/>
        <w:tblLayout w:type="fixed"/>
        <w:tblCellMar>
          <w:top w:w="28" w:type="dxa"/>
          <w:left w:w="28" w:type="dxa"/>
          <w:bottom w:w="28" w:type="dxa"/>
          <w:right w:w="28" w:type="dxa"/>
        </w:tblCellMar>
      </w:tblPr>
      <w:tblGrid>
        <w:gridCol w:w="1496"/>
        <w:gridCol w:w="1315"/>
        <w:gridCol w:w="1328"/>
        <w:gridCol w:w="466"/>
        <w:gridCol w:w="1364"/>
        <w:gridCol w:w="600"/>
        <w:gridCol w:w="109"/>
        <w:gridCol w:w="154"/>
      </w:tblGrid>
      <w:tr>
        <w:trPr/>
        <w:tc>
          <w:tcPr>
            <w:tcW w:w="149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 Options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and Six Months Ended </w:t>
              <w:br/>
              <w:t>June 30, 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2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granted</w:t>
            </w:r>
          </w:p>
        </w:tc>
        <w:tc>
          <w:tcPr>
            <w:tcW w:w="1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83,008 </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 (per share)</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Employee Stock Purchase Plan</w:t>
      </w: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stock-based compensation expense associated with the ESPP using the Black-Scholes option-pricing model. Valuations are performed on the grant date at the beginning of the purchase period, which generally occurs in May and November of each year. The assumptions used in the Black-Scholes option-pricing model for the ESPP were as follows:</w:t>
      </w:r>
    </w:p>
    <w:tbl>
      <w:tblPr>
        <w:tblW w:w="9775" w:type="dxa"/>
        <w:jc w:val="left"/>
        <w:tblInd w:w="0" w:type="dxa"/>
        <w:tblLayout w:type="fixed"/>
        <w:tblCellMar>
          <w:top w:w="28" w:type="dxa"/>
          <w:left w:w="28" w:type="dxa"/>
          <w:bottom w:w="28" w:type="dxa"/>
          <w:right w:w="28" w:type="dxa"/>
        </w:tblCellMar>
      </w:tblPr>
      <w:tblGrid>
        <w:gridCol w:w="1500"/>
        <w:gridCol w:w="1315"/>
        <w:gridCol w:w="1324"/>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271"/>
        <w:gridCol w:w="109"/>
        <w:gridCol w:w="154"/>
      </w:tblGrid>
      <w:tr>
        <w:trPr/>
        <w:tc>
          <w:tcPr>
            <w:tcW w:w="150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 (per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allocation of stock-based compensation expense included in the condensed consolidated statements of operations for all stock-based compensation arrangements (in thousands):</w:t>
      </w:r>
    </w:p>
    <w:tbl>
      <w:tblPr>
        <w:tblW w:w="8891" w:type="dxa"/>
        <w:jc w:val="left"/>
        <w:tblInd w:w="0" w:type="dxa"/>
        <w:tblLayout w:type="fixed"/>
        <w:tblCellMar>
          <w:top w:w="28" w:type="dxa"/>
          <w:left w:w="28" w:type="dxa"/>
          <w:bottom w:w="28" w:type="dxa"/>
          <w:right w:w="28" w:type="dxa"/>
        </w:tblCellMar>
      </w:tblPr>
      <w:tblGrid>
        <w:gridCol w:w="1248"/>
        <w:gridCol w:w="1093"/>
        <w:gridCol w:w="1109"/>
        <w:gridCol w:w="214"/>
        <w:gridCol w:w="732"/>
        <w:gridCol w:w="110"/>
        <w:gridCol w:w="110"/>
        <w:gridCol w:w="110"/>
        <w:gridCol w:w="110"/>
        <w:gridCol w:w="214"/>
        <w:gridCol w:w="732"/>
        <w:gridCol w:w="110"/>
        <w:gridCol w:w="109"/>
        <w:gridCol w:w="109"/>
        <w:gridCol w:w="109"/>
        <w:gridCol w:w="211"/>
        <w:gridCol w:w="721"/>
        <w:gridCol w:w="109"/>
        <w:gridCol w:w="109"/>
        <w:gridCol w:w="109"/>
        <w:gridCol w:w="109"/>
        <w:gridCol w:w="211"/>
        <w:gridCol w:w="721"/>
        <w:gridCol w:w="109"/>
        <w:gridCol w:w="109"/>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23,401 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20,130 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total stock-based compensation expense capitalized as part of the cost of the Company’s inventories was $1.4 million at June 30, 2023, and $1.1 million at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9. Employee Benefits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Employee 401(k) Plan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defined contribution 401(k) plan for employees in the United States who are at least 18 years of age. Employees are eligible to participate in the plan beginning on the first day of the calendar month following their date of hire. Unless they affirmatively elect otherwise, employees are automatically enrolled in the plan following 30 days from date of rehire or entry date. Under the terms of the plan, employees may make voluntary contributions as a percent of compensation, and, starting in 2022, the Company matches a discretionary percentage of employee contributions.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10.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2023, the Company recognized income tax expense of $1.1 million and $1.4 million, respectively, on a pre-tax loss of $34.6 million and $158.2 million, respectively. The Company calculated the provision for income taxes for the three and six months ended June 30, 2023 using a discrete effective tax rate method as the annual effective tax rate method would not provide a reliable estimate. Income tax expense for the three and six months ended June 30, 2023 was primarily attributable to federal, state and foreign income tax expense as a result of current taxable income in certain jurisdictions.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2022, the Company recognized income tax expense of $2.1 million and $0.4 million, respectively, on a pre-tax loss of $13.0 million and $29.4 million, respectively. The Company calculated the provision for income taxes for the three and six months ended June 30, 2022, using the discrete effective tax rate method as the annual effective tax rate method would not provide a reliable estimate. Income tax expense for the three months ended June 30, 2022 was primarily attributable to the change from the annual effective tax rate method used in the first quarter of 2022 to the discrete effective tax rate method, and state and foreign income tax expense as a result of current taxable income in certain jurisdictions.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maintain a full valuation allowance against its net deferred tax assets as of June 30, 2023, based on the current assessment that it is not more likely than not these future benefits will be realized before expiration.</w:t>
      </w:r>
    </w:p>
    <w:p>
      <w:pPr>
        <w:pStyle w:val="TextBody"/>
        <w:bidi w:val="0"/>
        <w:spacing w:before="200" w:after="283"/>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11. Business Segment and Geographic Information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Segment Reporting</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Operating segments are identified as components of an enterprise about which discrete financial information is available for evaluation by the chief operating decision-maker (CODM) in making decisions regarding resource allocation and assessing performance. The Company is organized based on its current product portfolio, which consists primarily of insulin pumps, disposable insulin cartridges and infusion sets for the storage and delivery of insulin. The Company views its operations and manages its business as one segment and a single reporting unit because key operating decisions and resource allocations are made by the CODM using consolidated financial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primarily sells its products through national and regional distributors in the United States on a non-exclusive basis, and through distribution partners outside the United States. In the United States and Canada, the Company also uses a direct sales force. The Company disaggregates its revenue by geography and by major sales channel as management believes these categories best depict how the nature, amount and timing of revenues and cash flows are affected by economic factors.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Revenues by Geographic Region and Customer Sales Channel</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2023 and 2022, no individual country outside the United States generated revenue that represented more than 10% of total revenue. The table below sets forth revenues for the Company’s two primary geographical markets, based on the geographic location to which its products are shipped (in thousands):</w:t>
      </w:r>
    </w:p>
    <w:tbl>
      <w:tblPr>
        <w:tblW w:w="8003" w:type="dxa"/>
        <w:jc w:val="left"/>
        <w:tblInd w:w="0" w:type="dxa"/>
        <w:tblLayout w:type="fixed"/>
        <w:tblCellMar>
          <w:top w:w="28" w:type="dxa"/>
          <w:left w:w="28" w:type="dxa"/>
          <w:bottom w:w="28" w:type="dxa"/>
          <w:right w:w="28" w:type="dxa"/>
        </w:tblCellMar>
      </w:tblPr>
      <w:tblGrid>
        <w:gridCol w:w="789"/>
        <w:gridCol w:w="691"/>
        <w:gridCol w:w="69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54"/>
      </w:tblGrid>
      <w:tr>
        <w:trPr/>
        <w:tc>
          <w:tcPr>
            <w:tcW w:w="7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Sales to distributors accounted for 64% and 65% of the Company’s United States sales for the three months ended June 30, 2023 and 2022, respectively, and 65% of the Company’s United States sales for each of the six-month periods ended June 30, 2023 and 2022. Sales to distributors accounted for 94% and 96% of the Company’s sales outside the United States for the three and six-month periods ended June 30,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12. Acquisitions</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AMF Medical Acquisition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10, 2022, the Company entered into a Share Purchase Agreement (Purchase Agreement) with AMF Medical SA, a corporation organized and existing under the laws of Switzerland (AMF Medical), and its shareholders to acquire all of the registered shares of AMF Medical (Transaction). AMF Medical is the developer of the Sigi Patch Pump, which is designed to be an ergonomic, rechargeable patch pump that reduces the burden of managing diabetes through its use of pre-filled insulin cartridges. The Sigi Patch Pump is under development and not commercially available.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19, 2023, the Company completed the acquisition of AMF Medical under the terms of the Purchase Agreement. The total aggregate consideration for the Transaction includes a previous strategic investment of Swiss Francs (CHF) 8.0 million made in the third quarter of 2022, a cash payment of CHF 62.4 million paid at the closing of the Transaction, and additional contingent earnout payments of up to CHF 129.6 million. The contingent earnout payments become payable upon the achievement of certain milestones, and are comprised of a payment of up to CHF 38.4 million upon the successful completion of key development milestones over the next two years, and a payment of up to CHF 91.2 million upon obtaining regulatory clearance from the United States Food and Drug Administration of an automated controller enabled (ACE) pump. The contingent consideration will be recognized as each contingency is resolved and the respective consideration is paid or becomes payable. As of June 30, 2023, the contingencies related to the earnout milestones were not yet resolved and, therefore, the related amounts were not included in the fair value of the asset acquired and were not recognized as a liability on the condensed consolidated balance sheet at June 30, 2023. The Company funded the initial closing payment using existing cash balances. As of December 31, 2022, the previous strategic investment was included as a component of other long-term assets on the condensed consolidated balance sheet.</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transaction was accounted for as an asset acquisition as substantially all the value of the gross assets was concentrated in a single asset. The Company recorded a $78.8 million charge representing the value of acquired in-process research and development assets with no alternative future use, and acquisition related expenses, on its condensed consolidated statements of operations in acquired in-process research and development expenses. The Company’s results of operations for the three and six months ended June 30, 2023 included the operating results of AMF Medical since the date of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Capillary Biomedical Acquisition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On July 21, 2022, the Company acquired Capillary Biomedical, Inc. (Capillary Biomedical), an infusion set developer, for total cash consideration of $24.7 million, and the assumption of $4.7 million of long-term debt. The debt becomes due and payable upon the first sale or license of the commercialized product, and is included as a component of other long-term liabilities on the condensed consolidated balance sheets at June 30, 2023 and December 31, 2022. Capillary Biomedical’s extended-wear infusion set technology is currently in development and is not yet commercially available. The Company funded the purchase price using existing cash balances.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transaction was accounted for as an asset acquisition as substantially all the value of the gross assets was concentrated in a single asset. The Company recorded a $31.0 million charge representing the value of acquired in-process research and development assets with no alternative future use, and acquisition related expenses, on its condensed consolidated statements of operations in acquired in-process research and development expenses. The Company’s results of operations for the three and six months ended June 30, 2023 included the operating results of Capillary Biomedical.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13. Commitments and Contingencies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Legal and Regulatory Matters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May 2020, the Company was named as a defendant in three California state court class action lawsuits arising from a phishing incident that occurred in January 2020. Collectively, these lawsuits sought statutory, compensatory, actual, and punitive damages; equitable relief, including restitution; pre- and post-judgment interest; injunctive relief; and attorney fees, costs, and expenses from us. On July 24, 2020, these three lawsuits were consolidated into a single case in the Superior Court of the State of California in the County of San Bernardino entitled Joseph Deluna et al. v. Tandem Diabetes Care, Inc. The consolidated case alleged violations of the Confidentiality of Medical Information Act (CMIA), CCPA, California’s Unfair Competition Law (UCL), and breach of contract. The Company filed a demurrer on all claims, which was heard by the Court on October 20, 2020, and the demurrer to the CCPA claim was sustained. The plaintiffs filed a motion for class certification on January 7, 2022 and we filed a motion for summary adjudication on the CMIA claim on April 7, 2022. On February 8, 2023, the Court granted plaintiffs’ request to dismiss their remaining two claims with prejudice, and dismissed the motion for class certification, thereby terminating the case in the Superior Court. On March 7, 2023, the plaintiffs filed a notice of appeal of the Court’s order granting the Company’s motion for summary adjudication. Although the Company intends to vigorously defend against this claim, there is no guarantee that the Company will prevail. Accordingly, the Company is unable to determine the ultimate outcome of this lawsuit or determine the amount or range of potential losses associated with the lawsuit.</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various other legal proceedings, regulatory matters, and other disputes or claims arising from or related to claims incident to the normal course of the Company’s business activities, including actions with respect to intellectual property, data privacy, employment, regulatory, product liability and contractual matters. Although the results of such legal proceedings and claims cannot be predicted with certainty, as of June 30, 2023 the Company believes it is not currently a party to any legal proceedings, regulatory matters, or other disputes or claims for which a material loss was considered probable or for which the amount (or range) of loss was reasonably estimable. However, regardless of the merit of the claims raised or the outcome, legal proceedings may have an adverse impact on the Company as a result of defense and settlement costs, diversion of management time and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Letters of Credit</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one of the Company’s operating leases (see Note 6, “Leases”), the Company has a $4.9 million unsecured irrevocable standby letter of credit arrangement with a bank (see Note 7, “Debt”), under which the landlord of the building is the beneficiary. The Company is required to maintain the standby letter of credit throughout the term of the lease, which expires in April 2035.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together with our financial statements and related notes in Part I, Item 1 of this Quarterly Report on Form 10-Q for the quarter ended June 30, 2023 (Quarterly Report).</w:t>
      </w:r>
    </w:p>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This Quarterly Report contains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included or incorporated by reference in this Quarterly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In particular, forward-looking statements contained in this Quarterly Report may relate to, among other things, our future or assumed financial condition, results of operations, liquidity, trends impacting our financial results, business forecasts and plans, research and product development plans, manufacturing plans, strategic plans and objectives, capital needs and financing plans, product launches, geographic expansion, distribution plans, production capacity, clinical trials, regulatory approvals, competitive position and the impact of changes in the competitive environment, supply chain, and the businesses of our contract manufacturers and suppliers, integration of acquisitions and partner technologies, and the application of accounting guidance. We caution you that the foregoing list may not include all of the forward-looking statements made in this Quarterly Report.</w:t>
      </w:r>
    </w:p>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in the section entitled “Risk Factors” in Part I, Item 1A, of our Annual Report on Form 10-K for the year ended December 31, 2022 (Annual Report), and below in the section entitled “Risk Factors” in this Quarterly Report, as well as in the other public filings we make with the Securities and Exchange Commission. You should read this Quarterly Report with the understanding that our actual future financial condition and results may be materially different from and worse than what we expect.</w:t>
      </w:r>
    </w:p>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We qualify all of our forward-looking statements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are a medical device company focused on the design, development and commercialization of technology solutions for people living with diabetes. Diabetes management can vary greatly from person-to-person, creating multiple market segments based on clinical needs and personal preferences. Our goal is to lead in insulin therapy management across multiple of these market segments by providing a robust ecosystem and a portfolio of delivery devices, software, and data insight solutions to people living with diabetes, as well as their caregivers and healthcare providers.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initial commercial launch, we have rapidly innovated and brought more products to market than our competitors. Today, the t:slim X2 Insulin Delivery System is our flagship technology solution. In the four-year period ended June 30, 2023, we shipped approximately 437,000 t:slim X2 insulin pumps, which is representative of our in-warranty global installed customer base, assuming the typical four-year reimbursement cycle. Approximately 305,000 of these pumps were shipped to customers in the United States and 132,000 were shipped to customers outside the United States. Our products are currently available in approximately 25 countries outside the United States. In addition, in July 2023, the FDA provided clearance for the Tandem Mobi insulin pump, which is approximately half the size of our t:slim X2 pump. A limited release of Tandem Mobi in the United States is expected to start in late 2023 with full commercial availability planned in early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manufacturing, sales and support activities principally focus on our flagship pump platform, the t:slim X2 and our complementary product offerings. Our simple-to-use t:slim X2 is based on our proprietary technology platform and is the smallest durable insulin pump currently available in the United States. The majority of our customers use the t:slim X2 with continuous glucose monitoring (CGM) integration. This allows the t:slim X2 to receive CGM sensor readings, which can then be used in our automated insulin dosing (AID) algorithms, including our Control-IQ technology. Control-IQ is an advanced hybrid-closed loop feature designed to help increase a user’s time in their targeted glycemic range. Multiple studies have demonstrated that use of Control-IQ technology provides people across all demographics with improved clinical outcomes that are both immediate and sustained. It was the first system cleared by the U.S. Food and Drug Administration (FDA) to deliver automatic correction boluses in addition to adjusting insulin to help prevent high and low blood sugar.</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t:slim X2 was the first pump on which remote software updates were made commercially available in the United States. Now available in the countries we serve worldwide, our Tandem Device Updater (TDU) has allowed hundreds of thousands of people to update their t:slim X2 software from a personal computer. This offering is a competitive advantage that allows us to bring our customers clinical and lifestyle enhancements, such as new developments in our AID technology, CGM integrations and mobile app features. In the third quarter 2022, we launched a new pump software update through TDU to allow all t:slim X2 pump users in the United States to bolus insulin using our smartphone app that is available on compatible iOS and Android devices.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insulin pump products are generally considered durable medical equipment and have an expected lifespan of at least four years. In addition to insulin pumps, we sell disposable products that are used together with our pumps and are replaced every few days, including cartridges for storing and delivering insulin, and infusion sets that connect the insulin pump to a user’s body.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we also offer t:connect, our data management web application that provides users, their caregivers and their healthcare providers with a fast, easy and visual way to display diabetes therapy management data from our pumps, integrated CGMs and supported blood glucose meters. In the second quarter of 2023, we began scaling the U.S. launch of Tandem Source, our second-generation web-based data management application that is being designed to be deployed globally. This application enhances clinical data visualization, and provides added interface customization for users to personalize how they engage with their data and for healthcare providers to better manage their care.</w:t>
      </w:r>
    </w:p>
    <w:p>
      <w:pPr>
        <w:pStyle w:val="TextBody"/>
        <w:bidi w:val="0"/>
        <w:spacing w:before="0" w:after="0"/>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Recent Developments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July 2023, the FDA provided clearance for the Tandem Mobi insulin pump, which is approximately half the size of our t:slim X2 pump. This is the world’s smallest durable automated insulin delivery system and is designed for people who seek even greater discretion and flexibility with the use of their insulin pump. Its features include pump-control from our iOS mobile application, a 200-unit cartridge, an on-pump bolus button, inductive charging, and our Control-IQ algorithm. A limited release of Tandem Mobi in the United States is expected to start in late 2023 with full commercial availability planned in early 2024.</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Expanding the capabilities of our application, Tandem Source is our second-generation web-based data management application that enhances clinical data visualization, and provides added interface customization for users to personalize how they engage with their data and for healthcare providers to better manage their care. This application was designed to be deployed globally, beginning with a limited release in the United States which started in June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Products Under Development</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under development support our strategy of developing insulin delivery systems as part of a therapy management portfolio that is designed to improve patient experience and outcomes. Our product development efforts fall into three pillars of innovation: delivery devices, device software including algorithms, and data and insights.</w:t>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Delivery Devices</w:t>
      </w:r>
    </w:p>
    <w:p>
      <w:pPr>
        <w:pStyle w:val="TextBody"/>
        <w:bidi w:val="0"/>
        <w:spacing w:before="0" w:after="0"/>
        <w:ind w:left="0" w:right="0" w:firstLine="900"/>
        <w:jc w:val="left"/>
        <w:rPr/>
      </w:pPr>
      <w:r>
        <w:rPr/>
      </w:r>
    </w:p>
    <w:p>
      <w:pPr>
        <w:pStyle w:val="TextBody"/>
        <w:bidi w:val="0"/>
        <w:spacing w:lineRule="auto" w:line="26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developing a family of delivery device solutions to meet the varying needs of people living with type 1 and type 2 diabetes by providing choice within our portfolio. Preferences in the size, shape, and mode of operation that comprise an insulin pump’s hardware often impact a person’s pump purchasing decision and overall user experience.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t:slim X3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Advancing our flagship t:slim platform, the t:slim X3 is being designed to provide a modernized user interface and even greater usability for our planned feature updates. It is also being designed to include enhanced technology, such as greater processing power and capacity to support our advanced algorithms, as well as increased battery life, improved durability, and wireless software update capabilities.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Mobi: Tubeless </w:t>
      </w:r>
    </w:p>
    <w:p>
      <w:pPr>
        <w:pStyle w:val="TextBody"/>
        <w:bidi w:val="0"/>
        <w:spacing w:before="0" w:after="0"/>
        <w:ind w:left="0" w:right="0" w:firstLine="900"/>
        <w:jc w:val="left"/>
        <w:rPr/>
      </w:pPr>
      <w:r>
        <w:rPr/>
      </w:r>
    </w:p>
    <w:p>
      <w:pPr>
        <w:pStyle w:val="TextBody"/>
        <w:bidi w:val="0"/>
        <w:spacing w:lineRule="auto" w:line="268" w:before="0" w:after="0"/>
        <w:ind w:left="0" w:right="0" w:firstLine="900"/>
        <w:jc w:val="left"/>
        <w:rPr/>
      </w:pPr>
      <w:r>
        <w:rPr>
          <w:rFonts w:ascii="Times New Roman;sans-serif" w:hAnsi="Times New Roman;sans-serif"/>
          <w:b w:val="false"/>
          <w:color w:val="000000"/>
          <w:sz w:val="20"/>
        </w:rPr>
        <w:t>This offering is being developed to provide an alternative tubeless infusion site option for Tandem Mobi pump users. It will allow a Tandem Mobi pump to be worn completely on the user’s body with no tubing. A goal of this design is to allow people living with diabetes to customize the way they wear their pump with each cartridge change, switching between tubed and tubeless wear configurations, to best suit their personal preferences and lifestyle</w:t>
      </w:r>
      <w:r>
        <w:rPr>
          <w:rFonts w:ascii="Calibri;sans-serif" w:hAnsi="Calibri;sans-serif"/>
          <w:b w:val="false"/>
          <w:color w:val="000000"/>
          <w:sz w:val="2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Sigi</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This ergonomic, rechargeable Sigi Patch Pump is being designed to reduce the burden of managing diabetes through its use of pre-filled insulin cartridges and compatibility with AID technology.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Extended Wear Infusion Sets</w:t>
      </w:r>
    </w:p>
    <w:p>
      <w:pPr>
        <w:pStyle w:val="TextBody"/>
        <w:bidi w:val="0"/>
        <w:spacing w:before="0" w:after="0"/>
        <w:jc w:val="left"/>
        <w:rPr/>
      </w:pPr>
      <w:r>
        <w:rPr/>
      </w:r>
    </w:p>
    <w:p>
      <w:pPr>
        <w:pStyle w:val="TextBody"/>
        <w:bidi w:val="0"/>
        <w:spacing w:lineRule="auto" w:line="256"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Infusion sets provide additional choice and flexibility to people living with diabetes. Our goals for infusion set innovations focus on solutions that extend wear time and enhance user experience, while reducing occlusions, body burden and waste. In support of this effort, we are currently developing a unique extended wear infusion set technology.</w:t>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Device Software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device software is used to control our pumps either directly through the pump’s interface or through our mobile application. It also includes our AID technology and the software used to support remote pump updatability.</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Control-IQ Advancements </w:t>
      </w:r>
    </w:p>
    <w:p>
      <w:pPr>
        <w:pStyle w:val="TextBody"/>
        <w:bidi w:val="0"/>
        <w:spacing w:lineRule="auto" w:line="26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continuing to drive innovation in our algorithms, emphasizing automation, personalization and simplification to continue to improve therapeutic outcomes and provide a positive patient experience. We recently completed clinical studies to support expanding the indications of our Control-IQ technology to include children with type 1 diabetes ages 2 to 5 years old. Additionally, we began a pivotal study to support expanding indications to include people living with type 2 diabetes. We are also researching the use of different insulins with our Control-IQ technology. </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Integration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Building a robust ecosystem and portfolio around our flagship insulin pumps requires product development efforts to integrate, add, and enhance complementary system components.</w:t>
      </w:r>
    </w:p>
    <w:p>
      <w:pPr>
        <w:pStyle w:val="TextBody"/>
        <w:bidi w:val="0"/>
        <w:spacing w:lineRule="auto" w:line="288" w:before="200" w:after="283"/>
        <w:ind w:left="0" w:right="0" w:firstLine="900"/>
        <w:jc w:val="left"/>
        <w:rPr/>
      </w:pPr>
      <w:r>
        <w:rPr>
          <w:rFonts w:ascii="Times New Roman;sans-serif" w:hAnsi="Times New Roman;sans-serif"/>
          <w:b w:val="false"/>
          <w:i/>
          <w:color w:val="000000"/>
          <w:sz w:val="20"/>
        </w:rPr>
        <w:t>Dexcom CGM</w:t>
      </w:r>
      <w:r>
        <w:rPr>
          <w:rFonts w:ascii="Times New Roman;sans-serif" w:hAnsi="Times New Roman;sans-serif"/>
          <w:b w:val="false"/>
          <w:color w:val="000000"/>
          <w:sz w:val="20"/>
        </w:rPr>
        <w:t>: We have agreements with Dexcom, Inc. (Dexcom) to extend our current collaboration to include integration with their G7 CGM technology. Following integrated product development work, this will be the fourth generation of Dexcom CGM that we intend to integrate with our devices.</w:t>
      </w:r>
    </w:p>
    <w:p>
      <w:pPr>
        <w:pStyle w:val="TextBody"/>
        <w:bidi w:val="0"/>
        <w:spacing w:before="0" w:after="0"/>
        <w:ind w:left="0" w:right="0" w:firstLine="900"/>
        <w:jc w:val="left"/>
        <w:rPr/>
      </w:pPr>
      <w:r>
        <w:rPr/>
      </w:r>
    </w:p>
    <w:p>
      <w:pPr>
        <w:pStyle w:val="TextBody"/>
        <w:bidi w:val="0"/>
        <w:spacing w:lineRule="auto" w:line="288" w:before="0" w:after="0"/>
        <w:ind w:left="0" w:right="0" w:firstLine="900"/>
        <w:jc w:val="left"/>
        <w:rPr/>
      </w:pPr>
      <w:r>
        <w:rPr>
          <w:rFonts w:ascii="Times New Roman;sans-serif" w:hAnsi="Times New Roman;sans-serif"/>
          <w:b w:val="false"/>
          <w:i/>
          <w:color w:val="000000"/>
          <w:sz w:val="20"/>
        </w:rPr>
        <w:t>Abbott CGM</w:t>
      </w:r>
      <w:r>
        <w:rPr>
          <w:rFonts w:ascii="Times New Roman;sans-serif" w:hAnsi="Times New Roman;sans-serif"/>
          <w:b w:val="false"/>
          <w:color w:val="000000"/>
          <w:sz w:val="20"/>
        </w:rPr>
        <w:t>: We have an agreement with Abbott Laboratories (Abbott) to develop and commercialize integrated diabetes solutions that combine Abbott’s FreeStyle Libre CGM technology with our insulin delivery systems. Following the completion of our integrated product development work, we intend to launch in the United States, and expand to additional geographies after obtaining regulatory clearances or approvals, where required.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Data and Insights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goal is to innovate across our digital health platforms by using the vast amount of data that we collect, in combination with technology such as artificial intelligence or machine learning, to provide information and insights to people living with diabetes, their caregivers and healthcare providers and insurance payors. Our key objectives include making these insights easy to understand, making the data available in real time, and providing the information in a flexible format through mobile or web apps. In addition, we are working to integrate health-related information from third-party sources and to use our data to support current and future products under development. </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Settings Automation</w:t>
      </w:r>
    </w:p>
    <w:p>
      <w:pPr>
        <w:pStyle w:val="TextBody"/>
        <w:bidi w:val="0"/>
        <w:spacing w:before="0" w:after="0"/>
        <w:ind w:left="0" w:right="0" w:firstLine="90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automation research and development activities center around opportunities for enhanced user and healthcare provider experience and improved clinical outcomes. In support of this effort, we are working to automate our pump settings adjustments to further enhance ease of use and expand adoption of our insulin pump products. </w:t>
      </w:r>
    </w:p>
    <w:p>
      <w:pPr>
        <w:pStyle w:val="TextBody"/>
        <w:bidi w:val="0"/>
        <w:spacing w:before="0" w:after="0"/>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Pump Shipments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From inception in 2012 through June 2018, we derived nearly all of our sales from the shipment of insulin pumps and associated supplies to customers in the United States. Starting in the third quarter of 2018, we began selling our t:slim X2 insulin pump in select geographies outside the United States and our technology solutions are now available in approximately 25 countries worldwide. We consider the number of insulin pump units shipped to be an important metric for managing our business.</w:t>
      </w: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Insulin pumps in the markets we serve worldwide are generally subject to a four-year reimbursement cycle, imposed by the third-party insurance carrier, government plan or healthcare system that serves as the primary payor. In the past four years, we have shipped approximately 437,000 insulin pumps worldwide, which is representative of our global in-warranty installed customer base. Our ending estimated worldwide installed base increased approximately 16% year over year.</w:t>
      </w: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At the end of the typical four-year reimbursement cycle, customers may be eligible for the purchase of a new insulin pump, subject to the rules and requirements of their primary insurance payor. While warranties generally expire four years from the original pump shipment date, those customers that renew typically purchase a subsequent pump up to one year from the date of warranty expiration. While the majority of our insulin pump sales from initial commercialization through the current period have been generated by sales to new customers, the opportunity to make subsequent sales of renewal insulin pumps to existing customers increases each period as an escalating number of customer warranties expire. With programs dedicated to customer retention efforts, we expect such renewal purchases to represent an increasing portion of our pump shipments over time.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Approximately 305,000 pumps were shipped to customers in the United States in the past four years, which aligns with the standard four-year warranty period. Pump shipments to customers in the United States by fiscal quarter for the current year and each of the previous five years, which aligns more closely with our typical renewal cycle, were as follows:</w:t>
      </w:r>
    </w:p>
    <w:tbl>
      <w:tblPr>
        <w:tblW w:w="7439" w:type="dxa"/>
        <w:jc w:val="left"/>
        <w:tblInd w:w="0" w:type="dxa"/>
        <w:tblLayout w:type="fixed"/>
        <w:tblCellMar>
          <w:top w:w="28" w:type="dxa"/>
          <w:left w:w="28" w:type="dxa"/>
          <w:bottom w:w="28" w:type="dxa"/>
          <w:right w:w="28" w:type="dxa"/>
        </w:tblCellMar>
      </w:tblPr>
      <w:tblGrid>
        <w:gridCol w:w="196"/>
        <w:gridCol w:w="172"/>
        <w:gridCol w:w="173"/>
        <w:gridCol w:w="360"/>
        <w:gridCol w:w="361"/>
        <w:gridCol w:w="271"/>
        <w:gridCol w:w="154"/>
        <w:gridCol w:w="154"/>
        <w:gridCol w:w="154"/>
        <w:gridCol w:w="360"/>
        <w:gridCol w:w="361"/>
        <w:gridCol w:w="225"/>
        <w:gridCol w:w="154"/>
        <w:gridCol w:w="154"/>
        <w:gridCol w:w="154"/>
        <w:gridCol w:w="364"/>
        <w:gridCol w:w="364"/>
        <w:gridCol w:w="366"/>
        <w:gridCol w:w="154"/>
        <w:gridCol w:w="154"/>
        <w:gridCol w:w="154"/>
        <w:gridCol w:w="360"/>
        <w:gridCol w:w="361"/>
        <w:gridCol w:w="351"/>
        <w:gridCol w:w="154"/>
        <w:gridCol w:w="154"/>
        <w:gridCol w:w="154"/>
        <w:gridCol w:w="360"/>
        <w:gridCol w:w="361"/>
        <w:gridCol w:w="225"/>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United States Pump Unit Shipments</w:t>
              <w:br/>
              <w:t>for Each of the Three Months Ended in Respective Years</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12,935 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13,814 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17,453 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24,552 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70,825 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20,296 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25,712 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83,317 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20,394 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23,684 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35,967 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Since beginning sales outside the United States in the third quarter of 2018, we shipped approximately 132,000 pumps and our products are now available in approximately 25 countries. The ordering patterns of our distributors outside the United States for pumps and supplies has historically been highly variable from period to period due to a number of factors including summer vacations, the timing of product launches into new geographies and variability in the ordering patterns of our distributor partners. We are only beginning to complete a full four-year reimbursement cycle in certain of our markets outside of the United States. Pump shipments to customers outside the United States by fiscal quarter for the current year and each of the previous five years, were as follows:</w:t>
      </w:r>
    </w:p>
    <w:tbl>
      <w:tblPr>
        <w:tblW w:w="7283" w:type="dxa"/>
        <w:jc w:val="left"/>
        <w:tblInd w:w="0" w:type="dxa"/>
        <w:tblLayout w:type="fixed"/>
        <w:tblCellMar>
          <w:top w:w="28" w:type="dxa"/>
          <w:left w:w="28" w:type="dxa"/>
          <w:bottom w:w="28" w:type="dxa"/>
          <w:right w:w="28" w:type="dxa"/>
        </w:tblCellMar>
      </w:tblPr>
      <w:tblGrid>
        <w:gridCol w:w="196"/>
        <w:gridCol w:w="172"/>
        <w:gridCol w:w="173"/>
        <w:gridCol w:w="269"/>
        <w:gridCol w:w="269"/>
        <w:gridCol w:w="271"/>
        <w:gridCol w:w="154"/>
        <w:gridCol w:w="154"/>
        <w:gridCol w:w="154"/>
        <w:gridCol w:w="360"/>
        <w:gridCol w:w="361"/>
        <w:gridCol w:w="225"/>
        <w:gridCol w:w="154"/>
        <w:gridCol w:w="154"/>
        <w:gridCol w:w="154"/>
        <w:gridCol w:w="364"/>
        <w:gridCol w:w="364"/>
        <w:gridCol w:w="366"/>
        <w:gridCol w:w="154"/>
        <w:gridCol w:w="154"/>
        <w:gridCol w:w="154"/>
        <w:gridCol w:w="399"/>
        <w:gridCol w:w="349"/>
        <w:gridCol w:w="351"/>
        <w:gridCol w:w="154"/>
        <w:gridCol w:w="154"/>
        <w:gridCol w:w="154"/>
        <w:gridCol w:w="360"/>
        <w:gridCol w:w="361"/>
        <w:gridCol w:w="225"/>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Outside the United States Pump Unit Shipments</w:t>
              <w:br/>
              <w:t>for Each of the Three Months Ended in Respective Years</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54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80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6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6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36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3,233 </w:t>
            </w:r>
          </w:p>
        </w:tc>
        <w:tc>
          <w:tcPr>
            <w:tcW w:w="35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4,288 </w:t>
            </w:r>
          </w:p>
        </w:tc>
        <w:tc>
          <w:tcPr>
            <w:tcW w:w="22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8,133 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8,708</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11,262 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11,873 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44,995 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9,437</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12,113 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11,939 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6,052</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Trends and Uncertainties Impacting Financial Results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condition and operating results have historically fluctuated on a quarterly or annual basis. We expect these periodic fluctuations will continue to be impacted by a number of trends and uncertainties, including the following:</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Approvals and Actions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Sales of new products are subject to local government regulations. The requirements and timelines to receive regulatory clearance can vary substantially from country to country and delays may impact our ability to expand our worldwide customer base and bring products to market in a competitive timeframe. These delays, or failure to receive regulatory approval could adversely impact our revenue and results of operations.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Any adverse event involving any products that we distribute could result in future corrective actions, such as recalls or customer notifications, or regulatory agency action, which could include inspection, mandatory recall or other enforcement action. Any action by regulatory bodies against us, and any regulatory challenges we encounter could have a negative impact on our product sales and harm our reputation.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Product - Launches and Reimbursement</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We expect our business to be impacted by the introduction of new diabetes devices and treatments by us or our competitors. The success of our products is variable and we believe it correlates to market acceptance, anticipated product launches and commercial availability. We anticipate that our recently announced Tandem Choice program, and its related financial and accounting impact, may continue to materially impact our business until the conclusion of the program.</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We have historically experienced higher net sales in our third and fourth quarters compared to the first half of the year. Our recently announced FDA clearance of Tandem Mobi and the anticipated launch may impact the timing of purchasing decisions by our current and prospective customers as the launch date approaches, resulting in delays that are unlike historical seasonal patterns or purchasing behaviors. Regulatory approval and/or upcoming launches of other new Tandem or competitor products could also adversely impact timing of purchasing decisions.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Our revenue and results of operations may be impacted by the failure to secure or retain adequate coverage or reimbursement for our current and future products from third-party payors.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Foreign Markets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We have expanded our business and launched new products in select geographies outside the United States. The ordering patterns of our distributors outside the United States is highly variable from period to period. We commenced operations of a European distribution center beginning in the third quarter of 2022, which led to downward adjustments of inventory levels at our distributors in late 2022 and in the first half of 2023.</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Seasonality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Seasonality in the United States is associated with annual insurance deductibles and coinsurance requirements of the medical insurance plans used by our customers and the customers of our distributors. In the United States, we typically experience a higher volume of pump shipments in the third and fourth quarters due to the nature of the reimbursement environment. Other factors that may impact sales across the year include the timing of winter, summer and other seasonal holidays, particularly in our markets outside the United States, as well as the anticipated launch of new products.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Macroeconomic Factors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Global economic and market uncertainty, such as recessionary concerns, inflation, changes in discretionary spending and increased interest rates have impacted our customers’ purchasing decisions and the buying patterns of our distributors.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High inflation and the effects of other macroeconomic factors and concerns have continued to disrupt our relationships with suppliers, third-party manufacturers, healthcare providers, distributors and our existing or potential customers. We are experiencing higher costs as we navigate these global macroeconomic challenges.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Sales</w:t>
      </w: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products for people with insulin-dependent diabetes in approximately 25 countries. The t:slim X2 insulin pump is our flagship pump platform. Our other products include disposable insulin cartridges and infusion sets, as well as our complementary t:connect, TDU and mobile application products. Our primary customers are the end customers who use our products, non-exclusive distribution partners whose level of service varies based on geography, the healthcare professionals who prescribe our products and the healthcare systems or payors who provide insurance coverage and access to our products. Our sales may fluctuate from period to period, particularly due to seasonality in the United States associated with the timing of insurance deductible resets, which generally reflect in a significant decline in pump shipments from any fourth quarter to the following first quarter. Therefore, the lowest percentage of sales is typically reported in the first quarter of each calendar year and the highest percentage is typically reported in the fourth quarter. See also “Trends and Uncertainties Impacting Financial Results—Product Launches and Reimbursement,” above. </w:t>
      </w: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2022, we began offering the Tandem Choice program to eligible t:slim X2 customers to provide a pathway to ownership of our newest hardware platform, Tandem Mobi, for a fee when available. Tandem Choice expires on December 31, 2024. The accounting treatment for Tandem Choice is complex. Initially, the program requires the deferral of some portion of sales for shipments of eligible pumps, which began in the third quarter of 2022. No election is made by the customer at the time of the initial sale, nor does the right offered to the customer impact the economics associated with how or when the initial pump sale is reimbursed. If a customer elects to participate in Tandem Choice at a future date beginning with the launch of our next generation hardware platform, Tandem Mobi, we will recognize the existing deferral, incremental fees received and the associated costs of providing the new hardware, Tandem Mobi, at the time of fulfillment. Any remaining deferrals will be recognized at program expiration. At this time, we are not able to estimate the financial impact for the duration of Tandem Choice.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includes raw materials, labor costs, manufacturing overhead expenses, product training costs, royalties, freight, reserves for expected warranty costs, costs of supporting our digital health platforms, scrap and charges for excess and obsolete inventories. Manufacturing overhead expenses include expenses relating to quality assurance, manufacturing engineering, material procurement, inventory control, facilities, equipment, information technology and operations supervision and management. When taking into consideration the differences in reimbursement levels and cost structure, pumps have, and are expected to continue to have, a higher gross profit and gross margin percentage than our pump-related supplies. Therefore, the percentage of pump sales relative to total sales could have a significant impact on our overall gross margin percentage.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selling, general and administrative (SG&amp;A) expenses primarily consist of salary, cash-based incentive compensation, fringe benefits and non-cash stock-based compensation for our sales, marketing and administrative functions, which also includes our clinical, customer support, technical services, insurance verification and regulatory affairs personnel. We have approximately 110 sales territories in the United States, which are generally maintained by sales representatives and field clinical specialists, and supported by managed care liaisons, additional sales management and other customer support personnel. Other significant SG&amp;A expenses typically include those incurred for commercialization activities associated with new product launches, travel, trade shows, outside legal fees, independent auditor fees, outside consultant fees, insurance premiums, facilities costs and information technology costs.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(R&amp;D) activities primarily consist of engineering and research programs associated with our hardware, software and digital health products under development, as well as activities associated with our core technologies and processes. R&amp;D expenses are primarily related to employee compensation, including salary, cash-based incentive compensation, fringe benefits and non-cash stock-based compensation. We also incur R&amp;D expenses for supplies, development prototypes, outside design and testing services, depreciation, allocated facilities and information services, clinical trial costs, payments under our licensing, development and commercialization agreements and other indirect costs.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Acquired In-process Research and Development (IPR&amp;D) Expenses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Acquired IPR&amp;D reflects costs of external research and development projects acquired directly in a transaction other than a business combination, that do not have an alternative future use.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Other Income and Expense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and expense primarily consists of interest earned on our cash equivalents and short-term investments, foreign currency transaction gains and losses, and interest expense which includes the amortization of debt issuance costs related to our 1.50% Convertible Senior Notes due May 2025.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Income Tax Expense (Benefit)</w:t>
      </w:r>
    </w:p>
    <w:p>
      <w:pPr>
        <w:pStyle w:val="TextBody"/>
        <w:bidi w:val="0"/>
        <w:spacing w:before="0" w:after="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Because the Company maintains a full valuation allowance against its net deferred tax assets, income tax expense is expected to primarily consist of current federal, state and foreign cash tax expense as a result of taxable income anticipated or incurred in those jurisdictions.</w:t>
      </w:r>
    </w:p>
    <w:p>
      <w:pPr>
        <w:pStyle w:val="TextBody"/>
        <w:bidi w:val="0"/>
        <w:spacing w:before="0" w:after="0"/>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tbl>
      <w:tblPr>
        <w:tblW w:w="10205" w:type="dxa"/>
        <w:jc w:val="left"/>
        <w:tblInd w:w="0" w:type="dxa"/>
        <w:tblLayout w:type="fixed"/>
        <w:tblCellMar>
          <w:top w:w="28" w:type="dxa"/>
          <w:left w:w="28" w:type="dxa"/>
          <w:bottom w:w="28" w:type="dxa"/>
          <w:right w:w="28" w:type="dxa"/>
        </w:tblCellMar>
      </w:tblPr>
      <w:tblGrid>
        <w:gridCol w:w="1341"/>
        <w:gridCol w:w="1157"/>
        <w:gridCol w:w="1160"/>
        <w:gridCol w:w="211"/>
        <w:gridCol w:w="826"/>
        <w:gridCol w:w="271"/>
        <w:gridCol w:w="109"/>
        <w:gridCol w:w="109"/>
        <w:gridCol w:w="109"/>
        <w:gridCol w:w="211"/>
        <w:gridCol w:w="826"/>
        <w:gridCol w:w="271"/>
        <w:gridCol w:w="109"/>
        <w:gridCol w:w="109"/>
        <w:gridCol w:w="109"/>
        <w:gridCol w:w="211"/>
        <w:gridCol w:w="895"/>
        <w:gridCol w:w="271"/>
        <w:gridCol w:w="109"/>
        <w:gridCol w:w="109"/>
        <w:gridCol w:w="109"/>
        <w:gridCol w:w="211"/>
        <w:gridCol w:w="826"/>
        <w:gridCol w:w="271"/>
        <w:gridCol w:w="109"/>
        <w:gridCol w:w="156"/>
      </w:tblGrid>
      <w:tr>
        <w:trPr/>
        <w:tc>
          <w:tcPr>
            <w:tcW w:w="134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30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53,416 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54,595 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91,557 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99,219 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sales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195,917 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200,262 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376,169 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94,182 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98,316 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180,658 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183,130 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101,735 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101,946 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184,642 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193,039 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97,610 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80,614 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187,424 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153,885 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in-process research and development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78,750 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140,543 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114,185 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351,267 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220,616 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(38,808)</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(12,239)</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(166,625)</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(27,577)</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net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5,784 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11,649 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4,179 </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8,410 </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(12,950)</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(158,215)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(35,775)</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(15,056)</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(159,648)</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(29,771)</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Comparison of the Three Months Ended June 30, 2023 and 2022</w:t>
      </w:r>
    </w:p>
    <w:p>
      <w:pPr>
        <w:pStyle w:val="TextBody"/>
        <w:bidi w:val="0"/>
        <w:spacing w:lineRule="auto" w:line="288" w:before="24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Sales</w:t>
      </w:r>
    </w:p>
    <w:p>
      <w:pPr>
        <w:pStyle w:val="TextBody"/>
        <w:bidi w:val="0"/>
        <w:spacing w:lineRule="auto" w:line="288" w:before="240" w:after="283"/>
        <w:ind w:left="0" w:right="0" w:firstLine="900"/>
        <w:jc w:val="left"/>
        <w:rPr/>
      </w:pPr>
      <w:r>
        <w:rPr>
          <w:rFonts w:ascii="Times New Roman;sans-serif" w:hAnsi="Times New Roman;sans-serif"/>
          <w:b w:val="false"/>
          <w:color w:val="000000"/>
          <w:sz w:val="20"/>
        </w:rPr>
        <w:t>For the three months</w:t>
      </w:r>
      <w:r>
        <w:rPr>
          <w:color w:val="000000"/>
        </w:rPr>
        <w:t xml:space="preserve"> </w:t>
      </w:r>
      <w:r>
        <w:rPr>
          <w:rFonts w:ascii="Times New Roman;sans-serif" w:hAnsi="Times New Roman;sans-serif"/>
          <w:b w:val="false"/>
          <w:color w:val="000000"/>
          <w:sz w:val="20"/>
        </w:rPr>
        <w:t>ended June 30, 2023,</w:t>
      </w:r>
      <w:r>
        <w:rPr>
          <w:color w:val="000000"/>
        </w:rPr>
        <w:t xml:space="preserve"> </w:t>
      </w:r>
      <w:r>
        <w:rPr>
          <w:rFonts w:ascii="Times New Roman;sans-serif" w:hAnsi="Times New Roman;sans-serif"/>
          <w:b w:val="false"/>
          <w:color w:val="000000"/>
          <w:sz w:val="20"/>
        </w:rPr>
        <w:t>sales were $195.9 million, which included $53.4 million of sales outside the United States. For the three months ended June 30, 2023, we deferred $2.3 million of pump sales as the result of Tandem Choice, which launched in the United States in the third quarter of 2022. Sales were $200.3 million for the same period in 2022, which included $54.6 million of sales outside the United States.</w:t>
      </w:r>
    </w:p>
    <w:p>
      <w:pPr>
        <w:pStyle w:val="TextBody"/>
        <w:bidi w:val="0"/>
        <w:spacing w:before="0" w:after="0"/>
        <w:ind w:left="0" w:right="0" w:firstLine="90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Sales by product in the United States were as follows (in thousands):</w:t>
      </w:r>
    </w:p>
    <w:tbl>
      <w:tblPr>
        <w:tblW w:w="6952" w:type="dxa"/>
        <w:jc w:val="left"/>
        <w:tblInd w:w="0" w:type="dxa"/>
        <w:tblLayout w:type="fixed"/>
        <w:tblCellMar>
          <w:top w:w="28" w:type="dxa"/>
          <w:left w:w="28" w:type="dxa"/>
          <w:bottom w:w="28" w:type="dxa"/>
          <w:right w:w="28" w:type="dxa"/>
        </w:tblCellMar>
      </w:tblPr>
      <w:tblGrid>
        <w:gridCol w:w="1116"/>
        <w:gridCol w:w="979"/>
        <w:gridCol w:w="995"/>
        <w:gridCol w:w="211"/>
        <w:gridCol w:w="826"/>
        <w:gridCol w:w="109"/>
        <w:gridCol w:w="109"/>
        <w:gridCol w:w="109"/>
        <w:gridCol w:w="109"/>
        <w:gridCol w:w="211"/>
        <w:gridCol w:w="826"/>
        <w:gridCol w:w="109"/>
        <w:gridCol w:w="109"/>
        <w:gridCol w:w="109"/>
        <w:gridCol w:w="109"/>
        <w:gridCol w:w="268"/>
        <w:gridCol w:w="268"/>
        <w:gridCol w:w="380"/>
      </w:tblGrid>
      <w:tr>
        <w:trPr/>
        <w:tc>
          <w:tcPr>
            <w:tcW w:w="111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Pump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Supplies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Deferral for Tandem Choice program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Sales in the United States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bl>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Pump sales in the United States were $74.4 million for the second quarter of 2023, compared to $81.7 million in the second quarter of 2022 as pump shipments decreased 9% compared to the same period in 2022. We continued to face challenging marketplace dynamics and economic conditions, with inflation and the threat of recession impacting pump purchasing decisions. Sales of pump-related supplies increased 10% primarily due to a 14% increase year over year in our ending estimated installed base of customers in the United States. Sales to distributors accounted for 64% and 65% of our total sales in the United States for the three months ended June 30, 2023 and 2022, respectively. Sales in the United States for the three months ended June 30, 2023 were reduced by a deferral of $2.3 million as the result of our Tandem Choice program which launched in the third quarter of 2022. No comparable program existed in the second quarter of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90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Sales by product outside the United States were as follows (in thousands):</w:t>
      </w:r>
    </w:p>
    <w:tbl>
      <w:tblPr>
        <w:tblW w:w="6771" w:type="dxa"/>
        <w:jc w:val="left"/>
        <w:tblInd w:w="0" w:type="dxa"/>
        <w:tblLayout w:type="fixed"/>
        <w:tblCellMar>
          <w:top w:w="28" w:type="dxa"/>
          <w:left w:w="28" w:type="dxa"/>
          <w:bottom w:w="28" w:type="dxa"/>
          <w:right w:w="28" w:type="dxa"/>
        </w:tblCellMar>
      </w:tblPr>
      <w:tblGrid>
        <w:gridCol w:w="1126"/>
        <w:gridCol w:w="989"/>
        <w:gridCol w:w="1004"/>
        <w:gridCol w:w="211"/>
        <w:gridCol w:w="721"/>
        <w:gridCol w:w="109"/>
        <w:gridCol w:w="109"/>
        <w:gridCol w:w="109"/>
        <w:gridCol w:w="109"/>
        <w:gridCol w:w="211"/>
        <w:gridCol w:w="721"/>
        <w:gridCol w:w="109"/>
        <w:gridCol w:w="109"/>
        <w:gridCol w:w="109"/>
        <w:gridCol w:w="109"/>
        <w:gridCol w:w="268"/>
        <w:gridCol w:w="268"/>
        <w:gridCol w:w="380"/>
      </w:tblGrid>
      <w:tr>
        <w:trPr/>
        <w:tc>
          <w:tcPr>
            <w:tcW w:w="112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Pump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Supplies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Sales Outside the United States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bl>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Pump sales outside the United States were $27.3 million for the second quarter of 2023, compared to $25.8 million in the second quarter of 2022. We commenced operations of a centralized European distribution center in late 2022, which resulted in a material disruption to distributor ordering patterns in the first half of 2023 as affected distributors lowered their pump and supply inventory levels to adjust for the reduced transit time. This disruption was more significant in the first quarter of 2023, impacting the second quarter to a lesser degree. As a result, pump shipments decreased 7% compared to the same period in the prior year and supply order shipments declined as well. The decrease in pump sales was offset by a 14% increase in average selling prices due primarily to geographical mix. Sales to distributors accounted for 94% and 96% of our total sales outside the United States for the three-month periods ended June 30, 2023 and 2022, respectively.</w:t>
      </w:r>
    </w:p>
    <w:p>
      <w:pPr>
        <w:pStyle w:val="TextBody"/>
        <w:bidi w:val="0"/>
        <w:spacing w:lineRule="auto" w:line="288" w:before="20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Cost of Sales and Gross Profit</w:t>
      </w:r>
    </w:p>
    <w:p>
      <w:pPr>
        <w:pStyle w:val="TextBody"/>
        <w:bidi w:val="0"/>
        <w:spacing w:lineRule="auto" w:line="288" w:before="200" w:after="283"/>
        <w:ind w:left="0" w:right="0" w:firstLine="900"/>
        <w:jc w:val="left"/>
        <w:rPr/>
      </w:pPr>
      <w:r>
        <w:rPr>
          <w:rFonts w:ascii="Times New Roman;sans-serif" w:hAnsi="Times New Roman;sans-serif"/>
          <w:b w:val="false"/>
          <w:color w:val="000000"/>
          <w:sz w:val="20"/>
        </w:rPr>
        <w:t>Our cost of sales for the three months</w:t>
      </w:r>
      <w:r>
        <w:rPr>
          <w:color w:val="000000"/>
        </w:rPr>
        <w:t xml:space="preserve"> </w:t>
      </w:r>
      <w:r>
        <w:rPr>
          <w:rFonts w:ascii="Times New Roman;sans-serif" w:hAnsi="Times New Roman;sans-serif"/>
          <w:b w:val="false"/>
          <w:color w:val="000000"/>
          <w:sz w:val="20"/>
        </w:rPr>
        <w:t>ended June 30, 2023</w:t>
      </w:r>
      <w:r>
        <w:rPr>
          <w:color w:val="000000"/>
        </w:rPr>
        <w:t xml:space="preserve"> </w:t>
      </w:r>
      <w:r>
        <w:rPr>
          <w:rFonts w:ascii="Times New Roman;sans-serif" w:hAnsi="Times New Roman;sans-serif"/>
          <w:b w:val="false"/>
          <w:color w:val="000000"/>
          <w:sz w:val="20"/>
        </w:rPr>
        <w:t>was $94.2 million</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resulting in gross profit of $101.7 million, compared to cost of sales of $98.3 million and gross profit of $101.9 million for the same period in 2022. The gross margin for the three months</w:t>
      </w:r>
      <w:r>
        <w:rPr>
          <w:color w:val="000000"/>
        </w:rPr>
        <w:t xml:space="preserve"> </w:t>
      </w:r>
      <w:r>
        <w:rPr>
          <w:rFonts w:ascii="Times New Roman;sans-serif" w:hAnsi="Times New Roman;sans-serif"/>
          <w:b w:val="false"/>
          <w:color w:val="000000"/>
          <w:sz w:val="20"/>
        </w:rPr>
        <w:t>ended June 30, 2023 and 2022 was 52% and 51%, respectively.</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for the three months ended June 30, 2023 was reduced by $2.3 million from the impact of Tandem Choice, resulting in a gross margin reduction of approximately one percentage point. The impact on gross margin from our Tandem Choice program will fluctuate through the expiration of the program based on the timing of availability of a new hardware platform, Tandem Mobi, and the number of eligible customers who ultimately elect to participate.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benefited from reductions in manufacturing costs, largely due to the lower impact of certain high-cost raw materials acquired in the prior year, as well as continued operational efficiencies, partially offset by fluctuations in other non-manufacturing costs and product mix. More specifically, the higher cost of raw materials acquired in the prior year stemmed from supply chain challenges during the pandemic, where certain pump materials were sourced from alternative suppliers to reduce the risk of component shortages. The impact in the quarter was reduced to less than one percent of sales and we do not anticipate a material impact in future quarters based on our remaining inventory levels.</w:t>
      </w:r>
    </w:p>
    <w:p>
      <w:pPr>
        <w:pStyle w:val="TextBody"/>
        <w:bidi w:val="0"/>
        <w:spacing w:lineRule="auto" w:line="288" w:before="20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expenses for the three months ended June 30, 2023 were $140.5 million, compared to $114.2 million for the three months ended June 30, 2022. More than half of the $26.3 million increase was driven by a non-recurring operating lease impairment charge in SG&amp;A of $14.1 million in the second quarter of 2023, as a result of our facilities consolidation (see Note 6, “Leases”), with no comparable expense in 2022. Additionally, incremental personnel and discretionary spending attributable to our recent acquisitions in both SG&amp;A and R&amp;D was $4.9 million.</w:t>
      </w:r>
    </w:p>
    <w:p>
      <w:pPr>
        <w:pStyle w:val="TextBody"/>
        <w:bidi w:val="0"/>
        <w:spacing w:lineRule="auto" w:line="288" w:before="200" w:after="283"/>
        <w:ind w:left="0" w:right="0" w:firstLine="900"/>
        <w:jc w:val="left"/>
        <w:rPr/>
      </w:pPr>
      <w:r>
        <w:rPr>
          <w:rFonts w:ascii="Times New Roman;sans-serif" w:hAnsi="Times New Roman;sans-serif"/>
          <w:b w:val="false"/>
          <w:i/>
          <w:color w:val="000000"/>
          <w:sz w:val="20"/>
        </w:rPr>
        <w:t xml:space="preserve">Selling, General and Administrative Expenses. </w:t>
      </w:r>
      <w:r>
        <w:rPr>
          <w:rFonts w:ascii="Times New Roman;sans-serif" w:hAnsi="Times New Roman;sans-serif"/>
          <w:b w:val="false"/>
          <w:color w:val="000000"/>
          <w:sz w:val="20"/>
        </w:rPr>
        <w:t>SG&amp;A expenses increased 21% to $97.6 million for the three months ended June 30, 2023, from $80.6 million for the same period in 2022. Excluding the impact of the $14.1 million lease impairment charge, the increase of $2.9 million was largely driven by higher employee-related expenses to provide continued support services for our growing installed customer base, partially offset by certain facilities expense savings from our facilities consolidation initiatives.</w:t>
      </w:r>
    </w:p>
    <w:p>
      <w:pPr>
        <w:pStyle w:val="TextBody"/>
        <w:bidi w:val="0"/>
        <w:spacing w:lineRule="auto" w:line="288" w:before="200" w:after="283"/>
        <w:ind w:left="0" w:right="0" w:firstLine="900"/>
        <w:jc w:val="left"/>
        <w:rPr/>
      </w:pPr>
      <w:r>
        <w:rPr>
          <w:rFonts w:ascii="Times New Roman;sans-serif" w:hAnsi="Times New Roman;sans-serif"/>
          <w:b w:val="false"/>
          <w:i/>
          <w:color w:val="000000"/>
          <w:sz w:val="20"/>
        </w:rPr>
        <w:t>Research and Development Expenses</w:t>
      </w:r>
      <w:r>
        <w:rPr>
          <w:rFonts w:ascii="Times New Roman;sans-serif" w:hAnsi="Times New Roman;sans-serif"/>
          <w:b w:val="false"/>
          <w:color w:val="000000"/>
          <w:sz w:val="20"/>
        </w:rPr>
        <w:t>. R&amp;D expenses increased 28% to $42.9 million for the three months ended June 30, 2023, from $33.6 million for the same period in 2022. The increase in R&amp;D expenses was primarily the result of a $7.5 million increase in salaries and related benefits due to our acquisitions and an increase in personnel to support our product development efforts. We also experienced a $1.8 million increase in other non-employee discretionary spending, including equipment and clinical trials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360"/>
        <w:jc w:val="left"/>
        <w:rPr/>
      </w:pPr>
      <w:r>
        <w:rPr>
          <w:rFonts w:ascii="Times New Roman;sans-serif" w:hAnsi="Times New Roman;sans-serif"/>
          <w:b/>
          <w:color w:val="000000"/>
          <w:sz w:val="20"/>
        </w:rPr>
        <w:t>Other Income (Expense), Net</w:t>
      </w:r>
      <w:r>
        <w:rPr>
          <w:color w:val="000000"/>
        </w:rPr>
        <w:t xml:space="preserve"> </w:t>
      </w:r>
    </w:p>
    <w:p>
      <w:pPr>
        <w:pStyle w:val="TextBody"/>
        <w:bidi w:val="0"/>
        <w:spacing w:lineRule="auto" w:line="288" w:before="200" w:after="283"/>
        <w:ind w:left="0" w:right="0" w:firstLine="900"/>
        <w:jc w:val="left"/>
        <w:rPr/>
      </w:pPr>
      <w:r>
        <w:rPr>
          <w:rFonts w:ascii="Times New Roman;sans-serif" w:hAnsi="Times New Roman;sans-serif"/>
          <w:b w:val="false"/>
          <w:color w:val="000000"/>
          <w:sz w:val="20"/>
        </w:rPr>
        <w:t>Total other income (expense), net for the three months ended June 30, 2023 was $4.2 million income, compared to $0.7 million expense in the same period in 2022. Other income, net for the three months ended June 30, 2023 primarily consisted of $5.1 million of interest income earned on our cash equivalents and short-term investments, and $0.7 million in foreign currency transaction gains, partially offset by $1.6 million of interest expense which included the amortization of debt issuance costs related to our Convertible Senior Notes. Other expense, net for the three months ended June 30, 2022 primarily</w:t>
      </w:r>
      <w:r>
        <w:rPr>
          <w:color w:val="000000"/>
        </w:rPr>
        <w:t xml:space="preserve"> </w:t>
      </w:r>
      <w:r>
        <w:rPr>
          <w:rFonts w:ascii="Times New Roman;sans-serif" w:hAnsi="Times New Roman;sans-serif"/>
          <w:b w:val="false"/>
          <w:color w:val="000000"/>
          <w:sz w:val="20"/>
        </w:rPr>
        <w:t>consisted of $1.5 million of interest expense which included the amortization of debt issuance costs related to our Notes.</w:t>
      </w:r>
    </w:p>
    <w:p>
      <w:pPr>
        <w:pStyle w:val="TextBody"/>
        <w:bidi w:val="0"/>
        <w:spacing w:lineRule="auto" w:line="288" w:before="20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Income Tax Expense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income tax expense of $1.1 million on a pre-tax loss of $34.6 million for the three months ended June 30, 2023, compared to income tax expense of $2.1 million on a pre-tax loss of $13.0 million for the three months ended June 30, 2022. Income tax expense for the three months ended June 30, 2023 was primarily attributable to federal, state and foreign income tax expense as a result of current taxable income in certain jurisdictions. Income tax expense for the three months ended June 30, 2022 was primarily attributable to the change from the annual effective tax rate method used in the first quarter of 2022 to the discrete effective tax rate method, and state and foreign income tax expense as a result of current taxable income in certain jurisdictions.</w:t>
      </w:r>
    </w:p>
    <w:p>
      <w:pPr>
        <w:pStyle w:val="TextBody"/>
        <w:bidi w:val="0"/>
        <w:spacing w:before="200" w:after="283"/>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Comparison of the Six Months Ended June 30, 2023 and 2022 </w:t>
      </w:r>
    </w:p>
    <w:p>
      <w:pPr>
        <w:pStyle w:val="TextBody"/>
        <w:bidi w:val="0"/>
        <w:spacing w:lineRule="auto" w:line="288" w:before="24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Sales</w:t>
      </w:r>
    </w:p>
    <w:p>
      <w:pPr>
        <w:pStyle w:val="TextBody"/>
        <w:bidi w:val="0"/>
        <w:spacing w:lineRule="auto" w:line="288" w:before="200" w:after="283"/>
        <w:ind w:left="0" w:right="0" w:firstLine="900"/>
        <w:jc w:val="left"/>
        <w:rPr/>
      </w:pPr>
      <w:r>
        <w:rPr>
          <w:rFonts w:ascii="Times New Roman;sans-serif" w:hAnsi="Times New Roman;sans-serif"/>
          <w:b w:val="false"/>
          <w:color w:val="000000"/>
          <w:sz w:val="20"/>
        </w:rPr>
        <w:t>For the six months</w:t>
      </w:r>
      <w:r>
        <w:rPr>
          <w:color w:val="000000"/>
        </w:rPr>
        <w:t xml:space="preserve"> </w:t>
      </w:r>
      <w:r>
        <w:rPr>
          <w:rFonts w:ascii="Times New Roman;sans-serif" w:hAnsi="Times New Roman;sans-serif"/>
          <w:b w:val="false"/>
          <w:color w:val="000000"/>
          <w:sz w:val="20"/>
        </w:rPr>
        <w:t>ended June 30, 2023,</w:t>
      </w:r>
      <w:r>
        <w:rPr>
          <w:color w:val="000000"/>
        </w:rPr>
        <w:t xml:space="preserve"> </w:t>
      </w:r>
      <w:r>
        <w:rPr>
          <w:rFonts w:ascii="Times New Roman;sans-serif" w:hAnsi="Times New Roman;sans-serif"/>
          <w:b w:val="false"/>
          <w:color w:val="000000"/>
          <w:sz w:val="20"/>
        </w:rPr>
        <w:t>sales were $365.3 million, which included $91.6 million of sales outside the United States. For the six months ended June 30, 2023 we deferred $4.3 million of pump sales as a result of Tandem Choice, which launched in the United States in the third quarter of 2022. For the six months ended June 30, 2022, sales were $376.2 million, which included $99.2 million of sales outside the United States.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Sales by product in the United States were as follows (in thousands):</w:t>
      </w:r>
    </w:p>
    <w:tbl>
      <w:tblPr>
        <w:tblW w:w="6952" w:type="dxa"/>
        <w:jc w:val="left"/>
        <w:tblInd w:w="0" w:type="dxa"/>
        <w:tblLayout w:type="fixed"/>
        <w:tblCellMar>
          <w:top w:w="28" w:type="dxa"/>
          <w:left w:w="28" w:type="dxa"/>
          <w:bottom w:w="28" w:type="dxa"/>
          <w:right w:w="28" w:type="dxa"/>
        </w:tblCellMar>
      </w:tblPr>
      <w:tblGrid>
        <w:gridCol w:w="1116"/>
        <w:gridCol w:w="979"/>
        <w:gridCol w:w="995"/>
        <w:gridCol w:w="211"/>
        <w:gridCol w:w="826"/>
        <w:gridCol w:w="109"/>
        <w:gridCol w:w="109"/>
        <w:gridCol w:w="109"/>
        <w:gridCol w:w="109"/>
        <w:gridCol w:w="211"/>
        <w:gridCol w:w="826"/>
        <w:gridCol w:w="109"/>
        <w:gridCol w:w="109"/>
        <w:gridCol w:w="109"/>
        <w:gridCol w:w="109"/>
        <w:gridCol w:w="268"/>
        <w:gridCol w:w="268"/>
        <w:gridCol w:w="380"/>
      </w:tblGrid>
      <w:tr>
        <w:trPr/>
        <w:tc>
          <w:tcPr>
            <w:tcW w:w="111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Pump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Supplies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Deferral for Tandem Choice program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Sales in the United States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bl>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Pump sales in the United States were $140.8 million for the first six months of 2023, compared to $155.2 million in the first six months of 2022, as pump shipments decreased 9% compared to the same period in the prior year. We continued to face challenging marketplace dynamics and economic conditions, with inflation and the threat of recession impacting pump purchasing decisions. Sales of pump-related supplies increased primarily due to a 14% increase year over year in our ending estimated installed base of customers in the United States. Sales to distributors accounted for 65% and 65% of our total sales in the United States for the six months ended June 30, 2023 and 2022, respectively. Sales in the United States for the six months ended June 30, 2023 were reduced by a deferral of $4.3 million as the result of our Tandem Choice program which launched in the third quarter of 2022. No comparable program existed in the first six months of 2022.</w:t>
      </w:r>
    </w:p>
    <w:p>
      <w:pPr>
        <w:pStyle w:val="TextBody"/>
        <w:bidi w:val="0"/>
        <w:spacing w:before="0" w:after="0"/>
        <w:ind w:left="0" w:right="0" w:firstLine="144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Sales by product outside the United States were as follows (in thousands):</w:t>
      </w:r>
    </w:p>
    <w:tbl>
      <w:tblPr>
        <w:tblW w:w="6771" w:type="dxa"/>
        <w:jc w:val="left"/>
        <w:tblInd w:w="0" w:type="dxa"/>
        <w:tblLayout w:type="fixed"/>
        <w:tblCellMar>
          <w:top w:w="28" w:type="dxa"/>
          <w:left w:w="28" w:type="dxa"/>
          <w:bottom w:w="28" w:type="dxa"/>
          <w:right w:w="28" w:type="dxa"/>
        </w:tblCellMar>
      </w:tblPr>
      <w:tblGrid>
        <w:gridCol w:w="1126"/>
        <w:gridCol w:w="989"/>
        <w:gridCol w:w="1004"/>
        <w:gridCol w:w="211"/>
        <w:gridCol w:w="721"/>
        <w:gridCol w:w="109"/>
        <w:gridCol w:w="109"/>
        <w:gridCol w:w="109"/>
        <w:gridCol w:w="109"/>
        <w:gridCol w:w="211"/>
        <w:gridCol w:w="721"/>
        <w:gridCol w:w="109"/>
        <w:gridCol w:w="109"/>
        <w:gridCol w:w="109"/>
        <w:gridCol w:w="109"/>
        <w:gridCol w:w="268"/>
        <w:gridCol w:w="268"/>
        <w:gridCol w:w="380"/>
      </w:tblGrid>
      <w:tr>
        <w:trPr/>
        <w:tc>
          <w:tcPr>
            <w:tcW w:w="112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Pump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Supplies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Sales Outside the United States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90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Pump sales outside the United States were $45.6 million for the first six months of 2023, compared to $48.1 million in the first six months of 2022. We commenced operations of a centralized European distribution center in late 2022, which resulted in a material disruption to distributor ordering patterns in the first half of 2023 as affected distributors reduced their pump and supply inventory levels to adjust for the reduced transit time. This disruption was more significant in the first quarter of 2023, impacting the second quarter to a lesser degree. As a result, pump shipments decreased 20% compared to the same period in the prior year and supply orders declined as well. We believe that this transition was substantially completed by the end of the second quarter of 2023. The decrease in pump sales was offset by an 18% increase in average selling prices due primarily to geographical mix. Sales to distributors accounted for 94% of our total sales outside the United States for the six-month period ended June 30, 2023, and 96% for the same period in 2022.</w:t>
      </w:r>
    </w:p>
    <w:p>
      <w:pPr>
        <w:pStyle w:val="TextBody"/>
        <w:bidi w:val="0"/>
        <w:spacing w:before="0" w:after="0"/>
        <w:ind w:left="0" w:right="0" w:firstLine="900"/>
        <w:jc w:val="left"/>
        <w:rPr/>
      </w:pPr>
      <w:r>
        <w:rPr/>
      </w: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Cost of Sales and Gross Profit</w:t>
      </w:r>
    </w:p>
    <w:p>
      <w:pPr>
        <w:pStyle w:val="TextBody"/>
        <w:bidi w:val="0"/>
        <w:spacing w:before="0" w:after="0"/>
        <w:ind w:left="0" w:right="0" w:firstLine="900"/>
        <w:jc w:val="left"/>
        <w:rPr/>
      </w:pPr>
      <w:r>
        <w:rPr/>
      </w:r>
    </w:p>
    <w:p>
      <w:pPr>
        <w:pStyle w:val="TextBody"/>
        <w:bidi w:val="0"/>
        <w:spacing w:lineRule="auto" w:line="288" w:before="0" w:after="0"/>
        <w:ind w:left="0" w:right="0" w:firstLine="900"/>
        <w:jc w:val="left"/>
        <w:rPr/>
      </w:pPr>
      <w:r>
        <w:rPr>
          <w:rFonts w:ascii="Times New Roman;sans-serif" w:hAnsi="Times New Roman;sans-serif"/>
          <w:b w:val="false"/>
          <w:color w:val="000000"/>
          <w:sz w:val="20"/>
        </w:rPr>
        <w:t>Our cost of sales for the six months</w:t>
      </w:r>
      <w:r>
        <w:rPr>
          <w:color w:val="000000"/>
        </w:rPr>
        <w:t xml:space="preserve"> </w:t>
      </w:r>
      <w:r>
        <w:rPr>
          <w:rFonts w:ascii="Times New Roman;sans-serif" w:hAnsi="Times New Roman;sans-serif"/>
          <w:b w:val="false"/>
          <w:color w:val="000000"/>
          <w:sz w:val="20"/>
        </w:rPr>
        <w:t>ended June 30, 2023</w:t>
      </w:r>
      <w:r>
        <w:rPr>
          <w:color w:val="000000"/>
        </w:rPr>
        <w:t xml:space="preserve"> </w:t>
      </w:r>
      <w:r>
        <w:rPr>
          <w:rFonts w:ascii="Times New Roman;sans-serif" w:hAnsi="Times New Roman;sans-serif"/>
          <w:b w:val="false"/>
          <w:color w:val="000000"/>
          <w:sz w:val="20"/>
        </w:rPr>
        <w:t>was $180.7 million</w:t>
      </w:r>
      <w:r>
        <w:rPr>
          <w:color w:val="000000"/>
        </w:rPr>
        <w:t xml:space="preserve"> </w:t>
      </w:r>
      <w:r>
        <w:rPr>
          <w:rFonts w:ascii="Times New Roman;sans-serif" w:hAnsi="Times New Roman;sans-serif"/>
          <w:b w:val="false"/>
          <w:color w:val="000000"/>
          <w:sz w:val="20"/>
        </w:rPr>
        <w:t>resulting in gross profit of $184.6 million, compared to cost of sales of $183.1 million and gross profit of $193.0 million for the same period in 2022. The gross margin for the six months</w:t>
      </w:r>
      <w:r>
        <w:rPr>
          <w:color w:val="000000"/>
        </w:rPr>
        <w:t xml:space="preserve"> </w:t>
      </w:r>
      <w:r>
        <w:rPr>
          <w:rFonts w:ascii="Times New Roman;sans-serif" w:hAnsi="Times New Roman;sans-serif"/>
          <w:b w:val="false"/>
          <w:color w:val="000000"/>
          <w:sz w:val="20"/>
        </w:rPr>
        <w:t>ended June 30, 2023 was 51% compared to 51% in the same period in 2022.</w:t>
      </w:r>
    </w:p>
    <w:p>
      <w:pPr>
        <w:pStyle w:val="TextBody"/>
        <w:bidi w:val="0"/>
        <w:spacing w:before="0" w:after="0"/>
        <w:ind w:left="0" w:right="0" w:firstLine="90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for the six months ended June 30, 2023 was most meaningfully impacted by the decrease in sales associated with the European distribution center transition. Furthermore, gross profit was reduced by $4.3 million from the impact of Tandem Choice, resulting in a gross margin reduction of approximately one percentage point. The impact on gross margin from our Tandem Choice program will fluctuate through the expiration of the program based on the timing of availability of Tandem Mobi and the number of eligible customers who ultimately elect to participate.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benefited from reductions in manufacturing costs due to the lower impact of certain high-cost raw materials acquired in the prior year, as well as continued operational efficiencies, partially offset by fluctuations in other non-manufacturing costs and product mix. More specifically, the higher cost of raw materials acquired in the prior year stemmed from supply chain challenges during the pandemic, where certain pump materials were sourced from alternative suppliers to reduce the risk of component shortages. The impact in the first six months of 2023 was reduced to less than one percent of sales and we do not anticipate a material impact in future quarters based on our remaining inventory levels.</w:t>
      </w:r>
    </w:p>
    <w:p>
      <w:pPr>
        <w:pStyle w:val="TextBody"/>
        <w:bidi w:val="0"/>
        <w:spacing w:lineRule="auto" w:line="288" w:before="20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expenses for the six months ended June 30, 2023 were $351.3 million, compared to $220.6 million for the six months ended June 30, 2022. A significant portion of the increase was driven by certain non-recurring transactions, for which there was no comparable expense in 2022. We incurred $78.8 million of acquired in-process research and development expenses in connection with our recent acquisition of AMF Medical. As a part of continued operating efficiency measures, we also incurred an operating lease impairment charge in SG&amp;A of $14.1 million as a result of a facilities consolidation, and employee severance costs of $2.7 million. Additionally, incremental personnel and discretionary spending attributable to our recent acquisitions in both SG&amp;A and R&amp;D was $8.9 million.</w:t>
      </w:r>
    </w:p>
    <w:p>
      <w:pPr>
        <w:pStyle w:val="TextBody"/>
        <w:bidi w:val="0"/>
        <w:spacing w:lineRule="auto" w:line="288" w:before="200" w:after="283"/>
        <w:ind w:left="0" w:right="0" w:firstLine="900"/>
        <w:jc w:val="left"/>
        <w:rPr/>
      </w:pPr>
      <w:r>
        <w:rPr>
          <w:rFonts w:ascii="Times New Roman;sans-serif" w:hAnsi="Times New Roman;sans-serif"/>
          <w:b w:val="false"/>
          <w:i/>
          <w:color w:val="000000"/>
          <w:sz w:val="20"/>
        </w:rPr>
        <w:t>Selling, General and Administrative Expenses.</w:t>
      </w:r>
      <w:r>
        <w:rPr>
          <w:color w:val="000000"/>
        </w:rPr>
        <w:t xml:space="preserve"> </w:t>
      </w:r>
      <w:r>
        <w:rPr>
          <w:rFonts w:ascii="Times New Roman;sans-serif" w:hAnsi="Times New Roman;sans-serif"/>
          <w:b w:val="false"/>
          <w:color w:val="000000"/>
          <w:sz w:val="20"/>
        </w:rPr>
        <w:t>SG&amp;A expenses increased 22% to $187.4 million for the six months ended June 30, 2023, from $153.9 million for the same period in 2022. Excluding the impact of the $14.1 million lease impairment charge and $2.1 million in severance costs, the increase of $17.3 million was largely driven by $14.0 million in employee-related expenses. This was primarily the result of higher salaries and related benefits to provide continued support services for our growing installed customer base.</w:t>
      </w:r>
    </w:p>
    <w:p>
      <w:pPr>
        <w:pStyle w:val="TextBody"/>
        <w:bidi w:val="0"/>
        <w:spacing w:lineRule="auto" w:line="288" w:before="240" w:after="283"/>
        <w:ind w:left="0" w:right="0" w:firstLine="900"/>
        <w:jc w:val="left"/>
        <w:rPr/>
      </w:pPr>
      <w:r>
        <w:rPr>
          <w:rFonts w:ascii="Times New Roman;sans-serif" w:hAnsi="Times New Roman;sans-serif"/>
          <w:b w:val="false"/>
          <w:i/>
          <w:color w:val="000000"/>
          <w:sz w:val="20"/>
        </w:rPr>
        <w:t>Research and Development Expenses</w:t>
      </w:r>
      <w:r>
        <w:rPr>
          <w:rFonts w:ascii="Times New Roman;sans-serif" w:hAnsi="Times New Roman;sans-serif"/>
          <w:b w:val="false"/>
          <w:color w:val="000000"/>
          <w:sz w:val="20"/>
        </w:rPr>
        <w:t>. R&amp;D expenses increased 28% to $85.1 million for the six months ended June 30, 2023, from $66.7 million for the same period in 2022. The increase in R&amp;D expenses was primarily the result of a $16.0 million increase in salaries and related benefits from our acquisitions and an increase in personnel to support our product development efforts. We also experienced a $2.4 million increase in other non-employee discretionary spending, including equipment, supplies and clinical trials costs.</w:t>
      </w:r>
    </w:p>
    <w:p>
      <w:pPr>
        <w:pStyle w:val="TextBody"/>
        <w:bidi w:val="0"/>
        <w:spacing w:lineRule="auto" w:line="288" w:before="200" w:after="283"/>
        <w:ind w:left="0" w:right="0" w:firstLine="900"/>
        <w:jc w:val="left"/>
        <w:rPr/>
      </w:pPr>
      <w:r>
        <w:rPr>
          <w:rFonts w:ascii="Times New Roman;sans-serif" w:hAnsi="Times New Roman;sans-serif"/>
          <w:b w:val="false"/>
          <w:i/>
          <w:color w:val="000000"/>
          <w:sz w:val="20"/>
        </w:rPr>
        <w:t xml:space="preserve">Acquired In-Process Research and Development Expenses. </w:t>
      </w:r>
      <w:r>
        <w:rPr>
          <w:rFonts w:ascii="Times New Roman;sans-serif" w:hAnsi="Times New Roman;sans-serif"/>
          <w:b w:val="false"/>
          <w:color w:val="000000"/>
          <w:sz w:val="20"/>
        </w:rPr>
        <w:t>Acquired IPR&amp;D expenses of $78.8 million for the six months ended June 30, 2023 represented the value of assets acquired, and acquisition related expenses, in connection with our acquisition of AMF Medical (see Note 12,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Other Income (Expense), Net</w:t>
      </w:r>
    </w:p>
    <w:p>
      <w:pPr>
        <w:pStyle w:val="TextBody"/>
        <w:bidi w:val="0"/>
        <w:spacing w:lineRule="auto" w:line="288" w:before="240" w:after="283"/>
        <w:ind w:left="0" w:right="0" w:firstLine="900"/>
        <w:jc w:val="left"/>
        <w:rPr/>
      </w:pPr>
      <w:r>
        <w:rPr>
          <w:rFonts w:ascii="Times New Roman;sans-serif" w:hAnsi="Times New Roman;sans-serif"/>
          <w:b w:val="false"/>
          <w:color w:val="000000"/>
          <w:sz w:val="20"/>
        </w:rPr>
        <w:t>Total other income (expense), net for the six months ended June 30, 2023 and 2022 was income of $8.4 million and expense of $1.8 million, respectively. Other income, net for the six months ended June 30, 2023 primarily consisted of $9.3 million of interest income earned on our cash equivalents and short-term investments, and $2.3 million in foreign currency transaction gains, partially offset by $3.2 million of interest expense which included the amortization of debt issuance costs related to our Convertible Senior Notes. Other expense, net for the six months ended June 30, 2022 primarily</w:t>
      </w:r>
      <w:r>
        <w:rPr>
          <w:color w:val="000000"/>
        </w:rPr>
        <w:t xml:space="preserve"> </w:t>
      </w:r>
      <w:r>
        <w:rPr>
          <w:rFonts w:ascii="Times New Roman;sans-serif" w:hAnsi="Times New Roman;sans-serif"/>
          <w:b w:val="false"/>
          <w:color w:val="000000"/>
          <w:sz w:val="20"/>
        </w:rPr>
        <w:t>consisted of $3.1 million of interest expense which included the amortization of debt issuance costs related to our Notes, partially offset by $1.2 million of interest income earned on our cash equivalents and short-term investments.</w:t>
      </w:r>
    </w:p>
    <w:p>
      <w:pPr>
        <w:pStyle w:val="TextBody"/>
        <w:bidi w:val="0"/>
        <w:spacing w:lineRule="auto" w:line="288" w:before="24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Income Tax Expense</w:t>
      </w: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income tax expense of $1.4 million on pre-tax loss of $158.2 million for the six months ended June 30, 2023, compared to income tax expense of $0.4 million on a pre-tax loss of $29.4 million for the six months ended June 30, 2022. Income tax expense for the six months ended June 30, 2023 and 2022 was primarily attributable to federal, state and foreign income tax expense as a result of current taxable income in certain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2023, we had $507.2 million in cash and cash equivalents and short-term investments. In addition, we have a Revolving Line of Credit (Line of Credit), which expires in May 2025 (see Note 7, “Debt”), under which we may borrow up to $50.0 million, less the amount of our standby letter of credit, subject to a reduced borrowing base through the third quarter of 2023. We believe that our cash and cash equivalents, short-term investments, borrowing availability under the Line of Credit, and future cash flows from operations will be sufficient to fund our ongoing core business activities for at least the next twelve months.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our principal sources of cash have included cash collected from product sales, private and public offerings of equity securities, exercises of employee stock awards, and debt financing.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historical cash outflows have primarily been associated with cash used for operating activities such as research and development activities, sales, marketing and commercialization of our products worldwide, expansion of clinical and customer support organizations, the acquisition of intellectual property, equity investments and acquired assets, capital expenditures and debt service costs.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a summary of our cash flows for the six months ended June 30, 2023 and 2022 (in thousands):</w:t>
      </w:r>
    </w:p>
    <w:tbl>
      <w:tblPr>
        <w:tblW w:w="7067" w:type="dxa"/>
        <w:jc w:val="left"/>
        <w:tblInd w:w="0" w:type="dxa"/>
        <w:tblLayout w:type="fixed"/>
        <w:tblCellMar>
          <w:top w:w="28" w:type="dxa"/>
          <w:left w:w="28" w:type="dxa"/>
          <w:bottom w:w="28" w:type="dxa"/>
          <w:right w:w="28" w:type="dxa"/>
        </w:tblCellMar>
      </w:tblPr>
      <w:tblGrid>
        <w:gridCol w:w="1564"/>
        <w:gridCol w:w="1372"/>
        <w:gridCol w:w="1384"/>
        <w:gridCol w:w="211"/>
        <w:gridCol w:w="796"/>
        <w:gridCol w:w="109"/>
        <w:gridCol w:w="109"/>
        <w:gridCol w:w="109"/>
        <w:gridCol w:w="109"/>
        <w:gridCol w:w="211"/>
        <w:gridCol w:w="721"/>
        <w:gridCol w:w="109"/>
        <w:gridCol w:w="109"/>
        <w:gridCol w:w="154"/>
      </w:tblGrid>
      <w:tr>
        <w:trPr/>
        <w:tc>
          <w:tcPr>
            <w:tcW w:w="15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exchange rate changes on cash</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(41,766)</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900"/>
        <w:jc w:val="left"/>
        <w:rPr/>
      </w:pPr>
      <w:r>
        <w:rPr>
          <w:rFonts w:ascii="Times New Roman;sans-serif" w:hAnsi="Times New Roman;sans-serif"/>
          <w:b w:val="false"/>
          <w:i/>
          <w:color w:val="000000"/>
          <w:sz w:val="20"/>
        </w:rPr>
        <w:t>Operating Activities</w:t>
      </w:r>
      <w:r>
        <w:rPr>
          <w:rFonts w:ascii="Times New Roman;sans-serif" w:hAnsi="Times New Roman;sans-serif"/>
          <w:b w:val="false"/>
          <w:color w:val="000000"/>
          <w:sz w:val="20"/>
        </w:rPr>
        <w:t>. Net cash used in operating activities was $24.6 million for the six months ended June 30, 2023, compared to $20.7 million cash provided by operating activities in the same period in 2022. The reduction in net cash provided by operating activities for 2023 compared to 2022 was primarily a result of the increase in net loss, which included $78.8 million of acquired in-process research and development expenses and a $14.1 million operating lease impairment charge in 2023, as well as working capital changes. Working capital changes during the first six months of 2023 primarily consisted of an increase in inventories, partially offset by a decrease in accounts receivable. Accounts receivable decreased to $98.7 million at June 30, 2023, from $114.7 million at December 31, 2022. Inventories increased to $147.6 million at June 30, 2023, from $111.1 million at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900"/>
        <w:jc w:val="left"/>
        <w:rPr/>
      </w:pPr>
      <w:r>
        <w:rPr>
          <w:rFonts w:ascii="Times New Roman;sans-serif" w:hAnsi="Times New Roman;sans-serif"/>
          <w:b w:val="false"/>
          <w:i/>
          <w:color w:val="000000"/>
          <w:sz w:val="20"/>
        </w:rPr>
        <w:t>Investing Activities</w:t>
      </w:r>
      <w:r>
        <w:rPr>
          <w:rFonts w:ascii="Times New Roman;sans-serif" w:hAnsi="Times New Roman;sans-serif"/>
          <w:b w:val="false"/>
          <w:color w:val="000000"/>
          <w:sz w:val="20"/>
        </w:rPr>
        <w:t>. Net cash used in investing activities was $20.6 million for the six months ended June 30, 2023,</w:t>
      </w:r>
      <w:r>
        <w:rPr>
          <w:color w:val="000000"/>
        </w:rPr>
        <w:t xml:space="preserve"> </w:t>
      </w:r>
      <w:r>
        <w:rPr>
          <w:rFonts w:ascii="Times New Roman;sans-serif" w:hAnsi="Times New Roman;sans-serif"/>
          <w:b w:val="false"/>
          <w:color w:val="000000"/>
          <w:sz w:val="20"/>
        </w:rPr>
        <w:t>which was primarily related to $235.5 million of purchases of short-term investments, $69.5 million for the acquisition of AMF Medical, including transaction costs (see Note 12, “Acquisitions”), and $16.2 million in purchases of property and equipment, offset by $303.1 million in proceeds from maturities and redemptions of short-term investments. Net cash provided by investing activities was $11.6 million for the six months ended June 30, 2022, which was primarily related to $256.5 million in proceeds from maturities and redemptions of short-term investments, offset by $229.7 million of purchases of short-term investments, and $14.8 million in purchases of property and equipment.</w:t>
      </w:r>
    </w:p>
    <w:p>
      <w:pPr>
        <w:pStyle w:val="TextBody"/>
        <w:bidi w:val="0"/>
        <w:spacing w:lineRule="auto" w:line="288" w:before="200" w:after="283"/>
        <w:ind w:left="0" w:right="0" w:firstLine="900"/>
        <w:jc w:val="left"/>
        <w:rPr/>
      </w:pPr>
      <w:r>
        <w:rPr>
          <w:rFonts w:ascii="Times New Roman;sans-serif" w:hAnsi="Times New Roman;sans-serif"/>
          <w:b w:val="false"/>
          <w:i/>
          <w:color w:val="000000"/>
          <w:sz w:val="20"/>
        </w:rPr>
        <w:t xml:space="preserve">Financing Activities. </w:t>
      </w:r>
      <w:r>
        <w:rPr>
          <w:rFonts w:ascii="Times New Roman;sans-serif" w:hAnsi="Times New Roman;sans-serif"/>
          <w:b w:val="false"/>
          <w:color w:val="000000"/>
          <w:sz w:val="20"/>
        </w:rPr>
        <w:t>Net cash provided by financing activities was</w:t>
      </w:r>
      <w:r>
        <w:rPr>
          <w:color w:val="000000"/>
        </w:rPr>
        <w:t xml:space="preserve"> </w:t>
      </w:r>
      <w:r>
        <w:rPr>
          <w:rFonts w:ascii="Times New Roman;sans-serif" w:hAnsi="Times New Roman;sans-serif"/>
          <w:b w:val="false"/>
          <w:color w:val="000000"/>
          <w:sz w:val="20"/>
        </w:rPr>
        <w:t>$3.4</w:t>
      </w:r>
      <w:r>
        <w:rPr>
          <w:color w:val="000000"/>
        </w:rPr>
        <w:t xml:space="preserve"> </w:t>
      </w:r>
      <w:r>
        <w:rPr>
          <w:rFonts w:ascii="Times New Roman;sans-serif" w:hAnsi="Times New Roman;sans-serif"/>
          <w:b w:val="false"/>
          <w:color w:val="000000"/>
          <w:sz w:val="20"/>
        </w:rPr>
        <w:t>million for the six months ended June 30, 2023, which primarily consisted of proceeds from the issuance of common stock under our stock plans, net of payments for related tax withholdings. Net cash provided by financing activities was $11.6 million for the six months ended June 30, 2022, which primarily consisted of proceeds from the issuance of common stock under our stock plans, net of payments for related tax withholdings.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liquidity position and capital requirements are subject to fluctuation based on a number of factors. In particular, our cash inflows and outflows are principally impacted by the following:</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our ability to generate sales, the timing of those sales, the mix of products sold and the collection of receivables from period to period;</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 xml:space="preserve">the timing of any additional financings, and the net proceeds raised from such financings; </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the timing and amount of proceeds from the issuance of equity awards pursuant to employee stock plans;</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 xml:space="preserve">fluctuations in gross margins and operating margins; and </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fluctuations in working capital, including changes in accounts receivable, inventories, accounts payable, employee-related liabilities, and operating lease liabilities.</w:t>
      </w: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Both our primary short-term and long-term capital needs are expected to include expenditures related to:</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support of our commercialization efforts related to our current and future products;</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expansion of our customer support resources for our growing installed customer base;</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research and product development efforts, including clinical trial costs;</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acquisitions, leasing or licensing of equipment, technology, intellectual property and other assets;</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additional facilities leases and related tenant improvements;</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investments for the development, improvement and acquisition of manufacturing, testing and packaging equipment to support business growth and increase capacity;</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 xml:space="preserve">payments under licensing, development and commercialization agreements; and </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acquisition and subsequent integration of businesses, products and technologies.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of our financial condition and results of operations are based on our condensed consolidated financial statements, which have been prepared in accordance with U.S. GAAP. The preparation of these condensed consolidated financial statements requires management to make estimates and judgments that affect the reported amounts of assets, liabilities, revenues and expenses and the disclosure of contingent assets and liabilities in our condensed consolidated financial statements and accompanying notes as of the date of the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Some of those judgments can be subjective and complex, and therefore, actual results could differ materially from those estimates under different assumptions or conditions.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material changes to our critical accounting policies and estimates from the information provided in Part II, Item 7, “Management’s Discussion and Analysis of Financial Condition and Results of Operations – Critical Accounting Policies Involving Management Estimates and Assumptions,” included in our Annual Report on Form 10-K for the year ended December 31,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Credit and Interest Rate Risks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invest our excess cash in marketable securities consisting primarily of U.S. Treasury securities, U.S. Government-sponsored enterprise securities, commercial paper and corporate debt securities. Some of the financial instruments in which we invest subject us to market risk, in that a change in prevailing interest rates may cause the principal amount of the instrument to fluctuate. Other financial instruments in which we invest subject us to credit risk, in that the value of the instrument may fluctuate based on the issuer’s ability to pay. Credit rating agencies have, from time to time, issued downgrades or revised outlooks to negative for certain issuers of the debt securities held in our short-term investment portfolio. We review our portfolio of available-for-sale debt securities quarterly to determine if any investment is impaired due to changes in credit risk or other potential valuation concerns. Unrealized losses on available-for-sale debt securities at June 30, 2023 were primarily due to the recent increase in market interest rates. Based on the credit quality of the available-for-sale debt securities in an unrealized loss position, and our current estimates of future cash flows to be collected from those securities, we believe the unrealized losses were not credit losses (see Note 3, “Short-Term Investments”).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primary objectives of our investment activities are to maintain liquidity and preserve principal while maximizing the income we receive from our financial instruments without significantly increasing risk. We have established guidelines regarding approved investments and maturities of investments, which are primarily designed to maintain liquidity and preserve principal.</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 short-term maturities of our financial instruments, we do not believe that an increase or decrease in market interest rates would have a significant impact on the realized value of our investment portfolio. If a 10% change in interest rates were to have occurred on June 30, 2023, it would not have had a material effect on the fair value of our investment portfolio as of that date.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May 2020, we issued $287.5 million principal amount of Convertible Senior Notes, which bear interest at a fixed rate of 1.50% per year. Accordingly, we are not subject to interest rate risk as a result of the Convertible Senior Notes (see Note 7, “Debt”).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Currency Exchange Rate Risk</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are primarily located in the United States. In addition, we have a sales and marketing office in Canada, a distribution center in the Netherlands and, beginning in 2023, a research and development facility in Switzerland associated with the acquisition of AMF Medical. Our sales to customers in the United States are made in U.S. dollars. Sales from our distribution center in the Netherlands are made to independent distributors under agreements denominated in Euros. In addition, a portion of our sales in Canada are denominated in Canadian dollars. Accordingly, we believe our exposure to foreign currency rate fluctuations is primarily related to our operations in Canada and Europe, and acquisition related contingent earnout payments (see Note 12, “Acquisitions”), where fluctuations in the rate of exchange between the U.S. dollar and the local currency could adversely affect our financial results.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As we expand and further develop our operations in markets outside the United States, particularly in Europe, we will be exposed to additional foreign currency exchange rate risk. In addition, from time to time, we may have foreign currency exchange risk related to existing assets and liabilities, other committed transactions and forecasted future cash flows. In certain circumstances, we may seek to manage such foreign currency exchange risk by using derivative instruments such as foreign currency exchange forward contracts to hedge our risk. However, we may choose not to hedge some exposures for a variety of reasons, including prohibitive economic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ind w:left="0" w:right="0" w:firstLine="90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defined in Rules 13a-15(e) and 15d-15(e) under the Exchange Act, that are designed to ensure that information required to be disclosed in the reports we file with the SEC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we carried out an evaluation, under the supervision and with the participation of our management, including our principal executive officer and principal financial officer, of the effectiveness of the design and operation of our disclosure controls and procedures. Based on this evaluation, our principal executive officer and principal financial officer concluded that our disclosure controls and procedures were effective at a reasonable assurance level as of June 30, 2023.</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disclosure controls and procedures are designed to provide reasonable assurance of achieving their objectives as specified above. Management does not expect, however, that our disclosure controls and procedures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Rules 13a-15(f) and 15d-15(f) of the Exchange Act) during the quarter ended June 30, 2023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Except as set forth above under the caption “Commitments and Contingencies - Legal and Regulatory Matters” in Part I, Notes to Unaudited Condensed Consolidated Financial Statements, Subsection 13 of this Quarterly Report, as of June 30, 2023, we do not believe we are currently a party to any legal proceedings, regulatory matters, or other disputes or claims which, if determined adversely to us, would, individually or taken together, have a material adverse effect on our business, financial condition, operating results, liquidity or future prospects. However, regardless of the merits of the claims raised or the outcome, legal proceedings, regulatory matters, and other disputes and claims may have an adverse impact on the Company as a result of defense and settlement costs, diversion of management time and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Below are material changes to the risk factors set forth under the caption “Risk Factors” in Part II, Item 1A of the Annual Report, which are incorporated herein by reference. The risks described in the Annual Report and below are not the only ones we face. Additional risks that we currently do not know about or that we currently believe to be immaterial may also impair our business, financial condition, operating results, liquidity, and future prospects.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Risks Related to Privacy and Security</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 security breach or other significant disruption to our information technology systems or data, or those of our third-party business partners, or failures of our software used with our pumps to perform as we anticipate, could materially disrupt our operations or compromise sensitive information relating to our customers, suppliers, employees or other individuals, which could damage our relationships, expose us to litigation or regulatory proceedings, or harm our reputation.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efficient operation of our business depends on our information technology and communication systems, as well as those of our suppliers, contract manufacturers, distributors and other third-party business partners. We rely on such systems to effectively store, process and transmit confidential, personal, or other sensitive data, including health information, proprietary sales and marketing data, accounting and financial information, manufacturing and quality records, inventory management data, product development tasks, research and development data, customer service and technical support information. These systems and the underlying data are vulnerable to damage or interruption from a number of causes, including earthquakes, fires, floods and other natural disasters, terrorist attacks, attacks by computer viruses or hackers, malware, ransomware or other destructive software, cyber-attacks, social-engineering attacks, malicious code, denial-of-service attacks, credential harvesting, supply chain attacks, power losses, and computer system, data network failures, and other similar threats. Cyber-attacks, malicious internet-based activity, online and offline fraud, and other similar activities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Notably,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Should any of the risks described herein occur, it could also result in the loss, theft, misuse, unauthorized disclosure, or unauthorized access of such sensitive information, which could lead to significant reputational or competitive harm, litigation involving us or our business partners, regulatory proceedings, or substantial liabilities, fines, penalties or expenses. Further, many of our third-party service providers are subject to similar risks. We rely on third-party service providers and technologies to operate critical business systems to process sensitive information in a variety of contexts, including, without limitation, cloud-based infrastructure, data center facilities, encryption and authentication technology, employee email, and other functions and systems.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an award. In addition, supply chain attacks have increased in frequency and severity, and we cannot guarantee that third parties’ infrastructure in our supply chain or our third-party partners’ supply chains have not been compromised.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risks regarding information technology systems and processing of sensitive information, our insulin pumps and other products rely on software, some of which is developed by third-party service providers, that could contain vulnerabilities. 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 These risks significantly increased when we began use of our Tandem Device Updater, which enables customers to remotely update software on their insulin pumps and may be higher after we launched our new mobile application in the second half of 2020. These risks may have further increased in the second half of 2022 when we enabled users to control insulin boluses through the mobile app.</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Moreover, remote work has become more common and has increased risks to our information technology systems and data, as more of our employees use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may expend significant resources or modify our business activities to try to protect against security incidents. Whether or not our security measures and those of our third-party service providers are ultimately successful, our expenditures on those measures could have an adverse impact on our financial condition and results of operations, and divert management’s attention from pursuing our strategic objectives. Certain data privacy and security obligations may require us to implement and maintain reasonable or specific security measures or industry standards to protect our information technology systems and sensitive information.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Applicable data privacy and security obligations may require us to notify relevant stakeholders of security incidents. Such disclosures are costly, and the disclosure or the failure to comply with such requirements could lead to adverse consequences. If we (or a third party upon whom we rely) experience a security incident (such as the incident described below)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products, deter new customers from using our products, and negatively impact our ability to grow and operate our business.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The failure of our or our service providers’ information technology systems or our pumps’ software or other mobile or cloud applications to perform as we anticipate, or our failure to effectively identify, investigate and mitigate potential threats through ongoing maintenance and enhancement of software applications, information technology systems and privacy policies and controls, could disrupt our entire operation or adversely affect our software products. For example, we market our Tandem Device Updater as having the unique capability to deploy software updates to our pumps, which may allow customers remote access to new and enhanced features. The failure of our Tandem Device Updater to provide software updates as we anticipate, including as a result of our inability to secure and maintain necessary regulatory approvals, the inability of our pumps to properly receive software updates, errors or viruses embedded within the software being transmitted, or the failure of our customers to properly use the system to complete the update, could result in decreased sales, increased warranty costs, and harm to our reputation, any of which could have a material adverse effect on our business,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pPr>
      <w:r>
        <w:rPr>
          <w:rFonts w:ascii="Times New Roman;sans-serif" w:hAnsi="Times New Roman;sans-serif"/>
          <w:b/>
          <w:i/>
          <w:color w:val="000000"/>
          <w:sz w:val="20"/>
        </w:rPr>
        <w:t>We may be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(including class claims); fines and penalties; disruptions of our business operations; reputational harm; loss of revenue or profits; loss of customers or sales; and other adverse business consequences.</w:t>
      </w:r>
      <w:r>
        <w:rPr>
          <w:color w:val="000000"/>
        </w:rPr>
        <w:t xml:space="preserve">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collect, receive, store, process, generate, use, transfer, disclose, make accessible, protect, secure, dispose of, transmit, and share (collectively, process (or processing)) sensitive information.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a number of laws in the United States governing the privacy and security of personal information, including data breach notification laws, personal data privacy laws, consumer protection laws (e.g., Section 5 of the Federal Trade Commission Act), and other similar laws (e.g., wiretapping laws). For example, the U.S. Health Insurance Portability and Accountability Act of 1996 (HIPAA) as amended by the Health Information Technology for Economic and Clinical Health Act (“HITECH”), imposes specific requirements relating to the privacy, security, and transmission of individually identifiable protected health information.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the Controlling the Assault of Non-Solicited Pornography and Marketing Act of 2003 ("CAN-SPAM”) and the Telephone Consumer Protection Act of 1991 (“TCPA”) impose specific requirements on communications with customers. For example, the TCPA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or fines of up to $1,500 per violation imposed through private litigation or by state authorities.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As another example, the California Consumer Privacy Act of 2018 (CCPA), as amended by the California Privacy Rights Act of 2020 (CPRA), applies to personal information of consumers, business representatives, and employees who are California residents, and requires businesses to provide specific disclosures in privacy notices and honor requests of such individuals to exercise certain privacy rights. The CCPA provides for administrative fines of up to $7,500 per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 California residents. In addition, the CPRA expanded the CCPA’s requirements, including by adding a new right for individuals to correct their personal information and establishing a new regulatory agency to implement and enforce the law. Other states, such as Virginia and Colorado, have also passed comprehensive privacy laws, and similar laws are being considered in several other states, as well as at the federal and local levels. While these states, like the CCPA, also exempt some data processed in the context of clinical trials, these developments further complicate compliance efforts, and increase legal risk and compliance costs for us, the third parties upon whom we rely, and our customers.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an increasing number of laws, regulations, and industry standards govern data privacy and security. For example, the European Union’s General Data Protection Regulation (“EU GDPR”), the United Kingdom’s GDPR (“UK GDPR”), and Canada’s Personal Information and Electronic Documents Act (PIPEDA) or the applicable provincial alternatives, impose strict requirements for processing personal data.</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under the EU GDPR, companies may face temporary or definitive bans on data processing and other corrective actions; fines of up to 20 million Euros /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In Canada, the Personal Information Protection and Electronic Documents Act (“PIPEDA”) and various related provincial laws, as well as Canada’s Anti-Spam Legislation (“CASL”), may apply to our operations.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regulators are increasingly scrutinizing companies that process children’s data. Numerous laws, regulations, and legally-binding codes, such as the Children’s Online Privacy Protection Act (“COPPA”), California’s Age Appropriate Design Code (effective in July 2024), the CCPA and CPRA, other U.S. state comprehensive privacy laws, the EU and UK GDPR, and the UK Age Appropriate Design Code, impose various obligations on companies that process children data, including by requiring certain consents to process such data and extending certain rights to children and their parents with respect that data. Some of these obligations have wide ranging applications, including for services that do not intentionally target child users (defined in some circumstances as a user under the age of 18 years old).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and UK’s standard contractual clauses,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Additionally, in May 2023, the Irish Data Protection Commission determined that a major social media company’s use of the standard contractual clauses to transfer personal data from Europe to the United States was insufficient and levied a 1.2 billion Euro fine against the company and prohibited the company from transferring EU personal data to the United States.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data privacy and security laws, we are contractually subject to industry standards adopted by industry groups and we are, or may become subject to such obligations in the future. For example, we may also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per month by credit card companies, litigation, damage to our reputation, and revenue losses. We are also bound by contractual obligations related to data privacy and security, and our efforts to comply with such obligations may not be successful. For example, certain privacy laws, such as the GDPR and the CCPA, require our customers to impose specific contractual restrictions on their service providers. Additionally, some of our customer contracts require us to host personal data locally.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if viable, these claims carry the potential for monumental statutory damages, depending on the volume of data and the number of violations.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200" w:after="283"/>
        <w:ind w:left="0" w:right="0" w:firstLine="90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Regulatory Environment</w:t>
      </w:r>
    </w:p>
    <w:p>
      <w:pPr>
        <w:pStyle w:val="TextBody"/>
        <w:bidi w:val="0"/>
        <w:spacing w:lineRule="auto" w:line="276" w:before="200" w:after="283"/>
        <w:jc w:val="left"/>
        <w:rPr>
          <w:rFonts w:ascii="Times New Roman;sans-serif" w:hAnsi="Times New Roman;sans-serif"/>
          <w:b/>
          <w:i/>
          <w:color w:val="000000"/>
          <w:sz w:val="20"/>
        </w:rPr>
      </w:pPr>
      <w:r>
        <w:rPr>
          <w:rFonts w:ascii="Times New Roman;sans-serif" w:hAnsi="Times New Roman;sans-serif"/>
          <w:b/>
          <w:i/>
          <w:color w:val="000000"/>
          <w:sz w:val="20"/>
        </w:rPr>
        <w:t>New products or modifications to our existing products may require new 510(k) clearances, PMAs or certifications, or may require us to cease marketing or recall the modified products until clearances, certifications or approvals are obtained.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concluded that new clearances or approvals were not necessary, we may be required to cease marketing or to recall the modified product until we obtain clearance or approval, and we may be subject to significant regulatory fines or penalties.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FDA’s ongoing review of and potential changes to the 510(k) program may make it more difficult for us to modify our previously cleared products, either by imposing stricter requirements on when a new 510(k) for a modification to a previously cleared product must be submitted, or by applying more onerous review criteria to such submissions.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For those medical devices sold in the EU and for which we have obtained a CE Certificate of Conformity by a Notified Body, we must notify our Notified Body if significant changes are made to the products or if there are substantial changes to our quality assurance systems affecting those products. Obtaining variation of existing CE Certificates of Conformity or a new CE Certificate of Conformity can be a time-consuming process, and delays in obtaining required future clearances, certifications or approvals would adversely affect our ability to introduce new or enhanced products in a timely manner, which in turn would harm our future growth.</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 recall or suspension of our products, or the discovery of serious safety issues with our products, could have a significant negative impact on us.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FDA and equivalent foreign regulatory authorities have the authority to require the recall or suspension, either temporarily or permanently, of commercialized products in the event of material deficiencies or defects in quality systems, product design or manufacture or in the event that a product poses an unacceptable risk to health. Regulatory authorities have broad discretion to require the recall or suspension of a product or to require that manufacturers alert customers of safety risks, and may do so even in circumstances where we do not believe our product poses an unacceptable risk to health. In addition, manufacturers may, under their own initiative, recall a product or suspend sales if any material deficiency in a product is found or alert customers of unanticipated safety risks. A government-mandated or voluntary recall or suspension by us, one of our distributors or any of our other third-party suppliers could occur as a result of an unacceptable risk to health, component failures, manufacturing errors, design or labeling defects or other deficiencies and issues. Recalls, suspensions or other notices relating to any products that we distribute would divert managerial and financial resources, and have an adverse effect on our reputation, financial condition and operating results.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Further, under the FDA’s Medical Device Reporting regulations and equivalent regulations and requirements in other geographies, we are required to maintain appropriate quality systems and report incidents in which our product may have caused or contributed to serious injury or death in which our product malfunctioned and, if the malfunction were to recur, would likely cause or contribute to serious injury or death. Repeated product malfunctions may result in a voluntary or involuntary product recall or suspension of product sales, which could divert managerial and financial resources, impair our ability to manufacture our products in a cost-effective and timely manner and have an adverse effect on our reputation, financial condition and operating results. We have initiated product recalls in the past, and our risk of future product recalls may increase as we launch new products or offer new software updates for existing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Any adverse event involving any products that we distribute could result in future voluntary corrective actions, such as recalls or customer notifications, or regulatory authority action, which could include inspection, mandatory recall or other enforcement action. For example, the Australian Therapeutic Goods Administration (TGA) temporarily suspended our pump product sales in Australia starting November 24, 2020, however sales of pump-related supplies were allowed to continue. Effective April 1, 2021, following discussions with the TGA, the temporary suspension was lifted for our t:slim X2 with Basal-IQ technology, subject to certain post-market surveillance obligations and other conditions. We discontinued sales of earlier generation products in Australia and we started offering our Control-IQ technology in Australia. There can be no assurance that the TGA will not reimpose the suspension of our pump product sales or impose other regulatory restrictions in the future. In addition, other regulatory authorities may take similar actions against us, and any regulatory challenges we encounter could have a negative impact on our product sales and harm our reputation. Any corrective actions we take in response to this action or future matters with the TGA or other regulatory authorities, whether voluntary or involuntary, will require the dedication of our time and capital, may distract management from operating our business, may harm our reputation and financial results or could result in additional regulatory scrutiny in other geographies.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be required to conduct costly post-market testing and surveillance to monitor the safety or effectiveness of our products in the EU.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CE Certificates of Conformity, product seizures, injunctions or the imposition of civil or criminal penalties that would adversely affect our business, operating results and prospects.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Legislative or regulatory healthcare reforms, or other regulatory reforms, may result in downward pressure on the price of and decrease reimbursement for our products, and uncertainty regarding the healthcare regulatory environment could have a material adverse effect on our business.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among other things, expand healthcare coverage to more individuals, contain or reduce the cost of healthcare, and improve the quality of healthcare outcomes. For example, the Affordable Care Act has substantially changed the way healthcare is financed by both governmental and private insurers and encourages improvements in the quality of healthcare items and services. In the future, additional changes could be made to governmental healthcare programs that could significantly impact the success of our products. This legislation and regulation may result in decreased reimbursement for medical devices, which may create additional pressure to reduce the prices charged for medical devices. Reduced reimbursement rates could significantly decrease our revenue, which in turn would place significant downward pressure on our gross margins and impede our ability to become profitable.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cannot predict which, if any, additional healthcare reform proposals will be adopted, when they may be adopted or what impact they may have on the existing regulatory environment, or our ability to operate our business. Any of these factors could have a material adverse effect on our operating results and financial condition.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EU, the MDR became applicable on May 26, 2021, repealing and replacing both the MDD and Directive 90/385/EEC on active implantable medical devices. The MDR establishes transitional provisions. However, the changes to the regulatory system implemented in the EU by the MDR include stricter requirements for clinical evidence and pre-market assessment of safety and performance, new classifications to indicate risk levels, requirements for third party testing by Notified Bodies, tightened and streamlined quality management system assessment procedures and additional requirements for the quality management system, additional requirements for traceability of products and transparency as well a refined responsibility of economic operators. We are also required to provide clinical data in the form of a clinical evaluation report. Fulfillment of the obligations imposed by the MDR may cause us to incur substantial costs. We may be unable to fulfil these obligations, or our Notified Body may consider that we have not adequately demonstrated compliance with our related obligations to merit a CE Certificate of Conformity on the basis of the MDR.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Moreover, in the EU, some EU Member States may, after a medical device is CE marked, require the completion of additional studies that compare the cost-effectiveness of a particular medical device candidate to currently available therapies. This Health Technology Assessment, or HTA process, which is currently governed by the national laws of the individual EU Member States, is the procedure according to which the assessment of the public health impact, therapeutic impact and the economic and societal impact of use of a given medical device in the national healthcare systems of the individual country is conducted. The outcome of HTA regarding specific medical device will often influence the pricing and reimbursement status granted to these products by the competent authorities of individual EU Member States. In December 2021, Regulation No 2021/2282 on HTA, amending Directive 2011/24/EU, was adopted in the EU. This Regulation, which entered into force in January 2022 and will apply as of January 2025, is intended to boost cooperation among EU Member States in assessing health technologies and providing the basis for cooperation at EU level for joint clinical assessments in these areas. If we are unable to obtain or maintain favorable pricing and reimbursement status in EU Member States for our medical devices or medical devices that we may successfully develop and for which we may obtain certification, any anticipated revenue from and growth prospects for those products in the EU could be negatively affected.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exit of the UK from the EU, commonly referred to as “Brexit” could lead to regulatory divergence between the EU and the UK. On May 26, 2021, the MDR became applicable in the EU. However, the MDR is not applicable in the UK. In the UK, medical devices are governed by the Medical Devices Regulations 2002 (SI 2002 No 618, as amended) (UK MDR 2002) which, for the time being, retains a regulatory framework similar to the framework set out by the MDD. The government plans to introduce new legislation governing medical devices with an aim for core aspects of the future regime for medical devices to apply from July 1, 2025. New legislation is also anticipated later in 2023 to bring into force strengthened post-market surveillance requirements ahead of the wider future regulatory regime. These post-market surveillance requirements are expected to apply from mid-2024. Should the UK or Great Britain further diverge from the EU from a regulatory perspective, tariffs could be put into place in the future. We could therefore, both now and in the future, face significant additional expenses to operate our business, which could significantly and materially harm or delay our ability to generate revenue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EU and the UK.</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previously reported, at our 2022 Annual Meeting of Stockholders on May 25, 2022 (the 2022 Annual Meeting), our stockholders approved an amendment to our Amended and Restated Certificate of Incorporation (the Charter Amendment) to provide for the phased elimination of our classified board structure, such that our board of directors would be fully declassified with all directors elected for one-year terms by our 2024 Annual Meeting of Stockholders. Our board of directors also approved a corresponding amendment to our bylaws to remove the requirement that our board of directors be constituted as a classified board (the Bylaws Amendment), for adoption following the filing of the Charter Amendment. Recently, we discovered that the Charter Amendment was inadvertently not filed with the Delaware Secretary of State following its approval at the 2022 Annual Meeting, and on August 1, 2023, we filed the Charter Amendment with the Delaware Secretary of State and adopted the Bylaws Amendment.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summary of the Charter Amendment and the Bylaws Amendment is qualified by these documents, which are filed as Exhibits 3.1 and 3.2 to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5"/>
        <w:gridCol w:w="321"/>
        <w:gridCol w:w="322"/>
        <w:gridCol w:w="1775"/>
        <w:gridCol w:w="1563"/>
        <w:gridCol w:w="1568"/>
        <w:gridCol w:w="261"/>
        <w:gridCol w:w="210"/>
        <w:gridCol w:w="172"/>
        <w:gridCol w:w="192"/>
        <w:gridCol w:w="172"/>
        <w:gridCol w:w="172"/>
        <w:gridCol w:w="349"/>
        <w:gridCol w:w="314"/>
        <w:gridCol w:w="274"/>
        <w:gridCol w:w="330"/>
        <w:gridCol w:w="330"/>
        <w:gridCol w:w="332"/>
        <w:gridCol w:w="343"/>
        <w:gridCol w:w="343"/>
        <w:gridCol w:w="497"/>
      </w:tblGrid>
      <w:tr>
        <w:trPr/>
        <w:tc>
          <w:tcPr>
            <w:tcW w:w="3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59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Provided Herewith</w:t>
            </w:r>
          </w:p>
        </w:tc>
      </w:tr>
      <w:tr>
        <w:trPr/>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4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Description</w:t>
            </w:r>
          </w:p>
        </w:tc>
        <w:tc>
          <w:tcPr>
            <w:tcW w:w="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 of First Filing</w:t>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11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8" w:type="dxa"/>
            <w:gridSpan w:val="3"/>
            <w:tcBorders/>
            <w:vAlign w:val="center"/>
          </w:tcPr>
          <w:p>
            <w:pPr>
              <w:pStyle w:val="TableContents"/>
              <w:bidi w:val="0"/>
              <w:spacing w:before="0" w:after="283"/>
              <w:jc w:val="left"/>
              <w:rPr>
                <w:sz w:val="4"/>
                <w:szCs w:val="4"/>
              </w:rPr>
            </w:pPr>
            <w:r>
              <w:rPr>
                <w:sz w:val="4"/>
                <w:szCs w:val="4"/>
              </w:rPr>
            </w:r>
          </w:p>
        </w:tc>
        <w:tc>
          <w:tcPr>
            <w:tcW w:w="4906" w:type="dxa"/>
            <w:gridSpan w:val="3"/>
            <w:tcBorders/>
            <w:vAlign w:val="center"/>
          </w:tcPr>
          <w:p>
            <w:pPr>
              <w:pStyle w:val="TableContents"/>
              <w:bidi w:val="0"/>
              <w:spacing w:before="0" w:after="283"/>
              <w:jc w:val="left"/>
              <w:rPr>
                <w:sz w:val="4"/>
                <w:szCs w:val="4"/>
              </w:rPr>
            </w:pPr>
            <w:r>
              <w:rPr>
                <w:sz w:val="4"/>
                <w:szCs w:val="4"/>
              </w:rPr>
            </w:r>
          </w:p>
        </w:tc>
        <w:tc>
          <w:tcPr>
            <w:tcW w:w="643"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10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4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exhibit31amendedandrestate.htm">
              <w:r>
                <w:rPr>
                  <w:rStyle w:val="InternetLink"/>
                  <w:rFonts w:ascii="Times New Roman;sans-serif" w:hAnsi="Times New Roman;sans-serif"/>
                  <w:b w:val="false"/>
                  <w:color w:val="000000"/>
                  <w:sz w:val="20"/>
                  <w:u w:val="single"/>
                </w:rPr>
                <w:t>Amended and Restated Certificate of Incorporation of the Registrant (as amended and currently in effect).</w:t>
              </w:r>
            </w:hyperlink>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4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2amendedandrestate.htm">
              <w:r>
                <w:rPr>
                  <w:rStyle w:val="InternetLink"/>
                  <w:rFonts w:ascii="Times New Roman;sans-serif" w:hAnsi="Times New Roman;sans-serif"/>
                  <w:b w:val="false"/>
                  <w:color w:val="000000"/>
                  <w:sz w:val="20"/>
                  <w:u w:val="single"/>
                </w:rPr>
                <w:t>Amended and Restated Bylaws of the Registrant (as amended and currently in effect).</w:t>
              </w:r>
            </w:hyperlink>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4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Reference is made to Exhibits </w:t>
            </w:r>
            <w:hyperlink w:anchor="exhibit31amendedandrestate.htm">
              <w:r>
                <w:rPr>
                  <w:rStyle w:val="InternetLink"/>
                  <w:rFonts w:ascii="Times New Roman;sans-serif" w:hAnsi="Times New Roman;sans-serif"/>
                  <w:b w:val="false"/>
                  <w:color w:val="000000"/>
                  <w:sz w:val="20"/>
                  <w:u w:val="single"/>
                </w:rPr>
                <w:t>3.1</w:t>
              </w:r>
            </w:hyperlink>
            <w:r>
              <w:rPr>
                <w:color w:val="000000"/>
              </w:rPr>
              <w:t xml:space="preserve"> </w:t>
            </w:r>
            <w:r>
              <w:rPr>
                <w:rFonts w:ascii="Times New Roman;sans-serif" w:hAnsi="Times New Roman;sans-serif"/>
                <w:b w:val="false"/>
                <w:color w:val="000000"/>
                <w:sz w:val="20"/>
              </w:rPr>
              <w:t xml:space="preserve">and </w:t>
            </w:r>
            <w:hyperlink w:anchor="exhibit32amendedandrestate.htm">
              <w:r>
                <w:rPr>
                  <w:rStyle w:val="InternetLink"/>
                  <w:rFonts w:ascii="Times New Roman;sans-serif" w:hAnsi="Times New Roman;sans-serif"/>
                  <w:b w:val="false"/>
                  <w:color w:val="000000"/>
                  <w:sz w:val="20"/>
                  <w:u w:val="single"/>
                </w:rPr>
                <w:t>3.2</w:t>
              </w:r>
            </w:hyperlink>
            <w:r>
              <w:rPr>
                <w:rFonts w:ascii="Times New Roman;sans-serif" w:hAnsi="Times New Roman;sans-serif"/>
                <w:b w:val="false"/>
                <w:color w:val="000000"/>
                <w:sz w:val="20"/>
              </w:rPr>
              <w:t>.</w:t>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4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1-2023longxtermin.htm">
              <w:r>
                <w:rPr>
                  <w:rStyle w:val="InternetLink"/>
                  <w:rFonts w:ascii="Times New Roman;sans-serif" w:hAnsi="Times New Roman;sans-serif"/>
                  <w:b w:val="false"/>
                  <w:color w:val="000000"/>
                  <w:sz w:val="20"/>
                  <w:u w:val="single"/>
                </w:rPr>
                <w:t>Tandem Diabetes Care, Inc. 2023 Long-Term Incentive Plan</w:t>
              </w:r>
            </w:hyperlink>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4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2formofrestricted.htm">
              <w:r>
                <w:rPr>
                  <w:rStyle w:val="InternetLink"/>
                  <w:rFonts w:ascii="Times New Roman;sans-serif" w:hAnsi="Times New Roman;sans-serif"/>
                  <w:b w:val="false"/>
                  <w:color w:val="000000"/>
                  <w:sz w:val="20"/>
                  <w:u w:val="single"/>
                </w:rPr>
                <w:t>Form of Restricted Stock Units Agreement under the 2023 Long-Term Incentive Plan</w:t>
              </w:r>
            </w:hyperlink>
            <w:r>
              <w:rPr>
                <w:rFonts w:ascii="Times New Roman;sans-serif" w:hAnsi="Times New Roman;sans-serif"/>
                <w:b w:val="false"/>
                <w:color w:val="000000"/>
                <w:sz w:val="20"/>
              </w:rPr>
              <w:t>.</w:t>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4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tndm-20230630xex311.htm">
              <w:r>
                <w:rPr>
                  <w:rStyle w:val="InternetLink"/>
                  <w:rFonts w:ascii="Times New Roman;sans-serif" w:hAnsi="Times New Roman;sans-serif"/>
                  <w:b w:val="false"/>
                  <w:color w:val="000000"/>
                  <w:sz w:val="20"/>
                  <w:u w:val="single"/>
                </w:rPr>
                <w:t>Certification of John F. Sheridan, Chief Executive Officer, pursuant to Section 302 of the Sarbanes-Oxley Act of 2002.</w:t>
              </w:r>
            </w:hyperlink>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4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tndm-20230630xex312.htm">
              <w:r>
                <w:rPr>
                  <w:rStyle w:val="InternetLink"/>
                  <w:rFonts w:ascii="Times New Roman;sans-serif" w:hAnsi="Times New Roman;sans-serif"/>
                  <w:b w:val="false"/>
                  <w:color w:val="000000"/>
                  <w:sz w:val="20"/>
                  <w:u w:val="single"/>
                </w:rPr>
                <w:t>Certification of Leigh A. Vosseller, Chief Financial Officer, pursuant to Section 302 of the Sarbanes-Oxley Act of 2002.</w:t>
              </w:r>
            </w:hyperlink>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4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tndm-20230630xex321.htm">
              <w:r>
                <w:rPr>
                  <w:rStyle w:val="InternetLink"/>
                  <w:rFonts w:ascii="Times New Roman;sans-serif" w:hAnsi="Times New Roman;sans-serif"/>
                  <w:b w:val="false"/>
                  <w:color w:val="000000"/>
                  <w:sz w:val="20"/>
                  <w:u w:val="single"/>
                </w:rPr>
                <w:t>Certification of John F. Sheridan, Chief Executive Officer, pursuant to U.S.C. Section 1350, as adopted pursuant to Section 906 of the Sarbanes-Oxley Act of 2002.</w:t>
              </w:r>
            </w:hyperlink>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4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tndm-20230630xex322.htm">
              <w:r>
                <w:rPr>
                  <w:rStyle w:val="InternetLink"/>
                  <w:rFonts w:ascii="Times New Roman;sans-serif" w:hAnsi="Times New Roman;sans-serif"/>
                  <w:b w:val="false"/>
                  <w:color w:val="000000"/>
                  <w:sz w:val="20"/>
                  <w:u w:val="single"/>
                </w:rPr>
                <w:t>Certification of Leigh A. Vosseller, Chief Financial Officer, pursuant to U.S.C. Section 1350, as adopted pursuant to Section 906 of the Sarbanes-Oxley Act of 2002.</w:t>
              </w:r>
            </w:hyperlink>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4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4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4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4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4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4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4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 contained in Exhibit 101).</w:t>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8659" w:type="dxa"/>
        <w:jc w:val="left"/>
        <w:tblInd w:w="0" w:type="dxa"/>
        <w:tblLayout w:type="fixed"/>
        <w:tblCellMar>
          <w:top w:w="28" w:type="dxa"/>
          <w:left w:w="28" w:type="dxa"/>
          <w:bottom w:w="28" w:type="dxa"/>
          <w:right w:w="28" w:type="dxa"/>
        </w:tblCellMar>
      </w:tblPr>
      <w:tblGrid>
        <w:gridCol w:w="705"/>
        <w:gridCol w:w="619"/>
        <w:gridCol w:w="625"/>
        <w:gridCol w:w="109"/>
        <w:gridCol w:w="109"/>
        <w:gridCol w:w="109"/>
        <w:gridCol w:w="368"/>
        <w:gridCol w:w="368"/>
        <w:gridCol w:w="368"/>
        <w:gridCol w:w="1535"/>
        <w:gridCol w:w="1535"/>
        <w:gridCol w:w="2209"/>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Tandem Diabetes Care,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F. Sheridan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F. Sheridan</w:t>
              <w:br/>
              <w:t>President and Chief Executive Officer</w:t>
              <w:br/>
              <w:t>(on behalf of the registrant and as the registrant’s</w:t>
              <w:br/>
              <w:t>Principal Executive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Leigh A. Vosseller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Leigh A. Vosseller</w:t>
              <w:br/>
              <w:t>Executive Vice President, Chief Financial Officer and Treasurer</w:t>
              <w:br/>
              <w:t>(on behalf of the registrant and as the registrant’s</w:t>
              <w:b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3.1</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AMENDED AND RESTATED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CERTIFICATE OF INCORPORATION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TANDEM DIABETES CARE, INC.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Tandem Diabetes Care, Inc., a corporation organized and existing under the laws of the State of Delaware (the “Corporation”), hereby certifies that (i) the Certificate of Incorporation of the Corporation was originally filed with the Secretary of State of Delaware on January 7, 2008, (ii) this Amended and Restated Certificate of Incorporation has been duly adopted in accordance with Sections 242 of the Delaware General Corporation Law, (iii) the Amended and Restated Certificate of Incorporation of the Corporation as amended through August 1, 2023, is hereby amended and restated to read in full as follows: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 * *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ARTICLE 1 - NAME </w:t>
      </w:r>
    </w:p>
    <w:p>
      <w:pPr>
        <w:pStyle w:val="TextBody"/>
        <w:bidi w:val="0"/>
        <w:spacing w:before="0" w:after="0"/>
        <w:ind w:left="0" w:right="0" w:firstLine="345"/>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name of this Corporation is Tandem Diabetes Care, Inc.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ARTICLE 2 - REGISTERED OFFICE AND AGENT </w:t>
      </w:r>
    </w:p>
    <w:p>
      <w:pPr>
        <w:pStyle w:val="TextBody"/>
        <w:bidi w:val="0"/>
        <w:spacing w:before="0" w:after="0"/>
        <w:ind w:left="0" w:right="0" w:firstLine="345"/>
        <w:jc w:val="left"/>
        <w:rPr/>
      </w:pPr>
      <w:r>
        <w:rPr/>
      </w:r>
    </w:p>
    <w:p>
      <w:pPr>
        <w:pStyle w:val="TextBody"/>
        <w:bidi w:val="0"/>
        <w:spacing w:lineRule="auto" w:line="288" w:before="0" w:after="0"/>
        <w:ind w:left="0" w:right="0" w:firstLine="367"/>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address of the registered office of the Corporation in the State of Delaware is 2711 Centerville Road, Suite 400, in the City of Wilmington, County of New Castle, 19808. The name of its registered agent at such address is Corporation Service Company.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ARTICLE 3 - PURPOSE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purpose of the Corporation is to engage in any lawful act or activity for which corporations may be organized under the General Corporation Law of the State of Delaware, as amended from time to time. The Corporation shall have perpetual existence.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ARTICLE 4 - CAPITAL STOCK </w:t>
      </w:r>
    </w:p>
    <w:p>
      <w:pPr>
        <w:pStyle w:val="TextBody"/>
        <w:bidi w:val="0"/>
        <w:spacing w:before="0" w:after="0"/>
        <w:ind w:left="0" w:right="0" w:firstLine="345"/>
        <w:jc w:val="left"/>
        <w:rPr/>
      </w:pPr>
      <w:r>
        <w:rPr/>
      </w:r>
    </w:p>
    <w:p>
      <w:pPr>
        <w:pStyle w:val="TextBody"/>
        <w:bidi w:val="0"/>
        <w:spacing w:lineRule="auto" w:line="288"/>
        <w:ind w:left="0" w:right="0" w:firstLine="360"/>
        <w:jc w:val="left"/>
        <w:rPr/>
      </w:pPr>
      <w:r>
        <w:rPr>
          <w:rFonts w:ascii="Times New Roman;sans-serif" w:hAnsi="Times New Roman;sans-serif"/>
          <w:b/>
          <w:color w:val="000000"/>
          <w:sz w:val="20"/>
        </w:rPr>
        <w:t xml:space="preserve">A. </w:t>
      </w:r>
      <w:r>
        <w:rPr>
          <w:rFonts w:ascii="Times New Roman;sans-serif" w:hAnsi="Times New Roman;sans-serif"/>
          <w:b w:val="false"/>
          <w:color w:val="000000"/>
          <w:sz w:val="20"/>
          <w:u w:val="single"/>
        </w:rPr>
        <w:t>Classes of Stock</w:t>
      </w:r>
      <w:r>
        <w:rPr>
          <w:rFonts w:ascii="Times New Roman;sans-serif" w:hAnsi="Times New Roman;sans-serif"/>
          <w:b w:val="false"/>
          <w:color w:val="000000"/>
          <w:sz w:val="20"/>
        </w:rPr>
        <w:t>. This Corporation is authorized to issue two classes of stock to be designated, respectively, “</w:t>
      </w:r>
      <w:r>
        <w:rPr>
          <w:rFonts w:ascii="Times New Roman;sans-serif" w:hAnsi="Times New Roman;sans-serif"/>
          <w:b w:val="false"/>
          <w:color w:val="000000"/>
          <w:sz w:val="20"/>
          <w:u w:val="single"/>
        </w:rPr>
        <w:t>Common Stock</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color w:val="000000"/>
          <w:sz w:val="20"/>
          <w:u w:val="single"/>
        </w:rPr>
        <w:t>Preferred Stock</w:t>
      </w:r>
      <w:r>
        <w:rPr>
          <w:rFonts w:ascii="Times New Roman;sans-serif" w:hAnsi="Times New Roman;sans-serif"/>
          <w:b w:val="false"/>
          <w:color w:val="000000"/>
          <w:sz w:val="20"/>
        </w:rPr>
        <w:t xml:space="preserve">.” The total number of shares of capital stock which this Corporation has authority to issue is Two Hundred Five Million (205,000,000) shares. Two Hundred Million (200,000,000) shares shall be designated Common Stock, $0.001 par value per share and Five Million (5,000,000) shares shall be designated Preferred Stock, $0.001 par value per share. </w:t>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3.1</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360"/>
        <w:jc w:val="left"/>
        <w:rPr/>
      </w:pPr>
      <w:r>
        <w:rPr>
          <w:rFonts w:ascii="Times New Roman;sans-serif" w:hAnsi="Times New Roman;sans-serif"/>
          <w:b/>
          <w:color w:val="000000"/>
          <w:sz w:val="20"/>
        </w:rPr>
        <w:t xml:space="preserve">B. </w:t>
      </w:r>
      <w:r>
        <w:rPr>
          <w:rFonts w:ascii="Times New Roman;sans-serif" w:hAnsi="Times New Roman;sans-serif"/>
          <w:b w:val="false"/>
          <w:color w:val="000000"/>
          <w:sz w:val="20"/>
          <w:u w:val="single"/>
        </w:rPr>
        <w:t>Preferred Stock</w:t>
      </w:r>
      <w:r>
        <w:rPr>
          <w:rFonts w:ascii="Times New Roman;sans-serif" w:hAnsi="Times New Roman;sans-serif"/>
          <w:b w:val="false"/>
          <w:color w:val="000000"/>
          <w:sz w:val="20"/>
        </w:rPr>
        <w:t xml:space="preserve">. The Board of Directors is authorized, subject to limitations prescribed by law, to provide for the issuance of the shares of Preferred Stock in series, and by filing a certificate pursuant to the applicable law of the State of Delaware, to establish from time to time the number of shares to be included in each such series, and to fix the designation, powers, preferences and rights of the shares of each such series and the qualifications, limitations or restrictions thereof, including, without limitation, the number of shares constituting that series and the distinctive designation of that series; the dividend rate, if any, on the shares of that series, whether dividends shall be cumulative, and, if so, from which date or dates, and the relative rights of priority, if any, of payment of dividends on shares of that series; whether that series shall have voting rights, in addition to the voting rights provided by law, and if so, the terms of such voting rights; whether that series shall have conversion privileges, and, if so, the terms and conditions of such conversion, including provision for adjustment of the conversion rate in such events as the Board of Directors shall determine; whether or not the shares of that series shall be redeemable, and, if so, the terms and conditions of such redemption, including the date upon or after which they shall be redeemable, and the amount per share payable in case of redemption, which amount may vary under different conditions and at different redemption dates; whether that series shall have a sinking fund for the redemption or purchase of shares of that series, and, if so, the terms and amount of such sinking fund; the rights of the shares of that series in the event of voluntary or involuntary liquidation, dissolution or winding up of the Corporation, and the relative rights of priority, if any, of payment of shares of that series; and any other relative rights, preferences and limitations of that series. The Board of Directors is also expressly authorized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 </w:t>
      </w:r>
    </w:p>
    <w:p>
      <w:pPr>
        <w:pStyle w:val="TextBody"/>
        <w:bidi w:val="0"/>
        <w:spacing w:before="0" w:after="0"/>
        <w:ind w:left="0" w:right="0" w:firstLine="345"/>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Except as otherwise required by law, holders of Common Stock shall not be entitled to vote on any amendment to this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Certificate of Incorporation (including any certificate of designation filed with respect to any series of Preferred Stock). </w:t>
      </w:r>
    </w:p>
    <w:p>
      <w:pPr>
        <w:pStyle w:val="TextBody"/>
        <w:bidi w:val="0"/>
        <w:spacing w:before="0" w:after="0"/>
        <w:ind w:left="0" w:right="0" w:firstLine="345"/>
        <w:jc w:val="left"/>
        <w:rPr/>
      </w:pPr>
      <w:r>
        <w:rPr/>
      </w:r>
    </w:p>
    <w:p>
      <w:pPr>
        <w:pStyle w:val="TextBody"/>
        <w:bidi w:val="0"/>
        <w:spacing w:lineRule="auto" w:line="288"/>
        <w:ind w:left="0" w:right="0" w:firstLine="360"/>
        <w:jc w:val="left"/>
        <w:rPr/>
      </w:pPr>
      <w:r>
        <w:rPr>
          <w:rFonts w:ascii="Times New Roman;sans-serif" w:hAnsi="Times New Roman;sans-serif"/>
          <w:b/>
          <w:color w:val="000000"/>
          <w:sz w:val="20"/>
        </w:rPr>
        <w:t>C</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Reverse Stock Split</w:t>
      </w:r>
      <w:r>
        <w:rPr>
          <w:rFonts w:ascii="Times New Roman;sans-serif" w:hAnsi="Times New Roman;sans-serif"/>
          <w:b w:val="false"/>
          <w:color w:val="000000"/>
          <w:sz w:val="20"/>
        </w:rPr>
        <w:t>. Effective immediately upon the filing of a Certificate of Amendment of Amended and Restated Certificate of Incorporation with the Secretary of State of the State of Delaware on October 9, 2017 (the “</w:t>
      </w:r>
      <w:r>
        <w:rPr>
          <w:rFonts w:ascii="Times New Roman;sans-serif" w:hAnsi="Times New Roman;sans-serif"/>
          <w:b w:val="false"/>
          <w:color w:val="000000"/>
          <w:sz w:val="20"/>
          <w:u w:val="single"/>
        </w:rPr>
        <w:t>Effective Time</w:t>
      </w:r>
      <w:r>
        <w:rPr>
          <w:color w:val="000000"/>
        </w:rPr>
        <w:t>”</w:t>
      </w:r>
      <w:r>
        <w:rPr>
          <w:rFonts w:ascii="Times New Roman;sans-serif" w:hAnsi="Times New Roman;sans-serif"/>
          <w:b w:val="false"/>
          <w:color w:val="000000"/>
          <w:sz w:val="20"/>
        </w:rPr>
        <w:t>), each ten (10) shares of Common Stock then issued and outstanding, or held in the treasury of the Corporation, immediately prior to the Effective Time shall automatically be reclassified and converted into one (1) share of Common Stock, without any further action by the Corporation or the respective holders of such shares (the “</w:t>
      </w:r>
      <w:r>
        <w:rPr>
          <w:rFonts w:ascii="Times New Roman;sans-serif" w:hAnsi="Times New Roman;sans-serif"/>
          <w:b w:val="false"/>
          <w:color w:val="000000"/>
          <w:sz w:val="20"/>
          <w:u w:val="single"/>
        </w:rPr>
        <w:t>Reverse Stock Split</w:t>
      </w:r>
      <w:r>
        <w:rPr>
          <w:color w:val="000000"/>
        </w:rPr>
        <w:t>”</w:t>
      </w:r>
      <w:r>
        <w:rPr>
          <w:rFonts w:ascii="Times New Roman;sans-serif" w:hAnsi="Times New Roman;sans-serif"/>
          <w:b w:val="false"/>
          <w:color w:val="000000"/>
          <w:sz w:val="20"/>
        </w:rPr>
        <w:t>). No fractional shares shall be issued in connection with the Reverse Stock Split. A holder of Common Stock who would otherwise be entitled to receive a fractional share as a result of the Reverse Stock Split will receive one whole share of Common Stock in lieu of such fractional share.</w:t>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3.1</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ARTICLE 5 - DIRECTORS AND STOCKHOLDERS </w:t>
      </w:r>
    </w:p>
    <w:p>
      <w:pPr>
        <w:pStyle w:val="TextBody"/>
        <w:bidi w:val="0"/>
        <w:spacing w:before="0" w:after="0"/>
        <w:jc w:val="center"/>
        <w:rPr/>
      </w:pPr>
      <w:r>
        <w:rPr/>
      </w:r>
    </w:p>
    <w:p>
      <w:pPr>
        <w:pStyle w:val="TextBody"/>
        <w:bidi w:val="0"/>
        <w:spacing w:lineRule="auto" w:line="288" w:before="0" w:after="0"/>
        <w:ind w:left="0" w:right="0" w:firstLine="360"/>
        <w:jc w:val="left"/>
        <w:rPr/>
      </w:pPr>
      <w:r>
        <w:rPr>
          <w:rFonts w:ascii="Times New Roman;sans-serif" w:hAnsi="Times New Roman;sans-serif"/>
          <w:b/>
          <w:color w:val="000000"/>
          <w:sz w:val="20"/>
        </w:rPr>
        <w:t xml:space="preserve">A. </w:t>
      </w:r>
      <w:r>
        <w:rPr>
          <w:rFonts w:ascii="Times New Roman;sans-serif" w:hAnsi="Times New Roman;sans-serif"/>
          <w:b w:val="false"/>
          <w:color w:val="000000"/>
          <w:sz w:val="20"/>
          <w:u w:val="single"/>
        </w:rPr>
        <w:t>Board of Directors</w:t>
      </w:r>
      <w:r>
        <w:rPr>
          <w:rFonts w:ascii="Times New Roman;sans-serif" w:hAnsi="Times New Roman;sans-serif"/>
          <w:b w:val="false"/>
          <w:color w:val="000000"/>
          <w:sz w:val="20"/>
        </w:rPr>
        <w:t>. The business and affairs of the Corporation shall be managed by or under the direction of the Board of Directors and elections of directors need not be by written ballot unless otherwise provided in the Bylaws. The number of directors of the Corporation shall be fixed from time to time by the Board of Directors either by a resolution or Bylaw adopted by the affirmative vote of a majority of the entire Board of Directors. Subject to the rights of the holders of any series of Preferred Stock that may be designated from time to time to elect additional directors under specified circumstances, commencing with the annual meeting of stockholders to be held in 2022 (each annual meeting of stockholders, an “Annual Meeting”), the directors of the Corporation shall be elected annually and shall hold office until the next Annual Meeting and until his or her successor shall be elected and qualified, or his or her death, resignation, retirement, disqualification, or removal from office. Notwithstanding the foregoing, any director in office whose terms expire at the 2023 Annual Meeting or the 2024 Annual Meeting shall continue to hold office until the end of the term for which such director was elected and until his or her successor shall be elected and qualified, or his or her death, resignation, retirement, disqualification, or removal from office. Notwithstanding the foregoing provisions of this section, each director shall serve until his or her successor is duly elected and qualified or until his or her death, resignation or removal. No decrease in the number of directors constituting the Board of Directors shall shorten the term of any incumbent director.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the rights of any series of Preferred Stock that may be designated from time to time to elect additional directors under specified circumstances, neither the Board of Directors nor any individual director may be removed without cause. Subject to any limitation imposed by applicable law, any individual director or directors may be removed with cause by the affirmative vote of the holders of a majority of the voting power of all of the then outstanding shares of capital stock of the Corporation entitled to vote generally in the election of directors, voting together as a single class.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the rights of the holders of any series of Preferred Stock that may be designated from time to time,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the stockholders, except as otherwise provided by law, be filled only by the affirmative vote of a majority of the directors then in office, even though less than a quorum of the Board of Directors, and not by the stockholders. Any director elected in accordance with the preceding sentence shall hold office for the remainder of the full term of the director for which the vacancy was created or occurred and until such director’s successor shall have been elected and qualified.</w:t>
      </w:r>
    </w:p>
    <w:p>
      <w:pPr>
        <w:pStyle w:val="TextBody"/>
        <w:bidi w:val="0"/>
        <w:spacing w:before="0" w:after="0"/>
        <w:ind w:left="0" w:right="0" w:firstLine="345"/>
        <w:jc w:val="left"/>
        <w:rPr/>
      </w:pPr>
      <w:r>
        <w:rPr/>
      </w:r>
    </w:p>
    <w:p>
      <w:pPr>
        <w:pStyle w:val="TextBody"/>
        <w:bidi w:val="0"/>
        <w:spacing w:lineRule="auto" w:line="288" w:before="0" w:after="0"/>
        <w:ind w:left="0" w:right="0" w:firstLine="360"/>
        <w:jc w:val="left"/>
        <w:rPr/>
      </w:pPr>
      <w:r>
        <w:rPr>
          <w:rFonts w:ascii="Times New Roman;sans-serif" w:hAnsi="Times New Roman;sans-serif"/>
          <w:b/>
          <w:color w:val="000000"/>
          <w:sz w:val="20"/>
        </w:rPr>
        <w:t xml:space="preserve">B. </w:t>
      </w:r>
      <w:r>
        <w:rPr>
          <w:rFonts w:ascii="Times New Roman;sans-serif" w:hAnsi="Times New Roman;sans-serif"/>
          <w:b w:val="false"/>
          <w:color w:val="000000"/>
          <w:sz w:val="20"/>
          <w:u w:val="single"/>
        </w:rPr>
        <w:t>Meetings of Stockholders</w:t>
      </w:r>
      <w:r>
        <w:rPr>
          <w:rFonts w:ascii="Times New Roman;sans-serif" w:hAnsi="Times New Roman;sans-serif"/>
          <w:b w:val="false"/>
          <w:color w:val="000000"/>
          <w:sz w:val="20"/>
        </w:rPr>
        <w:t xml:space="preserve">. Meetings of the stockholders may be held within or without the State of Delaware, as the Bylaws may provide. The books of the Corporation may be kept (subject to any provision contained in the Delaware statutes) outside the State of Delaware at such place or places as may be designated from time to time by the Board of Directors or by the Bylaws of the Corporation. </w:t>
      </w:r>
    </w:p>
    <w:p>
      <w:pPr>
        <w:pStyle w:val="TextBody"/>
        <w:bidi w:val="0"/>
        <w:spacing w:before="0" w:after="0"/>
        <w:ind w:left="0" w:right="0" w:firstLine="345"/>
        <w:jc w:val="left"/>
        <w:rPr/>
      </w:pPr>
      <w:r>
        <w:rPr/>
      </w:r>
    </w:p>
    <w:p>
      <w:pPr>
        <w:pStyle w:val="TextBody"/>
        <w:bidi w:val="0"/>
        <w:spacing w:lineRule="auto" w:line="288" w:before="0" w:after="0"/>
        <w:ind w:left="0" w:right="0" w:firstLine="360"/>
        <w:jc w:val="left"/>
        <w:rPr/>
      </w:pPr>
      <w:r>
        <w:rPr>
          <w:rFonts w:ascii="Times New Roman;sans-serif" w:hAnsi="Times New Roman;sans-serif"/>
          <w:b/>
          <w:color w:val="000000"/>
          <w:sz w:val="20"/>
        </w:rPr>
        <w:t xml:space="preserve">C. </w:t>
      </w:r>
      <w:r>
        <w:rPr>
          <w:rFonts w:ascii="Times New Roman;sans-serif" w:hAnsi="Times New Roman;sans-serif"/>
          <w:b w:val="false"/>
          <w:color w:val="000000"/>
          <w:sz w:val="20"/>
          <w:u w:val="single"/>
        </w:rPr>
        <w:t>Special Meetings of Stockholders.</w:t>
      </w:r>
      <w:r>
        <w:rPr>
          <w:color w:val="000000"/>
        </w:rPr>
        <w:t xml:space="preserve"> </w:t>
      </w:r>
      <w:r>
        <w:rPr>
          <w:rFonts w:ascii="Times New Roman;sans-serif" w:hAnsi="Times New Roman;sans-serif"/>
          <w:b w:val="false"/>
          <w:color w:val="000000"/>
          <w:sz w:val="20"/>
        </w:rPr>
        <w:t xml:space="preserve">Except as otherwise required by statute and subject to the rights, if any, of the holders of any series of Preferred Stock, special meetings of the stockholders of the Corporation may be called only by the Board of Directors acting pursuant to a resolution approved by the affirmative vote of a majority of the Board of Directors then in office, and special meetings of stockholders may not be called by any other person or persons. Only those matters set forth in the notice of the special meeting may be considered or acted upon at a special meeting of stockholders of the Corporation. </w:t>
      </w:r>
    </w:p>
    <w:p>
      <w:pPr>
        <w:pStyle w:val="TextBody"/>
        <w:bidi w:val="0"/>
        <w:spacing w:before="0" w:after="0"/>
        <w:ind w:left="0" w:right="0" w:firstLine="345"/>
        <w:jc w:val="left"/>
        <w:rPr/>
      </w:pPr>
      <w:r>
        <w:rPr/>
      </w:r>
    </w:p>
    <w:p>
      <w:pPr>
        <w:pStyle w:val="TextBody"/>
        <w:bidi w:val="0"/>
        <w:spacing w:lineRule="auto" w:line="288" w:before="0" w:after="0"/>
        <w:ind w:left="0" w:right="0" w:firstLine="360"/>
        <w:jc w:val="left"/>
        <w:rPr/>
      </w:pPr>
      <w:r>
        <w:rPr>
          <w:rFonts w:ascii="Times New Roman;sans-serif" w:hAnsi="Times New Roman;sans-serif"/>
          <w:b/>
          <w:color w:val="000000"/>
          <w:sz w:val="20"/>
        </w:rPr>
        <w:t xml:space="preserve">D. </w:t>
      </w:r>
      <w:r>
        <w:rPr>
          <w:rFonts w:ascii="Times New Roman;sans-serif" w:hAnsi="Times New Roman;sans-serif"/>
          <w:b w:val="false"/>
          <w:color w:val="000000"/>
          <w:sz w:val="20"/>
          <w:u w:val="single"/>
        </w:rPr>
        <w:t>Advance Notice Requirements.</w:t>
      </w:r>
      <w:r>
        <w:rPr>
          <w:color w:val="000000"/>
        </w:rPr>
        <w:t xml:space="preserve"> </w:t>
      </w:r>
      <w:r>
        <w:rPr>
          <w:rFonts w:ascii="Times New Roman;sans-serif" w:hAnsi="Times New Roman;sans-serif"/>
          <w:b w:val="false"/>
          <w:color w:val="000000"/>
          <w:sz w:val="20"/>
        </w:rPr>
        <w:t xml:space="preserve">Advance notice of stockholder nominations for the election of directors and of business to be brought by stockholders before any meeting of the stockholders of the Corporation shall be given in the manner and to the extent provided in the Bylaws of the Corporation. </w:t>
      </w:r>
    </w:p>
    <w:p>
      <w:pPr>
        <w:pStyle w:val="TextBody"/>
        <w:bidi w:val="0"/>
        <w:spacing w:before="0" w:after="0"/>
        <w:ind w:left="0" w:right="0" w:firstLine="345"/>
        <w:jc w:val="left"/>
        <w:rPr/>
      </w:pPr>
      <w:r>
        <w:rPr/>
      </w:r>
    </w:p>
    <w:p>
      <w:pPr>
        <w:pStyle w:val="TextBody"/>
        <w:bidi w:val="0"/>
        <w:spacing w:lineRule="auto" w:line="288"/>
        <w:ind w:left="0" w:right="0" w:firstLine="360"/>
        <w:jc w:val="left"/>
        <w:rPr/>
      </w:pPr>
      <w:r>
        <w:rPr>
          <w:rFonts w:ascii="Times New Roman;sans-serif" w:hAnsi="Times New Roman;sans-serif"/>
          <w:b/>
          <w:color w:val="000000"/>
          <w:sz w:val="20"/>
        </w:rPr>
        <w:t>E</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Stockholder Action by Written Consent</w:t>
      </w:r>
      <w:r>
        <w:rPr>
          <w:rFonts w:ascii="Times New Roman;sans-serif" w:hAnsi="Times New Roman;sans-serif"/>
          <w:b w:val="false"/>
          <w:color w:val="000000"/>
          <w:sz w:val="20"/>
        </w:rPr>
        <w:t xml:space="preserve">. Any action required or permitted to be taken by stockholders may be effected only at a duly called annual or special meeting of stockholders and may not be effected by a written consent or consents by stockholders in lieu of such a meeting. </w:t>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3.1</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ARTICLE 6 - LIMITATION OF DIRECTORS’ LIABILITY </w:t>
      </w:r>
    </w:p>
    <w:p>
      <w:pPr>
        <w:pStyle w:val="TextBody"/>
        <w:bidi w:val="0"/>
        <w:spacing w:before="0" w:after="0"/>
        <w:jc w:val="center"/>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The liability of a director of the Corporation for monetary damages shall be eliminated to the fullest extent permitted by applicable law. If the Delaware General Corporation Law is amended to authorize corporate action further eliminating or limiting the personal liability of directors, then the liability of a director of the Corporation shall be eliminated to the fullest extent permitted by the Delaware General Corporation Law, as so amended. Any repeal or modification of this </w:t>
      </w:r>
      <w:r>
        <w:rPr>
          <w:rFonts w:ascii="Times New Roman;sans-serif" w:hAnsi="Times New Roman;sans-serif"/>
          <w:b w:val="false"/>
          <w:color w:val="000000"/>
          <w:sz w:val="20"/>
          <w:u w:val="single"/>
        </w:rPr>
        <w:t>Article 6</w:t>
      </w:r>
      <w:r>
        <w:rPr>
          <w:color w:val="000000"/>
        </w:rPr>
        <w:t xml:space="preserve"> </w:t>
      </w:r>
      <w:r>
        <w:rPr>
          <w:rFonts w:ascii="Times New Roman;sans-serif" w:hAnsi="Times New Roman;sans-serif"/>
          <w:b w:val="false"/>
          <w:color w:val="000000"/>
          <w:sz w:val="20"/>
        </w:rPr>
        <w:t xml:space="preserve">shall only be prospective and shall not affect the rights or increase the liability of any director under this </w:t>
      </w:r>
      <w:r>
        <w:rPr>
          <w:rFonts w:ascii="Times New Roman;sans-serif" w:hAnsi="Times New Roman;sans-serif"/>
          <w:b w:val="false"/>
          <w:color w:val="000000"/>
          <w:sz w:val="20"/>
          <w:u w:val="single"/>
        </w:rPr>
        <w:t>Article 6</w:t>
      </w:r>
      <w:r>
        <w:rPr>
          <w:color w:val="000000"/>
        </w:rPr>
        <w:t xml:space="preserve"> </w:t>
      </w:r>
      <w:r>
        <w:rPr>
          <w:rFonts w:ascii="Times New Roman;sans-serif" w:hAnsi="Times New Roman;sans-serif"/>
          <w:b w:val="false"/>
          <w:color w:val="000000"/>
          <w:sz w:val="20"/>
        </w:rPr>
        <w:t xml:space="preserve">in effect at the time of the alleged occurrence of any action or omission to act giving rise to such liability. </w:t>
      </w:r>
    </w:p>
    <w:p>
      <w:pPr>
        <w:pStyle w:val="TextBody"/>
        <w:bidi w:val="0"/>
        <w:spacing w:before="0" w:after="0"/>
        <w:ind w:left="0" w:right="0" w:firstLine="345"/>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ARTICLE 7 - INDEMNIFICATION </w:t>
      </w:r>
    </w:p>
    <w:p>
      <w:pPr>
        <w:pStyle w:val="TextBody"/>
        <w:bidi w:val="0"/>
        <w:spacing w:before="0" w:after="0"/>
        <w:jc w:val="center"/>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To the fullest extent permitted by applicable law, the Corporation is authorized to provide indemnification of (and advancement of expenses to) its directors, officers, employees and agents (and any other persons to which applicable law permits the Corporation to provide indemnification) through Bylaw provisions, agreements with such agents or other persons, vote of stockholders or disinterested directors or otherwise, in excess of the indemnification and advancement otherwise permitted by such applicable law. If applicable law is amended after approval by the stockholders of this </w:t>
      </w:r>
      <w:r>
        <w:rPr>
          <w:rFonts w:ascii="Times New Roman;sans-serif" w:hAnsi="Times New Roman;sans-serif"/>
          <w:b w:val="false"/>
          <w:color w:val="000000"/>
          <w:sz w:val="20"/>
          <w:u w:val="single"/>
        </w:rPr>
        <w:t>Article 7</w:t>
      </w:r>
      <w:r>
        <w:rPr>
          <w:color w:val="000000"/>
        </w:rPr>
        <w:t xml:space="preserve"> </w:t>
      </w:r>
      <w:r>
        <w:rPr>
          <w:rFonts w:ascii="Times New Roman;sans-serif" w:hAnsi="Times New Roman;sans-serif"/>
          <w:b w:val="false"/>
          <w:color w:val="000000"/>
          <w:sz w:val="20"/>
        </w:rPr>
        <w:t xml:space="preserve">to authorize corporate action further eliminating or limiting the personal liability of directors, then the liability of a director to the Corporation shall be eliminated or limited to the fullest extent permitted by applicable law as so amended. Any repeal or modification of this </w:t>
      </w:r>
      <w:r>
        <w:rPr>
          <w:rFonts w:ascii="Times New Roman;sans-serif" w:hAnsi="Times New Roman;sans-serif"/>
          <w:b w:val="false"/>
          <w:color w:val="000000"/>
          <w:sz w:val="20"/>
          <w:u w:val="single"/>
        </w:rPr>
        <w:t>Article 7</w:t>
      </w:r>
      <w:r>
        <w:rPr>
          <w:color w:val="000000"/>
        </w:rPr>
        <w:t xml:space="preserve"> </w:t>
      </w:r>
      <w:r>
        <w:rPr>
          <w:rFonts w:ascii="Times New Roman;sans-serif" w:hAnsi="Times New Roman;sans-serif"/>
          <w:b w:val="false"/>
          <w:color w:val="000000"/>
          <w:sz w:val="20"/>
        </w:rPr>
        <w:t xml:space="preserve">shall only be prospective and shall not affect the rights or limit the indemnification of any director, officer, employee or agent under this </w:t>
      </w:r>
      <w:r>
        <w:rPr>
          <w:rFonts w:ascii="Times New Roman;sans-serif" w:hAnsi="Times New Roman;sans-serif"/>
          <w:b w:val="false"/>
          <w:color w:val="000000"/>
          <w:sz w:val="20"/>
          <w:u w:val="single"/>
        </w:rPr>
        <w:t>Article 7</w:t>
      </w:r>
      <w:r>
        <w:rPr>
          <w:color w:val="000000"/>
        </w:rPr>
        <w:t xml:space="preserve"> </w:t>
      </w:r>
      <w:r>
        <w:rPr>
          <w:rFonts w:ascii="Times New Roman;sans-serif" w:hAnsi="Times New Roman;sans-serif"/>
          <w:b w:val="false"/>
          <w:color w:val="000000"/>
          <w:sz w:val="20"/>
        </w:rPr>
        <w:t xml:space="preserve">in effect at the time of the alleged occurrence of any action or omission to act giving rise to such indemnification. </w:t>
      </w:r>
    </w:p>
    <w:p>
      <w:pPr>
        <w:pStyle w:val="TextBody"/>
        <w:bidi w:val="0"/>
        <w:spacing w:before="0" w:after="0"/>
        <w:ind w:left="0" w:right="0" w:firstLine="345"/>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ARTICLE 8 - EXCLUSIVE JURISDICTION OF DELAWARE COURTS </w:t>
      </w:r>
    </w:p>
    <w:p>
      <w:pPr>
        <w:pStyle w:val="TextBody"/>
        <w:bidi w:val="0"/>
        <w:spacing w:before="0" w:after="0"/>
        <w:jc w:val="center"/>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the Corporation’s Certificate of Incorporation or Bylaws, or (iv) any action asserting a claim against the Corporation governed by the internal affairs doctrine. Any person or entity purchasing or otherwise acquiring any interest in shares of capital stock of the Corporation shall be deemed to have notice of and consented to the provisions of this </w:t>
      </w:r>
      <w:r>
        <w:rPr>
          <w:rFonts w:ascii="Times New Roman;sans-serif" w:hAnsi="Times New Roman;sans-serif"/>
          <w:b w:val="false"/>
          <w:color w:val="000000"/>
          <w:sz w:val="20"/>
          <w:u w:val="single"/>
        </w:rPr>
        <w:t>Article 8</w:t>
      </w:r>
      <w:r>
        <w:rPr>
          <w:rFonts w:ascii="Times New Roman;sans-serif" w:hAnsi="Times New Roman;sans-serif"/>
          <w:b w:val="false"/>
          <w:color w:val="000000"/>
          <w:sz w:val="20"/>
        </w:rPr>
        <w:t xml:space="preserve">. </w:t>
      </w:r>
    </w:p>
    <w:p>
      <w:pPr>
        <w:pStyle w:val="TextBody"/>
        <w:bidi w:val="0"/>
        <w:spacing w:before="0" w:after="0"/>
        <w:ind w:left="0" w:right="0" w:firstLine="345"/>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ARTICLE 9 - AMENDMENT OF CERTIFICATE OF INCORPORATION </w:t>
      </w:r>
    </w:p>
    <w:p>
      <w:pPr>
        <w:pStyle w:val="TextBody"/>
        <w:bidi w:val="0"/>
        <w:spacing w:before="0" w:after="0"/>
        <w:jc w:val="center"/>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The Corporation reserves the right to amend or repeal any provision contained in this Certificate of Incorporation in the manner prescribed by the laws of the State of Delaware and all rights conferred upon stockholders are granted subject to this reservation; provided, however, that notwithstanding any other provision of this Certificate of Incorporation, or any provision of law which might otherwise permit a lesser vote or no vote, but in addition to any affirmative vote of the holders of any particular class or series of the Corporation required by law or by this Certificate of Incorporation or any certificate of designation filed with respect to a series of Preferred Stock, the affirmative vote of the holders of at least sixty-six and two-thirds percent (66 2/3%) of the voting power of all of the then outstanding shares of capital stock of the Corporation entitled to vote generally in the election of directors, voting together as a single class, shall be required to alter, amend or repeal </w:t>
      </w:r>
      <w:r>
        <w:rPr>
          <w:rFonts w:ascii="Times New Roman;sans-serif" w:hAnsi="Times New Roman;sans-serif"/>
          <w:b w:val="false"/>
          <w:color w:val="000000"/>
          <w:sz w:val="20"/>
          <w:u w:val="single"/>
        </w:rPr>
        <w:t>Article 5</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Article 6</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Article 7</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Article 8</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Article 9</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Article 10</w:t>
      </w:r>
      <w:r>
        <w:rPr>
          <w:color w:val="000000"/>
        </w:rPr>
        <w:t xml:space="preserve"> </w:t>
      </w:r>
      <w:r>
        <w:rPr>
          <w:rFonts w:ascii="Times New Roman;sans-serif" w:hAnsi="Times New Roman;sans-serif"/>
          <w:b w:val="false"/>
          <w:color w:val="000000"/>
          <w:sz w:val="20"/>
        </w:rPr>
        <w:t xml:space="preserve">of this Certificate of Incorporation. </w:t>
      </w:r>
    </w:p>
    <w:p>
      <w:pPr>
        <w:pStyle w:val="TextBody"/>
        <w:bidi w:val="0"/>
        <w:ind w:left="0" w:right="0" w:firstLine="345"/>
        <w:jc w:val="left"/>
        <w:rPr/>
      </w:pPr>
      <w:r>
        <w:rPr/>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3.1</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ARTICLE 10 - AMENDMENT OF BYLAWS </w:t>
      </w:r>
    </w:p>
    <w:p>
      <w:pPr>
        <w:pStyle w:val="TextBody"/>
        <w:bidi w:val="0"/>
        <w:spacing w:before="0" w:after="0"/>
        <w:jc w:val="center"/>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rights of the holders of any series of Preferred Stock that may be designated from time to time, the Board of Directors is expressly empowered to adopt, amend or repeal the Bylaws of the Corporation. Any adoption, amendment or repeal of the Bylaws by the Board of Directors shall require the approval of a majority of the authorized number of directors. The stockholders shall also have power to adopt, amend or repeal the Bylaws, subject to any restrictions which may be set forth in this Certificate of Incorporation (including any certificate of designation that may be filed from time to time); provided, however, that, in addition to any vote of the holders of any class or series of stock of the Corporation required by law or by this Certificate of Incorporation, such action by stockholders shall require the affirmative vote of the holders of at least sixty-six and two-thirds percent (66 2/3%) of the voting power of all of the then outstanding shares of capital stock of the Corporation entitled to vote generally in the election of directors, voting together as a single class. </w:t>
      </w:r>
    </w:p>
    <w:p>
      <w:pPr>
        <w:pStyle w:val="TextBody"/>
        <w:bidi w:val="0"/>
        <w:spacing w:before="0" w:after="0"/>
        <w:ind w:left="0" w:right="0" w:firstLine="36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 * * * </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and (iv) this Amended and Restated Certificate of Incorporation has been duly adopted by the Corporation’s Board of Directors and stockholders in accordance with the applicable provisions of Sections 228, 242 and 245 of the General Corporation Law of the State of Delaware.</w:t>
      </w:r>
    </w:p>
    <w:p>
      <w:pPr>
        <w:pStyle w:val="TextBody"/>
        <w:bidi w:val="0"/>
        <w:spacing w:before="0" w:after="0"/>
        <w:ind w:left="0" w:right="0" w:firstLine="360"/>
        <w:jc w:val="left"/>
        <w:rPr/>
      </w:pPr>
      <w:r>
        <w:rPr/>
      </w:r>
    </w:p>
    <w:p>
      <w:pPr>
        <w:pStyle w:val="TextBody"/>
        <w:bidi w:val="0"/>
        <w:spacing w:lineRule="auto" w:line="288"/>
        <w:jc w:val="center"/>
        <w:rPr/>
      </w:pPr>
      <w:r>
        <w:rPr>
          <w:rFonts w:ascii="Times New Roman;sans-serif" w:hAnsi="Times New Roman;sans-serif"/>
          <w:b w:val="false"/>
          <w:color w:val="000000"/>
          <w:sz w:val="20"/>
        </w:rPr>
        <w:t>[</w:t>
      </w:r>
      <w:r>
        <w:rPr>
          <w:rFonts w:ascii="Times New Roman;sans-serif" w:hAnsi="Times New Roman;sans-serif"/>
          <w:b/>
          <w:color w:val="000000"/>
          <w:sz w:val="20"/>
        </w:rPr>
        <w:t>Signature Page Follows</w:t>
      </w:r>
      <w:r>
        <w:rPr>
          <w:rFonts w:ascii="Times New Roman;sans-serif" w:hAnsi="Times New Roman;sans-serif"/>
          <w:b w:val="false"/>
          <w:color w:val="000000"/>
          <w:sz w:val="20"/>
        </w:rPr>
        <w:t>]</w:t>
      </w:r>
      <w:r>
        <w:rPr>
          <w:color w:val="000000"/>
        </w:rPr>
        <w:t xml:space="preserve"> </w:t>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3.1</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WITNESS WHEREOF, Tandem Diabetes Care, Inc. has caused this Amended and Restated Certificate of Incorporation to be executed by the undersigned, and the undersigned has executed this certificate and affirms the foregoing as true under penalty of perjury this day of August 1, 2023.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Tandem Diabetes Care, Inc.</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Shannon M. Hansen</w:t>
      </w:r>
    </w:p>
    <w:p>
      <w:pPr>
        <w:pStyle w:val="TextBody"/>
        <w:bidi w:val="0"/>
        <w:spacing w:before="0" w:after="0"/>
        <w:ind w:left="0" w:right="0" w:firstLine="514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Shannon M. Hansen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Senior Vice President, General Counsel,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Compliance Officer, Chief Privacy Officer &amp; Secretary</w:t>
      </w:r>
    </w:p>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3.2</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AMENDED AND RESTATED</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BYLAWS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TANDEM DIABETES CARE,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 Delaware corporation</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As Updated Through August 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ARTICLE I</w:t>
      </w:r>
    </w:p>
    <w:p>
      <w:pPr>
        <w:pStyle w:val="TextBody"/>
        <w:bidi w:val="0"/>
        <w:spacing w:before="0" w:after="0"/>
        <w:ind w:left="0" w:right="0" w:hanging="360"/>
        <w:jc w:val="center"/>
        <w:rPr/>
      </w:pPr>
      <w:r>
        <w:rPr/>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OFFICES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1.    Registered Office</w:t>
      </w:r>
      <w:r>
        <w:rPr>
          <w:rFonts w:ascii="Times New Roman;sans-serif" w:hAnsi="Times New Roman;sans-serif"/>
          <w:b w:val="false"/>
          <w:color w:val="000000"/>
          <w:sz w:val="20"/>
        </w:rPr>
        <w:t>. The registered office of Tandem Diabetes Care, Inc. (the “</w:t>
      </w:r>
      <w:r>
        <w:rPr>
          <w:rFonts w:ascii="Times New Roman;sans-serif" w:hAnsi="Times New Roman;sans-serif"/>
          <w:b w:val="false"/>
          <w:color w:val="000000"/>
          <w:sz w:val="20"/>
          <w:u w:val="single"/>
        </w:rPr>
        <w:t>Corporation</w:t>
      </w:r>
      <w:r>
        <w:rPr>
          <w:color w:val="000000"/>
        </w:rPr>
        <w:t>”</w:t>
      </w:r>
      <w:r>
        <w:rPr>
          <w:rFonts w:ascii="Times New Roman;sans-serif" w:hAnsi="Times New Roman;sans-serif"/>
          <w:b w:val="false"/>
          <w:color w:val="000000"/>
          <w:sz w:val="20"/>
        </w:rPr>
        <w:t>) shall be fixed in the Corporation’s Certificate of Incorporation, as the same may be amended and/or restated from time to time (as so amended and/or restated, the “</w:t>
      </w:r>
      <w:r>
        <w:rPr>
          <w:rFonts w:ascii="Times New Roman;sans-serif" w:hAnsi="Times New Roman;sans-serif"/>
          <w:b w:val="false"/>
          <w:color w:val="000000"/>
          <w:sz w:val="20"/>
          <w:u w:val="single"/>
        </w:rPr>
        <w:t>Certificate</w:t>
      </w:r>
      <w:r>
        <w:rPr>
          <w:color w:val="000000"/>
        </w:rPr>
        <w:t>”</w:t>
      </w:r>
      <w:r>
        <w:rPr>
          <w:rFonts w:ascii="Times New Roman;sans-serif" w:hAnsi="Times New Roman;sans-serif"/>
          <w:b w:val="false"/>
          <w:color w:val="000000"/>
          <w:sz w:val="20"/>
        </w:rPr>
        <w:t>).</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2.    Other Offices</w:t>
      </w:r>
      <w:r>
        <w:rPr>
          <w:rFonts w:ascii="Times New Roman;sans-serif" w:hAnsi="Times New Roman;sans-serif"/>
          <w:b w:val="false"/>
          <w:color w:val="000000"/>
          <w:sz w:val="20"/>
        </w:rPr>
        <w:t>. The Corporation may also have offices at such other places both within and without the State of Delaware as the Board of Directors may from time to time determine or the business of the Corporation may require.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3.    Books</w:t>
      </w:r>
      <w:r>
        <w:rPr>
          <w:rFonts w:ascii="Times New Roman;sans-serif" w:hAnsi="Times New Roman;sans-serif"/>
          <w:b w:val="false"/>
          <w:color w:val="000000"/>
          <w:sz w:val="20"/>
        </w:rPr>
        <w:t>. The books of the Corporation may be kept within or without the State of Delaware as the Board of Directors may from time to time determine or the business of the Corporation may require. Any such records maintained by the Corporation may be kept on, or by means of, or be in the form of, any information storage device or method, provided that the records so kept can be converted into clearly legible paper form within a reasonable time. The Corporation shall so convert any records so kept upon the request of any person entitled to inspect such records pursuant to the provisions of these Bylaws or the Delaware General Corporation Law (the “</w:t>
      </w:r>
      <w:r>
        <w:rPr>
          <w:rFonts w:ascii="Times New Roman;sans-serif" w:hAnsi="Times New Roman;sans-serif"/>
          <w:b w:val="false"/>
          <w:color w:val="000000"/>
          <w:sz w:val="20"/>
          <w:u w:val="single"/>
        </w:rPr>
        <w:t>DGCL</w:t>
      </w:r>
      <w:r>
        <w:rPr>
          <w:color w:val="000000"/>
        </w:rPr>
        <w:t>”</w:t>
      </w:r>
      <w:r>
        <w:rPr>
          <w:rFonts w:ascii="Times New Roman;sans-serif" w:hAnsi="Times New Roman;sans-serif"/>
          <w:b w:val="false"/>
          <w:color w:val="000000"/>
          <w:sz w:val="20"/>
        </w:rPr>
        <w:t>). When records are kept in such manner, a clearly legible paper form produced from or by means of the information storage device or method shall be admissible in evidence, and accepted for all other purposes, to the same extent as an original paper form accurately portrays the record.</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II.</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MEETINGS OF STOCKHOLDERS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1.    Place of Meetings</w:t>
      </w:r>
      <w:r>
        <w:rPr>
          <w:rFonts w:ascii="Times New Roman;sans-serif" w:hAnsi="Times New Roman;sans-serif"/>
          <w:b w:val="false"/>
          <w:color w:val="000000"/>
          <w:sz w:val="20"/>
        </w:rPr>
        <w:t xml:space="preserve">. Meetings of stockholders may be held at any place within or outside the State of Delaware as designated by the Board of Directors. The Board of Directors may, in its sole discretion, determine that a meeting of stockholders shall not be held at any place, but may instead be held solely by means of remote communication as provided by the DGCL.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2.    Annual Meetings</w:t>
      </w:r>
      <w:r>
        <w:rPr>
          <w:rFonts w:ascii="Times New Roman;sans-serif" w:hAnsi="Times New Roman;sans-serif"/>
          <w:b w:val="false"/>
          <w:color w:val="000000"/>
          <w:sz w:val="20"/>
        </w:rPr>
        <w:t>.</w:t>
      </w:r>
    </w:p>
    <w:p>
      <w:pPr>
        <w:pStyle w:val="TextBody"/>
        <w:bidi w:val="0"/>
        <w:spacing w:before="0" w:after="0"/>
        <w:ind w:left="0" w:right="0" w:firstLine="720"/>
        <w:jc w:val="left"/>
        <w:rPr/>
      </w:pPr>
      <w:r>
        <w:rPr/>
      </w:r>
    </w:p>
    <w:p>
      <w:pPr>
        <w:pStyle w:val="TextBody"/>
        <w:bidi w:val="0"/>
        <w:spacing w:lineRule="auto" w:line="288"/>
        <w:ind w:left="0" w:right="0" w:firstLine="144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The annual meeting of the stockholders of the Corporation, for the purpose of election of directors and for such other business as may properly come before it, shall be held on such date and at such time as may be designated from time to time by the Board of Directors. Nominations of persons for election to the Board of Directors of the Corporation and the proposal of business to be considered by the stockholders may be made at an annual meeting of stockholders: (i) pursuant to the Corporation’s notice of meeting of stockholders (with respect to business other than nominations); (ii) brought specifically by or at the direction of the Board of Directors; or (iii) by any stockholder of the Corporation who was a stockholder of record at the time of giving the stockholder’s notice </w:t>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3.2</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val="false"/>
          <w:color w:val="000000"/>
          <w:sz w:val="20"/>
        </w:rPr>
        <w:t xml:space="preserve">provided for in </w:t>
      </w:r>
      <w:r>
        <w:rPr>
          <w:rFonts w:ascii="Times New Roman;sans-serif" w:hAnsi="Times New Roman;sans-serif"/>
          <w:b w:val="false"/>
          <w:color w:val="000000"/>
          <w:sz w:val="20"/>
          <w:u w:val="single"/>
        </w:rPr>
        <w:t>Section 2(b)</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Article II</w:t>
      </w:r>
      <w:r>
        <w:rPr>
          <w:color w:val="000000"/>
        </w:rPr>
        <w:t xml:space="preserve"> </w:t>
      </w:r>
      <w:r>
        <w:rPr>
          <w:rFonts w:ascii="Times New Roman;sans-serif" w:hAnsi="Times New Roman;sans-serif"/>
          <w:b w:val="false"/>
          <w:color w:val="000000"/>
          <w:sz w:val="20"/>
        </w:rPr>
        <w:t xml:space="preserve">of these Bylaws, who is entitled to vote at the meeting and who complied with the notice procedures set forth in this </w:t>
      </w:r>
      <w:r>
        <w:rPr>
          <w:rFonts w:ascii="Times New Roman;sans-serif" w:hAnsi="Times New Roman;sans-serif"/>
          <w:b w:val="false"/>
          <w:color w:val="000000"/>
          <w:sz w:val="20"/>
          <w:u w:val="single"/>
        </w:rPr>
        <w:t>Section 2</w:t>
      </w:r>
      <w:r>
        <w:rPr>
          <w:rFonts w:ascii="Times New Roman;sans-serif" w:hAnsi="Times New Roman;sans-serif"/>
          <w:b w:val="false"/>
          <w:color w:val="000000"/>
          <w:sz w:val="20"/>
        </w:rPr>
        <w:t>. For the avoidance of doubt, clause (iii) above shall be the exclusive means for a stockholder to make nominations and submit other business (other than matters properly included in the Corporation’s notice of meeting of stockholders and proxy statement under Rule 14a-8 under the Securities Exchange Act of 1934, as amended, and the rules and regulations thereunder (the “</w:t>
      </w:r>
      <w:r>
        <w:rPr>
          <w:rFonts w:ascii="Times New Roman;sans-serif" w:hAnsi="Times New Roman;sans-serif"/>
          <w:b w:val="false"/>
          <w:color w:val="000000"/>
          <w:sz w:val="20"/>
          <w:u w:val="single"/>
        </w:rPr>
        <w:t>1934 Act</w:t>
      </w:r>
      <w:r>
        <w:rPr>
          <w:color w:val="000000"/>
        </w:rPr>
        <w:t>”</w:t>
      </w:r>
      <w:r>
        <w:rPr>
          <w:rFonts w:ascii="Times New Roman;sans-serif" w:hAnsi="Times New Roman;sans-serif"/>
          <w:b w:val="false"/>
          <w:color w:val="000000"/>
          <w:sz w:val="20"/>
        </w:rPr>
        <w:t>)) before an annual meeting of stockholders.</w:t>
      </w:r>
    </w:p>
    <w:p>
      <w:pPr>
        <w:pStyle w:val="TextBody"/>
        <w:bidi w:val="0"/>
        <w:spacing w:before="0" w:after="0"/>
        <w:ind w:left="0" w:right="0" w:firstLine="1800"/>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rPr>
        <w:t>At an annual meeting of the stockholders, only such business shall be conducted as is a proper matter for stockholder action under Delaware law and as shall have been properly brought before the meeting.</w:t>
      </w:r>
    </w:p>
    <w:p>
      <w:pPr>
        <w:pStyle w:val="TextBody"/>
        <w:bidi w:val="0"/>
        <w:spacing w:lineRule="auto" w:line="288" w:before="0" w:after="0"/>
        <w:ind w:left="0" w:right="0" w:firstLine="2160"/>
        <w:jc w:val="left"/>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For nominations for the election to the Board of Directors to be properly brought before an annual meeting by a stockholder pursuant to clause (iii) of </w:t>
      </w:r>
      <w:r>
        <w:rPr>
          <w:rFonts w:ascii="Times New Roman;sans-serif" w:hAnsi="Times New Roman;sans-serif"/>
          <w:b w:val="false"/>
          <w:color w:val="000000"/>
          <w:sz w:val="20"/>
          <w:u w:val="single"/>
        </w:rPr>
        <w:t>Section 2(a)</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Article II</w:t>
      </w:r>
      <w:r>
        <w:rPr>
          <w:rFonts w:ascii="Times New Roman;sans-serif" w:hAnsi="Times New Roman;sans-serif"/>
          <w:b w:val="false"/>
          <w:color w:val="000000"/>
          <w:sz w:val="20"/>
        </w:rPr>
        <w:t xml:space="preserve">, the stockholder must deliver written notice to the Secretary at the principal executive offices of the Corporation on a timely basis as set forth in </w:t>
      </w:r>
      <w:r>
        <w:rPr>
          <w:rFonts w:ascii="Times New Roman;sans-serif" w:hAnsi="Times New Roman;sans-serif"/>
          <w:b w:val="false"/>
          <w:color w:val="000000"/>
          <w:sz w:val="20"/>
          <w:u w:val="single"/>
        </w:rPr>
        <w:t>Section 2(b)(iii)</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Article II</w:t>
      </w:r>
      <w:r>
        <w:rPr>
          <w:color w:val="000000"/>
        </w:rPr>
        <w:t xml:space="preserve"> </w:t>
      </w:r>
      <w:r>
        <w:rPr>
          <w:rFonts w:ascii="Times New Roman;sans-serif" w:hAnsi="Times New Roman;sans-serif"/>
          <w:b w:val="false"/>
          <w:color w:val="000000"/>
          <w:sz w:val="20"/>
        </w:rPr>
        <w:t xml:space="preserve">and must update and supplement such written notice on a timely basis as set forth in </w:t>
      </w:r>
      <w:r>
        <w:rPr>
          <w:rFonts w:ascii="Times New Roman;sans-serif" w:hAnsi="Times New Roman;sans-serif"/>
          <w:b w:val="false"/>
          <w:color w:val="000000"/>
          <w:sz w:val="20"/>
          <w:u w:val="single"/>
        </w:rPr>
        <w:t>Section 2(c)</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Article II</w:t>
      </w:r>
      <w:r>
        <w:rPr>
          <w:rFonts w:ascii="Times New Roman;sans-serif" w:hAnsi="Times New Roman;sans-serif"/>
          <w:b w:val="false"/>
          <w:color w:val="000000"/>
          <w:sz w:val="20"/>
        </w:rPr>
        <w:t xml:space="preserve">. Such stockholder’s notice shall set forth: (A) as to each nominee such stockholder proposes to nominate at the meeting: (1) the name, age, business address and residence address of such nominee; (2) the principal occupation or employment of such nominee; (3) the class and number of shares of each class of capital stock of the Corporation which are owned of record and beneficially by such nominee; (4) the date or dates on which such shares were acquired and the investment intent of such acquisition; (5) with respect to each nominee for election or re-election to the Board of Directors, include a completed and signed questionnaire, representation and agreement required by </w:t>
      </w:r>
      <w:r>
        <w:rPr>
          <w:rFonts w:ascii="Times New Roman;sans-serif" w:hAnsi="Times New Roman;sans-serif"/>
          <w:b w:val="false"/>
          <w:color w:val="000000"/>
          <w:sz w:val="20"/>
          <w:u w:val="single"/>
        </w:rPr>
        <w:t>Section 2(e)</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Article II</w:t>
      </w:r>
      <w:r>
        <w:rPr>
          <w:rFonts w:ascii="Times New Roman;sans-serif" w:hAnsi="Times New Roman;sans-serif"/>
          <w:b w:val="false"/>
          <w:color w:val="000000"/>
          <w:sz w:val="20"/>
        </w:rPr>
        <w:t>; and (6)</w:t>
      </w:r>
      <w:r>
        <w:rPr>
          <w:color w:val="000000"/>
        </w:rPr>
        <w:t xml:space="preserve"> </w:t>
      </w:r>
      <w:r>
        <w:rPr>
          <w:rFonts w:ascii="Times New Roman;sans-serif" w:hAnsi="Times New Roman;sans-serif"/>
          <w:b w:val="false"/>
          <w:color w:val="000000"/>
          <w:sz w:val="20"/>
        </w:rPr>
        <w:t xml:space="preserve">such other information concerning such nominee as would be required to be disclosed in a proxy statement soliciting proxies for the election of such nominee as a director in an election contest (even if an election contest is not involved), or that is otherwise required to be disclosed pursuant to Section 14 of the 1934 Act and the rules and regulations promulgated thereunder (including such person’s written consent to being named as a nominee and to serving as a director if elected); and (B) the information required by </w:t>
      </w:r>
      <w:r>
        <w:rPr>
          <w:rFonts w:ascii="Times New Roman;sans-serif" w:hAnsi="Times New Roman;sans-serif"/>
          <w:b w:val="false"/>
          <w:color w:val="000000"/>
          <w:sz w:val="20"/>
          <w:u w:val="single"/>
        </w:rPr>
        <w:t>Section 2(b)(iv)</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Article II</w:t>
      </w:r>
      <w:r>
        <w:rPr>
          <w:rFonts w:ascii="Times New Roman;sans-serif" w:hAnsi="Times New Roman;sans-serif"/>
          <w:b w:val="false"/>
          <w:color w:val="000000"/>
          <w:sz w:val="20"/>
        </w:rPr>
        <w:t>. The Corporation may require any proposed nominee to furnish such other information as it may reasonably require to determine the eligibility of such proposed nominee to serve as an independent director of the Corporation or that could be material to a reasonable stockholder’s understanding of the independence, or lack thereof, of such proposed nominee.</w:t>
      </w:r>
    </w:p>
    <w:p>
      <w:pPr>
        <w:pStyle w:val="TextBody"/>
        <w:bidi w:val="0"/>
        <w:spacing w:before="0" w:after="0"/>
        <w:ind w:left="0" w:right="0" w:firstLine="2520"/>
        <w:jc w:val="left"/>
        <w:rPr/>
      </w:pPr>
      <w:r>
        <w:rPr/>
      </w:r>
    </w:p>
    <w:p>
      <w:pPr>
        <w:pStyle w:val="TextBody"/>
        <w:bidi w:val="0"/>
        <w:spacing w:lineRule="auto" w:line="288" w:before="0" w:after="0"/>
        <w:ind w:left="0" w:right="0" w:firstLine="2160"/>
        <w:jc w:val="left"/>
        <w:rPr/>
      </w:pPr>
      <w:r>
        <w:rPr>
          <w:rFonts w:ascii="Times New Roman;sans-serif" w:hAnsi="Times New Roman;sans-serif"/>
          <w:b w:val="false"/>
          <w:color w:val="000000"/>
          <w:sz w:val="20"/>
        </w:rPr>
        <w:t>ii.</w:t>
      </w:r>
      <w:r>
        <w:rPr>
          <w:rFonts w:ascii="Times New Roman;sans-serif" w:hAnsi="Times New Roman;sans-serif"/>
          <w:b w:val="false"/>
          <w:color w:val="000000"/>
          <w:sz w:val="20"/>
        </w:rPr>
        <w:t xml:space="preserve">Other than proposals sought to be included in the Corporation’s proxy materials pursuant to Rule 14(a)-8 under the 1934 Act, for business other than nominations for the election to the Board of Directors to be properly brought before an annual meeting by a stockholder pursuant to clause (iii) of </w:t>
      </w:r>
      <w:r>
        <w:rPr>
          <w:rFonts w:ascii="Times New Roman;sans-serif" w:hAnsi="Times New Roman;sans-serif"/>
          <w:b w:val="false"/>
          <w:color w:val="000000"/>
          <w:sz w:val="20"/>
          <w:u w:val="single"/>
        </w:rPr>
        <w:t>Section 2(a)</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Article II</w:t>
      </w:r>
      <w:r>
        <w:rPr>
          <w:rFonts w:ascii="Times New Roman;sans-serif" w:hAnsi="Times New Roman;sans-serif"/>
          <w:b w:val="false"/>
          <w:color w:val="000000"/>
          <w:sz w:val="20"/>
        </w:rPr>
        <w:t xml:space="preserve">, the stockholder must deliver written notice to the Secretary at the principal executive offices of the Corporation on a timely basis as set forth in </w:t>
      </w:r>
      <w:r>
        <w:rPr>
          <w:rFonts w:ascii="Times New Roman;sans-serif" w:hAnsi="Times New Roman;sans-serif"/>
          <w:b w:val="false"/>
          <w:color w:val="000000"/>
          <w:sz w:val="20"/>
          <w:u w:val="single"/>
        </w:rPr>
        <w:t>Section 2(b)(iii)</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Article II</w:t>
      </w:r>
      <w:r>
        <w:rPr>
          <w:rFonts w:ascii="Times New Roman;sans-serif" w:hAnsi="Times New Roman;sans-serif"/>
          <w:b w:val="false"/>
          <w:color w:val="000000"/>
          <w:sz w:val="20"/>
        </w:rPr>
        <w:t xml:space="preserve">, and must update and supplement such written notice on a timely basis as set forth in </w:t>
      </w:r>
      <w:r>
        <w:rPr>
          <w:rFonts w:ascii="Times New Roman;sans-serif" w:hAnsi="Times New Roman;sans-serif"/>
          <w:b w:val="false"/>
          <w:color w:val="000000"/>
          <w:sz w:val="20"/>
          <w:u w:val="single"/>
        </w:rPr>
        <w:t>Section 2(c)</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Article II</w:t>
      </w:r>
      <w:r>
        <w:rPr>
          <w:rFonts w:ascii="Times New Roman;sans-serif" w:hAnsi="Times New Roman;sans-serif"/>
          <w:b w:val="false"/>
          <w:color w:val="000000"/>
          <w:sz w:val="20"/>
        </w:rPr>
        <w:t xml:space="preserve">. Such stockholder’s notice shall set forth: (A) as to each matter such stockholder proposes to bring before the meeting, a brief description of the business desired to be brought before the meeting, the reasons for conducting such business at the meeting, and 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 any Proponent; and (B) the information required by </w:t>
      </w:r>
      <w:r>
        <w:rPr>
          <w:rFonts w:ascii="Times New Roman;sans-serif" w:hAnsi="Times New Roman;sans-serif"/>
          <w:b w:val="false"/>
          <w:color w:val="000000"/>
          <w:sz w:val="20"/>
          <w:u w:val="single"/>
        </w:rPr>
        <w:t>Section 2(b)(iv)</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Article II</w:t>
      </w:r>
      <w:r>
        <w:rPr>
          <w:rFonts w:ascii="Times New Roman;sans-serif" w:hAnsi="Times New Roman;sans-serif"/>
          <w:b w:val="false"/>
          <w:color w:val="000000"/>
          <w:sz w:val="20"/>
        </w:rPr>
        <w:t>.</w:t>
      </w:r>
    </w:p>
    <w:p>
      <w:pPr>
        <w:pStyle w:val="TextBody"/>
        <w:bidi w:val="0"/>
        <w:spacing w:before="0" w:after="0"/>
        <w:ind w:left="0" w:right="0" w:firstLine="2520"/>
        <w:jc w:val="left"/>
        <w:rPr/>
      </w:pPr>
      <w:r>
        <w:rPr/>
      </w:r>
    </w:p>
    <w:p>
      <w:pPr>
        <w:pStyle w:val="TextBody"/>
        <w:bidi w:val="0"/>
        <w:spacing w:lineRule="auto" w:line="288"/>
        <w:ind w:left="0" w:right="0" w:firstLine="2160"/>
        <w:jc w:val="left"/>
        <w:rPr/>
      </w:pPr>
      <w:r>
        <w:rPr>
          <w:rFonts w:ascii="Times New Roman;sans-serif" w:hAnsi="Times New Roman;sans-serif"/>
          <w:b w:val="false"/>
          <w:color w:val="000000"/>
          <w:sz w:val="20"/>
        </w:rPr>
        <w:t>iii.</w:t>
      </w:r>
      <w:r>
        <w:rPr>
          <w:rFonts w:ascii="Times New Roman;sans-serif" w:hAnsi="Times New Roman;sans-serif"/>
          <w:b w:val="false"/>
          <w:color w:val="000000"/>
          <w:sz w:val="20"/>
        </w:rPr>
        <w:t xml:space="preserve">To be timely, the written notice required by </w:t>
      </w:r>
      <w:r>
        <w:rPr>
          <w:rFonts w:ascii="Times New Roman;sans-serif" w:hAnsi="Times New Roman;sans-serif"/>
          <w:b w:val="false"/>
          <w:color w:val="000000"/>
          <w:sz w:val="20"/>
          <w:u w:val="single"/>
        </w:rPr>
        <w:t>Section 2(b)(i)</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2(b)(ii)</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Article II</w:t>
      </w:r>
      <w:r>
        <w:rPr>
          <w:color w:val="000000"/>
        </w:rPr>
        <w:t xml:space="preserve"> </w:t>
      </w:r>
      <w:r>
        <w:rPr>
          <w:rFonts w:ascii="Times New Roman;sans-serif" w:hAnsi="Times New Roman;sans-serif"/>
          <w:b w:val="false"/>
          <w:color w:val="000000"/>
          <w:sz w:val="20"/>
        </w:rPr>
        <w:t>must be received by the Secretary at the principal executive offices of the Corporation not later than the close of business on the 90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day nor earlier than the close of business on the 120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 xml:space="preserve">day prior to the first anniversary of the preceding year’s annual meeting; </w:t>
      </w:r>
      <w:r>
        <w:rPr>
          <w:rFonts w:ascii="Times New Roman;sans-serif" w:hAnsi="Times New Roman;sans-serif"/>
          <w:b w:val="false"/>
          <w:i/>
          <w:color w:val="000000"/>
          <w:sz w:val="20"/>
        </w:rPr>
        <w:t>provided, however,</w:t>
      </w:r>
      <w:r>
        <w:rPr>
          <w:color w:val="000000"/>
        </w:rPr>
        <w:t xml:space="preserve"> </w:t>
      </w:r>
      <w:r>
        <w:rPr>
          <w:rFonts w:ascii="Times New Roman;sans-serif" w:hAnsi="Times New Roman;sans-serif"/>
          <w:b w:val="false"/>
          <w:color w:val="000000"/>
          <w:sz w:val="20"/>
        </w:rPr>
        <w:t xml:space="preserve">that, subject to the last sentence of this </w:t>
      </w:r>
      <w:r>
        <w:rPr>
          <w:rFonts w:ascii="Times New Roman;sans-serif" w:hAnsi="Times New Roman;sans-serif"/>
          <w:b w:val="false"/>
          <w:color w:val="000000"/>
          <w:sz w:val="20"/>
          <w:u w:val="single"/>
        </w:rPr>
        <w:t>Section 2(b)(iii)</w:t>
      </w:r>
      <w:r>
        <w:rPr>
          <w:rFonts w:ascii="Times New Roman;sans-serif" w:hAnsi="Times New Roman;sans-serif"/>
          <w:b w:val="false"/>
          <w:color w:val="000000"/>
          <w:sz w:val="20"/>
        </w:rPr>
        <w:t>, in the event that the date of the annual meeting is advanced more than 30 days prior to or delayed by more than 30 days after the anniversary of the preceding year’s annual meeting, notice by the stockholder to be timely must be so received not earlier than the close of business on the 120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day prior to such annual meeting and not later than the close of business on the later of the 90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day prior to such annual meeting or the 10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day following the day on which public announcement of the date of such meeting is first made. In no event shall an adjournment or a postponement of an annual meeting for which notice has been given, or the public announcement thereof has been made, commence a new time period for the giving of a stockholder’s notice as described above.</w:t>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3.2</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ind w:left="0" w:right="0" w:firstLine="2520"/>
        <w:jc w:val="left"/>
        <w:rPr/>
      </w:pPr>
      <w:r>
        <w:rPr/>
      </w:r>
    </w:p>
    <w:p>
      <w:pPr>
        <w:pStyle w:val="TextBody"/>
        <w:bidi w:val="0"/>
        <w:spacing w:lineRule="auto" w:line="288" w:before="0" w:after="0"/>
        <w:ind w:left="0" w:right="0" w:firstLine="2160"/>
        <w:jc w:val="left"/>
        <w:rPr/>
      </w:pPr>
      <w:r>
        <w:rPr>
          <w:rFonts w:ascii="Times New Roman;sans-serif" w:hAnsi="Times New Roman;sans-serif"/>
          <w:b w:val="false"/>
          <w:color w:val="000000"/>
          <w:sz w:val="20"/>
        </w:rPr>
        <w:t>iv.</w:t>
      </w:r>
      <w:r>
        <w:rPr>
          <w:rFonts w:ascii="Times New Roman;sans-serif" w:hAnsi="Times New Roman;sans-serif"/>
          <w:b w:val="false"/>
          <w:color w:val="000000"/>
          <w:sz w:val="20"/>
        </w:rPr>
        <w:t xml:space="preserve">The written notice required by </w:t>
      </w:r>
      <w:r>
        <w:rPr>
          <w:rFonts w:ascii="Times New Roman;sans-serif" w:hAnsi="Times New Roman;sans-serif"/>
          <w:b w:val="false"/>
          <w:color w:val="000000"/>
          <w:sz w:val="20"/>
          <w:u w:val="single"/>
        </w:rPr>
        <w:t>Section 2(b)(i)</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2(b)(ii)</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Article II</w:t>
      </w:r>
      <w:r>
        <w:rPr>
          <w:color w:val="000000"/>
        </w:rPr>
        <w:t xml:space="preserve"> </w:t>
      </w:r>
      <w:r>
        <w:rPr>
          <w:rFonts w:ascii="Times New Roman;sans-serif" w:hAnsi="Times New Roman;sans-serif"/>
          <w:b w:val="false"/>
          <w:color w:val="000000"/>
          <w:sz w:val="20"/>
        </w:rPr>
        <w:t>shall also set forth, as of the date of the notice and as to the stockholder giving the notice and the beneficial owner, if any, on whose behalf the nomination or proposal is made (each, a “</w:t>
      </w:r>
      <w:r>
        <w:rPr>
          <w:rFonts w:ascii="Times New Roman;sans-serif" w:hAnsi="Times New Roman;sans-serif"/>
          <w:b w:val="false"/>
          <w:color w:val="000000"/>
          <w:sz w:val="20"/>
          <w:u w:val="single"/>
        </w:rPr>
        <w:t>Proponent</w:t>
      </w:r>
      <w:r>
        <w:rPr>
          <w:color w:val="000000"/>
        </w:rPr>
        <w:t xml:space="preserve">” </w:t>
      </w:r>
      <w:r>
        <w:rPr>
          <w:rFonts w:ascii="Times New Roman;sans-serif" w:hAnsi="Times New Roman;sans-serif"/>
          <w:b w:val="false"/>
          <w:color w:val="000000"/>
          <w:sz w:val="20"/>
        </w:rPr>
        <w:t>and collectively, the “</w:t>
      </w:r>
      <w:r>
        <w:rPr>
          <w:rFonts w:ascii="Times New Roman;sans-serif" w:hAnsi="Times New Roman;sans-serif"/>
          <w:b w:val="false"/>
          <w:color w:val="000000"/>
          <w:sz w:val="20"/>
          <w:u w:val="single"/>
        </w:rPr>
        <w:t>Proponents</w:t>
      </w:r>
      <w:r>
        <w:rPr>
          <w:color w:val="000000"/>
        </w:rPr>
        <w:t>”</w:t>
      </w:r>
      <w:r>
        <w:rPr>
          <w:rFonts w:ascii="Times New Roman;sans-serif" w:hAnsi="Times New Roman;sans-serif"/>
          <w:b w:val="false"/>
          <w:color w:val="000000"/>
          <w:sz w:val="20"/>
        </w:rPr>
        <w:t xml:space="preserve">): (A) the name and address of each Proponent, as they appear on the Corporation’s books; (B) the class, series and number of shares of the Corporation that are owned beneficially and of record by each Proponent; (C) a description of any agreement, arrangement or understanding (whether oral or in writing) with respect to such nomination or proposal between or among any Proponent and any of its affiliates or associates, and any others (including their names) acting in concert, or otherwise under the agreement, arrangement or understanding, with any of the foregoing; (D) a representation that the Proponents are holders of record or beneficial owners, as the case may be, of shares of the corporation entitled to vote at the meeting and intend to appear in person or by proxy at the meeting to nominate the person or persons specified in the notice (with respect to a notice under </w:t>
      </w:r>
      <w:r>
        <w:rPr>
          <w:rFonts w:ascii="Times New Roman;sans-serif" w:hAnsi="Times New Roman;sans-serif"/>
          <w:b w:val="false"/>
          <w:color w:val="000000"/>
          <w:sz w:val="20"/>
          <w:u w:val="single"/>
        </w:rPr>
        <w:t>Section 2(b)(i)</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Article II</w:t>
      </w:r>
      <w:r>
        <w:rPr>
          <w:rFonts w:ascii="Times New Roman;sans-serif" w:hAnsi="Times New Roman;sans-serif"/>
          <w:b w:val="false"/>
          <w:color w:val="000000"/>
          <w:sz w:val="20"/>
        </w:rPr>
        <w:t xml:space="preserve">) or to propose the business that is specified in the notice (with respect to a notice under </w:t>
      </w:r>
      <w:r>
        <w:rPr>
          <w:rFonts w:ascii="Times New Roman;sans-serif" w:hAnsi="Times New Roman;sans-serif"/>
          <w:b w:val="false"/>
          <w:color w:val="000000"/>
          <w:sz w:val="20"/>
          <w:u w:val="single"/>
        </w:rPr>
        <w:t>Section 2(b)(ii)</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Article II</w:t>
      </w:r>
      <w:r>
        <w:rPr>
          <w:rFonts w:ascii="Times New Roman;sans-serif" w:hAnsi="Times New Roman;sans-serif"/>
          <w:b w:val="false"/>
          <w:color w:val="000000"/>
          <w:sz w:val="20"/>
        </w:rPr>
        <w:t xml:space="preserve">); (E) a representation as to whether the Proponents intend to deliver a proxy statement and form of proxy to holders of a sufficient number of holders of the Corporation’s voting shares to elect such nominee or nominees (with respect to a notice under </w:t>
      </w:r>
      <w:r>
        <w:rPr>
          <w:rFonts w:ascii="Times New Roman;sans-serif" w:hAnsi="Times New Roman;sans-serif"/>
          <w:b w:val="false"/>
          <w:color w:val="000000"/>
          <w:sz w:val="20"/>
          <w:u w:val="single"/>
        </w:rPr>
        <w:t>Section 2(b)(i)</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Article II</w:t>
      </w:r>
      <w:r>
        <w:rPr>
          <w:rFonts w:ascii="Times New Roman;sans-serif" w:hAnsi="Times New Roman;sans-serif"/>
          <w:b w:val="false"/>
          <w:color w:val="000000"/>
          <w:sz w:val="20"/>
        </w:rPr>
        <w:t xml:space="preserve">) or to carry such proposal (with respect to a notice under </w:t>
      </w:r>
      <w:r>
        <w:rPr>
          <w:rFonts w:ascii="Times New Roman;sans-serif" w:hAnsi="Times New Roman;sans-serif"/>
          <w:b w:val="false"/>
          <w:color w:val="000000"/>
          <w:sz w:val="20"/>
          <w:u w:val="single"/>
        </w:rPr>
        <w:t>Section 2(b)(ii)</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Article II</w:t>
      </w:r>
      <w:r>
        <w:rPr>
          <w:rFonts w:ascii="Times New Roman;sans-serif" w:hAnsi="Times New Roman;sans-serif"/>
          <w:b w:val="false"/>
          <w:color w:val="000000"/>
          <w:sz w:val="20"/>
        </w:rPr>
        <w:t>); (F) to the extent known by any Proponent, the name and address of any other stockholder supporting the proposal on the date of such stockholder’s notice; and (G) a description of all Derivative Transactions (as defined below) by each Proponent during the previous 12-month period, including the date of the transactions and the class, series and number of securities involved in, and the material economic terms of, such Derivative Transactions.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For purposes of </w:t>
      </w:r>
      <w:r>
        <w:rPr>
          <w:rFonts w:ascii="Times New Roman;sans-serif" w:hAnsi="Times New Roman;sans-serif"/>
          <w:b w:val="false"/>
          <w:color w:val="000000"/>
          <w:sz w:val="20"/>
          <w:u w:val="single"/>
        </w:rPr>
        <w:t>Sections 2</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3</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Article II</w:t>
      </w:r>
      <w:r>
        <w:rPr>
          <w:rFonts w:ascii="Times New Roman;sans-serif" w:hAnsi="Times New Roman;sans-serif"/>
          <w:b w:val="false"/>
          <w:color w:val="000000"/>
          <w:sz w:val="20"/>
        </w:rPr>
        <w:t>, a “</w:t>
      </w:r>
      <w:r>
        <w:rPr>
          <w:rFonts w:ascii="Times New Roman;sans-serif" w:hAnsi="Times New Roman;sans-serif"/>
          <w:b w:val="false"/>
          <w:color w:val="000000"/>
          <w:sz w:val="20"/>
          <w:u w:val="single"/>
        </w:rPr>
        <w:t>Derivative Transaction</w:t>
      </w:r>
      <w:r>
        <w:rPr>
          <w:color w:val="000000"/>
        </w:rPr>
        <w:t xml:space="preserve">” </w:t>
      </w:r>
      <w:r>
        <w:rPr>
          <w:rFonts w:ascii="Times New Roman;sans-serif" w:hAnsi="Times New Roman;sans-serif"/>
          <w:b w:val="false"/>
          <w:color w:val="000000"/>
          <w:sz w:val="20"/>
        </w:rPr>
        <w:t>means any agreement, arrangement, interest or understanding entered into by, or on behalf or for the benefit of, any Proponent or any of its affiliates or associates, whether record or beneficial:</w:t>
      </w:r>
    </w:p>
    <w:p>
      <w:pPr>
        <w:pStyle w:val="TextBody"/>
        <w:bidi w:val="0"/>
        <w:spacing w:before="0" w:after="0"/>
        <w:ind w:left="0" w:right="0" w:firstLine="720"/>
        <w:jc w:val="left"/>
        <w:rPr/>
      </w:pPr>
      <w:r>
        <w:rPr/>
      </w:r>
    </w:p>
    <w:p>
      <w:pPr>
        <w:pStyle w:val="TextBody"/>
        <w:bidi w:val="0"/>
        <w:spacing w:lineRule="auto" w:line="288" w:before="0" w:after="0"/>
        <w:ind w:left="0" w:right="0" w:firstLine="288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the value of which is derived in whole or in part from the value of any class or series of shares or other securities of the Corporation;</w:t>
      </w:r>
    </w:p>
    <w:p>
      <w:pPr>
        <w:pStyle w:val="TextBody"/>
        <w:bidi w:val="0"/>
        <w:spacing w:before="0" w:after="0"/>
        <w:ind w:left="0" w:right="0" w:firstLine="3240"/>
        <w:jc w:val="left"/>
        <w:rPr/>
      </w:pPr>
      <w:r>
        <w:rPr/>
      </w:r>
    </w:p>
    <w:p>
      <w:pPr>
        <w:pStyle w:val="TextBody"/>
        <w:bidi w:val="0"/>
        <w:spacing w:lineRule="auto" w:line="288" w:before="0" w:after="0"/>
        <w:ind w:left="0" w:right="0" w:firstLine="288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rPr>
        <w:t>which otherwise provides any direct or indirect opportunity to gain or share in any gain derived from a change in the value of securities of the Corporation;</w:t>
      </w:r>
    </w:p>
    <w:p>
      <w:pPr>
        <w:pStyle w:val="TextBody"/>
        <w:bidi w:val="0"/>
        <w:spacing w:before="0" w:after="0"/>
        <w:ind w:left="0" w:right="0" w:firstLine="3240"/>
        <w:jc w:val="left"/>
        <w:rPr/>
      </w:pPr>
      <w:r>
        <w:rPr/>
      </w:r>
    </w:p>
    <w:p>
      <w:pPr>
        <w:pStyle w:val="TextBody"/>
        <w:bidi w:val="0"/>
        <w:spacing w:lineRule="auto" w:line="288" w:before="0" w:after="0"/>
        <w:ind w:left="0" w:right="0" w:firstLine="2880"/>
        <w:jc w:val="left"/>
        <w:rPr/>
      </w:pPr>
      <w:r>
        <w:rPr>
          <w:rFonts w:ascii="Times New Roman;sans-serif" w:hAnsi="Times New Roman;sans-serif"/>
          <w:b w:val="false"/>
          <w:color w:val="000000"/>
          <w:sz w:val="20"/>
        </w:rPr>
        <w:t>C.</w:t>
      </w:r>
      <w:r>
        <w:rPr>
          <w:rFonts w:ascii="Times New Roman;sans-serif" w:hAnsi="Times New Roman;sans-serif"/>
          <w:b w:val="false"/>
          <w:color w:val="000000"/>
          <w:sz w:val="20"/>
        </w:rPr>
        <w:t>the effect or intent of which is to mitigate loss, manage risk or benefit of security value or price changes; or</w:t>
      </w:r>
    </w:p>
    <w:p>
      <w:pPr>
        <w:pStyle w:val="TextBody"/>
        <w:bidi w:val="0"/>
        <w:spacing w:before="0" w:after="0"/>
        <w:ind w:left="0" w:right="0" w:firstLine="3240"/>
        <w:jc w:val="left"/>
        <w:rPr/>
      </w:pPr>
      <w:r>
        <w:rPr/>
      </w:r>
    </w:p>
    <w:p>
      <w:pPr>
        <w:pStyle w:val="TextBody"/>
        <w:bidi w:val="0"/>
        <w:spacing w:lineRule="auto" w:line="288" w:before="0" w:after="0"/>
        <w:ind w:left="0" w:right="0" w:firstLine="2880"/>
        <w:jc w:val="left"/>
        <w:rPr/>
      </w:pPr>
      <w:r>
        <w:rPr>
          <w:rFonts w:ascii="Times New Roman;sans-serif" w:hAnsi="Times New Roman;sans-serif"/>
          <w:b w:val="false"/>
          <w:color w:val="000000"/>
          <w:sz w:val="20"/>
        </w:rPr>
        <w:t>D.</w:t>
      </w:r>
      <w:r>
        <w:rPr>
          <w:rFonts w:ascii="Times New Roman;sans-serif" w:hAnsi="Times New Roman;sans-serif"/>
          <w:b w:val="false"/>
          <w:color w:val="000000"/>
          <w:sz w:val="20"/>
        </w:rPr>
        <w:t>which provides the right to vote or increase or decrease the voting power of, such Proponent, or any of its affiliates or associates, with respect to any securities of the Corporation,</w:t>
      </w:r>
    </w:p>
    <w:p>
      <w:pPr>
        <w:pStyle w:val="TextBody"/>
        <w:bidi w:val="0"/>
        <w:spacing w:before="0" w:after="0"/>
        <w:ind w:left="0" w:right="0" w:firstLine="324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w:t>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3.2</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ind w:left="0" w:right="0" w:firstLine="1440"/>
        <w:jc w:val="left"/>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A stockholder providing written notice required by </w:t>
      </w:r>
      <w:r>
        <w:rPr>
          <w:rFonts w:ascii="Times New Roman;sans-serif" w:hAnsi="Times New Roman;sans-serif"/>
          <w:b w:val="false"/>
          <w:color w:val="000000"/>
          <w:sz w:val="20"/>
          <w:u w:val="single"/>
        </w:rPr>
        <w:t>Section 2(b)(i)</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(ii)</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Article II</w:t>
      </w:r>
      <w:r>
        <w:rPr>
          <w:color w:val="000000"/>
        </w:rPr>
        <w:t xml:space="preserve"> </w:t>
      </w:r>
      <w:r>
        <w:rPr>
          <w:rFonts w:ascii="Times New Roman;sans-serif" w:hAnsi="Times New Roman;sans-serif"/>
          <w:b w:val="false"/>
          <w:color w:val="000000"/>
          <w:sz w:val="20"/>
        </w:rPr>
        <w:t xml:space="preserve">shall update and supplement such notice in writing, if necessary, so that the information provided or required to be provided in such notice is true and correct in all material respects as of (i) the record date for the meeting and (ii) the date that is five business days prior to the meeting and, in the event of any adjournment or postponement thereof, five business days prior to such adjourned or postponed meeting. In the case of an update and supplement pursuant to clause (i) of this </w:t>
      </w:r>
      <w:r>
        <w:rPr>
          <w:rFonts w:ascii="Times New Roman;sans-serif" w:hAnsi="Times New Roman;sans-serif"/>
          <w:b w:val="false"/>
          <w:color w:val="000000"/>
          <w:sz w:val="20"/>
          <w:u w:val="single"/>
        </w:rPr>
        <w:t>Section 2(c)</w:t>
      </w:r>
      <w:r>
        <w:rPr>
          <w:rFonts w:ascii="Times New Roman;sans-serif" w:hAnsi="Times New Roman;sans-serif"/>
          <w:b w:val="false"/>
          <w:color w:val="000000"/>
          <w:sz w:val="20"/>
        </w:rPr>
        <w:t xml:space="preserve">, such update and supplement shall be received by the Secretary at the principal executive offices of the Corporation not later than five business days after the record date for the meeting. In the case of an update and supplement pursuant to clause (ii) of this </w:t>
      </w:r>
      <w:r>
        <w:rPr>
          <w:rFonts w:ascii="Times New Roman;sans-serif" w:hAnsi="Times New Roman;sans-serif"/>
          <w:b w:val="false"/>
          <w:color w:val="000000"/>
          <w:sz w:val="20"/>
          <w:u w:val="single"/>
        </w:rPr>
        <w:t>Section 2(c)</w:t>
      </w:r>
      <w:r>
        <w:rPr>
          <w:rFonts w:ascii="Times New Roman;sans-serif" w:hAnsi="Times New Roman;sans-serif"/>
          <w:b w:val="false"/>
          <w:color w:val="000000"/>
          <w:sz w:val="20"/>
        </w:rPr>
        <w:t>, such update and supplement shall be received by the Secretary at the principal executive offices of the Corporation not later than two business days prior to the date for the meeting, and, in the event of any adjournment or postponement thereof, two business days prior to such adjourned or postponed meeting.</w:t>
      </w:r>
    </w:p>
    <w:p>
      <w:pPr>
        <w:pStyle w:val="TextBody"/>
        <w:bidi w:val="0"/>
        <w:spacing w:before="0" w:after="0"/>
        <w:ind w:left="0" w:right="0" w:firstLine="1800"/>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0"/>
        </w:rPr>
        <w:t>d.</w:t>
      </w:r>
      <w:r>
        <w:rPr>
          <w:rFonts w:ascii="Times New Roman;sans-serif" w:hAnsi="Times New Roman;sans-serif"/>
          <w:b w:val="false"/>
          <w:color w:val="000000"/>
          <w:sz w:val="20"/>
        </w:rPr>
        <w:t xml:space="preserve">Notwithstanding anything in </w:t>
      </w:r>
      <w:r>
        <w:rPr>
          <w:rFonts w:ascii="Times New Roman;sans-serif" w:hAnsi="Times New Roman;sans-serif"/>
          <w:b w:val="false"/>
          <w:color w:val="000000"/>
          <w:sz w:val="20"/>
          <w:u w:val="single"/>
        </w:rPr>
        <w:t>Section 2(b)(iii)</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Article II</w:t>
      </w:r>
      <w:r>
        <w:rPr>
          <w:color w:val="000000"/>
        </w:rPr>
        <w:t xml:space="preserve"> </w:t>
      </w:r>
      <w:r>
        <w:rPr>
          <w:rFonts w:ascii="Times New Roman;sans-serif" w:hAnsi="Times New Roman;sans-serif"/>
          <w:b w:val="false"/>
          <w:color w:val="000000"/>
          <w:sz w:val="20"/>
        </w:rPr>
        <w:t>to the contrary, in the event that the number of directors on the Board of Directors is increased and there is no public announcement of the appointment of a director, or, if no appointment was made, of the vacancy, made by the Corporation at least ten days before the last day a stockholder may deliver a notice of nomination in accordance with</w:t>
      </w:r>
      <w:r>
        <w:rPr>
          <w:color w:val="000000"/>
        </w:rPr>
        <w:t xml:space="preserve"> </w:t>
      </w:r>
      <w:r>
        <w:rPr>
          <w:rFonts w:ascii="Times New Roman;sans-serif" w:hAnsi="Times New Roman;sans-serif"/>
          <w:b w:val="false"/>
          <w:color w:val="000000"/>
          <w:sz w:val="20"/>
          <w:u w:val="single"/>
        </w:rPr>
        <w:t>Section 2(b)(iii)</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Article II</w:t>
      </w:r>
      <w:r>
        <w:rPr>
          <w:rFonts w:ascii="Times New Roman;sans-serif" w:hAnsi="Times New Roman;sans-serif"/>
          <w:b w:val="false"/>
          <w:color w:val="000000"/>
          <w:sz w:val="20"/>
        </w:rPr>
        <w:t xml:space="preserve">, a stockholder’s notice required by this </w:t>
      </w:r>
      <w:r>
        <w:rPr>
          <w:rFonts w:ascii="Times New Roman;sans-serif" w:hAnsi="Times New Roman;sans-serif"/>
          <w:b w:val="false"/>
          <w:color w:val="000000"/>
          <w:sz w:val="20"/>
          <w:u w:val="single"/>
        </w:rPr>
        <w:t>Section 2</w:t>
      </w:r>
      <w:r>
        <w:rPr>
          <w:color w:val="000000"/>
        </w:rPr>
        <w:t xml:space="preserve"> </w:t>
      </w:r>
      <w:r>
        <w:rPr>
          <w:rFonts w:ascii="Times New Roman;sans-serif" w:hAnsi="Times New Roman;sans-serif"/>
          <w:b w:val="false"/>
          <w:color w:val="000000"/>
          <w:sz w:val="20"/>
        </w:rPr>
        <w:t xml:space="preserve">and which complies with the requirements in </w:t>
      </w:r>
      <w:r>
        <w:rPr>
          <w:rFonts w:ascii="Times New Roman;sans-serif" w:hAnsi="Times New Roman;sans-serif"/>
          <w:b w:val="false"/>
          <w:color w:val="000000"/>
          <w:sz w:val="20"/>
          <w:u w:val="single"/>
        </w:rPr>
        <w:t>Section 2(b)(i)</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Article II</w:t>
      </w:r>
      <w:r>
        <w:rPr>
          <w:rFonts w:ascii="Times New Roman;sans-serif" w:hAnsi="Times New Roman;sans-serif"/>
          <w:b w:val="false"/>
          <w:color w:val="000000"/>
          <w:sz w:val="20"/>
        </w:rPr>
        <w:t xml:space="preserve">, other than the timing requirements in </w:t>
      </w:r>
      <w:r>
        <w:rPr>
          <w:rFonts w:ascii="Times New Roman;sans-serif" w:hAnsi="Times New Roman;sans-serif"/>
          <w:b w:val="false"/>
          <w:color w:val="000000"/>
          <w:sz w:val="20"/>
          <w:u w:val="single"/>
        </w:rPr>
        <w:t>Section 2(b)(iii)</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Article II</w:t>
      </w:r>
      <w:r>
        <w:rPr>
          <w:rFonts w:ascii="Times New Roman;sans-serif" w:hAnsi="Times New Roman;sans-serif"/>
          <w:b w:val="false"/>
          <w:color w:val="000000"/>
          <w:sz w:val="20"/>
        </w:rPr>
        <w:t>, shall also be considered timely, but only with respect to nominees for any new positions on the Board of Directors created by such increase, if it shall be received by the Secretary at the principal executive offices of the Corporation not later than the close of business on the tenth day following the day on which such public announcement is first made by the Corporation.</w:t>
      </w:r>
    </w:p>
    <w:p>
      <w:pPr>
        <w:pStyle w:val="TextBody"/>
        <w:bidi w:val="0"/>
        <w:spacing w:before="0" w:after="0"/>
        <w:ind w:left="0" w:right="0" w:firstLine="1800"/>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0"/>
        </w:rPr>
        <w:t>e.</w:t>
      </w:r>
      <w:r>
        <w:rPr>
          <w:rFonts w:ascii="Times New Roman;sans-serif" w:hAnsi="Times New Roman;sans-serif"/>
          <w:b w:val="false"/>
          <w:color w:val="000000"/>
          <w:sz w:val="20"/>
        </w:rPr>
        <w:t xml:space="preserve">To be eligible to be a nominee for election or re-election as a director of the Corporation pursuant to a nomination under clause (iii) of </w:t>
      </w:r>
      <w:r>
        <w:rPr>
          <w:rFonts w:ascii="Times New Roman;sans-serif" w:hAnsi="Times New Roman;sans-serif"/>
          <w:b w:val="false"/>
          <w:color w:val="000000"/>
          <w:sz w:val="20"/>
          <w:u w:val="single"/>
        </w:rPr>
        <w:t>Section 2(a)</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Article II</w:t>
      </w:r>
      <w:r>
        <w:rPr>
          <w:rFonts w:ascii="Times New Roman;sans-serif" w:hAnsi="Times New Roman;sans-serif"/>
          <w:b w:val="false"/>
          <w:color w:val="000000"/>
          <w:sz w:val="20"/>
        </w:rPr>
        <w:t xml:space="preserve">, such proposed nominee or a person on such proposed nominee’s behalf must deliver (in accordance with the time periods prescribed for delivery of notice under </w:t>
      </w:r>
      <w:r>
        <w:rPr>
          <w:rFonts w:ascii="Times New Roman;sans-serif" w:hAnsi="Times New Roman;sans-serif"/>
          <w:b w:val="false"/>
          <w:color w:val="000000"/>
          <w:sz w:val="20"/>
          <w:u w:val="single"/>
        </w:rPr>
        <w:t>Section 2(b)(iii)</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2(d)</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Article II</w:t>
      </w:r>
      <w:r>
        <w:rPr>
          <w:rFonts w:ascii="Times New Roman;sans-serif" w:hAnsi="Times New Roman;sans-serif"/>
          <w:b w:val="false"/>
          <w:color w:val="000000"/>
          <w:sz w:val="20"/>
        </w:rPr>
        <w:t>, as applicable) to the Secretary at the principal executive offices of the Corporation a written questionnaire with respect to the background and qualification of such proposed nominee and the background of any other person or entity on whose behalf the nomination is being made (which questionnaire shall be provided by the Secretary upon written request) and a written representation and agreement (in the form provided by the Secretary upon written request) that such person: (i) is not and will not become a party to (A) any agreement, arrangement or understanding with, and has not given any commitment or assurance to, any person or entity as to how such person, if elected as a director of the corporation, will act or vote on any issue or question (a “</w:t>
      </w:r>
      <w:r>
        <w:rPr>
          <w:rFonts w:ascii="Times New Roman;sans-serif" w:hAnsi="Times New Roman;sans-serif"/>
          <w:b w:val="false"/>
          <w:color w:val="000000"/>
          <w:sz w:val="20"/>
          <w:u w:val="single"/>
        </w:rPr>
        <w:t>Voting Commitment</w:t>
      </w:r>
      <w:r>
        <w:rPr>
          <w:color w:val="000000"/>
        </w:rPr>
        <w:t>”</w:t>
      </w:r>
      <w:r>
        <w:rPr>
          <w:rFonts w:ascii="Times New Roman;sans-serif" w:hAnsi="Times New Roman;sans-serif"/>
          <w:b w:val="false"/>
          <w:color w:val="000000"/>
          <w:sz w:val="20"/>
        </w:rPr>
        <w:t>) that has not been disclosed to the Corporation in the questionnaire or (B) any Voting Commitment that could limit or interfere with such person’s ability to comply, if elected as a director of the Corporation, with such person’s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service or action as a director of the Corporation that has not been disclosed therein; and (iii)</w:t>
      </w:r>
      <w:r>
        <w:rPr>
          <w:color w:val="000000"/>
        </w:rPr>
        <w:t xml:space="preserve"> </w:t>
      </w:r>
      <w:r>
        <w:rPr>
          <w:rFonts w:ascii="Times New Roman;sans-serif" w:hAnsi="Times New Roman;sans-serif"/>
          <w:b w:val="false"/>
          <w:color w:val="000000"/>
          <w:sz w:val="20"/>
        </w:rPr>
        <w:t>in such person’s individual capacity and on behalf of any person or entity on whose behalf the nomination is being made, would be in compliance, if elected as a director of the Corporation, and will comply with, all applicable publicly disclosed corporate governance, conflict of interest, confidentiality and stock ownership and trading policies and guidelines of the Corporation.</w:t>
      </w:r>
    </w:p>
    <w:p>
      <w:pPr>
        <w:pStyle w:val="TextBody"/>
        <w:bidi w:val="0"/>
        <w:spacing w:before="0" w:after="0"/>
        <w:ind w:left="0" w:right="0" w:firstLine="1800"/>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0"/>
        </w:rPr>
        <w:t>f.</w:t>
      </w:r>
      <w:r>
        <w:rPr>
          <w:rFonts w:ascii="Times New Roman;sans-serif" w:hAnsi="Times New Roman;sans-serif"/>
          <w:b w:val="false"/>
          <w:color w:val="000000"/>
          <w:sz w:val="20"/>
        </w:rPr>
        <w:t xml:space="preserve">A person shall not be eligible for election or re-election as a director unless the person is nominated either in accordance with clause (ii) of </w:t>
      </w:r>
      <w:r>
        <w:rPr>
          <w:rFonts w:ascii="Times New Roman;sans-serif" w:hAnsi="Times New Roman;sans-serif"/>
          <w:b w:val="false"/>
          <w:color w:val="000000"/>
          <w:sz w:val="20"/>
          <w:u w:val="single"/>
        </w:rPr>
        <w:t>Section 2(a)</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Article II</w:t>
      </w:r>
      <w:r>
        <w:rPr>
          <w:rFonts w:ascii="Times New Roman;sans-serif" w:hAnsi="Times New Roman;sans-serif"/>
          <w:b w:val="false"/>
          <w:color w:val="000000"/>
          <w:sz w:val="20"/>
        </w:rPr>
        <w:t xml:space="preserve">, or in accordance with clause (iii) of </w:t>
      </w:r>
      <w:r>
        <w:rPr>
          <w:rFonts w:ascii="Times New Roman;sans-serif" w:hAnsi="Times New Roman;sans-serif"/>
          <w:b w:val="false"/>
          <w:color w:val="000000"/>
          <w:sz w:val="20"/>
          <w:u w:val="single"/>
        </w:rPr>
        <w:t>Section 2(a)</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Article II</w:t>
      </w:r>
      <w:r>
        <w:rPr>
          <w:rFonts w:ascii="Times New Roman;sans-serif" w:hAnsi="Times New Roman;sans-serif"/>
          <w:b w:val="false"/>
          <w:color w:val="000000"/>
          <w:sz w:val="20"/>
        </w:rPr>
        <w:t xml:space="preserve">. Except as otherwise required by law, the chairman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or the Proponent does not act in accordance with the representations in </w:t>
      </w:r>
      <w:r>
        <w:rPr>
          <w:rFonts w:ascii="Times New Roman;sans-serif" w:hAnsi="Times New Roman;sans-serif"/>
          <w:b w:val="false"/>
          <w:color w:val="000000"/>
          <w:sz w:val="20"/>
          <w:u w:val="single"/>
        </w:rPr>
        <w:t>Sections 2(b)(iv)(D)</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2(b)(iv)(E)</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Article II</w:t>
      </w:r>
      <w:r>
        <w:rPr>
          <w:rFonts w:ascii="Times New Roman;sans-serif" w:hAnsi="Times New Roman;sans-serif"/>
          <w:b w:val="false"/>
          <w:color w:val="000000"/>
          <w:sz w:val="20"/>
        </w:rPr>
        <w:t>, to declare that such proposal or nomination shall not be presented for stockholder action at the meeting and shall be disregarded, notwithstanding that proxies in respect of such nominations or such business may have been solicited or received.</w:t>
      </w:r>
    </w:p>
    <w:p>
      <w:pPr>
        <w:pStyle w:val="TextBody"/>
        <w:bidi w:val="0"/>
        <w:ind w:left="0" w:right="0" w:firstLine="1800"/>
        <w:jc w:val="left"/>
        <w:rPr/>
      </w:pPr>
      <w:r>
        <w:rPr/>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3.2</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ind w:left="0" w:right="0" w:firstLine="1440"/>
        <w:jc w:val="left"/>
        <w:rPr/>
      </w:pPr>
      <w:r>
        <w:rPr>
          <w:rFonts w:ascii="Times New Roman;sans-serif" w:hAnsi="Times New Roman;sans-serif"/>
          <w:b w:val="false"/>
          <w:color w:val="000000"/>
          <w:sz w:val="20"/>
        </w:rPr>
        <w:t>g.</w:t>
      </w:r>
      <w:r>
        <w:rPr>
          <w:rFonts w:ascii="Times New Roman;sans-serif" w:hAnsi="Times New Roman;sans-serif"/>
          <w:b w:val="false"/>
          <w:color w:val="000000"/>
          <w:sz w:val="20"/>
        </w:rPr>
        <w:t xml:space="preserve">Notwithstanding the foregoing provisions of this </w:t>
      </w:r>
      <w:r>
        <w:rPr>
          <w:rFonts w:ascii="Times New Roman;sans-serif" w:hAnsi="Times New Roman;sans-serif"/>
          <w:b w:val="false"/>
          <w:color w:val="000000"/>
          <w:sz w:val="20"/>
          <w:u w:val="single"/>
        </w:rPr>
        <w:t>Section 2</w:t>
      </w:r>
      <w:r>
        <w:rPr>
          <w:rFonts w:ascii="Times New Roman;sans-serif" w:hAnsi="Times New Roman;sans-serif"/>
          <w:b w:val="false"/>
          <w:color w:val="000000"/>
          <w:sz w:val="20"/>
        </w:rPr>
        <w:t xml:space="preserve">, in order to include information with respect to a stockholder proposal in the proxy statement and form of proxy for a stockholders’ meeting, a stockholder must also comply with all applicable requirements of the 1934 Act and the rules and regulations thereunder. Nothing in these Bylaws shall be deemed to affect any rights of stockholders to request inclusion of proposals in the Corporation’s proxy statement pursuant to Rule 14a-8 under the 1934 Act; </w:t>
      </w:r>
      <w:r>
        <w:rPr>
          <w:rFonts w:ascii="Times New Roman;sans-serif" w:hAnsi="Times New Roman;sans-serif"/>
          <w:b w:val="false"/>
          <w:i/>
          <w:color w:val="000000"/>
          <w:sz w:val="20"/>
        </w:rPr>
        <w:t xml:space="preserve">provided, however, </w:t>
      </w:r>
      <w:r>
        <w:rPr>
          <w:rFonts w:ascii="Times New Roman;sans-serif" w:hAnsi="Times New Roman;sans-serif"/>
          <w:b w:val="false"/>
          <w:color w:val="000000"/>
          <w:sz w:val="20"/>
        </w:rPr>
        <w:t xml:space="preserve">that any references in these Bylaws to the 1934 Act or the rules and regulations thereunder are not intended to and shall not limit the requirements applicable to proposals and/or nominations to be considered pursuant to </w:t>
      </w:r>
      <w:r>
        <w:rPr>
          <w:rFonts w:ascii="Times New Roman;sans-serif" w:hAnsi="Times New Roman;sans-serif"/>
          <w:b w:val="false"/>
          <w:color w:val="000000"/>
          <w:sz w:val="20"/>
          <w:u w:val="single"/>
        </w:rPr>
        <w:t>Section 2(a)(iii)</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Article II</w:t>
      </w:r>
      <w:r>
        <w:rPr>
          <w:rFonts w:ascii="Times New Roman;sans-serif" w:hAnsi="Times New Roman;sans-serif"/>
          <w:b w:val="false"/>
          <w:color w:val="000000"/>
          <w:sz w:val="20"/>
        </w:rPr>
        <w:t>.</w:t>
      </w:r>
    </w:p>
    <w:p>
      <w:pPr>
        <w:pStyle w:val="TextBody"/>
        <w:bidi w:val="0"/>
        <w:spacing w:before="0" w:after="0"/>
        <w:ind w:left="0" w:right="0" w:firstLine="1800"/>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0"/>
        </w:rPr>
        <w:t>h.</w:t>
      </w:r>
      <w:r>
        <w:rPr>
          <w:rFonts w:ascii="Times New Roman;sans-serif" w:hAnsi="Times New Roman;sans-serif"/>
          <w:b w:val="false"/>
          <w:color w:val="000000"/>
          <w:sz w:val="20"/>
        </w:rPr>
        <w:t xml:space="preserve">For purposes of </w:t>
      </w:r>
      <w:r>
        <w:rPr>
          <w:rFonts w:ascii="Times New Roman;sans-serif" w:hAnsi="Times New Roman;sans-serif"/>
          <w:b w:val="false"/>
          <w:color w:val="000000"/>
          <w:sz w:val="20"/>
          <w:u w:val="single"/>
        </w:rPr>
        <w:t>Sections 2</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3</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Article II</w:t>
      </w:r>
      <w:r>
        <w:rPr>
          <w:rFonts w:ascii="Times New Roman;sans-serif" w:hAnsi="Times New Roman;sans-serif"/>
          <w:b w:val="false"/>
          <w:color w:val="000000"/>
          <w:sz w:val="20"/>
        </w:rPr>
        <w:t>,</w:t>
      </w:r>
    </w:p>
    <w:p>
      <w:pPr>
        <w:pStyle w:val="TextBody"/>
        <w:bidi w:val="0"/>
        <w:spacing w:before="0" w:after="0"/>
        <w:ind w:left="0" w:right="0" w:firstLine="1800"/>
        <w:jc w:val="left"/>
        <w:rPr/>
      </w:pPr>
      <w:r>
        <w:rPr/>
      </w:r>
    </w:p>
    <w:p>
      <w:pPr>
        <w:pStyle w:val="TextBody"/>
        <w:bidi w:val="0"/>
        <w:spacing w:lineRule="auto" w:line="288" w:before="0" w:after="0"/>
        <w:ind w:left="0" w:right="0" w:firstLine="2160"/>
        <w:jc w:val="left"/>
        <w:rPr/>
      </w:pPr>
      <w:r>
        <w:rPr>
          <w:rFonts w:ascii="Times New Roman;sans-serif" w:hAnsi="Times New Roman;sans-serif"/>
          <w:b w:val="false"/>
          <w:color w:val="000000"/>
          <w:sz w:val="20"/>
        </w:rPr>
        <w:t>i.</w:t>
      </w:r>
      <w:r>
        <w:rPr>
          <w:color w:val="000000"/>
        </w:rPr>
        <w:t>“</w:t>
      </w:r>
      <w:r>
        <w:rPr>
          <w:rFonts w:ascii="Times New Roman;sans-serif" w:hAnsi="Times New Roman;sans-serif"/>
          <w:b w:val="false"/>
          <w:color w:val="000000"/>
          <w:sz w:val="20"/>
          <w:u w:val="single"/>
        </w:rPr>
        <w:t>public announcement</w:t>
      </w:r>
      <w:r>
        <w:rPr>
          <w:color w:val="000000"/>
        </w:rPr>
        <w:t xml:space="preserve">” </w:t>
      </w:r>
      <w:r>
        <w:rPr>
          <w:rFonts w:ascii="Times New Roman;sans-serif" w:hAnsi="Times New Roman;sans-serif"/>
          <w:b w:val="false"/>
          <w:color w:val="000000"/>
          <w:sz w:val="20"/>
        </w:rPr>
        <w:t>shall mean disclosure in a press release reported by the Dow Jones News Service, Associated Press or comparable national news service or in a document publicly filed by the Corporation with the Securities and Exchange Commission pursuant to Section 13, 14 or 15(d) of the 1934 Act; and</w:t>
      </w:r>
    </w:p>
    <w:p>
      <w:pPr>
        <w:pStyle w:val="TextBody"/>
        <w:bidi w:val="0"/>
        <w:spacing w:before="0" w:after="0"/>
        <w:ind w:left="0" w:right="0" w:firstLine="2520"/>
        <w:jc w:val="left"/>
        <w:rPr/>
      </w:pPr>
      <w:r>
        <w:rPr/>
      </w:r>
    </w:p>
    <w:p>
      <w:pPr>
        <w:pStyle w:val="TextBody"/>
        <w:bidi w:val="0"/>
        <w:spacing w:lineRule="auto" w:line="288" w:before="0" w:after="0"/>
        <w:ind w:left="0" w:right="0" w:firstLine="2160"/>
        <w:jc w:val="left"/>
        <w:rPr/>
      </w:pPr>
      <w:r>
        <w:rPr>
          <w:rFonts w:ascii="Times New Roman;sans-serif" w:hAnsi="Times New Roman;sans-serif"/>
          <w:b w:val="false"/>
          <w:color w:val="000000"/>
          <w:sz w:val="20"/>
        </w:rPr>
        <w:t>ii.</w:t>
      </w:r>
      <w:r>
        <w:rPr>
          <w:color w:val="000000"/>
        </w:rPr>
        <w:t>“</w:t>
      </w:r>
      <w:r>
        <w:rPr>
          <w:rFonts w:ascii="Times New Roman;sans-serif" w:hAnsi="Times New Roman;sans-serif"/>
          <w:b w:val="false"/>
          <w:color w:val="000000"/>
          <w:sz w:val="20"/>
          <w:u w:val="single"/>
        </w:rPr>
        <w:t>affiliates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color w:val="000000"/>
          <w:sz w:val="20"/>
          <w:u w:val="single"/>
        </w:rPr>
        <w:t>associates</w:t>
      </w:r>
      <w:r>
        <w:rPr>
          <w:color w:val="000000"/>
        </w:rPr>
        <w:t xml:space="preserve">” </w:t>
      </w:r>
      <w:r>
        <w:rPr>
          <w:rFonts w:ascii="Times New Roman;sans-serif" w:hAnsi="Times New Roman;sans-serif"/>
          <w:b w:val="false"/>
          <w:color w:val="000000"/>
          <w:sz w:val="20"/>
        </w:rPr>
        <w:t>shall have the meanings set forth in Rule 405 under the Securities Act of 1933, as amended.</w:t>
      </w:r>
    </w:p>
    <w:p>
      <w:pPr>
        <w:pStyle w:val="TextBody"/>
        <w:bidi w:val="0"/>
        <w:spacing w:before="0" w:after="0"/>
        <w:ind w:left="0" w:right="0" w:firstLine="25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3.    Special Meetings</w:t>
      </w:r>
      <w:r>
        <w:rPr>
          <w:rFonts w:ascii="Times New Roman;sans-serif" w:hAnsi="Times New Roman;sans-serif"/>
          <w:b w:val="false"/>
          <w:color w:val="000000"/>
          <w:sz w:val="20"/>
        </w:rPr>
        <w:t xml:space="preserve">. </w:t>
      </w:r>
    </w:p>
    <w:p>
      <w:pPr>
        <w:pStyle w:val="TextBody"/>
        <w:bidi w:val="0"/>
        <w:spacing w:before="0" w:after="0"/>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Special meetings of the stockholders of the Corporation may be called, for any purpose as is a proper matter for stockholder action under Delaware law, by (i) the Chairman of the Board 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pStyle w:val="TextBody"/>
        <w:bidi w:val="0"/>
        <w:spacing w:before="0" w:after="0"/>
        <w:ind w:left="0" w:right="0" w:firstLine="1800"/>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The Board of Directors shall determine the time and place, if any, of such special meeting. Upon determination of the time and place, if any, of the meeting, the Secretary shall cause a notice of meeting to be given to the stockholders entitled to vote, in accordance with the provisions of </w:t>
      </w:r>
      <w:r>
        <w:rPr>
          <w:rFonts w:ascii="Times New Roman;sans-serif" w:hAnsi="Times New Roman;sans-serif"/>
          <w:b w:val="false"/>
          <w:color w:val="000000"/>
          <w:sz w:val="20"/>
          <w:u w:val="single"/>
        </w:rPr>
        <w:t>Section 4</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Article II</w:t>
      </w:r>
      <w:r>
        <w:rPr>
          <w:rFonts w:ascii="Times New Roman;sans-serif" w:hAnsi="Times New Roman;sans-serif"/>
          <w:b w:val="false"/>
          <w:color w:val="000000"/>
          <w:sz w:val="20"/>
        </w:rPr>
        <w:t>. No business may be transacted at such special meeting otherwise than specified in the notice of meeting.</w:t>
      </w:r>
    </w:p>
    <w:p>
      <w:pPr>
        <w:pStyle w:val="TextBody"/>
        <w:bidi w:val="0"/>
        <w:spacing w:before="0" w:after="0"/>
        <w:ind w:left="0" w:right="0" w:firstLine="1800"/>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Nominations of persons for election to the Board of Directors may be made at a special meeting of stockholders at which directors are to be elected (i) by or at the direction of the Board of Directors or (ii) by any stockholder of the Corporation who is a stockholder of record at the time of giving notice provided for in this paragraph, who shall be entitled to vote at the meeting and who delivers written notice to the Secretary of the Corporation setting forth the information required by </w:t>
      </w:r>
      <w:r>
        <w:rPr>
          <w:rFonts w:ascii="Times New Roman;sans-serif" w:hAnsi="Times New Roman;sans-serif"/>
          <w:b w:val="false"/>
          <w:color w:val="000000"/>
          <w:sz w:val="20"/>
          <w:u w:val="single"/>
        </w:rPr>
        <w:t>Section 2(b)(i)</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Article II</w:t>
      </w:r>
      <w:r>
        <w:rPr>
          <w:rFonts w:ascii="Times New Roman;sans-serif" w:hAnsi="Times New Roman;sans-serif"/>
          <w:b w:val="false"/>
          <w:color w:val="000000"/>
          <w:sz w:val="20"/>
        </w:rPr>
        <w:t xml:space="preserve">. In the event the Corporation calls a special meeting of stockholders for the purpose of electing one or more directors to the Board of Directors, any such stockholder of record may nominate a person or persons (as the case may be), for election to such position(s) as specified in the Corporation’s notice of meeting, if written notice setting forth the information required by </w:t>
      </w:r>
      <w:r>
        <w:rPr>
          <w:rFonts w:ascii="Times New Roman;sans-serif" w:hAnsi="Times New Roman;sans-serif"/>
          <w:b w:val="false"/>
          <w:color w:val="000000"/>
          <w:sz w:val="20"/>
          <w:u w:val="single"/>
        </w:rPr>
        <w:t>Section 2(b)(i)</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Article II</w:t>
      </w:r>
      <w:r>
        <w:rPr>
          <w:color w:val="000000"/>
        </w:rPr>
        <w:t xml:space="preserve"> </w:t>
      </w:r>
      <w:r>
        <w:rPr>
          <w:rFonts w:ascii="Times New Roman;sans-serif" w:hAnsi="Times New Roman;sans-serif"/>
          <w:b w:val="false"/>
          <w:color w:val="000000"/>
          <w:sz w:val="20"/>
        </w:rPr>
        <w:t xml:space="preserve">shall be received by the Secretary at the principal executive offices of the Corporation not later than the close of business on the later of the 90th day prior to such meeting or the 10th day following the day on which public announcement is first made of the date of the special meeting and of the nominees proposed by the Board of Directors to be elected at such meeting. The stockholder shall also update and supplement such information as required under </w:t>
      </w:r>
      <w:r>
        <w:rPr>
          <w:rFonts w:ascii="Times New Roman;sans-serif" w:hAnsi="Times New Roman;sans-serif"/>
          <w:b w:val="false"/>
          <w:color w:val="000000"/>
          <w:sz w:val="20"/>
          <w:u w:val="single"/>
        </w:rPr>
        <w:t>Section 2(c)</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Article II</w:t>
      </w:r>
      <w:r>
        <w:rPr>
          <w:rFonts w:ascii="Times New Roman;sans-serif" w:hAnsi="Times New Roman;sans-serif"/>
          <w:b w:val="false"/>
          <w:color w:val="000000"/>
          <w:sz w:val="20"/>
        </w:rPr>
        <w:t>. In no event shall an adjournment or a postponement of a special meeting for which notice has been given, or the public announcement thereof has been made, commence a new time period for the giving of a stockholder’s notice as described above.</w:t>
      </w:r>
    </w:p>
    <w:p>
      <w:pPr>
        <w:pStyle w:val="TextBody"/>
        <w:bidi w:val="0"/>
        <w:ind w:left="0" w:right="0" w:firstLine="1800"/>
        <w:jc w:val="left"/>
        <w:rPr/>
      </w:pPr>
      <w:r>
        <w:rPr/>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3.2</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ind w:left="0" w:right="0" w:firstLine="1440"/>
        <w:jc w:val="left"/>
        <w:rPr/>
      </w:pPr>
      <w:r>
        <w:rPr>
          <w:rFonts w:ascii="Times New Roman;sans-serif" w:hAnsi="Times New Roman;sans-serif"/>
          <w:b w:val="false"/>
          <w:color w:val="000000"/>
          <w:sz w:val="20"/>
        </w:rPr>
        <w:t>d.</w:t>
      </w:r>
      <w:r>
        <w:rPr>
          <w:rFonts w:ascii="Times New Roman;sans-serif" w:hAnsi="Times New Roman;sans-serif"/>
          <w:b w:val="false"/>
          <w:color w:val="000000"/>
          <w:sz w:val="20"/>
        </w:rPr>
        <w:t xml:space="preserve">Notwithstanding the foregoing provisions of this </w:t>
      </w:r>
      <w:r>
        <w:rPr>
          <w:rFonts w:ascii="Times New Roman;sans-serif" w:hAnsi="Times New Roman;sans-serif"/>
          <w:b w:val="false"/>
          <w:color w:val="000000"/>
          <w:sz w:val="20"/>
          <w:u w:val="single"/>
        </w:rPr>
        <w:t>Section 3</w:t>
      </w:r>
      <w:r>
        <w:rPr>
          <w:rFonts w:ascii="Times New Roman;sans-serif" w:hAnsi="Times New Roman;sans-serif"/>
          <w:b w:val="false"/>
          <w:color w:val="000000"/>
          <w:sz w:val="20"/>
        </w:rPr>
        <w:t xml:space="preserve">, a stockholder must also comply with all applicable requirements of the 1934 Act and the rules and regulations thereunder with respect to matters set forth in this </w:t>
      </w:r>
      <w:r>
        <w:rPr>
          <w:rFonts w:ascii="Times New Roman;sans-serif" w:hAnsi="Times New Roman;sans-serif"/>
          <w:b w:val="false"/>
          <w:color w:val="000000"/>
          <w:sz w:val="20"/>
          <w:u w:val="single"/>
        </w:rPr>
        <w:t>Section 3</w:t>
      </w:r>
      <w:r>
        <w:rPr>
          <w:rFonts w:ascii="Times New Roman;sans-serif" w:hAnsi="Times New Roman;sans-serif"/>
          <w:b w:val="false"/>
          <w:color w:val="000000"/>
          <w:sz w:val="20"/>
        </w:rPr>
        <w:t xml:space="preserve">. Nothing in these Bylaws shall be deemed to affect any rights of stockholders to request inclusion of proposals in the Corporation’s proxy statement pursuant to Rule 14a-8 under the 1934 Act; </w:t>
      </w:r>
      <w:r>
        <w:rPr>
          <w:rFonts w:ascii="Times New Roman;sans-serif" w:hAnsi="Times New Roman;sans-serif"/>
          <w:b w:val="false"/>
          <w:i/>
          <w:color w:val="000000"/>
          <w:sz w:val="20"/>
        </w:rPr>
        <w:t xml:space="preserve">provided, however, </w:t>
      </w:r>
      <w:r>
        <w:rPr>
          <w:rFonts w:ascii="Times New Roman;sans-serif" w:hAnsi="Times New Roman;sans-serif"/>
          <w:b w:val="false"/>
          <w:color w:val="000000"/>
          <w:sz w:val="20"/>
        </w:rPr>
        <w:t xml:space="preserve">that any references in these Bylaws to the 1934 Act or the rules and regulations thereunder are not intended to and shall not limit the requirements applicable to nominations for the election to the Board of Directors to be considered pursuant to </w:t>
      </w:r>
      <w:r>
        <w:rPr>
          <w:rFonts w:ascii="Times New Roman;sans-serif" w:hAnsi="Times New Roman;sans-serif"/>
          <w:b w:val="false"/>
          <w:color w:val="000000"/>
          <w:sz w:val="20"/>
          <w:u w:val="single"/>
        </w:rPr>
        <w:t>Section 3(c)</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Article II</w:t>
      </w:r>
      <w:r>
        <w:rPr>
          <w:rFonts w:ascii="Times New Roman;sans-serif" w:hAnsi="Times New Roman;sans-serif"/>
          <w:b w:val="false"/>
          <w:color w:val="000000"/>
          <w:sz w:val="20"/>
        </w:rPr>
        <w:t>.</w:t>
      </w:r>
    </w:p>
    <w:p>
      <w:pPr>
        <w:pStyle w:val="TextBody"/>
        <w:bidi w:val="0"/>
        <w:spacing w:before="0" w:after="0"/>
        <w:ind w:left="0" w:right="0" w:firstLine="18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 xml:space="preserve">Section 4.    Notice of Meetings. </w:t>
      </w:r>
      <w:r>
        <w:rPr>
          <w:rFonts w:ascii="Times New Roman;sans-serif" w:hAnsi="Times New Roman;sans-serif"/>
          <w:b w:val="false"/>
          <w:color w:val="000000"/>
          <w:sz w:val="20"/>
        </w:rPr>
        <w:t>Except as otherwise provided by law, notice, given in writing or by electronic transmission, of each meeting of stockholders shall be given not less than 10 nor more than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 holders may be deemed to be present in person and vote at any such meeting. If mailed, notice is deemed given when deposited in the United States mail, postage prepaid, directed to the stockholder at such stockholder’s address as it appears on the records of the Corporation. If sent via electronic transmission, notice is deemed given as of the sending time recorded at the time of transmission. Notice of the time, place, if any, and purpose of any meeting of stockholders may be waived in writing, signed by the person entitled to notice thereof, or by electronic transmission by such person, either before or after such meeting, and will be waived by any stockholder by his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5.    Quorum</w:t>
      </w:r>
      <w:r>
        <w:rPr>
          <w:rFonts w:ascii="Times New Roman;sans-serif" w:hAnsi="Times New Roman;sans-serif"/>
          <w:b w:val="false"/>
          <w:color w:val="000000"/>
          <w:sz w:val="2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Except as otherwise required by law or by applicable stock exchange rules, or provided by the Certificate or these Bylaws, the holders of a majority of the capital stock issued and outstanding and entitled to vote thereat, present in person, by remote communication, if applicable, or represented by proxy, shall constitute a quorum for the transaction of business at all meetings of the stockholders. In the absence of a quorum, any meeting of stockholders may be adjourned, from time to time, either by the chairman of the meeting or by vote of the holders of a majority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w:t>
      </w:r>
    </w:p>
    <w:p>
      <w:pPr>
        <w:pStyle w:val="TextBody"/>
        <w:bidi w:val="0"/>
        <w:spacing w:before="0" w:after="0"/>
        <w:ind w:left="0" w:right="0" w:firstLine="1800"/>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Except as otherwise required by law or by applicable stock exchange rules, or provided by the Certificate or these Bylaws, in all matters other than the election of directors, the affirmative vote of the majority of shares present in person, by remote communication, if applicable, or represented by proxy at the meeting and entitled to vote generally on the subject matter shall be the act of the stockholders. Except as otherwise required by law or by applicable stock exchange rules, or provided by the Certificate or these Bylaws, directors shall be elected by the affirmative vote of a majority of the votes cast by the shares present in person, by remote communication, if applicable, or represented by proxy at the meeting and entitled to vote generally on the election of directors;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if the number of director nominees exceeds the number of directors to be elected at the meeting, directors shall be elected by a plurality of the votes cast by the shares present in person, by remote communication, if applicable, or represented by proxy at the meeting and entitled to vote generally on the election of directors. For purposes of these Bylaws, a “majority of the votes cast” means that the number of shares voted “for” a director’s election exceeds 50% of the number of votes cast with respect to that director’s election. Votes cast shall include direction to withhold authority in each case and shall exclude “abstentions” and “broker non-votes” with respect to that director’s election.</w:t>
      </w:r>
    </w:p>
    <w:p>
      <w:pPr>
        <w:pStyle w:val="TextBody"/>
        <w:bidi w:val="0"/>
        <w:ind w:left="0" w:right="0" w:firstLine="1800"/>
        <w:jc w:val="left"/>
        <w:rPr/>
      </w:pPr>
      <w:r>
        <w:rPr/>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3.2</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ind w:left="0" w:right="0" w:firstLine="1440"/>
        <w:jc w:val="left"/>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Following the certification of the stockholder vote in an election where the number of director nominees does not exceed the number of directors to be elected at the meeting, an incumbent director who received a greater number of votes “against” his or her election than votes “for” his or her election shall promptly tender his or her resignation to the Board of Directors. The Board of Directors shall act on the tendered resignation no later than 90 days following certification of the election results, and publicly disclose (by a press release, a filing with the Securities and Exchange Commission or other broadly disseminated means of communication) its decision regarding the tendered resignation and the rationale behind its decision. The director who tenders his or her resignation shall not participate in the decision of the Board of Directors with respect to his or her resignation. Such incumbent director shall continue to serve as a director after submitting his or her resignation pursuant to the provisions of this </w:t>
      </w:r>
      <w:r>
        <w:rPr>
          <w:rFonts w:ascii="Times New Roman;sans-serif" w:hAnsi="Times New Roman;sans-serif"/>
          <w:b w:val="false"/>
          <w:color w:val="000000"/>
          <w:sz w:val="20"/>
          <w:u w:val="single"/>
        </w:rPr>
        <w:t>Section 5</w:t>
      </w:r>
      <w:r>
        <w:rPr>
          <w:color w:val="000000"/>
        </w:rPr>
        <w:t xml:space="preserve"> </w:t>
      </w:r>
      <w:r>
        <w:rPr>
          <w:rFonts w:ascii="Times New Roman;sans-serif" w:hAnsi="Times New Roman;sans-serif"/>
          <w:b w:val="false"/>
          <w:color w:val="000000"/>
          <w:sz w:val="20"/>
        </w:rPr>
        <w:t xml:space="preserve">unless and until the Board of Directors accepts such resignation, or until his or her earlier death, removal, or resignation made pursuant to </w:t>
      </w:r>
      <w:r>
        <w:rPr>
          <w:rFonts w:ascii="Times New Roman;sans-serif" w:hAnsi="Times New Roman;sans-serif"/>
          <w:b w:val="false"/>
          <w:color w:val="000000"/>
          <w:sz w:val="20"/>
          <w:u w:val="single"/>
        </w:rPr>
        <w:t>Section 4</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val="false"/>
          <w:color w:val="000000"/>
          <w:sz w:val="20"/>
          <w:u w:val="single"/>
        </w:rPr>
        <w:t>Article III</w:t>
      </w:r>
      <w:r>
        <w:rPr>
          <w:color w:val="000000"/>
        </w:rPr>
        <w:t xml:space="preserve"> </w:t>
      </w:r>
      <w:r>
        <w:rPr>
          <w:rFonts w:ascii="Times New Roman;sans-serif" w:hAnsi="Times New Roman;sans-serif"/>
          <w:b w:val="false"/>
          <w:color w:val="000000"/>
          <w:sz w:val="20"/>
        </w:rPr>
        <w:t xml:space="preserve">of these Bylaws. If such incumbent director’s resignation is not accepted by the Board of Directors, such director shall continue to serve until his or her successor is duly elected, or his or her earlier resignation or removal. If a director’s resignation is accepted by the Board of Directors pursuant to these Bylaws, or if a nominee for director is not elected and the nominee is not an incumbent director, then the Board of Directors, in its sole discretion, may fill any resulting vacancy or decrease the size of the Board of Directors pursuant to the provisions of </w:t>
      </w:r>
      <w:r>
        <w:rPr>
          <w:rFonts w:ascii="Times New Roman;sans-serif" w:hAnsi="Times New Roman;sans-serif"/>
          <w:b w:val="false"/>
          <w:color w:val="000000"/>
          <w:sz w:val="20"/>
          <w:u w:val="single"/>
        </w:rPr>
        <w:t>Article III</w:t>
      </w:r>
      <w:r>
        <w:rPr>
          <w:color w:val="000000"/>
        </w:rPr>
        <w:t xml:space="preserve"> </w:t>
      </w:r>
      <w:r>
        <w:rPr>
          <w:rFonts w:ascii="Times New Roman;sans-serif" w:hAnsi="Times New Roman;sans-serif"/>
          <w:b w:val="false"/>
          <w:color w:val="000000"/>
          <w:sz w:val="20"/>
        </w:rPr>
        <w:t>of these Bylaws.</w:t>
      </w:r>
    </w:p>
    <w:p>
      <w:pPr>
        <w:pStyle w:val="TextBody"/>
        <w:bidi w:val="0"/>
        <w:spacing w:before="0" w:after="0"/>
        <w:ind w:left="0" w:right="0" w:firstLine="1800"/>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0"/>
        </w:rPr>
        <w:t>d.</w:t>
      </w:r>
      <w:r>
        <w:rPr>
          <w:rFonts w:ascii="Times New Roman;sans-serif" w:hAnsi="Times New Roman;sans-serif"/>
          <w:b w:val="false"/>
          <w:color w:val="000000"/>
          <w:sz w:val="20"/>
        </w:rPr>
        <w:t>Where a separate vote by a class or classes or series is required, except where otherwise required by law or applicable stock exchange rules, or provided by the Certificate or these Bylaws, a majority of the outstanding shares of such class or classes or series, present in person, by remote communication, if applicable, or represented by proxy, shall constitute a quorum entitled to take action with respect to that vote on that matter. Except where otherwise provided by statute or by the Certificate or these Bylaws, the affirmative vote of the majority of shares of such class or classes or series present in person, by remote communication, if applicable, or represented by proxy at the meeting shall be the act of such class or classes or series.</w:t>
      </w:r>
    </w:p>
    <w:p>
      <w:pPr>
        <w:pStyle w:val="TextBody"/>
        <w:bidi w:val="0"/>
        <w:spacing w:before="0" w:after="0"/>
        <w:ind w:left="0" w:right="0" w:firstLine="18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6.    Adjournment</w:t>
      </w:r>
      <w:r>
        <w:rPr>
          <w:rFonts w:ascii="Times New Roman;sans-serif" w:hAnsi="Times New Roman;sans-serif"/>
          <w:b w:val="false"/>
          <w:color w:val="000000"/>
          <w:sz w:val="20"/>
        </w:rPr>
        <w:t>. Any meeting of stockholders, whether annual or special, may be adjourned from time to time either by the chairman of the meeting or by the vote of a majority of the shares present in person, by remote communication, if applicable, or represented by proxy at the meeting. When a meeting is adjourned to another time or place, if any, notice need not be given of the adjourned meeting if the time and place, if any, thereof are announced at the meeting at which the adjournment is taken. At the adjourned meeting, the Corporation may transact any business which might have been transacted at the original meeting. If the adjournment is for more than 30 days or if after the adjournment a new record date is fixed for the adjourned meeting, a notice of the adjourned meeting shall be given to each stockholder of record entitled to vote at the meeting.</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7.    Voting</w:t>
      </w:r>
      <w:r>
        <w:rPr>
          <w:rFonts w:ascii="Times New Roman;sans-serif" w:hAnsi="Times New Roman;sans-serif"/>
          <w:b w:val="false"/>
          <w:color w:val="000000"/>
          <w:sz w:val="20"/>
        </w:rPr>
        <w:t xml:space="preserve">. For the purpose of determining those stockholders entitled to vote at any meeting of the stockholders, except as otherwise provided by law, only persons in whose names shares stand on the stock records of the corporation on the record date, as provided in </w:t>
      </w:r>
      <w:r>
        <w:rPr>
          <w:rFonts w:ascii="Times New Roman;sans-serif" w:hAnsi="Times New Roman;sans-serif"/>
          <w:b w:val="false"/>
          <w:color w:val="000000"/>
          <w:sz w:val="20"/>
          <w:u w:val="single"/>
        </w:rPr>
        <w:t>Section 9</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Article II</w:t>
      </w:r>
      <w:r>
        <w:rPr>
          <w:rFonts w:ascii="Times New Roman;sans-serif" w:hAnsi="Times New Roman;sans-serif"/>
          <w:b w:val="false"/>
          <w:color w:val="000000"/>
          <w:sz w:val="20"/>
        </w:rPr>
        <w:t>, shall be entitled to vote at any meeting of stockholders. Every person entitled to vote</w:t>
      </w:r>
      <w:r>
        <w:rPr>
          <w:color w:val="000000"/>
        </w:rPr>
        <w:t xml:space="preserve"> </w:t>
      </w:r>
      <w:r>
        <w:rPr>
          <w:rFonts w:ascii="Times New Roman;sans-serif" w:hAnsi="Times New Roman;sans-serif"/>
          <w:b w:val="false"/>
          <w:color w:val="000000"/>
          <w:sz w:val="20"/>
        </w:rPr>
        <w:t>shall have the right to do so either in person, by remote communication, if applicable, or by an agent or agents authorized by a proxy granted in accordance with Delaware law. An agent so appointed need not be a stockholder. No proxy shall be voted after three years from its date of creation unless the proxy provides for a longer period. Elections of directors need not be by ballot unless the chairman of the meeting so directs or unless a stockholder demands election by ballot at the meeting and before the voting begins.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3.2</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ind w:left="0" w:right="0" w:firstLine="720"/>
        <w:jc w:val="left"/>
        <w:rPr/>
      </w:pPr>
      <w:r>
        <w:rPr>
          <w:rFonts w:ascii="Times New Roman;sans-serif" w:hAnsi="Times New Roman;sans-serif"/>
          <w:b/>
          <w:color w:val="000000"/>
          <w:sz w:val="20"/>
        </w:rPr>
        <w:t>Section 8.    Joint Owners of Stock</w:t>
      </w:r>
      <w:r>
        <w:rPr>
          <w:rFonts w:ascii="Times New Roman;sans-serif" w:hAnsi="Times New Roman;sans-serif"/>
          <w:b w:val="false"/>
          <w:color w:val="000000"/>
          <w:sz w:val="20"/>
        </w:rPr>
        <w:t xml:space="preserve">. If shares or other securities having voting power stand of record in the names of two or more persons, whether fiduciaries, members of a partnership, joint tenants, tenants in common, tenants by the entirety, or otherwise, or if two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votes, his act binds all; (b) if more than one votes, the act of the majority so voting binds all; or (c) if more than one 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clause (c) of this </w:t>
      </w:r>
      <w:r>
        <w:rPr>
          <w:rFonts w:ascii="Times New Roman;sans-serif" w:hAnsi="Times New Roman;sans-serif"/>
          <w:b w:val="false"/>
          <w:color w:val="000000"/>
          <w:sz w:val="20"/>
          <w:u w:val="single"/>
        </w:rPr>
        <w:t>Section 8</w:t>
      </w:r>
      <w:r>
        <w:rPr>
          <w:color w:val="000000"/>
        </w:rPr>
        <w:t xml:space="preserve"> </w:t>
      </w:r>
      <w:r>
        <w:rPr>
          <w:rFonts w:ascii="Times New Roman;sans-serif" w:hAnsi="Times New Roman;sans-serif"/>
          <w:b w:val="false"/>
          <w:color w:val="000000"/>
          <w:sz w:val="20"/>
        </w:rPr>
        <w:t>shall be a majority or even-split in interest.</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9.    List of Stockholders Entitled to Vote</w:t>
      </w:r>
      <w:r>
        <w:rPr>
          <w:rFonts w:ascii="Times New Roman;sans-serif" w:hAnsi="Times New Roman;sans-serif"/>
          <w:b w:val="false"/>
          <w:color w:val="000000"/>
          <w:sz w:val="20"/>
        </w:rPr>
        <w:t xml:space="preserve">. The officer who has charge of the stock ledger of the Corporation shall prepare and make, at least ten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(a) on a reasonably accessible electronic network, provided that the information required to gain access to such list is provided with the notice of the meeting, or (b) during ordinary business hours, at the Corporation’s principal place of business.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color w:val="000000"/>
          <w:sz w:val="20"/>
        </w:rPr>
        <w:t>Section 10.    Stockholder Action by Written Consent Without a Meeting</w:t>
      </w:r>
      <w:r>
        <w:rPr>
          <w:rFonts w:ascii="Times New Roman;sans-serif" w:hAnsi="Times New Roman;sans-serif"/>
          <w:b w:val="false"/>
          <w:color w:val="000000"/>
          <w:sz w:val="20"/>
        </w:rPr>
        <w:t xml:space="preserve">. No action shall be taken by the stockholders except at an annual or special meeting of stockholders called in accordance with these Bylaws, and no action shall be taken by the stockholders by written consent or electronic transmission.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11.    Organization</w:t>
      </w:r>
      <w:r>
        <w:rPr>
          <w:rFonts w:ascii="Times New Roman;sans-serif" w:hAnsi="Times New Roman;sans-serif"/>
          <w:b w:val="false"/>
          <w:color w:val="000000"/>
          <w:sz w:val="20"/>
        </w:rPr>
        <w:t xml:space="preserve">. At each meeting of stockholders, the Chairman of the Board of Directors, if one shall have been elected, (or in his absence or if one shall not have been elected, the Chief Executive Officer) shall act as chairman of the meeting. The Secretary (or in his absence or inability to act, the person acting as the chairman of the meeting shall appoint a secretary of the meeting) shall act as secretary of the meeting and keep the minutes thereof. The Board of Directors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III.</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DIRECTORS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1.    Powers</w:t>
      </w:r>
      <w:r>
        <w:rPr>
          <w:rFonts w:ascii="Times New Roman;sans-serif" w:hAnsi="Times New Roman;sans-serif"/>
          <w:b w:val="false"/>
          <w:color w:val="000000"/>
          <w:sz w:val="20"/>
        </w:rPr>
        <w:t>. Except as otherwise required by law or provided by the Certificate, the business and affairs of the Corporation shall be managed by or under the direction of the Board of Directors.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3.2</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ind w:left="0" w:right="0" w:firstLine="720"/>
        <w:jc w:val="left"/>
        <w:rPr/>
      </w:pPr>
      <w:r>
        <w:rPr>
          <w:rFonts w:ascii="Times New Roman;sans-serif" w:hAnsi="Times New Roman;sans-serif"/>
          <w:b/>
          <w:color w:val="000000"/>
          <w:sz w:val="20"/>
        </w:rPr>
        <w:t>Section 2.    Number and Qualification of Directors</w:t>
      </w:r>
      <w:r>
        <w:rPr>
          <w:rFonts w:ascii="Times New Roman;sans-serif" w:hAnsi="Times New Roman;sans-serif"/>
          <w:b w:val="false"/>
          <w:color w:val="000000"/>
          <w:sz w:val="20"/>
        </w:rPr>
        <w:t>. Subject to the rights of the holders of any series of Preferred Stock to elect directors under specified circumstances, if any, the authorized number of directors shall be determined from time to time by resolution of the Board of Directors, provided the Board of Directors shall consist of at least one (1) member. No reduction of the authorized number of directors shall have the effect of removing any director before that director’s term of office expires. Directors need not be stockholders unless so required by the Certificate or these Bylaws. The Certificate or these Bylaws may prescribe other qualifications for directors.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3.    Annual Election of Directors</w:t>
      </w:r>
      <w:r>
        <w:rPr>
          <w:rFonts w:ascii="Times New Roman;sans-serif" w:hAnsi="Times New Roman;sans-serif"/>
          <w:b w:val="false"/>
          <w:color w:val="000000"/>
          <w:sz w:val="20"/>
        </w:rPr>
        <w:t>. Subject to the rights of the holders of any series of Preferred Stock that may be designated from time to time to elect additional directors under specified circumstances, commencing with the annual meeting of stockholders to be held in 2022 (each annual meeting of stockholders, an “</w:t>
      </w:r>
      <w:r>
        <w:rPr>
          <w:rFonts w:ascii="Times New Roman;sans-serif" w:hAnsi="Times New Roman;sans-serif"/>
          <w:b w:val="false"/>
          <w:color w:val="000000"/>
          <w:sz w:val="20"/>
          <w:u w:val="single"/>
        </w:rPr>
        <w:t>Annual Meeting</w:t>
      </w:r>
      <w:r>
        <w:rPr>
          <w:color w:val="000000"/>
        </w:rPr>
        <w:t>”</w:t>
      </w:r>
      <w:r>
        <w:rPr>
          <w:rFonts w:ascii="Times New Roman;sans-serif" w:hAnsi="Times New Roman;sans-serif"/>
          <w:b w:val="false"/>
          <w:color w:val="000000"/>
          <w:sz w:val="20"/>
        </w:rPr>
        <w:t>), the directors of the Corporation shall be elected annually and hold office until the next Annual Meeting and until his or her successor shall be elected and qualified, or his or her death, resignation, retirement, disqualification, or removal from office. Notwithstanding the foregoing, any director in office whose terms expire at the 2023 Annual Meeting or the 2024 Annual Meeting shall continue to hold office until the end of the term for which such director was elected and until his or her successor shall be elected and qualified, or his or her death, resignation, retirement, disqualification, or removal from office. If for any cause, the directors shall not have been elected at an annual meeting, they may be elected as soon thereafter as convenient at a special meeting of the stockholders called for that purpose in the manner provided in these Bylaws.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Notwithstanding the foregoing provisions of this </w:t>
      </w:r>
      <w:r>
        <w:rPr>
          <w:rFonts w:ascii="Times New Roman;sans-serif" w:hAnsi="Times New Roman;sans-serif"/>
          <w:b w:val="false"/>
          <w:color w:val="000000"/>
          <w:sz w:val="20"/>
          <w:u w:val="single"/>
        </w:rPr>
        <w:t>Section 3</w:t>
      </w:r>
      <w:r>
        <w:rPr>
          <w:rFonts w:ascii="Times New Roman;sans-serif" w:hAnsi="Times New Roman;sans-serif"/>
          <w:b w:val="false"/>
          <w:color w:val="000000"/>
          <w:sz w:val="20"/>
        </w:rPr>
        <w:t>, each director shall serve until his successor is duly elected and qualified or until his earlier death, resignation or removal. No decrease in the number of directors constituting the Board of Directors shall shorten the term of any incumbent director.</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4.    Resignation; Vacancies</w:t>
      </w:r>
      <w:r>
        <w:rPr>
          <w:rFonts w:ascii="Times New Roman;sans-serif" w:hAnsi="Times New Roman;sans-serif"/>
          <w:b w:val="false"/>
          <w:color w:val="000000"/>
          <w:sz w:val="20"/>
        </w:rPr>
        <w:t>.</w:t>
      </w:r>
    </w:p>
    <w:p>
      <w:pPr>
        <w:pStyle w:val="TextBody"/>
        <w:bidi w:val="0"/>
        <w:spacing w:before="0" w:after="0"/>
        <w:ind w:left="0" w:right="0" w:firstLine="720"/>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rPr>
        <w:t>Any director may resign at any time upon written notice or by electronic transmission to the Secretary of the Corporation, such resignation to specify whether it will be effective at a particular time. If no such specification is made, it shall be deemed effective at the time of delivery to the Secretary.</w:t>
      </w:r>
    </w:p>
    <w:p>
      <w:pPr>
        <w:pStyle w:val="TextBody"/>
        <w:bidi w:val="0"/>
        <w:spacing w:before="0" w:after="0"/>
        <w:ind w:left="0" w:right="0" w:firstLine="1800"/>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0"/>
        </w:rPr>
        <w:t>(2)</w:t>
      </w:r>
      <w:r>
        <w:rPr>
          <w:rFonts w:ascii="Times New Roman;sans-serif" w:hAnsi="Times New Roman;sans-serif"/>
          <w:b w:val="false"/>
          <w:color w:val="000000"/>
          <w:sz w:val="20"/>
        </w:rPr>
        <w:t xml:space="preserve">Unless otherwise provided in the Certificate, and subject to the rights of the holders of any series of 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though less than a quorum of the Board of Directors, or by a sole remaining director, and not by the stockholders, </w:t>
      </w:r>
      <w:r>
        <w:rPr>
          <w:rFonts w:ascii="Times New Roman;sans-serif" w:hAnsi="Times New Roman;sans-serif"/>
          <w:b w:val="false"/>
          <w:i/>
          <w:color w:val="000000"/>
          <w:sz w:val="20"/>
        </w:rPr>
        <w:t>provided, however</w:t>
      </w:r>
      <w:r>
        <w:rPr>
          <w:rFonts w:ascii="Times New Roman;sans-serif" w:hAnsi="Times New Roman;sans-serif"/>
          <w:b w:val="false"/>
          <w:color w:val="000000"/>
          <w:sz w:val="20"/>
        </w:rPr>
        <w:t>, that whenever the holders of any class or classes of stock or series thereof are entitled to elect one or more directors by the provisions of the Certificate, vacancies and newly created directorships of such class or classes or series shall, unless the Board of Directors determines by resolution that any such vacancies or newly created directorships shall be filled by stockholders, be filled by a majority of the directors elected by such class or classes or series thereof then in office, or by a sole remaining director so elected, and not by the stockholders.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w:t>
      </w:r>
    </w:p>
    <w:p>
      <w:pPr>
        <w:pStyle w:val="TextBody"/>
        <w:bidi w:val="0"/>
        <w:spacing w:before="0" w:after="0"/>
        <w:ind w:left="0" w:right="0" w:firstLine="18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5.    Removal</w:t>
      </w:r>
      <w:r>
        <w:rPr>
          <w:rFonts w:ascii="Times New Roman;sans-serif" w:hAnsi="Times New Roman;sans-serif"/>
          <w:b w:val="false"/>
          <w:color w:val="000000"/>
          <w:sz w:val="20"/>
        </w:rPr>
        <w:t>. Unless otherwise restricted by statute, the Certificate or these Bylaws, any director, or all of the directors, may be removed from the Board, but only for cause, and only by the affirmative vote of the holders of a majority of the voting power of all the then outstanding shares of capital stock of the Corporation then entitled to vote at the election of directors, voting together as a single class.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3.2</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ind w:left="0" w:right="0" w:firstLine="720"/>
        <w:jc w:val="left"/>
        <w:rPr/>
      </w:pPr>
      <w:r>
        <w:rPr>
          <w:rFonts w:ascii="Times New Roman;sans-serif" w:hAnsi="Times New Roman;sans-serif"/>
          <w:b/>
          <w:color w:val="000000"/>
          <w:sz w:val="20"/>
        </w:rPr>
        <w:t>Section 6.    Regular Meetings</w:t>
      </w:r>
      <w:r>
        <w:rPr>
          <w:rFonts w:ascii="Times New Roman;sans-serif" w:hAnsi="Times New Roman;sans-serif"/>
          <w:b w:val="false"/>
          <w:color w:val="000000"/>
          <w:sz w:val="20"/>
        </w:rPr>
        <w:t>. Unless otherwise restricted by the Certificate, regular meetings of the Board of Directors may be held at such places within or without the State of Delaware and at such date and time as the Board of Directors may by resolution from time to time determine and publicize among all directors by means of reasonable notice given to any director who is not present at the meeting at which such resolution is adopted. No further notice shall be required for regular meetings of the Board of Directors.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7.    Special Meetings</w:t>
      </w:r>
      <w:r>
        <w:rPr>
          <w:rFonts w:ascii="Times New Roman;sans-serif" w:hAnsi="Times New Roman;sans-serif"/>
          <w:b w:val="false"/>
          <w:color w:val="000000"/>
          <w:sz w:val="20"/>
        </w:rPr>
        <w:t>. Unless otherwise restricted by the Certificate, special meetings of the Board of Directors may be called by a majority of the authorized directors. The person(s) calling any such special meeting of the Board of Directors may fix the hour, date and place thereof. Notice of the date, time and place of all special meetings of the Board of Directors shall be delivered to each director by the Secretary or Assistant Secretary, or in the case of death, absence, incapacity or refusal of such persons, by the Chairman of the Board, if one is elected, or the Chief Executive Officer or such other officer designated by the Chairman of the Board, if one is elected, or the Chief Executive Officer, personally or by telephone, facsimile, electronic mail or other form of electronic communication, to each director or sent by first-class mail, charges prepaid, addressed to each director at the director’s address as it is shown on the records of the Corporation. In case the notice is mailed, it shall be deposited in the United States mail at least three (3) days before the time of the holding of the meeting. In case the notice is delivered personally or by telephone, facsimile, electronic mail or other form of electronic communication, it shall be so delivered at least twenty-four (24) hours before the time of the holding of the meeting. Except as otherwise required by law, by the Certificate of by these Bylaws, neither the business to be transacted at, nor the purpose of, any meeting of the Board of Directors need be specified in the notice or waiver of notice of such meeting. A written waiver of any such notice signed by the person entitled thereto, whether before or after the time stated therein, shall be deemed equivalent to notice. Attendance of a person at a meeting shall constitute a waiver of notice of such meeting, except when the person attends the meeting for the express purpose of objecting, at the beginning of the meeting, to the transaction of any business because the meeting is not lawfully called or convened.</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8.    Quorum; Vote Required for Action; Adjournment</w:t>
      </w:r>
      <w:r>
        <w:rPr>
          <w:rFonts w:ascii="Times New Roman;sans-serif" w:hAnsi="Times New Roman;sans-serif"/>
          <w:b w:val="false"/>
          <w:color w:val="000000"/>
          <w:sz w:val="20"/>
        </w:rPr>
        <w:t>. Except as otherwise required by law, or provided in the Certificate or these Bylaws, a majority of the total number of directors shall constitute a quorum for the transaction of business at all meetings of the Board of Directors and the affirmative vote of not less than a majority of the directors present at any meeting at which there is a quorum shall be the act of the Board of Directors. If a quorum shall not be present at any meeting of the Board of Directors, the directors present thereat may adjourn the meeting, from time to time, without notice other than announcement at the meeting, until a quorum shall be present.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9.    Action by Written Consent</w:t>
      </w:r>
      <w:r>
        <w:rPr>
          <w:rFonts w:ascii="Times New Roman;sans-serif" w:hAnsi="Times New Roman;sans-serif"/>
          <w:b w:val="false"/>
          <w:color w:val="000000"/>
          <w:sz w:val="20"/>
        </w:rPr>
        <w:t>. Unless otherwise restricted by the Certificate, any action required or permitted to be taken at any meeting of the Board of Directors or of any committee thereof may be taken without a meeting if all the members of the Board of Directors or committee, as the case may be, consent thereto in writing or by electronic transmission, and the writing or writings or electronic transmission or electronic transmissions are filed with the minutes of proceedings of the Board of Directors or committee. Such filing shall be in paper form if the minutes are maintained in paper form and shall be in electronic form if the minutes are maintained in electronic form.</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10.    Manner of Participation</w:t>
      </w:r>
      <w:r>
        <w:rPr>
          <w:rFonts w:ascii="Times New Roman;sans-serif" w:hAnsi="Times New Roman;sans-serif"/>
          <w:b w:val="false"/>
          <w:color w:val="000000"/>
          <w:sz w:val="20"/>
        </w:rPr>
        <w:t xml:space="preserve">. Unless otherwise restricted by the Certificate, members of the Board of Directors, or any committee thereof, may participate in a meeting of the Board of Directors or such committee, as the case may be, by conference telephone or other communications equipment by means of which all persons participating in the meeting can hear each other. Participation in a meeting pursuant to this </w:t>
      </w:r>
      <w:r>
        <w:rPr>
          <w:rFonts w:ascii="Times New Roman;sans-serif" w:hAnsi="Times New Roman;sans-serif"/>
          <w:b w:val="false"/>
          <w:color w:val="000000"/>
          <w:sz w:val="20"/>
          <w:u w:val="single"/>
        </w:rPr>
        <w:t>Section 10</w:t>
      </w:r>
      <w:r>
        <w:rPr>
          <w:color w:val="000000"/>
        </w:rPr>
        <w:t xml:space="preserve"> </w:t>
      </w:r>
      <w:r>
        <w:rPr>
          <w:rFonts w:ascii="Times New Roman;sans-serif" w:hAnsi="Times New Roman;sans-serif"/>
          <w:b w:val="false"/>
          <w:color w:val="000000"/>
          <w:sz w:val="20"/>
        </w:rPr>
        <w:t>shall constitute presence in person at such meeting.</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3.2</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ind w:left="0" w:right="0" w:firstLine="720"/>
        <w:jc w:val="left"/>
        <w:rPr/>
      </w:pPr>
      <w:r>
        <w:rPr>
          <w:rFonts w:ascii="Times New Roman;sans-serif" w:hAnsi="Times New Roman;sans-serif"/>
          <w:b/>
          <w:color w:val="000000"/>
          <w:sz w:val="20"/>
        </w:rPr>
        <w:t>Section 11.    Committees</w:t>
      </w:r>
      <w:r>
        <w:rPr>
          <w:rFonts w:ascii="Times New Roman;sans-serif" w:hAnsi="Times New Roman;sans-serif"/>
          <w:b w:val="false"/>
          <w:color w:val="000000"/>
          <w:sz w:val="20"/>
        </w:rPr>
        <w:t>. The Board of Directors, by vote of a majority of the directors then in office, may elect one or more committees, including, without limitation, an Audit Committee, a Compensation Committee and a Nominating and Corporate Governance Committee, and may delegate thereto some or all of its powers except those which by law, by the Certificate or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actions to the Board of Directors.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12.    Compensation</w:t>
      </w:r>
      <w:r>
        <w:rPr>
          <w:rFonts w:ascii="Times New Roman;sans-serif" w:hAnsi="Times New Roman;sans-serif"/>
          <w:b w:val="false"/>
          <w:color w:val="000000"/>
          <w:sz w:val="20"/>
        </w:rPr>
        <w:t>. Members of the Board of Directors, as such, may receive, pursuant to a resolution of the Board of Directors, fees and other compensation for their services as directors, including without limitation their services as members of committees of the Board of Directors.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13.    Duties of Chairman of the Board of Directors</w:t>
      </w:r>
      <w:r>
        <w:rPr>
          <w:rFonts w:ascii="Times New Roman;sans-serif" w:hAnsi="Times New Roman;sans-serif"/>
          <w:b w:val="false"/>
          <w:color w:val="000000"/>
          <w:sz w:val="20"/>
        </w:rPr>
        <w:t>. The Chairman of the Board of Directors, if appointed and when present, shall preside at all meetings of the stockholders and the Board of Directors. The Chairman of the Board of Directors shall perform other duties commonly incident to the office and shall also perform such other duties and have such other powers, as the Board of Directors shall designate from time to time.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IV.</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OFFICERS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1.    Officers</w:t>
      </w:r>
      <w:r>
        <w:rPr>
          <w:rFonts w:ascii="Times New Roman;sans-serif" w:hAnsi="Times New Roman;sans-serif"/>
          <w:b w:val="false"/>
          <w:color w:val="000000"/>
          <w:sz w:val="20"/>
        </w:rPr>
        <w:t xml:space="preserve">. The officers of the Corporation shall be, if and when designated by the Board of Directors, a Chief Executive Officer, a Secretary and a Chief Financial Officer. The Corporation may also have, at the discretion of the Board of Directors, a Chairman of the Board, a President, one or more Vice Presidents, one or more Assistant Financial Officers, one or more Assistant Secretaries and such other officers as may be appointed in accordance with the provisions of this </w:t>
      </w:r>
      <w:r>
        <w:rPr>
          <w:rFonts w:ascii="Times New Roman;sans-serif" w:hAnsi="Times New Roman;sans-serif"/>
          <w:b w:val="false"/>
          <w:color w:val="000000"/>
          <w:sz w:val="20"/>
          <w:u w:val="single"/>
        </w:rPr>
        <w:t>Article IV</w:t>
      </w:r>
      <w:r>
        <w:rPr>
          <w:rFonts w:ascii="Times New Roman;sans-serif" w:hAnsi="Times New Roman;sans-serif"/>
          <w:b w:val="false"/>
          <w:color w:val="000000"/>
          <w:sz w:val="20"/>
        </w:rPr>
        <w:t>. Any number of offices may be held by the same person.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2.    Tenure of Officers</w:t>
      </w:r>
      <w:r>
        <w:rPr>
          <w:rFonts w:ascii="Times New Roman;sans-serif" w:hAnsi="Times New Roman;sans-serif"/>
          <w:b w:val="false"/>
          <w:color w:val="000000"/>
          <w:sz w:val="20"/>
        </w:rPr>
        <w:t>. All officers shall hold office at the pleasure of the Board of Directors and until their successors shall have been duly elected and qualified, unless sooner removed. Any officer elected or appointed by the Board of Directors may be removed at any time by the Board of Directors. Any officer may resign at any time by giving notice in writing or by electronic transmission to the Board of Directors or to the Chief Executive Officer or to the Secretary, and such resignation shall be effective upon receipt, unless the resignation otherwise provides. If the office of any officer becomes vacant for any reason, the vacancy may be filled by the Board of Directors.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3.    Duties of Chief Executive Officer</w:t>
      </w:r>
      <w:r>
        <w:rPr>
          <w:rFonts w:ascii="Times New Roman;sans-serif" w:hAnsi="Times New Roman;sans-serif"/>
          <w:b w:val="false"/>
          <w:color w:val="000000"/>
          <w:sz w:val="20"/>
        </w:rPr>
        <w:t>. The Chief Executive Officer shall preside at all meetings of the stockholders and at all meetings of the Board of Directors, unless the Chairman of the Board of Directors has been appointed and is present. Unless an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To the extent that a Chief Executive Officer has been appointed and no President has been appointed, all references in these Bylaws to the President shall be deemed references to the Chief Executive Officer. The Chief Executive Officer shall perform other duties commonly incident to the office and shall also perform such other duties and have such other powers, as the Board of Directors shall designate from time to time.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3.2</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ind w:left="0" w:right="0" w:firstLine="720"/>
        <w:jc w:val="left"/>
        <w:rPr/>
      </w:pPr>
      <w:r>
        <w:rPr>
          <w:rFonts w:ascii="Times New Roman;sans-serif" w:hAnsi="Times New Roman;sans-serif"/>
          <w:b/>
          <w:color w:val="000000"/>
          <w:sz w:val="20"/>
        </w:rPr>
        <w:t xml:space="preserve">Section 4.    Duties of President. </w:t>
      </w:r>
      <w:r>
        <w:rPr>
          <w:rFonts w:ascii="Times New Roman;sans-serif" w:hAnsi="Times New Roman;sans-serif"/>
          <w:b w:val="false"/>
          <w:color w:val="000000"/>
          <w:sz w:val="20"/>
        </w:rPr>
        <w:t>The President shall preside at all meetings of the stockholders and at all meetings of the Board of Directors, unless the Chairman of the Board of Directors or the Chief Executive Officer has been appointed and is present. Unless another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shall designate from time to time.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 xml:space="preserve">Section 5.    Duties of Vice Presidents. </w:t>
      </w:r>
      <w:r>
        <w:rPr>
          <w:rFonts w:ascii="Times New Roman;sans-serif" w:hAnsi="Times New Roman;sans-serif"/>
          <w:b w:val="false"/>
          <w:color w:val="000000"/>
          <w:sz w:val="20"/>
        </w:rPr>
        <w:t>The Vice Presidents may assume and perform the duties of the President in the absence or disability of the President or whenever the office of President is vacant. The Vice Presidents shall perform other duties commonly incident to their office and shall also perform such other duties and have such other powers as the Board of Directors or the Chief Executive Officer, or, if the Chief Executive Officer has not been appointed or is absent, the President shall designate from time to time.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 xml:space="preserve">Section 6.    Duties of Secretary. </w:t>
      </w:r>
      <w:r>
        <w:rPr>
          <w:rFonts w:ascii="Times New Roman;sans-serif" w:hAnsi="Times New Roman;sans-serif"/>
          <w:b w:val="false"/>
          <w:color w:val="000000"/>
          <w:sz w:val="20"/>
        </w:rPr>
        <w:t>The Secretary shall attend all meetings of the stockholders and of the Board of Directors and shall record all acts 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The President may direct any Assistant Secretary or other officer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President shall designate from time to time.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7.    Duties of Chief Financial Officer.</w:t>
      </w:r>
      <w:r>
        <w:rPr>
          <w:color w:val="000000"/>
        </w:rPr>
        <w:t xml:space="preserve"> </w:t>
      </w:r>
      <w:r>
        <w:rPr>
          <w:rFonts w:ascii="Times New Roman;sans-serif" w:hAnsi="Times New Roman;sans-serif"/>
          <w:b w:val="false"/>
          <w:color w:val="000000"/>
          <w:sz w:val="20"/>
        </w:rPr>
        <w:t>The Chief Financial Officer shall keep or cause to be kept the books of account of the Corporation in a thorough and proper manner and shall render statements of the financial affairs of the Corporation in such form and as often as required by the Board of Directors or the President. The Chief Financial Officer, subject to the order of the Board of Directors, shall have the custody of all funds and securities of the Corporation. The Chief Financial Officer shall perform other duties commonly incident to the office and shall also perform such other duties and have such other powers as the Board of Directors or the President shall designate from time to time.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8.    Delegation of Authority</w:t>
      </w:r>
      <w:r>
        <w:rPr>
          <w:rFonts w:ascii="Times New Roman;sans-serif" w:hAnsi="Times New Roman;sans-serif"/>
          <w:b w:val="false"/>
          <w:color w:val="000000"/>
          <w:sz w:val="20"/>
        </w:rPr>
        <w:t>. The Board of Directors may from time to time delegate the powers or duties of any officer to any other officer or agent, notwithstanding any provision hereof.</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V.</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STOCK</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1.    Stock Certificates</w:t>
      </w:r>
      <w:r>
        <w:rPr>
          <w:rFonts w:ascii="Times New Roman;sans-serif" w:hAnsi="Times New Roman;sans-serif"/>
          <w:b w:val="false"/>
          <w:color w:val="000000"/>
          <w:sz w:val="20"/>
        </w:rPr>
        <w:t xml:space="preserve">. The shares of the Corporation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Corporation. Every holder of stock represented by certificates and upon request every holder of uncertificated shares shall be entitled to have a certificate signed by, or in the name of the Corporation by the Chairman of the Board, Chief Executive Officer or the President, and by Chief Financial Officer, or the Secretary or an Assistant Secretary of the Corporation representing the number of shares registered in certificate form.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ind w:left="0" w:right="0" w:firstLine="720"/>
        <w:jc w:val="left"/>
        <w:rPr/>
      </w:pPr>
      <w:r>
        <w:rPr>
          <w:rFonts w:ascii="Times New Roman;sans-serif" w:hAnsi="Times New Roman;sans-serif"/>
          <w:b/>
          <w:color w:val="000000"/>
          <w:sz w:val="20"/>
        </w:rPr>
        <w:t>Section 2.    Signatures</w:t>
      </w:r>
      <w:r>
        <w:rPr>
          <w:rFonts w:ascii="Times New Roman;sans-serif" w:hAnsi="Times New Roman;sans-serif"/>
          <w:b w:val="false"/>
          <w:color w:val="000000"/>
          <w:sz w:val="20"/>
        </w:rPr>
        <w:t>.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3.2</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3.    Lost Certificates</w:t>
      </w:r>
      <w:r>
        <w:rPr>
          <w:rFonts w:ascii="Times New Roman;sans-serif" w:hAnsi="Times New Roman;sans-serif"/>
          <w:b w:val="false"/>
          <w:color w:val="000000"/>
          <w:sz w:val="20"/>
        </w:rPr>
        <w:t>. A new certificate or certificates shall be issued in place of any certificate or certificates theretofore issued by the Corporation alleged to have been lost, stolen or destroyed, upon the making of an affidavit of that fact by the person claiming the certificate of stock to be lost, stolen or destroyed. The Corporation may, as a condition precedent to the issuance of such new certificate, require the owner of such lost, stolen, or destroyed certificate, or his legal representative, to agree to indemnify the Corporation in such manner as it shall require or to give the Corporation a bond (or other security) sufficient to indemnify it against any claim that may be made against the Corporation (including any expense or liability) on account of the alleged loss, theft or destruction of any such certificate or the issuance of such new certificate.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4.    Transfers</w:t>
      </w:r>
      <w:r>
        <w:rPr>
          <w:rFonts w:ascii="Times New Roman;sans-serif" w:hAnsi="Times New Roman;sans-serif"/>
          <w:b w:val="false"/>
          <w:color w:val="000000"/>
          <w:sz w:val="20"/>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5.    Record Holders</w:t>
      </w:r>
      <w:r>
        <w:rPr>
          <w:rFonts w:ascii="Times New Roman;sans-serif" w:hAnsi="Times New Roman;sans-serif"/>
          <w:b w:val="false"/>
          <w:color w:val="000000"/>
          <w:sz w:val="20"/>
        </w:rPr>
        <w:t>. The Corporation shall be entitled to recognize the exclusive right of a person registered on its books as the record holder of shares to receive dividends, and to vote as such record holder, and to hold liable for calls and assessments a person registered on its books as the record holder of shares, and shall not be bound to recognize any equitable or other claim to or interest in such share or shares on the part of any other person, whether or not it shall have express or other notice thereof, except as otherwise required by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6.    Record Dates</w:t>
      </w:r>
      <w:r>
        <w:rPr>
          <w:rFonts w:ascii="Times New Roman;sans-serif" w:hAnsi="Times New Roman;sans-serif"/>
          <w:b w:val="false"/>
          <w:color w:val="000000"/>
          <w:sz w:val="20"/>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60 nor less than 10 days before the date of such meeting and (b) in the case of any other action, shall not be more than 60 days prior to such other action. 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VI.</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INDEMNIFICATION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1.    Indemnification of Directors, Officers, Employees and Other Agents</w:t>
      </w:r>
      <w:r>
        <w:rPr>
          <w:rFonts w:ascii="Times New Roman;sans-serif" w:hAnsi="Times New Roman;sans-serif"/>
          <w:b w:val="false"/>
          <w:color w:val="000000"/>
          <w:sz w:val="20"/>
        </w:rPr>
        <w:t xml:space="preserve">. </w:t>
      </w:r>
    </w:p>
    <w:p>
      <w:pPr>
        <w:pStyle w:val="TextBody"/>
        <w:bidi w:val="0"/>
        <w:spacing w:before="0" w:after="0"/>
        <w:ind w:left="0" w:right="0" w:firstLine="720"/>
        <w:jc w:val="left"/>
        <w:rPr/>
      </w:pPr>
      <w:r>
        <w:rPr/>
      </w:r>
    </w:p>
    <w:p>
      <w:pPr>
        <w:pStyle w:val="TextBody"/>
        <w:bidi w:val="0"/>
        <w:spacing w:lineRule="auto" w:line="288"/>
        <w:ind w:left="0" w:right="0" w:firstLine="1440"/>
        <w:jc w:val="left"/>
        <w:rPr/>
      </w:pPr>
      <w:r>
        <w:rPr>
          <w:rFonts w:ascii="Times New Roman;sans-serif" w:hAnsi="Times New Roman;sans-serif"/>
          <w:b w:val="false"/>
          <w:color w:val="000000"/>
          <w:sz w:val="20"/>
        </w:rPr>
        <w:t>a.</w:t>
      </w:r>
      <w:r>
        <w:rPr>
          <w:color w:val="000000"/>
        </w:rPr>
        <w:t>    </w:t>
      </w:r>
      <w:r>
        <w:rPr>
          <w:rFonts w:ascii="Times New Roman;sans-serif" w:hAnsi="Times New Roman;sans-serif"/>
          <w:b/>
          <w:color w:val="000000"/>
          <w:sz w:val="20"/>
        </w:rPr>
        <w:t xml:space="preserve">Directors and Officers. </w:t>
      </w:r>
      <w:r>
        <w:rPr>
          <w:rFonts w:ascii="Times New Roman;sans-serif" w:hAnsi="Times New Roman;sans-serif"/>
          <w:b w:val="false"/>
          <w:color w:val="000000"/>
          <w:sz w:val="20"/>
        </w:rPr>
        <w:t>The Corporation shall indemnify its directors and officers</w:t>
      </w:r>
      <w:r>
        <w:rPr>
          <w:color w:val="000000"/>
        </w:rPr>
        <w:t xml:space="preserve"> </w:t>
      </w:r>
      <w:r>
        <w:rPr>
          <w:rFonts w:ascii="Times New Roman;sans-serif" w:hAnsi="Times New Roman;sans-serif"/>
          <w:b w:val="false"/>
          <w:color w:val="000000"/>
          <w:sz w:val="20"/>
        </w:rPr>
        <w:t xml:space="preserve">to the extent not prohibited by the DGCL or any other applicable law; </w:t>
      </w:r>
      <w:r>
        <w:rPr>
          <w:rFonts w:ascii="Times New Roman;sans-serif" w:hAnsi="Times New Roman;sans-serif"/>
          <w:b w:val="false"/>
          <w:i/>
          <w:color w:val="000000"/>
          <w:sz w:val="20"/>
        </w:rPr>
        <w:t>provided, however,</w:t>
      </w:r>
      <w:r>
        <w:rPr>
          <w:color w:val="000000"/>
        </w:rPr>
        <w:t xml:space="preserve"> </w:t>
      </w:r>
      <w:r>
        <w:rPr>
          <w:rFonts w:ascii="Times New Roman;sans-serif" w:hAnsi="Times New Roman;sans-serif"/>
          <w:b w:val="false"/>
          <w:color w:val="000000"/>
          <w:sz w:val="20"/>
        </w:rPr>
        <w:t xml:space="preserve">that the Corporation may modify the extent of such indemnification by individual contracts with its directors and officers; and, </w:t>
      </w:r>
      <w:r>
        <w:rPr>
          <w:rFonts w:ascii="Times New Roman;sans-serif" w:hAnsi="Times New Roman;sans-serif"/>
          <w:b w:val="false"/>
          <w:i/>
          <w:color w:val="000000"/>
          <w:sz w:val="20"/>
        </w:rPr>
        <w:t>provided, further,</w:t>
      </w:r>
      <w:r>
        <w:rPr>
          <w:color w:val="000000"/>
        </w:rPr>
        <w:t xml:space="preserve"> </w:t>
      </w:r>
      <w:r>
        <w:rPr>
          <w:rFonts w:ascii="Times New Roman;sans-serif" w:hAnsi="Times New Roman;sans-serif"/>
          <w:b w:val="false"/>
          <w:color w:val="000000"/>
          <w:sz w:val="20"/>
        </w:rPr>
        <w:t xml:space="preserve">that the Corporation shall not be required to indemnify any director or officer in connection 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DGCL or any other applicable law or (iv) such indemnification is required to be made under subsection (d) of </w:t>
      </w:r>
      <w:r>
        <w:rPr>
          <w:rFonts w:ascii="Times New Roman;sans-serif" w:hAnsi="Times New Roman;sans-serif"/>
          <w:b w:val="false"/>
          <w:color w:val="000000"/>
          <w:sz w:val="20"/>
          <w:u w:val="single"/>
        </w:rPr>
        <w:t>Section 1</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Article VI</w:t>
      </w:r>
      <w:r>
        <w:rPr>
          <w:rFonts w:ascii="Times New Roman;sans-serif" w:hAnsi="Times New Roman;sans-serif"/>
          <w:b w:val="false"/>
          <w:color w:val="000000"/>
          <w:sz w:val="20"/>
        </w:rPr>
        <w:t>.</w:t>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3.2</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0"/>
        </w:rPr>
        <w:t>b.</w:t>
      </w:r>
      <w:r>
        <w:rPr>
          <w:rFonts w:ascii="Times New Roman;sans-serif" w:hAnsi="Times New Roman;sans-serif"/>
          <w:b/>
          <w:color w:val="000000"/>
          <w:sz w:val="20"/>
        </w:rPr>
        <w:t>Employees and Other Agents.</w:t>
      </w:r>
      <w:r>
        <w:rPr>
          <w:color w:val="000000"/>
        </w:rPr>
        <w:t xml:space="preserve"> </w:t>
      </w:r>
      <w:r>
        <w:rPr>
          <w:rFonts w:ascii="Times New Roman;sans-serif" w:hAnsi="Times New Roman;sans-serif"/>
          <w:b w:val="false"/>
          <w:color w:val="000000"/>
          <w:sz w:val="20"/>
        </w:rPr>
        <w:t>The Corporation shall have power to indemnify its employees and other agents as set forth in the DGCL or any other applicable law. The Board of Directors shall have the power to delegate the determination of whether to indemnify any such employee or other agent to such officers or other persons as the Board of Directors so determines.</w:t>
      </w:r>
    </w:p>
    <w:p>
      <w:pPr>
        <w:pStyle w:val="TextBody"/>
        <w:bidi w:val="0"/>
        <w:spacing w:before="0" w:after="0"/>
        <w:ind w:left="0" w:right="0" w:firstLine="1800"/>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0"/>
        </w:rPr>
        <w:t>c.</w:t>
      </w:r>
      <w:r>
        <w:rPr>
          <w:rFonts w:ascii="Times New Roman;sans-serif" w:hAnsi="Times New Roman;sans-serif"/>
          <w:b/>
          <w:color w:val="000000"/>
          <w:sz w:val="20"/>
        </w:rPr>
        <w:t>Expenses.</w:t>
      </w:r>
      <w:r>
        <w:rPr>
          <w:color w:val="000000"/>
        </w:rPr>
        <w:t xml:space="preserve"> </w:t>
      </w:r>
      <w:r>
        <w:rPr>
          <w:rFonts w:ascii="Times New Roman;sans-serif" w:hAnsi="Times New Roman;sans-serif"/>
          <w:b w:val="false"/>
          <w:color w:val="000000"/>
          <w:sz w:val="20"/>
        </w:rPr>
        <w:t xml:space="preserve">The Corporation shall advance to any person who was or is a party or is threatened to be made a party to any threatened, pending or completed action, suit or proceeding, whether civil, criminal, administrative or investigative, by reason of the fact that he is or was a director or officer, of the Corporation, or is or was serving at the request of the Corporation as a director or officer of another corporation, partnership, joint venture, trust or other enterprise, prior to the final disposition of the proceeding, promptly following request therefor, all expenses incurred by any director or officer in connection with such proceeding provided, however, that if the DGCL requires, an advancement of expenses incurred by a director or officer in his or her capacity as a director or officer (and not in any other capacity in which service was or is rendered by such indemnitee, including, without limitation, service to an employee benefit plan) shall be made only upon delivery to the Corporation of an undertaking, by or on behalf of such indemnitee, to repay all amounts so advanced if it shall ultimately be determined by final judicial decision from which there is no further right to appeal that such indemnitee is not entitled to be indemnified for such expenses under this </w:t>
      </w:r>
      <w:r>
        <w:rPr>
          <w:rFonts w:ascii="Times New Roman;sans-serif" w:hAnsi="Times New Roman;sans-serif"/>
          <w:b w:val="false"/>
          <w:color w:val="000000"/>
          <w:sz w:val="20"/>
          <w:u w:val="single"/>
        </w:rPr>
        <w:t>Section 1</w:t>
      </w:r>
      <w:r>
        <w:rPr>
          <w:color w:val="000000"/>
        </w:rPr>
        <w:t xml:space="preserve"> </w:t>
      </w:r>
      <w:r>
        <w:rPr>
          <w:rFonts w:ascii="Times New Roman;sans-serif" w:hAnsi="Times New Roman;sans-serif"/>
          <w:b w:val="false"/>
          <w:color w:val="000000"/>
          <w:sz w:val="20"/>
        </w:rPr>
        <w:t>or otherwise.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Notwithstanding the foregoing, unless otherwise determined pursuant to subsection (e) of this </w:t>
      </w:r>
      <w:r>
        <w:rPr>
          <w:rFonts w:ascii="Times New Roman;sans-serif" w:hAnsi="Times New Roman;sans-serif"/>
          <w:b w:val="false"/>
          <w:color w:val="000000"/>
          <w:sz w:val="20"/>
          <w:u w:val="single"/>
        </w:rPr>
        <w:t>Section 1</w:t>
      </w:r>
      <w:r>
        <w:rPr>
          <w:rFonts w:ascii="Times New Roman;sans-serif" w:hAnsi="Times New Roman;sans-serif"/>
          <w:b w:val="false"/>
          <w:color w:val="000000"/>
          <w:sz w:val="20"/>
        </w:rPr>
        <w:t>, no advance shall be made by the Corporation to an officer of the Corporation (except by reason of the fact that such officer is or was a director of the Corporation in which event this paragraph shall not apply) in any action, suit or proceeding, whether civil, criminal, administrative or investigative, if a determination is reasonably and promptly made (i) by a majority vote of directors who were not parties to the proceeding, even if not a quorum, or (ii) by a committee of such directors designated by a majority vote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pStyle w:val="TextBody"/>
        <w:bidi w:val="0"/>
        <w:spacing w:before="0" w:after="0"/>
        <w:ind w:left="0" w:right="0" w:firstLine="720"/>
        <w:jc w:val="left"/>
        <w:rPr/>
      </w:pPr>
      <w:r>
        <w:rPr/>
      </w:r>
    </w:p>
    <w:p>
      <w:pPr>
        <w:pStyle w:val="TextBody"/>
        <w:bidi w:val="0"/>
        <w:spacing w:lineRule="auto" w:line="288"/>
        <w:ind w:left="0" w:right="0" w:firstLine="1440"/>
        <w:jc w:val="left"/>
        <w:rPr/>
      </w:pPr>
      <w:r>
        <w:rPr>
          <w:rFonts w:ascii="Times New Roman;sans-serif" w:hAnsi="Times New Roman;sans-serif"/>
          <w:b w:val="false"/>
          <w:color w:val="000000"/>
          <w:sz w:val="20"/>
        </w:rPr>
        <w:t>d.</w:t>
      </w:r>
      <w:r>
        <w:rPr>
          <w:rFonts w:ascii="Times New Roman;sans-serif" w:hAnsi="Times New Roman;sans-serif"/>
          <w:b/>
          <w:color w:val="000000"/>
          <w:sz w:val="20"/>
        </w:rPr>
        <w:t xml:space="preserve">Enforcement. </w:t>
      </w:r>
      <w:r>
        <w:rPr>
          <w:rFonts w:ascii="Times New Roman;sans-serif" w:hAnsi="Times New Roman;sans-serif"/>
          <w:b w:val="false"/>
          <w:color w:val="000000"/>
          <w:sz w:val="20"/>
        </w:rPr>
        <w:t xml:space="preserve">Without the necessity of entering into an express contract, all rights to indemnification and advances to directors and officers under this </w:t>
      </w:r>
      <w:r>
        <w:rPr>
          <w:rFonts w:ascii="Times New Roman;sans-serif" w:hAnsi="Times New Roman;sans-serif"/>
          <w:b w:val="false"/>
          <w:color w:val="000000"/>
          <w:sz w:val="20"/>
          <w:u w:val="single"/>
        </w:rPr>
        <w:t>Section 1</w:t>
      </w:r>
      <w:r>
        <w:rPr>
          <w:color w:val="000000"/>
        </w:rPr>
        <w:t xml:space="preserve"> </w:t>
      </w:r>
      <w:r>
        <w:rPr>
          <w:rFonts w:ascii="Times New Roman;sans-serif" w:hAnsi="Times New Roman;sans-serif"/>
          <w:b w:val="false"/>
          <w:color w:val="000000"/>
          <w:sz w:val="20"/>
        </w:rPr>
        <w:t xml:space="preserve">shall be deemed to be contractual rights and be effective to the same extent and as if provided for in a contract between the Corporation and the director or officer. Any right to indemnification or advances granted by this </w:t>
      </w:r>
      <w:r>
        <w:rPr>
          <w:rFonts w:ascii="Times New Roman;sans-serif" w:hAnsi="Times New Roman;sans-serif"/>
          <w:b w:val="false"/>
          <w:color w:val="000000"/>
          <w:sz w:val="20"/>
          <w:u w:val="single"/>
        </w:rPr>
        <w:t>Section 1</w:t>
      </w:r>
      <w:r>
        <w:rPr>
          <w:color w:val="000000"/>
        </w:rPr>
        <w:t xml:space="preserve"> </w:t>
      </w:r>
      <w:r>
        <w:rPr>
          <w:rFonts w:ascii="Times New Roman;sans-serif" w:hAnsi="Times New Roman;sans-serif"/>
          <w:b w:val="false"/>
          <w:color w:val="000000"/>
          <w:sz w:val="20"/>
        </w:rPr>
        <w:t xml:space="preserve">to a director or officer shall be enforceable by or on behalf of the person holding such right in any court of competent jurisdiction if (i) the claim for indemnification or advances is denied, in whole or in part, or (ii) no disposition of such claim is made within 90 days of request therefor. To the extent permitted by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officer of the Corporation (except in any action, suit or proceeding, whether civil, criminal, administrative or investigative, by reason of the fact that such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officer to enforce a right to indemnification or to an </w:t>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3.2</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val="false"/>
          <w:color w:val="000000"/>
          <w:sz w:val="20"/>
        </w:rPr>
        <w:t xml:space="preserve">advancement of expenses hereunder, the burden of proving that the director or officer is not entitled to be indemnified, or to such advancement of expenses, under this </w:t>
      </w:r>
      <w:r>
        <w:rPr>
          <w:rFonts w:ascii="Times New Roman;sans-serif" w:hAnsi="Times New Roman;sans-serif"/>
          <w:b w:val="false"/>
          <w:color w:val="000000"/>
          <w:sz w:val="20"/>
          <w:u w:val="single"/>
        </w:rPr>
        <w:t>Section 1</w:t>
      </w:r>
      <w:r>
        <w:rPr>
          <w:color w:val="000000"/>
        </w:rPr>
        <w:t xml:space="preserve"> </w:t>
      </w:r>
      <w:r>
        <w:rPr>
          <w:rFonts w:ascii="Times New Roman;sans-serif" w:hAnsi="Times New Roman;sans-serif"/>
          <w:b w:val="false"/>
          <w:color w:val="000000"/>
          <w:sz w:val="20"/>
        </w:rPr>
        <w:t>or otherwise shall be on the Corporation.</w:t>
      </w:r>
    </w:p>
    <w:p>
      <w:pPr>
        <w:pStyle w:val="TextBody"/>
        <w:bidi w:val="0"/>
        <w:spacing w:before="0" w:after="0"/>
        <w:ind w:left="0" w:right="0" w:firstLine="1800"/>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0"/>
        </w:rPr>
        <w:t>e.</w:t>
      </w:r>
      <w:r>
        <w:rPr>
          <w:rFonts w:ascii="Times New Roman;sans-serif" w:hAnsi="Times New Roman;sans-serif"/>
          <w:b/>
          <w:color w:val="000000"/>
          <w:sz w:val="20"/>
        </w:rPr>
        <w:t xml:space="preserve">Non-Exclusivity of Rights. </w:t>
      </w:r>
      <w:r>
        <w:rPr>
          <w:rFonts w:ascii="Times New Roman;sans-serif" w:hAnsi="Times New Roman;sans-serif"/>
          <w:b w:val="false"/>
          <w:color w:val="000000"/>
          <w:sz w:val="20"/>
        </w:rPr>
        <w:t>The rights conferred on any person by this Bylaw shall not be exclusive of any other right which such person may have or hereafter acquire under any applicable statute, provision of the Certificate, Bylaws, agreement, vote of stockholders or disinterested directors or otherwise, both as to action in such person’s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w:t>
      </w:r>
    </w:p>
    <w:p>
      <w:pPr>
        <w:pStyle w:val="TextBody"/>
        <w:bidi w:val="0"/>
        <w:spacing w:before="0" w:after="0"/>
        <w:ind w:left="0" w:right="0" w:firstLine="1800"/>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0"/>
        </w:rPr>
        <w:t>f.</w:t>
      </w:r>
      <w:r>
        <w:rPr>
          <w:rFonts w:ascii="Times New Roman;sans-serif" w:hAnsi="Times New Roman;sans-serif"/>
          <w:b/>
          <w:color w:val="000000"/>
          <w:sz w:val="20"/>
        </w:rPr>
        <w:t xml:space="preserve">Survival of Rights. </w:t>
      </w:r>
      <w:r>
        <w:rPr>
          <w:rFonts w:ascii="Times New Roman;sans-serif" w:hAnsi="Times New Roman;sans-serif"/>
          <w:b w:val="false"/>
          <w:color w:val="000000"/>
          <w:sz w:val="20"/>
        </w:rPr>
        <w:t>The rights conferred on any person by this Bylaw shall continue as to a person who has ceased to be a director or officer, or, if applicable, employee or other agent, and shall inure to the benefit of the heirs, executors and administrators of such a person.</w:t>
      </w:r>
    </w:p>
    <w:p>
      <w:pPr>
        <w:pStyle w:val="TextBody"/>
        <w:bidi w:val="0"/>
        <w:spacing w:before="0" w:after="0"/>
        <w:ind w:left="0" w:right="0" w:firstLine="1800"/>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0"/>
        </w:rPr>
        <w:t>g.</w:t>
      </w:r>
      <w:r>
        <w:rPr>
          <w:rFonts w:ascii="Times New Roman;sans-serif" w:hAnsi="Times New Roman;sans-serif"/>
          <w:b/>
          <w:color w:val="000000"/>
          <w:sz w:val="20"/>
        </w:rPr>
        <w:t xml:space="preserve">Insurance. </w:t>
      </w:r>
      <w:r>
        <w:rPr>
          <w:rFonts w:ascii="Times New Roman;sans-serif" w:hAnsi="Times New Roman;sans-serif"/>
          <w:b w:val="false"/>
          <w:color w:val="000000"/>
          <w:sz w:val="20"/>
        </w:rPr>
        <w:t xml:space="preserve">To the fullest extent permitted by the DGCL or any other applicable law, the Corporation, upon approval by the Board of Directors, may purchase insurance on behalf of any person required or permitted to be indemnified pursuant to this </w:t>
      </w:r>
      <w:r>
        <w:rPr>
          <w:rFonts w:ascii="Times New Roman;sans-serif" w:hAnsi="Times New Roman;sans-serif"/>
          <w:b w:val="false"/>
          <w:color w:val="000000"/>
          <w:sz w:val="20"/>
          <w:u w:val="single"/>
        </w:rPr>
        <w:t>Section 1</w:t>
      </w:r>
      <w:r>
        <w:rPr>
          <w:rFonts w:ascii="Times New Roman;sans-serif" w:hAnsi="Times New Roman;sans-serif"/>
          <w:b w:val="false"/>
          <w:color w:val="000000"/>
          <w:sz w:val="20"/>
        </w:rPr>
        <w:t>.</w:t>
      </w:r>
    </w:p>
    <w:p>
      <w:pPr>
        <w:pStyle w:val="TextBody"/>
        <w:bidi w:val="0"/>
        <w:spacing w:before="0" w:after="0"/>
        <w:ind w:left="0" w:right="0" w:firstLine="1800"/>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0"/>
        </w:rPr>
        <w:t>h.</w:t>
      </w:r>
      <w:r>
        <w:rPr>
          <w:rFonts w:ascii="Times New Roman;sans-serif" w:hAnsi="Times New Roman;sans-serif"/>
          <w:b/>
          <w:color w:val="000000"/>
          <w:sz w:val="20"/>
        </w:rPr>
        <w:t xml:space="preserve">Amendments. </w:t>
      </w:r>
      <w:r>
        <w:rPr>
          <w:rFonts w:ascii="Times New Roman;sans-serif" w:hAnsi="Times New Roman;sans-serif"/>
          <w:b w:val="false"/>
          <w:color w:val="000000"/>
          <w:sz w:val="20"/>
        </w:rPr>
        <w:t xml:space="preserve">Any repeal or modification of this </w:t>
      </w:r>
      <w:r>
        <w:rPr>
          <w:rFonts w:ascii="Times New Roman;sans-serif" w:hAnsi="Times New Roman;sans-serif"/>
          <w:b w:val="false"/>
          <w:color w:val="000000"/>
          <w:sz w:val="20"/>
          <w:u w:val="single"/>
        </w:rPr>
        <w:t>Section 1</w:t>
      </w:r>
      <w:r>
        <w:rPr>
          <w:color w:val="000000"/>
        </w:rPr>
        <w:t xml:space="preserve"> </w:t>
      </w:r>
      <w:r>
        <w:rPr>
          <w:rFonts w:ascii="Times New Roman;sans-serif" w:hAnsi="Times New Roman;sans-serif"/>
          <w:b w:val="false"/>
          <w:color w:val="000000"/>
          <w:sz w:val="20"/>
        </w:rPr>
        <w:t>shall only be prospective and shall not affect the rights under this Bylaw in effect at the time of the alleged occurrence of any action or omission to act that is the cause of any proceeding against any agent of the Corporation.</w:t>
      </w:r>
    </w:p>
    <w:p>
      <w:pPr>
        <w:pStyle w:val="TextBody"/>
        <w:bidi w:val="0"/>
        <w:spacing w:before="0" w:after="0"/>
        <w:ind w:left="0" w:right="0" w:firstLine="1800"/>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0"/>
        </w:rPr>
        <w:t>i.</w:t>
      </w:r>
      <w:r>
        <w:rPr>
          <w:rFonts w:ascii="Times New Roman;sans-serif" w:hAnsi="Times New Roman;sans-serif"/>
          <w:b/>
          <w:color w:val="000000"/>
          <w:sz w:val="20"/>
        </w:rPr>
        <w:t xml:space="preserve">Saving Clause. </w:t>
      </w:r>
      <w:r>
        <w:rPr>
          <w:rFonts w:ascii="Times New Roman;sans-serif" w:hAnsi="Times New Roman;sans-serif"/>
          <w:b w:val="false"/>
          <w:color w:val="000000"/>
          <w:sz w:val="20"/>
        </w:rPr>
        <w:t xml:space="preserve">If this Bylaw or any portion hereof shall be invalidated on any ground by any court of competent jurisdiction, then the Corporation shall nevertheless indemnify each director and officer to the full extent not prohibited by any applicable portion of this </w:t>
      </w:r>
      <w:r>
        <w:rPr>
          <w:rFonts w:ascii="Times New Roman;sans-serif" w:hAnsi="Times New Roman;sans-serif"/>
          <w:b w:val="false"/>
          <w:color w:val="000000"/>
          <w:sz w:val="20"/>
          <w:u w:val="single"/>
        </w:rPr>
        <w:t>Section 1</w:t>
      </w:r>
      <w:r>
        <w:rPr>
          <w:color w:val="000000"/>
        </w:rPr>
        <w:t xml:space="preserve"> </w:t>
      </w:r>
      <w:r>
        <w:rPr>
          <w:rFonts w:ascii="Times New Roman;sans-serif" w:hAnsi="Times New Roman;sans-serif"/>
          <w:b w:val="false"/>
          <w:color w:val="000000"/>
          <w:sz w:val="20"/>
        </w:rPr>
        <w:t xml:space="preserve">that shall not have been invalidated, or by any other applicable law. If this </w:t>
      </w:r>
      <w:r>
        <w:rPr>
          <w:rFonts w:ascii="Times New Roman;sans-serif" w:hAnsi="Times New Roman;sans-serif"/>
          <w:b w:val="false"/>
          <w:color w:val="000000"/>
          <w:sz w:val="20"/>
          <w:u w:val="single"/>
        </w:rPr>
        <w:t>Section 1</w:t>
      </w:r>
      <w:r>
        <w:rPr>
          <w:color w:val="000000"/>
        </w:rPr>
        <w:t xml:space="preserve"> </w:t>
      </w:r>
      <w:r>
        <w:rPr>
          <w:rFonts w:ascii="Times New Roman;sans-serif" w:hAnsi="Times New Roman;sans-serif"/>
          <w:b w:val="false"/>
          <w:color w:val="000000"/>
          <w:sz w:val="20"/>
        </w:rPr>
        <w:t>shall be invalid due to the application of the indemnification provisions of another jurisdiction, then the Corporation shall indemnify each director and officer to the full extent under any other applicable law.</w:t>
      </w:r>
    </w:p>
    <w:p>
      <w:pPr>
        <w:pStyle w:val="TextBody"/>
        <w:bidi w:val="0"/>
        <w:spacing w:before="0" w:after="0"/>
        <w:ind w:left="0" w:right="0" w:firstLine="1800"/>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0"/>
        </w:rPr>
        <w:t>j.</w:t>
      </w:r>
      <w:r>
        <w:rPr>
          <w:rFonts w:ascii="Times New Roman;sans-serif" w:hAnsi="Times New Roman;sans-serif"/>
          <w:b/>
          <w:color w:val="000000"/>
          <w:sz w:val="20"/>
        </w:rPr>
        <w:t xml:space="preserve">Certain Definitions. </w:t>
      </w:r>
      <w:r>
        <w:rPr>
          <w:rFonts w:ascii="Times New Roman;sans-serif" w:hAnsi="Times New Roman;sans-serif"/>
          <w:b w:val="false"/>
          <w:color w:val="000000"/>
          <w:sz w:val="20"/>
        </w:rPr>
        <w:t>For the purposes of this Bylaw, the following definitions shall apply:</w:t>
      </w:r>
    </w:p>
    <w:p>
      <w:pPr>
        <w:pStyle w:val="TextBody"/>
        <w:bidi w:val="0"/>
        <w:spacing w:before="0" w:after="0"/>
        <w:jc w:val="left"/>
        <w:rPr/>
      </w:pPr>
      <w:r>
        <w:rPr/>
      </w:r>
    </w:p>
    <w:p>
      <w:pPr>
        <w:pStyle w:val="TextBody"/>
        <w:bidi w:val="0"/>
        <w:spacing w:lineRule="auto" w:line="288" w:before="0" w:after="0"/>
        <w:ind w:left="0" w:right="0" w:firstLine="2160"/>
        <w:jc w:val="left"/>
        <w:rPr/>
      </w:pPr>
      <w:r>
        <w:rPr>
          <w:rFonts w:ascii="Times New Roman;sans-serif" w:hAnsi="Times New Roman;sans-serif"/>
          <w:b w:val="false"/>
          <w:color w:val="000000"/>
          <w:sz w:val="20"/>
        </w:rPr>
        <w:t>i.</w:t>
      </w:r>
      <w:r>
        <w:rPr>
          <w:rFonts w:ascii="Times New Roman;sans-serif" w:hAnsi="Times New Roman;sans-serif"/>
          <w:b w:val="false"/>
          <w:color w:val="000000"/>
          <w:sz w:val="20"/>
        </w:rPr>
        <w:t>The term “</w:t>
      </w:r>
      <w:r>
        <w:rPr>
          <w:rFonts w:ascii="Times New Roman;sans-serif" w:hAnsi="Times New Roman;sans-serif"/>
          <w:b w:val="false"/>
          <w:color w:val="000000"/>
          <w:sz w:val="20"/>
          <w:u w:val="single"/>
        </w:rPr>
        <w:t>proceeding</w:t>
      </w:r>
      <w:r>
        <w:rPr>
          <w:color w:val="000000"/>
        </w:rPr>
        <w:t xml:space="preserve">” </w:t>
      </w:r>
      <w:r>
        <w:rPr>
          <w:rFonts w:ascii="Times New Roman;sans-serif" w:hAnsi="Times New Roman;sans-serif"/>
          <w:b w:val="false"/>
          <w:color w:val="000000"/>
          <w:sz w:val="20"/>
        </w:rPr>
        <w:t>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pStyle w:val="TextBody"/>
        <w:bidi w:val="0"/>
        <w:spacing w:before="0" w:after="0"/>
        <w:ind w:left="0" w:right="0" w:firstLine="2520"/>
        <w:jc w:val="left"/>
        <w:rPr/>
      </w:pPr>
      <w:r>
        <w:rPr/>
      </w:r>
    </w:p>
    <w:p>
      <w:pPr>
        <w:pStyle w:val="TextBody"/>
        <w:bidi w:val="0"/>
        <w:spacing w:lineRule="auto" w:line="288" w:before="0" w:after="0"/>
        <w:ind w:left="0" w:right="0" w:firstLine="2160"/>
        <w:jc w:val="left"/>
        <w:rPr/>
      </w:pPr>
      <w:r>
        <w:rPr>
          <w:rFonts w:ascii="Times New Roman;sans-serif" w:hAnsi="Times New Roman;sans-serif"/>
          <w:b w:val="false"/>
          <w:color w:val="000000"/>
          <w:sz w:val="20"/>
        </w:rPr>
        <w:t>ii.</w:t>
      </w:r>
      <w:r>
        <w:rPr>
          <w:rFonts w:ascii="Times New Roman;sans-serif" w:hAnsi="Times New Roman;sans-serif"/>
          <w:b w:val="false"/>
          <w:color w:val="000000"/>
          <w:sz w:val="20"/>
        </w:rPr>
        <w:t>The term “</w:t>
      </w:r>
      <w:r>
        <w:rPr>
          <w:rFonts w:ascii="Times New Roman;sans-serif" w:hAnsi="Times New Roman;sans-serif"/>
          <w:b w:val="false"/>
          <w:color w:val="000000"/>
          <w:sz w:val="20"/>
          <w:u w:val="single"/>
        </w:rPr>
        <w:t>expenses</w:t>
      </w:r>
      <w:r>
        <w:rPr>
          <w:color w:val="000000"/>
        </w:rPr>
        <w:t xml:space="preserve">” </w:t>
      </w:r>
      <w:r>
        <w:rPr>
          <w:rFonts w:ascii="Times New Roman;sans-serif" w:hAnsi="Times New Roman;sans-serif"/>
          <w:b w:val="false"/>
          <w:color w:val="000000"/>
          <w:sz w:val="20"/>
        </w:rPr>
        <w:t>shall be broadly construed and shall include, without limitation, court costs, attorneys’ fees, witness fees, fines, amounts paid in settlement or judgment and any other costs and expenses of any nature or kind incurred in connection with any proceeding.</w:t>
      </w:r>
    </w:p>
    <w:p>
      <w:pPr>
        <w:pStyle w:val="TextBody"/>
        <w:bidi w:val="0"/>
        <w:spacing w:before="0" w:after="0"/>
        <w:ind w:left="0" w:right="0" w:firstLine="2520"/>
        <w:jc w:val="left"/>
        <w:rPr/>
      </w:pPr>
      <w:r>
        <w:rPr/>
      </w:r>
    </w:p>
    <w:p>
      <w:pPr>
        <w:pStyle w:val="TextBody"/>
        <w:bidi w:val="0"/>
        <w:spacing w:lineRule="auto" w:line="288" w:before="0" w:after="0"/>
        <w:ind w:left="0" w:right="0" w:firstLine="2160"/>
        <w:jc w:val="left"/>
        <w:rPr/>
      </w:pPr>
      <w:r>
        <w:rPr>
          <w:rFonts w:ascii="Times New Roman;sans-serif" w:hAnsi="Times New Roman;sans-serif"/>
          <w:b w:val="false"/>
          <w:color w:val="000000"/>
          <w:sz w:val="20"/>
        </w:rPr>
        <w:t>iii.</w:t>
      </w:r>
      <w:r>
        <w:rPr>
          <w:rFonts w:ascii="Times New Roman;sans-serif" w:hAnsi="Times New Roman;sans-serif"/>
          <w:b w:val="false"/>
          <w:color w:val="000000"/>
          <w:sz w:val="20"/>
        </w:rPr>
        <w:t>The term the “</w:t>
      </w:r>
      <w:r>
        <w:rPr>
          <w:rFonts w:ascii="Times New Roman;sans-serif" w:hAnsi="Times New Roman;sans-serif"/>
          <w:b w:val="false"/>
          <w:color w:val="000000"/>
          <w:sz w:val="20"/>
          <w:u w:val="single"/>
        </w:rPr>
        <w:t>corporation</w:t>
      </w:r>
      <w:r>
        <w:rPr>
          <w:color w:val="000000"/>
        </w:rPr>
        <w:t xml:space="preserve">” </w:t>
      </w:r>
      <w:r>
        <w:rPr>
          <w:rFonts w:ascii="Times New Roman;sans-serif" w:hAnsi="Times New Roman;sans-serif"/>
          <w:b w:val="false"/>
          <w:color w:val="000000"/>
          <w:sz w:val="20"/>
        </w:rPr>
        <w:t xml:space="preserve">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w:t>
      </w:r>
      <w:r>
        <w:rPr>
          <w:rFonts w:ascii="Times New Roman;sans-serif" w:hAnsi="Times New Roman;sans-serif"/>
          <w:b w:val="false"/>
          <w:color w:val="000000"/>
          <w:sz w:val="20"/>
          <w:u w:val="single"/>
        </w:rPr>
        <w:t>Section 1</w:t>
      </w:r>
      <w:r>
        <w:rPr>
          <w:color w:val="000000"/>
        </w:rPr>
        <w:t xml:space="preserve"> </w:t>
      </w:r>
      <w:r>
        <w:rPr>
          <w:rFonts w:ascii="Times New Roman;sans-serif" w:hAnsi="Times New Roman;sans-serif"/>
          <w:b w:val="false"/>
          <w:color w:val="000000"/>
          <w:sz w:val="20"/>
        </w:rPr>
        <w:t>with respect to the resulting or surviving corporation as he would have with respect to such constituent corporation if its separate existence had continued.</w:t>
      </w:r>
    </w:p>
    <w:p>
      <w:pPr>
        <w:pStyle w:val="TextBody"/>
        <w:bidi w:val="0"/>
        <w:ind w:left="0" w:right="0" w:firstLine="2520"/>
        <w:jc w:val="left"/>
        <w:rPr/>
      </w:pPr>
      <w:r>
        <w:rPr/>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3.2</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ind w:left="0" w:right="0" w:firstLine="2160"/>
        <w:jc w:val="left"/>
        <w:rPr/>
      </w:pPr>
      <w:r>
        <w:rPr>
          <w:rFonts w:ascii="Times New Roman;sans-serif" w:hAnsi="Times New Roman;sans-serif"/>
          <w:b w:val="false"/>
          <w:color w:val="000000"/>
          <w:sz w:val="20"/>
        </w:rPr>
        <w:t>iv.</w:t>
      </w:r>
      <w:r>
        <w:rPr>
          <w:rFonts w:ascii="Times New Roman;sans-serif" w:hAnsi="Times New Roman;sans-serif"/>
          <w:b w:val="false"/>
          <w:color w:val="000000"/>
          <w:sz w:val="20"/>
        </w:rPr>
        <w:t>References to a “</w:t>
      </w:r>
      <w:r>
        <w:rPr>
          <w:rFonts w:ascii="Times New Roman;sans-serif" w:hAnsi="Times New Roman;sans-serif"/>
          <w:b w:val="false"/>
          <w:color w:val="000000"/>
          <w:sz w:val="20"/>
          <w:u w:val="single"/>
        </w:rPr>
        <w:t>director</w:t>
      </w:r>
      <w:r>
        <w:rPr>
          <w:rFonts w:ascii="Times New Roman;sans-serif" w:hAnsi="Times New Roman;sans-serif"/>
          <w:b w:val="false"/>
          <w:color w:val="000000"/>
          <w:sz w:val="20"/>
        </w:rPr>
        <w:t>,” “</w:t>
      </w:r>
      <w:r>
        <w:rPr>
          <w:rFonts w:ascii="Times New Roman;sans-serif" w:hAnsi="Times New Roman;sans-serif"/>
          <w:b w:val="false"/>
          <w:color w:val="000000"/>
          <w:sz w:val="20"/>
          <w:u w:val="single"/>
        </w:rPr>
        <w:t>officer</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u w:val="single"/>
        </w:rPr>
        <w:t>employee</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or</w:t>
      </w:r>
      <w:r>
        <w:rPr>
          <w:color w:val="000000"/>
        </w:rPr>
        <w:t xml:space="preserve"> “</w:t>
      </w:r>
      <w:r>
        <w:rPr>
          <w:rFonts w:ascii="Times New Roman;sans-serif" w:hAnsi="Times New Roman;sans-serif"/>
          <w:b w:val="false"/>
          <w:color w:val="000000"/>
          <w:sz w:val="20"/>
          <w:u w:val="single"/>
        </w:rPr>
        <w:t>agent</w:t>
      </w:r>
      <w:r>
        <w:rPr>
          <w:color w:val="000000"/>
        </w:rPr>
        <w:t xml:space="preserve">” </w:t>
      </w:r>
      <w:r>
        <w:rPr>
          <w:rFonts w:ascii="Times New Roman;sans-serif" w:hAnsi="Times New Roman;sans-serif"/>
          <w:b w:val="false"/>
          <w:color w:val="000000"/>
          <w:sz w:val="20"/>
        </w:rPr>
        <w:t>of the corporation shall include, without limitation, situations where such person is serving at the request of the corporation as, respectively, a director, officer, employee, trustee or agent of another corporation, partnership, joint venture, trust or other enterprise.</w:t>
      </w:r>
    </w:p>
    <w:p>
      <w:pPr>
        <w:pStyle w:val="TextBody"/>
        <w:bidi w:val="0"/>
        <w:spacing w:before="0" w:after="0"/>
        <w:ind w:left="0" w:right="0" w:firstLine="2520"/>
        <w:jc w:val="left"/>
        <w:rPr/>
      </w:pPr>
      <w:r>
        <w:rPr/>
      </w:r>
    </w:p>
    <w:p>
      <w:pPr>
        <w:pStyle w:val="TextBody"/>
        <w:bidi w:val="0"/>
        <w:spacing w:lineRule="auto" w:line="288" w:before="0" w:after="0"/>
        <w:ind w:left="0" w:right="0" w:firstLine="2160"/>
        <w:jc w:val="left"/>
        <w:rPr/>
      </w:pPr>
      <w:r>
        <w:rPr>
          <w:rFonts w:ascii="Times New Roman;sans-serif" w:hAnsi="Times New Roman;sans-serif"/>
          <w:b w:val="false"/>
          <w:color w:val="000000"/>
          <w:sz w:val="20"/>
        </w:rPr>
        <w:t>v.</w:t>
      </w:r>
      <w:r>
        <w:rPr>
          <w:rFonts w:ascii="Times New Roman;sans-serif" w:hAnsi="Times New Roman;sans-serif"/>
          <w:b w:val="false"/>
          <w:color w:val="000000"/>
          <w:sz w:val="20"/>
        </w:rPr>
        <w:t>References to “</w:t>
      </w:r>
      <w:r>
        <w:rPr>
          <w:rFonts w:ascii="Times New Roman;sans-serif" w:hAnsi="Times New Roman;sans-serif"/>
          <w:b w:val="false"/>
          <w:color w:val="000000"/>
          <w:sz w:val="20"/>
          <w:u w:val="single"/>
        </w:rPr>
        <w:t>other enterprise</w:t>
      </w:r>
      <w:r>
        <w:rPr>
          <w:color w:val="000000"/>
        </w:rPr>
        <w:t xml:space="preserve">” </w:t>
      </w:r>
      <w:r>
        <w:rPr>
          <w:rFonts w:ascii="Times New Roman;sans-serif" w:hAnsi="Times New Roman;sans-serif"/>
          <w:b w:val="false"/>
          <w:color w:val="000000"/>
          <w:sz w:val="20"/>
        </w:rPr>
        <w:t>shall include employee benefit plans; references to “</w:t>
      </w:r>
      <w:r>
        <w:rPr>
          <w:rFonts w:ascii="Times New Roman;sans-serif" w:hAnsi="Times New Roman;sans-serif"/>
          <w:b w:val="false"/>
          <w:color w:val="000000"/>
          <w:sz w:val="20"/>
          <w:u w:val="single"/>
        </w:rPr>
        <w:t>fines</w:t>
      </w:r>
      <w:r>
        <w:rPr>
          <w:color w:val="000000"/>
        </w:rPr>
        <w:t xml:space="preserve">” </w:t>
      </w:r>
      <w:r>
        <w:rPr>
          <w:rFonts w:ascii="Times New Roman;sans-serif" w:hAnsi="Times New Roman;sans-serif"/>
          <w:b w:val="false"/>
          <w:color w:val="000000"/>
          <w:sz w:val="20"/>
        </w:rPr>
        <w:t>shall include any excise taxes assessed on a person with respect to an employee benefit plan; and references to “</w:t>
      </w:r>
      <w:r>
        <w:rPr>
          <w:rFonts w:ascii="Times New Roman;sans-serif" w:hAnsi="Times New Roman;sans-serif"/>
          <w:b w:val="false"/>
          <w:color w:val="000000"/>
          <w:sz w:val="20"/>
          <w:u w:val="single"/>
        </w:rPr>
        <w:t>serving at the request of the corporation</w:t>
      </w:r>
      <w:r>
        <w:rPr>
          <w:color w:val="000000"/>
        </w:rPr>
        <w:t xml:space="preserve">” </w:t>
      </w:r>
      <w:r>
        <w:rPr>
          <w:rFonts w:ascii="Times New Roman;sans-serif" w:hAnsi="Times New Roman;sans-serif"/>
          <w:b w:val="false"/>
          <w:color w:val="000000"/>
          <w:sz w:val="20"/>
        </w:rPr>
        <w:t>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Times New Roman;sans-serif" w:hAnsi="Times New Roman;sans-serif"/>
          <w:b w:val="false"/>
          <w:color w:val="000000"/>
          <w:sz w:val="20"/>
          <w:u w:val="single"/>
        </w:rPr>
        <w:t>not opposed to the best interests of the corporation</w:t>
      </w:r>
      <w:r>
        <w:rPr>
          <w:color w:val="000000"/>
        </w:rPr>
        <w:t xml:space="preserve">” </w:t>
      </w:r>
      <w:r>
        <w:rPr>
          <w:rFonts w:ascii="Times New Roman;sans-serif" w:hAnsi="Times New Roman;sans-serif"/>
          <w:b w:val="false"/>
          <w:color w:val="000000"/>
          <w:sz w:val="20"/>
        </w:rPr>
        <w:t xml:space="preserve">as referred to in this </w:t>
      </w:r>
      <w:r>
        <w:rPr>
          <w:rFonts w:ascii="Times New Roman;sans-serif" w:hAnsi="Times New Roman;sans-serif"/>
          <w:b w:val="false"/>
          <w:color w:val="000000"/>
          <w:sz w:val="20"/>
          <w:u w:val="single"/>
        </w:rPr>
        <w:t>Section 1</w:t>
      </w:r>
      <w:r>
        <w:rPr>
          <w:rFonts w:ascii="Times New Roman;sans-serif" w:hAnsi="Times New Roman;sans-serif"/>
          <w:b w:val="false"/>
          <w:color w:val="000000"/>
          <w:sz w:val="20"/>
        </w:rPr>
        <w:t>.</w:t>
      </w:r>
    </w:p>
    <w:p>
      <w:pPr>
        <w:pStyle w:val="TextBody"/>
        <w:bidi w:val="0"/>
        <w:spacing w:before="0" w:after="0"/>
        <w:ind w:left="0" w:right="0" w:firstLine="25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VII.</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NOTICES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1.    Notices</w:t>
      </w:r>
      <w:r>
        <w:rPr>
          <w:rFonts w:ascii="Times New Roman;sans-serif" w:hAnsi="Times New Roman;sans-serif"/>
          <w:b w:val="false"/>
          <w:color w:val="000000"/>
          <w:sz w:val="20"/>
        </w:rPr>
        <w:t>.</w:t>
      </w:r>
    </w:p>
    <w:p>
      <w:pPr>
        <w:pStyle w:val="TextBody"/>
        <w:bidi w:val="0"/>
        <w:spacing w:before="0" w:after="0"/>
        <w:ind w:left="0" w:right="0" w:firstLine="720"/>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0"/>
        </w:rPr>
        <w:t>a.</w:t>
      </w:r>
      <w:r>
        <w:rPr>
          <w:rFonts w:ascii="Times New Roman;sans-serif" w:hAnsi="Times New Roman;sans-serif"/>
          <w:b/>
          <w:color w:val="000000"/>
          <w:sz w:val="20"/>
        </w:rPr>
        <w:t xml:space="preserve">Notice to Stockholders. </w:t>
      </w:r>
      <w:r>
        <w:rPr>
          <w:rFonts w:ascii="Times New Roman;sans-serif" w:hAnsi="Times New Roman;sans-serif"/>
          <w:b w:val="false"/>
          <w:color w:val="000000"/>
          <w:sz w:val="20"/>
        </w:rPr>
        <w:t xml:space="preserve">Written notice to stockholders of stockholder meetings shall be given as provided in </w:t>
      </w:r>
      <w:r>
        <w:rPr>
          <w:rFonts w:ascii="Times New Roman;sans-serif" w:hAnsi="Times New Roman;sans-serif"/>
          <w:b w:val="false"/>
          <w:color w:val="000000"/>
          <w:sz w:val="20"/>
          <w:u w:val="single"/>
        </w:rPr>
        <w:t>Section 4</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val="false"/>
          <w:color w:val="000000"/>
          <w:sz w:val="20"/>
          <w:u w:val="single"/>
        </w:rPr>
        <w:t>Article II</w:t>
      </w:r>
      <w:r>
        <w:rPr>
          <w:color w:val="000000"/>
        </w:rPr>
        <w:t xml:space="preserve"> </w:t>
      </w:r>
      <w:r>
        <w:rPr>
          <w:rFonts w:ascii="Times New Roman;sans-serif" w:hAnsi="Times New Roman;sans-serif"/>
          <w:b w:val="false"/>
          <w:color w:val="000000"/>
          <w:sz w:val="20"/>
        </w:rPr>
        <w:t>of these Bylaws. Without limiting the manner by which notice may otherwise be given effectively to stockholders under any agreement or contract with such stockholder, and except as otherwise required by law, written notice to stockholders for purposes other than stockholder meetings may be sent by U.S. mail or nationally recognized overnight courier, or by facsimile, telegraph or telex or by electronic mail or other electronic means.</w:t>
      </w:r>
    </w:p>
    <w:p>
      <w:pPr>
        <w:pStyle w:val="TextBody"/>
        <w:bidi w:val="0"/>
        <w:spacing w:before="0" w:after="0"/>
        <w:ind w:left="0" w:right="0" w:firstLine="1800"/>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0"/>
        </w:rPr>
        <w:t>b.</w:t>
      </w:r>
      <w:r>
        <w:rPr>
          <w:rFonts w:ascii="Times New Roman;sans-serif" w:hAnsi="Times New Roman;sans-serif"/>
          <w:b/>
          <w:color w:val="000000"/>
          <w:sz w:val="20"/>
        </w:rPr>
        <w:t xml:space="preserve">Notice to Directors. </w:t>
      </w:r>
      <w:r>
        <w:rPr>
          <w:rFonts w:ascii="Times New Roman;sans-serif" w:hAnsi="Times New Roman;sans-serif"/>
          <w:b w:val="false"/>
          <w:color w:val="000000"/>
          <w:sz w:val="20"/>
        </w:rPr>
        <w:t>Any notice required to be given to any director may be given by the method stated in subsection (a), as otherwise provided in these Bylaws, or by overnight delivery service, facsimile, telex or telegram, except that such notice other than one which is delivered personally shall be sent to such address as such director shall have filed in writing with the Secretary, or, in the absence of such filing, to the last known post office address of such director.</w:t>
      </w:r>
    </w:p>
    <w:p>
      <w:pPr>
        <w:pStyle w:val="TextBody"/>
        <w:bidi w:val="0"/>
        <w:spacing w:before="0" w:after="0"/>
        <w:ind w:left="0" w:right="0" w:firstLine="1800"/>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0"/>
        </w:rPr>
        <w:t>c.</w:t>
      </w:r>
      <w:r>
        <w:rPr>
          <w:rFonts w:ascii="Times New Roman;sans-serif" w:hAnsi="Times New Roman;sans-serif"/>
          <w:b/>
          <w:color w:val="000000"/>
          <w:sz w:val="20"/>
        </w:rPr>
        <w:t xml:space="preserve">Affidavit of Mailing. </w:t>
      </w:r>
      <w:r>
        <w:rPr>
          <w:rFonts w:ascii="Times New Roman;sans-serif" w:hAnsi="Times New Roman;sans-serif"/>
          <w:b w:val="false"/>
          <w:color w:val="000000"/>
          <w:sz w:val="20"/>
        </w:rPr>
        <w:t>An affidavit of mailing, executed by a duly authorized and competent employee of the corporation or its transfer 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pStyle w:val="TextBody"/>
        <w:bidi w:val="0"/>
        <w:spacing w:before="0" w:after="0"/>
        <w:ind w:left="0" w:right="0" w:firstLine="1800"/>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0"/>
        </w:rPr>
        <w:t>d.</w:t>
      </w:r>
      <w:r>
        <w:rPr>
          <w:rFonts w:ascii="Times New Roman;sans-serif" w:hAnsi="Times New Roman;sans-serif"/>
          <w:b/>
          <w:color w:val="000000"/>
          <w:sz w:val="20"/>
        </w:rPr>
        <w:t xml:space="preserve">Methods of Notice. </w:t>
      </w:r>
      <w:r>
        <w:rPr>
          <w:rFonts w:ascii="Times New Roman;sans-serif" w:hAnsi="Times New Roman;sans-serif"/>
          <w:b w:val="false"/>
          <w:color w:val="000000"/>
          <w:sz w:val="20"/>
        </w:rPr>
        <w:t>It shall not be necessary that the same method of giving notice be employed in respect of all recipients of notice, but one permissible method may be employed in respect of any one or more, and any other permissible method or methods may be employed in respect of any other or others.</w:t>
      </w:r>
    </w:p>
    <w:p>
      <w:pPr>
        <w:pStyle w:val="TextBody"/>
        <w:bidi w:val="0"/>
        <w:spacing w:before="0" w:after="0"/>
        <w:ind w:left="0" w:right="0" w:firstLine="1800"/>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0"/>
        </w:rPr>
        <w:t>e.</w:t>
      </w:r>
      <w:r>
        <w:rPr>
          <w:rFonts w:ascii="Times New Roman;sans-serif" w:hAnsi="Times New Roman;sans-serif"/>
          <w:b/>
          <w:color w:val="000000"/>
          <w:sz w:val="20"/>
        </w:rPr>
        <w:t xml:space="preserve">Notice to Person With Whom Communication is Unlawful. </w:t>
      </w:r>
      <w:r>
        <w:rPr>
          <w:rFonts w:ascii="Times New Roman;sans-serif" w:hAnsi="Times New Roman;sans-serif"/>
          <w:b w:val="false"/>
          <w:color w:val="000000"/>
          <w:sz w:val="20"/>
        </w:rPr>
        <w:t>Whenever notice is required to be given, under any provision of law or of the Certificate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pStyle w:val="TextBody"/>
        <w:bidi w:val="0"/>
        <w:ind w:left="0" w:right="0" w:firstLine="1800"/>
        <w:jc w:val="left"/>
        <w:rPr/>
      </w:pPr>
      <w:r>
        <w:rPr/>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3.2</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ind w:left="0" w:right="0" w:firstLine="1440"/>
        <w:jc w:val="left"/>
        <w:rPr/>
      </w:pPr>
      <w:r>
        <w:rPr>
          <w:rFonts w:ascii="Times New Roman;sans-serif" w:hAnsi="Times New Roman;sans-serif"/>
          <w:b w:val="false"/>
          <w:color w:val="000000"/>
          <w:sz w:val="20"/>
        </w:rPr>
        <w:t>f.</w:t>
      </w:r>
      <w:r>
        <w:rPr>
          <w:rFonts w:ascii="Times New Roman;sans-serif" w:hAnsi="Times New Roman;sans-serif"/>
          <w:b/>
          <w:color w:val="000000"/>
          <w:sz w:val="20"/>
        </w:rPr>
        <w:t xml:space="preserve">Notice to Stockholders Sharing an Address. </w:t>
      </w:r>
      <w:r>
        <w:rPr>
          <w:rFonts w:ascii="Times New Roman;sans-serif" w:hAnsi="Times New Roman;sans-serif"/>
          <w:b w:val="false"/>
          <w:color w:val="000000"/>
          <w:sz w:val="20"/>
        </w:rPr>
        <w:t>Except as otherwise prohibited under the DGCL, any notice given under the provisions of the DGCL, the Certificate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w:t>
      </w:r>
    </w:p>
    <w:p>
      <w:pPr>
        <w:pStyle w:val="TextBody"/>
        <w:bidi w:val="0"/>
        <w:spacing w:before="0" w:after="0"/>
        <w:ind w:left="0" w:right="0" w:firstLine="18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VIII.</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PROVISIONS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1.    Dividends</w:t>
      </w:r>
      <w:r>
        <w:rPr>
          <w:rFonts w:ascii="Times New Roman;sans-serif" w:hAnsi="Times New Roman;sans-serif"/>
          <w:b w:val="false"/>
          <w:color w:val="000000"/>
          <w:sz w:val="20"/>
        </w:rPr>
        <w:t>. Subject to limitations contained in the DGCL and the Certificate, the Board of Directors may declare and pay dividends upon the shares of capital stock of the Corporation, which dividends may be paid either in cash, securities of the Corporation or other property.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2.    Disbursements</w:t>
      </w:r>
      <w:r>
        <w:rPr>
          <w:rFonts w:ascii="Times New Roman;sans-serif" w:hAnsi="Times New Roman;sans-serif"/>
          <w:b w:val="false"/>
          <w:color w:val="000000"/>
          <w:sz w:val="20"/>
        </w:rPr>
        <w:t>. All checks or demands for money and notes of the Corporation shall be signed by such officer or officers or such other person or persons as the Board of Directors may from time to time designate.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3.    Fiscal Year</w:t>
      </w:r>
      <w:r>
        <w:rPr>
          <w:rFonts w:ascii="Times New Roman;sans-serif" w:hAnsi="Times New Roman;sans-serif"/>
          <w:b w:val="false"/>
          <w:color w:val="000000"/>
          <w:sz w:val="20"/>
        </w:rPr>
        <w:t>. The fiscal year of the Corporation shall be fixed by resolution of the Board of Directors.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4.    Corporate Seal</w:t>
      </w:r>
      <w:r>
        <w:rPr>
          <w:rFonts w:ascii="Times New Roman;sans-serif" w:hAnsi="Times New Roman;sans-serif"/>
          <w:b w:val="false"/>
          <w:color w:val="000000"/>
          <w:sz w:val="20"/>
        </w:rPr>
        <w:t>. The Board of Directors shall have the power to adopt and alter the seal of the Corporation.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5.    Voting of Stock Owned by the Corporation</w:t>
      </w:r>
      <w:r>
        <w:rPr>
          <w:rFonts w:ascii="Times New Roman;sans-serif" w:hAnsi="Times New Roman;sans-serif"/>
          <w:b w:val="false"/>
          <w:color w:val="000000"/>
          <w:sz w:val="20"/>
        </w:rPr>
        <w:t>. The Chairman of the Board, the Chief Executive Officer and any other officer of the Corporation authorized by the Board of Directors shall have power, on behalf of the Corporation, to attend, vote and grant proxies to be used at any meeting of stockholders of any Corporation (except this Corporation) in which the Corporation may hold stock.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6.    Construction and Definitions</w:t>
      </w:r>
      <w:r>
        <w:rPr>
          <w:rFonts w:ascii="Times New Roman;sans-serif" w:hAnsi="Times New Roman;sans-serif"/>
          <w:b w:val="false"/>
          <w:color w:val="000000"/>
          <w:sz w:val="20"/>
        </w:rPr>
        <w:t>. Unless the context requires otherwise, the general provisions, rules of construction and definitions in the DGCL shall govern the construction of these Bylaws.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7.    Provisions of Certificate Govern</w:t>
      </w:r>
      <w:r>
        <w:rPr>
          <w:rFonts w:ascii="Times New Roman;sans-serif" w:hAnsi="Times New Roman;sans-serif"/>
          <w:b w:val="false"/>
          <w:color w:val="000000"/>
          <w:sz w:val="20"/>
        </w:rPr>
        <w:t>. In the event of any inconsistency between the terms of these Bylaws and the Certificate, the terms of the Certificate will govern.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ind w:left="0" w:right="0" w:firstLine="720"/>
        <w:jc w:val="left"/>
        <w:rPr/>
      </w:pPr>
      <w:r>
        <w:rPr>
          <w:rFonts w:ascii="Times New Roman;sans-serif" w:hAnsi="Times New Roman;sans-serif"/>
          <w:b/>
          <w:color w:val="000000"/>
          <w:sz w:val="20"/>
        </w:rPr>
        <w:t>Section 8.    Amendments</w:t>
      </w:r>
      <w:r>
        <w:rPr>
          <w:rFonts w:ascii="Times New Roman;sans-serif" w:hAnsi="Times New Roman;sans-serif"/>
          <w:b w:val="false"/>
          <w:color w:val="000000"/>
          <w:sz w:val="20"/>
        </w:rPr>
        <w:t xml:space="preserve">. Subject to the limitations set forth in </w:t>
      </w:r>
      <w:r>
        <w:rPr>
          <w:rFonts w:ascii="Times New Roman;sans-serif" w:hAnsi="Times New Roman;sans-serif"/>
          <w:b w:val="false"/>
          <w:color w:val="000000"/>
          <w:sz w:val="20"/>
          <w:u w:val="single"/>
        </w:rPr>
        <w:t>Section 1(h)</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val="false"/>
          <w:color w:val="000000"/>
          <w:sz w:val="20"/>
          <w:u w:val="single"/>
        </w:rPr>
        <w:t>Article VI</w:t>
      </w:r>
      <w:r>
        <w:rPr>
          <w:color w:val="000000"/>
        </w:rPr>
        <w:t xml:space="preserve"> </w:t>
      </w:r>
      <w:r>
        <w:rPr>
          <w:rFonts w:ascii="Times New Roman;sans-serif" w:hAnsi="Times New Roman;sans-serif"/>
          <w:b w:val="false"/>
          <w:color w:val="000000"/>
          <w:sz w:val="20"/>
        </w:rPr>
        <w:t xml:space="preserve">of these Bylaws or the provisions of the Certificate, the Board of Directors is expressly empowered to adopt, amend or repeal the Bylaws of the Corporation. Any adoption, amendment or repeal of the Bylaws of the Corporation by the Board of Directors shall require the approval of a majority of the authorized number of directors. The stockholders also shall have power to adopt, amend or repeal the Bylaws of the Corporation; </w:t>
      </w:r>
      <w:r>
        <w:rPr>
          <w:rFonts w:ascii="Times New Roman;sans-serif" w:hAnsi="Times New Roman;sans-serif"/>
          <w:b w:val="false"/>
          <w:i/>
          <w:color w:val="000000"/>
          <w:sz w:val="20"/>
        </w:rPr>
        <w:t>provided</w:t>
      </w:r>
      <w:r>
        <w:rPr>
          <w:rFonts w:ascii="Times New Roman;sans-serif" w:hAnsi="Times New Roman;sans-serif"/>
          <w:b w:val="false"/>
          <w:color w:val="000000"/>
          <w:sz w:val="20"/>
        </w:rPr>
        <w:t>, ho</w:t>
      </w:r>
      <w:r>
        <w:rPr>
          <w:rFonts w:ascii="Times New Roman;sans-serif" w:hAnsi="Times New Roman;sans-serif"/>
          <w:b w:val="false"/>
          <w:i/>
          <w:color w:val="000000"/>
          <w:sz w:val="20"/>
        </w:rPr>
        <w:t xml:space="preserve">wever, </w:t>
      </w:r>
      <w:r>
        <w:rPr>
          <w:rFonts w:ascii="Times New Roman;sans-serif" w:hAnsi="Times New Roman;sans-serif"/>
          <w:b w:val="false"/>
          <w:color w:val="000000"/>
          <w:sz w:val="20"/>
        </w:rPr>
        <w:t>that, in addition to any vote of the holders of any class or series of stock of the Corporation required by law or by the Certificate, such action by stockholders shall require the affirmative vote of the holders of at least sixty-six and two-thirds percent (66 2/3%) of the voting power of all of the then outstanding shares of the capital stock of the Corporation entitled to vote generally in the election of directors, voting together as a single class.</w:t>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3.2</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IX.</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FORUM SELECTION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ans-serif" w:hAnsi="Times New Roman;sans-serif"/>
          <w:b/>
          <w:color w:val="000000"/>
          <w:sz w:val="20"/>
        </w:rPr>
        <w:t>Section 1.    Exclusive Forum</w:t>
      </w:r>
      <w:r>
        <w:rPr>
          <w:rFonts w:ascii="Times New Roman;sans-serif" w:hAnsi="Times New Roman;sans-serif"/>
          <w:b w:val="false"/>
          <w:color w:val="000000"/>
          <w:sz w:val="20"/>
        </w:rPr>
        <w:t>. Unless the Corporation consents in writing to the selection of an alternative forum, the federal district courts of the United States of America shall, to the fullest extent permitted by law, be the exclusive forum for the resolution of any complaint asserting a cause of action under the Securities Act of 1933, as amended. Any person or entity purchasing or otherwise acquiring any interest in any security of the Corporation shall be deemed to have notice of and consented to this provision.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3.2</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AMENDED AND RESTATED BYLAWS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TANDEM DIABETES, CARE,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 Delaware corporation</w:t>
      </w:r>
    </w:p>
    <w:p>
      <w:pPr>
        <w:pStyle w:val="TextBody"/>
        <w:bidi w:val="0"/>
        <w:spacing w:before="0" w:after="0"/>
        <w:jc w:val="left"/>
        <w:rPr/>
      </w:pPr>
      <w:r>
        <w:rPr/>
      </w:r>
    </w:p>
    <w:p>
      <w:pPr>
        <w:pStyle w:val="TextBody"/>
        <w:bidi w:val="0"/>
        <w:spacing w:lineRule="auto" w:line="288"/>
        <w:jc w:val="center"/>
        <w:rPr>
          <w:rFonts w:ascii="Times New Roman;sans-serif" w:hAnsi="Times New Roman;sans-serif"/>
          <w:b/>
          <w:color w:val="000000"/>
          <w:sz w:val="24"/>
        </w:rPr>
      </w:pPr>
      <w:r>
        <w:rPr>
          <w:rFonts w:ascii="Times New Roman;sans-serif" w:hAnsi="Times New Roman;sans-serif"/>
          <w:b/>
          <w:color w:val="000000"/>
          <w:sz w:val="24"/>
        </w:rPr>
        <w:t>As Updated Through August 1, 2023</w:t>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3.2</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Table of Contents</w:t>
      </w:r>
    </w:p>
    <w:p>
      <w:pPr>
        <w:pStyle w:val="TextBody"/>
        <w:bidi w:val="0"/>
        <w:spacing w:before="0" w:after="0"/>
        <w:jc w:val="center"/>
        <w:rPr/>
      </w:pPr>
      <w:r>
        <w:rPr/>
      </w:r>
    </w:p>
    <w:p>
      <w:pPr>
        <w:pStyle w:val="TextBody"/>
        <w:bidi w:val="0"/>
        <w:spacing w:lineRule="auto" w:line="276"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Page</w:t>
      </w:r>
    </w:p>
    <w:p>
      <w:pPr>
        <w:pStyle w:val="TextBody"/>
        <w:bidi w:val="0"/>
        <w:spacing w:before="0" w:after="0"/>
        <w:jc w:val="left"/>
        <w:rPr/>
      </w:pPr>
      <w:r>
        <w:rPr/>
      </w:r>
    </w:p>
    <w:tbl>
      <w:tblPr>
        <w:tblW w:w="6417" w:type="dxa"/>
        <w:jc w:val="left"/>
        <w:tblInd w:w="0" w:type="dxa"/>
        <w:tblLayout w:type="fixed"/>
        <w:tblCellMar>
          <w:top w:w="28" w:type="dxa"/>
          <w:left w:w="28" w:type="dxa"/>
          <w:bottom w:w="28" w:type="dxa"/>
          <w:right w:w="28" w:type="dxa"/>
        </w:tblCellMar>
      </w:tblPr>
      <w:tblGrid>
        <w:gridCol w:w="2186"/>
        <w:gridCol w:w="1923"/>
        <w:gridCol w:w="1936"/>
        <w:gridCol w:w="109"/>
        <w:gridCol w:w="109"/>
        <w:gridCol w:w="154"/>
      </w:tblGrid>
      <w:tr>
        <w:trPr/>
        <w:tc>
          <w:tcPr>
            <w:tcW w:w="2186"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ARTICLE I OFFICES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155">
              <w:r>
                <w:rPr>
                  <w:rStyle w:val="InternetLink"/>
                  <w:rFonts w:ascii="Times New Roman;sans-serif" w:hAnsi="Times New Roman;sans-serif"/>
                  <w:b w:val="false"/>
                  <w:color w:val="000000"/>
                  <w:sz w:val="20"/>
                  <w:u w:val="single"/>
                </w:rPr>
                <w:t>1</w:t>
              </w:r>
            </w:hyperlink>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1. Registered Office</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150">
              <w:r>
                <w:rPr>
                  <w:rStyle w:val="InternetLink"/>
                  <w:rFonts w:ascii="Times New Roman;sans-serif" w:hAnsi="Times New Roman;sans-serif"/>
                  <w:b w:val="false"/>
                  <w:color w:val="000000"/>
                  <w:sz w:val="20"/>
                  <w:u w:val="single"/>
                </w:rPr>
                <w:t>1</w:t>
              </w:r>
            </w:hyperlink>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2. Other Offices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145">
              <w:r>
                <w:rPr>
                  <w:rStyle w:val="InternetLink"/>
                  <w:rFonts w:ascii="Times New Roman;sans-serif" w:hAnsi="Times New Roman;sans-serif"/>
                  <w:b w:val="false"/>
                  <w:color w:val="000000"/>
                  <w:sz w:val="20"/>
                  <w:u w:val="single"/>
                </w:rPr>
                <w:t>1</w:t>
              </w:r>
            </w:hyperlink>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3. Books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140">
              <w:r>
                <w:rPr>
                  <w:rStyle w:val="InternetLink"/>
                  <w:rFonts w:ascii="Times New Roman;sans-serif" w:hAnsi="Times New Roman;sans-serif"/>
                  <w:b w:val="false"/>
                  <w:color w:val="000000"/>
                  <w:sz w:val="20"/>
                  <w:u w:val="single"/>
                </w:rPr>
                <w:t>1</w:t>
              </w:r>
            </w:hyperlink>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ARTICLE II MEETINGS OF STOCKHOLDERS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135">
              <w:r>
                <w:rPr>
                  <w:rStyle w:val="InternetLink"/>
                  <w:rFonts w:ascii="Times New Roman;sans-serif" w:hAnsi="Times New Roman;sans-serif"/>
                  <w:b w:val="false"/>
                  <w:color w:val="000000"/>
                  <w:sz w:val="20"/>
                  <w:u w:val="single"/>
                </w:rPr>
                <w:t>1</w:t>
              </w:r>
            </w:hyperlink>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1. Place of Meetings.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130">
              <w:r>
                <w:rPr>
                  <w:rStyle w:val="InternetLink"/>
                  <w:rFonts w:ascii="Times New Roman;sans-serif" w:hAnsi="Times New Roman;sans-serif"/>
                  <w:b w:val="false"/>
                  <w:color w:val="000000"/>
                  <w:sz w:val="20"/>
                  <w:u w:val="single"/>
                </w:rPr>
                <w:t>1</w:t>
              </w:r>
            </w:hyperlink>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2. Annual Meetings.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125">
              <w:r>
                <w:rPr>
                  <w:rStyle w:val="InternetLink"/>
                  <w:rFonts w:ascii="Times New Roman;sans-serif" w:hAnsi="Times New Roman;sans-serif"/>
                  <w:b w:val="false"/>
                  <w:color w:val="000000"/>
                  <w:sz w:val="20"/>
                  <w:u w:val="single"/>
                </w:rPr>
                <w:t>1</w:t>
              </w:r>
            </w:hyperlink>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3. Special Meetings.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120">
              <w:r>
                <w:rPr>
                  <w:rStyle w:val="InternetLink"/>
                  <w:rFonts w:ascii="Times New Roman;sans-serif" w:hAnsi="Times New Roman;sans-serif"/>
                  <w:b w:val="false"/>
                  <w:color w:val="000000"/>
                  <w:sz w:val="20"/>
                  <w:u w:val="single"/>
                </w:rPr>
                <w:t>5</w:t>
              </w:r>
            </w:hyperlink>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4. Notice of Meetings.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115">
              <w:r>
                <w:rPr>
                  <w:rStyle w:val="InternetLink"/>
                  <w:rFonts w:ascii="Times New Roman;sans-serif" w:hAnsi="Times New Roman;sans-serif"/>
                  <w:b w:val="false"/>
                  <w:color w:val="000000"/>
                  <w:sz w:val="20"/>
                  <w:u w:val="single"/>
                </w:rPr>
                <w:t>6</w:t>
              </w:r>
            </w:hyperlink>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5. Quorum.</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110">
              <w:r>
                <w:rPr>
                  <w:rStyle w:val="InternetLink"/>
                  <w:rFonts w:ascii="Times New Roman;sans-serif" w:hAnsi="Times New Roman;sans-serif"/>
                  <w:b w:val="false"/>
                  <w:color w:val="000000"/>
                  <w:sz w:val="20"/>
                  <w:u w:val="single"/>
                </w:rPr>
                <w:t>6</w:t>
              </w:r>
            </w:hyperlink>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6. Adjournment.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105">
              <w:r>
                <w:rPr>
                  <w:rStyle w:val="InternetLink"/>
                  <w:rFonts w:ascii="Times New Roman;sans-serif" w:hAnsi="Times New Roman;sans-serif"/>
                  <w:b w:val="false"/>
                  <w:color w:val="000000"/>
                  <w:sz w:val="20"/>
                  <w:u w:val="single"/>
                </w:rPr>
                <w:t>7</w:t>
              </w:r>
            </w:hyperlink>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7. Voting.</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100">
              <w:r>
                <w:rPr>
                  <w:rStyle w:val="InternetLink"/>
                  <w:rFonts w:ascii="Times New Roman;sans-serif" w:hAnsi="Times New Roman;sans-serif"/>
                  <w:b w:val="false"/>
                  <w:color w:val="000000"/>
                  <w:sz w:val="20"/>
                  <w:u w:val="single"/>
                </w:rPr>
                <w:t>7</w:t>
              </w:r>
            </w:hyperlink>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8. Joint Owners of Stock.</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95">
              <w:r>
                <w:rPr>
                  <w:rStyle w:val="InternetLink"/>
                  <w:rFonts w:ascii="Times New Roman;sans-serif" w:hAnsi="Times New Roman;sans-serif"/>
                  <w:b w:val="false"/>
                  <w:color w:val="000000"/>
                  <w:sz w:val="20"/>
                  <w:u w:val="single"/>
                </w:rPr>
                <w:t>8</w:t>
              </w:r>
            </w:hyperlink>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9. List of Stockholders Entitled to Vote.</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90">
              <w:r>
                <w:rPr>
                  <w:rStyle w:val="InternetLink"/>
                  <w:rFonts w:ascii="Times New Roman;sans-serif" w:hAnsi="Times New Roman;sans-serif"/>
                  <w:b w:val="false"/>
                  <w:color w:val="000000"/>
                  <w:sz w:val="20"/>
                  <w:u w:val="single"/>
                </w:rPr>
                <w:t>8</w:t>
              </w:r>
            </w:hyperlink>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10. Stockholder Action by Written Consent Without a Meeting.</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85">
              <w:r>
                <w:rPr>
                  <w:rStyle w:val="InternetLink"/>
                  <w:rFonts w:ascii="Times New Roman;sans-serif" w:hAnsi="Times New Roman;sans-serif"/>
                  <w:b w:val="false"/>
                  <w:color w:val="000000"/>
                  <w:sz w:val="20"/>
                  <w:u w:val="single"/>
                </w:rPr>
                <w:t>8</w:t>
              </w:r>
            </w:hyperlink>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11. Organization.</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80">
              <w:r>
                <w:rPr>
                  <w:rStyle w:val="InternetLink"/>
                  <w:rFonts w:ascii="Times New Roman;sans-serif" w:hAnsi="Times New Roman;sans-serif"/>
                  <w:b w:val="false"/>
                  <w:color w:val="000000"/>
                  <w:sz w:val="20"/>
                  <w:u w:val="single"/>
                </w:rPr>
                <w:t>8</w:t>
              </w:r>
            </w:hyperlink>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ARTICLE III DIRECTORS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75">
              <w:r>
                <w:rPr>
                  <w:rStyle w:val="InternetLink"/>
                  <w:rFonts w:ascii="Times New Roman;sans-serif" w:hAnsi="Times New Roman;sans-serif"/>
                  <w:b w:val="false"/>
                  <w:color w:val="000000"/>
                  <w:sz w:val="20"/>
                  <w:u w:val="single"/>
                </w:rPr>
                <w:t>8</w:t>
              </w:r>
            </w:hyperlink>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1. Powers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70">
              <w:r>
                <w:rPr>
                  <w:rStyle w:val="InternetLink"/>
                  <w:rFonts w:ascii="Times New Roman;sans-serif" w:hAnsi="Times New Roman;sans-serif"/>
                  <w:b w:val="false"/>
                  <w:color w:val="000000"/>
                  <w:sz w:val="20"/>
                  <w:u w:val="single"/>
                </w:rPr>
                <w:t>8</w:t>
              </w:r>
            </w:hyperlink>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2. Number and Qualification of Directors.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65">
              <w:r>
                <w:rPr>
                  <w:rStyle w:val="InternetLink"/>
                  <w:rFonts w:ascii="Times New Roman;sans-serif" w:hAnsi="Times New Roman;sans-serif"/>
                  <w:b w:val="false"/>
                  <w:color w:val="000000"/>
                  <w:sz w:val="20"/>
                  <w:u w:val="single"/>
                </w:rPr>
                <w:t>9</w:t>
              </w:r>
            </w:hyperlink>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3. Classes of Directors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60">
              <w:r>
                <w:rPr>
                  <w:rStyle w:val="InternetLink"/>
                  <w:rFonts w:ascii="Times New Roman;sans-serif" w:hAnsi="Times New Roman;sans-serif"/>
                  <w:b w:val="false"/>
                  <w:color w:val="000000"/>
                  <w:sz w:val="20"/>
                  <w:u w:val="single"/>
                </w:rPr>
                <w:t>9</w:t>
              </w:r>
            </w:hyperlink>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4. Resignation; Vacancies.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55">
              <w:r>
                <w:rPr>
                  <w:rStyle w:val="InternetLink"/>
                  <w:rFonts w:ascii="Times New Roman;sans-serif" w:hAnsi="Times New Roman;sans-serif"/>
                  <w:b w:val="false"/>
                  <w:color w:val="000000"/>
                  <w:sz w:val="20"/>
                  <w:u w:val="single"/>
                </w:rPr>
                <w:t>9</w:t>
              </w:r>
            </w:hyperlink>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5. Removal.</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50">
              <w:r>
                <w:rPr>
                  <w:rStyle w:val="InternetLink"/>
                  <w:rFonts w:ascii="Times New Roman;sans-serif" w:hAnsi="Times New Roman;sans-serif"/>
                  <w:b w:val="false"/>
                  <w:color w:val="000000"/>
                  <w:sz w:val="20"/>
                  <w:u w:val="single"/>
                </w:rPr>
                <w:t>9</w:t>
              </w:r>
            </w:hyperlink>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6. Regular Meetings.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45">
              <w:r>
                <w:rPr>
                  <w:rStyle w:val="InternetLink"/>
                  <w:rFonts w:ascii="Times New Roman;sans-serif" w:hAnsi="Times New Roman;sans-serif"/>
                  <w:b w:val="false"/>
                  <w:color w:val="000000"/>
                  <w:sz w:val="20"/>
                  <w:u w:val="single"/>
                </w:rPr>
                <w:t>10</w:t>
              </w:r>
            </w:hyperlink>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7. Special Meetings.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40">
              <w:r>
                <w:rPr>
                  <w:rStyle w:val="InternetLink"/>
                  <w:rFonts w:ascii="Times New Roman;sans-serif" w:hAnsi="Times New Roman;sans-serif"/>
                  <w:b w:val="false"/>
                  <w:color w:val="000000"/>
                  <w:sz w:val="20"/>
                  <w:u w:val="single"/>
                </w:rPr>
                <w:t>10</w:t>
              </w:r>
            </w:hyperlink>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8. Quorum; Vote Required for Action; Adjournment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228">
              <w:r>
                <w:rPr>
                  <w:rStyle w:val="InternetLink"/>
                  <w:rFonts w:ascii="Times New Roman;sans-serif" w:hAnsi="Times New Roman;sans-serif"/>
                  <w:b w:val="false"/>
                  <w:color w:val="000000"/>
                  <w:sz w:val="20"/>
                  <w:u w:val="single"/>
                </w:rPr>
                <w:t>10</w:t>
              </w:r>
            </w:hyperlink>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9. Action by Written Consent.</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223">
              <w:r>
                <w:rPr>
                  <w:rStyle w:val="InternetLink"/>
                  <w:rFonts w:ascii="Times New Roman;sans-serif" w:hAnsi="Times New Roman;sans-serif"/>
                  <w:b w:val="false"/>
                  <w:color w:val="000000"/>
                  <w:sz w:val="20"/>
                  <w:u w:val="single"/>
                </w:rPr>
                <w:t>10</w:t>
              </w:r>
            </w:hyperlink>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10. Manner of Participation.</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218">
              <w:r>
                <w:rPr>
                  <w:rStyle w:val="InternetLink"/>
                  <w:rFonts w:ascii="Times New Roman;sans-serif" w:hAnsi="Times New Roman;sans-serif"/>
                  <w:b w:val="false"/>
                  <w:color w:val="000000"/>
                  <w:sz w:val="20"/>
                  <w:u w:val="single"/>
                </w:rPr>
                <w:t>10</w:t>
              </w:r>
            </w:hyperlink>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11. Committees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213">
              <w:r>
                <w:rPr>
                  <w:rStyle w:val="InternetLink"/>
                  <w:rFonts w:ascii="Times New Roman;sans-serif" w:hAnsi="Times New Roman;sans-serif"/>
                  <w:b w:val="false"/>
                  <w:color w:val="000000"/>
                  <w:sz w:val="20"/>
                  <w:u w:val="single"/>
                </w:rPr>
                <w:t>11</w:t>
              </w:r>
            </w:hyperlink>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12. Compensation.</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208">
              <w:r>
                <w:rPr>
                  <w:rStyle w:val="InternetLink"/>
                  <w:rFonts w:ascii="Times New Roman;sans-serif" w:hAnsi="Times New Roman;sans-serif"/>
                  <w:b w:val="false"/>
                  <w:color w:val="000000"/>
                  <w:sz w:val="20"/>
                  <w:u w:val="single"/>
                </w:rPr>
                <w:t>11</w:t>
              </w:r>
            </w:hyperlink>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13. Duties of Chairman of the Board of Directors.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203">
              <w:r>
                <w:rPr>
                  <w:rStyle w:val="InternetLink"/>
                  <w:rFonts w:ascii="Times New Roman;sans-serif" w:hAnsi="Times New Roman;sans-serif"/>
                  <w:b w:val="false"/>
                  <w:color w:val="000000"/>
                  <w:sz w:val="20"/>
                  <w:u w:val="single"/>
                </w:rPr>
                <w:t>11</w:t>
              </w:r>
            </w:hyperlink>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ARTICLE IV OFFICERS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198">
              <w:r>
                <w:rPr>
                  <w:rStyle w:val="InternetLink"/>
                  <w:rFonts w:ascii="Times New Roman;sans-serif" w:hAnsi="Times New Roman;sans-serif"/>
                  <w:b w:val="false"/>
                  <w:color w:val="000000"/>
                  <w:sz w:val="20"/>
                  <w:u w:val="single"/>
                </w:rPr>
                <w:t>11</w:t>
              </w:r>
            </w:hyperlink>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1. Officers.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193">
              <w:r>
                <w:rPr>
                  <w:rStyle w:val="InternetLink"/>
                  <w:rFonts w:ascii="Times New Roman;sans-serif" w:hAnsi="Times New Roman;sans-serif"/>
                  <w:b w:val="false"/>
                  <w:color w:val="000000"/>
                  <w:sz w:val="20"/>
                  <w:u w:val="single"/>
                </w:rPr>
                <w:t>11</w:t>
              </w:r>
            </w:hyperlink>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2. Tenure of Officers.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188">
              <w:r>
                <w:rPr>
                  <w:rStyle w:val="InternetLink"/>
                  <w:rFonts w:ascii="Times New Roman;sans-serif" w:hAnsi="Times New Roman;sans-serif"/>
                  <w:b w:val="false"/>
                  <w:color w:val="000000"/>
                  <w:sz w:val="20"/>
                  <w:u w:val="single"/>
                </w:rPr>
                <w:t>11</w:t>
              </w:r>
            </w:hyperlink>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3. Duties of Chief Executive Officer</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183">
              <w:r>
                <w:rPr>
                  <w:rStyle w:val="InternetLink"/>
                  <w:rFonts w:ascii="Times New Roman;sans-serif" w:hAnsi="Times New Roman;sans-serif"/>
                  <w:b w:val="false"/>
                  <w:color w:val="000000"/>
                  <w:sz w:val="20"/>
                  <w:u w:val="single"/>
                </w:rPr>
                <w:t>11</w:t>
              </w:r>
            </w:hyperlink>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4. Duties of President.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178">
              <w:r>
                <w:rPr>
                  <w:rStyle w:val="InternetLink"/>
                  <w:rFonts w:ascii="Times New Roman;sans-serif" w:hAnsi="Times New Roman;sans-serif"/>
                  <w:b w:val="false"/>
                  <w:color w:val="000000"/>
                  <w:sz w:val="20"/>
                  <w:u w:val="single"/>
                </w:rPr>
                <w:t>12</w:t>
              </w:r>
            </w:hyperlink>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5. Duties of Vice Presidents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312">
              <w:r>
                <w:rPr>
                  <w:rStyle w:val="InternetLink"/>
                  <w:rFonts w:ascii="Times New Roman;sans-serif" w:hAnsi="Times New Roman;sans-serif"/>
                  <w:b w:val="false"/>
                  <w:color w:val="000000"/>
                  <w:sz w:val="20"/>
                  <w:u w:val="single"/>
                </w:rPr>
                <w:t>12</w:t>
              </w:r>
            </w:hyperlink>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6. Duties of Secretary.</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307">
              <w:r>
                <w:rPr>
                  <w:rStyle w:val="InternetLink"/>
                  <w:rFonts w:ascii="Times New Roman;sans-serif" w:hAnsi="Times New Roman;sans-serif"/>
                  <w:b w:val="false"/>
                  <w:color w:val="000000"/>
                  <w:sz w:val="20"/>
                  <w:u w:val="single"/>
                </w:rPr>
                <w:t>12</w:t>
              </w:r>
            </w:hyperlink>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7. Duties of Chief Financial Officer</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302">
              <w:r>
                <w:rPr>
                  <w:rStyle w:val="InternetLink"/>
                  <w:rFonts w:ascii="Times New Roman;sans-serif" w:hAnsi="Times New Roman;sans-serif"/>
                  <w:b w:val="false"/>
                  <w:color w:val="000000"/>
                  <w:sz w:val="20"/>
                  <w:u w:val="single"/>
                </w:rPr>
                <w:t>12</w:t>
              </w:r>
            </w:hyperlink>
          </w:p>
        </w:tc>
      </w:tr>
    </w:tbl>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3.2</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092" w:type="dxa"/>
        <w:jc w:val="left"/>
        <w:tblInd w:w="0" w:type="dxa"/>
        <w:tblLayout w:type="fixed"/>
        <w:tblCellMar>
          <w:top w:w="28" w:type="dxa"/>
          <w:left w:w="28" w:type="dxa"/>
          <w:bottom w:w="28" w:type="dxa"/>
          <w:right w:w="28" w:type="dxa"/>
        </w:tblCellMar>
      </w:tblPr>
      <w:tblGrid>
        <w:gridCol w:w="2434"/>
        <w:gridCol w:w="2140"/>
        <w:gridCol w:w="2146"/>
        <w:gridCol w:w="109"/>
        <w:gridCol w:w="109"/>
        <w:gridCol w:w="154"/>
      </w:tblGrid>
      <w:tr>
        <w:trPr/>
        <w:tc>
          <w:tcPr>
            <w:tcW w:w="2434"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8. Delegation of Authority.</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297">
              <w:r>
                <w:rPr>
                  <w:rStyle w:val="InternetLink"/>
                  <w:rFonts w:ascii="Times New Roman;sans-serif" w:hAnsi="Times New Roman;sans-serif"/>
                  <w:b w:val="false"/>
                  <w:color w:val="000000"/>
                  <w:sz w:val="20"/>
                  <w:u w:val="single"/>
                </w:rPr>
                <w:t>12</w:t>
              </w:r>
            </w:hyperlink>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ARTICLE V STOCK</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292">
              <w:r>
                <w:rPr>
                  <w:rStyle w:val="InternetLink"/>
                  <w:rFonts w:ascii="Times New Roman;sans-serif" w:hAnsi="Times New Roman;sans-serif"/>
                  <w:b w:val="false"/>
                  <w:color w:val="000000"/>
                  <w:sz w:val="20"/>
                  <w:u w:val="single"/>
                </w:rPr>
                <w:t>12</w:t>
              </w:r>
            </w:hyperlink>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1. Stock Certificates.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287">
              <w:r>
                <w:rPr>
                  <w:rStyle w:val="InternetLink"/>
                  <w:rFonts w:ascii="Times New Roman;sans-serif" w:hAnsi="Times New Roman;sans-serif"/>
                  <w:b w:val="false"/>
                  <w:color w:val="000000"/>
                  <w:sz w:val="20"/>
                  <w:u w:val="single"/>
                </w:rPr>
                <w:t>12</w:t>
              </w:r>
            </w:hyperlink>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2. Signatures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282">
              <w:r>
                <w:rPr>
                  <w:rStyle w:val="InternetLink"/>
                  <w:rFonts w:ascii="Times New Roman;sans-serif" w:hAnsi="Times New Roman;sans-serif"/>
                  <w:b w:val="false"/>
                  <w:color w:val="000000"/>
                  <w:sz w:val="20"/>
                  <w:u w:val="single"/>
                </w:rPr>
                <w:t>12</w:t>
              </w:r>
            </w:hyperlink>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3. Lost Certificates.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277">
              <w:r>
                <w:rPr>
                  <w:rStyle w:val="InternetLink"/>
                  <w:rFonts w:ascii="Times New Roman;sans-serif" w:hAnsi="Times New Roman;sans-serif"/>
                  <w:b w:val="false"/>
                  <w:color w:val="000000"/>
                  <w:sz w:val="20"/>
                  <w:u w:val="single"/>
                </w:rPr>
                <w:t>13</w:t>
              </w:r>
            </w:hyperlink>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4. Transfers.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272">
              <w:r>
                <w:rPr>
                  <w:rStyle w:val="InternetLink"/>
                  <w:rFonts w:ascii="Times New Roman;sans-serif" w:hAnsi="Times New Roman;sans-serif"/>
                  <w:b w:val="false"/>
                  <w:color w:val="000000"/>
                  <w:sz w:val="20"/>
                  <w:u w:val="single"/>
                </w:rPr>
                <w:t>13</w:t>
              </w:r>
            </w:hyperlink>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5. Record Holders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267">
              <w:r>
                <w:rPr>
                  <w:rStyle w:val="InternetLink"/>
                  <w:rFonts w:ascii="Times New Roman;sans-serif" w:hAnsi="Times New Roman;sans-serif"/>
                  <w:b w:val="false"/>
                  <w:color w:val="000000"/>
                  <w:sz w:val="20"/>
                  <w:u w:val="single"/>
                </w:rPr>
                <w:t>13</w:t>
              </w:r>
            </w:hyperlink>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6. Record Dates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262">
              <w:r>
                <w:rPr>
                  <w:rStyle w:val="InternetLink"/>
                  <w:rFonts w:ascii="Times New Roman;sans-serif" w:hAnsi="Times New Roman;sans-serif"/>
                  <w:b w:val="false"/>
                  <w:color w:val="000000"/>
                  <w:sz w:val="20"/>
                  <w:u w:val="single"/>
                </w:rPr>
                <w:t>13</w:t>
              </w:r>
            </w:hyperlink>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ARTICLE VI INDEMNIFICATION</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257">
              <w:r>
                <w:rPr>
                  <w:rStyle w:val="InternetLink"/>
                  <w:rFonts w:ascii="Times New Roman;sans-serif" w:hAnsi="Times New Roman;sans-serif"/>
                  <w:b w:val="false"/>
                  <w:color w:val="000000"/>
                  <w:sz w:val="20"/>
                  <w:u w:val="single"/>
                </w:rPr>
                <w:t>13</w:t>
              </w:r>
            </w:hyperlink>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1. Indemnification of Directors, Officers, Employees and Other Agents.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252">
              <w:r>
                <w:rPr>
                  <w:rStyle w:val="InternetLink"/>
                  <w:rFonts w:ascii="Times New Roman;sans-serif" w:hAnsi="Times New Roman;sans-serif"/>
                  <w:b w:val="false"/>
                  <w:color w:val="000000"/>
                  <w:sz w:val="20"/>
                  <w:u w:val="single"/>
                </w:rPr>
                <w:t>13</w:t>
              </w:r>
            </w:hyperlink>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ARTICLE VII NOTICES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352">
              <w:r>
                <w:rPr>
                  <w:rStyle w:val="InternetLink"/>
                  <w:rFonts w:ascii="Times New Roman;sans-serif" w:hAnsi="Times New Roman;sans-serif"/>
                  <w:b w:val="false"/>
                  <w:color w:val="000000"/>
                  <w:sz w:val="20"/>
                  <w:u w:val="single"/>
                </w:rPr>
                <w:t>16</w:t>
              </w:r>
            </w:hyperlink>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1. Notices.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337">
              <w:r>
                <w:rPr>
                  <w:rStyle w:val="InternetLink"/>
                  <w:rFonts w:ascii="Times New Roman;sans-serif" w:hAnsi="Times New Roman;sans-serif"/>
                  <w:b w:val="false"/>
                  <w:color w:val="000000"/>
                  <w:sz w:val="20"/>
                  <w:u w:val="single"/>
                </w:rPr>
                <w:t>17</w:t>
              </w:r>
            </w:hyperlink>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ARTICLE VIII GENERAL PROVISIONS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342">
              <w:r>
                <w:rPr>
                  <w:rStyle w:val="InternetLink"/>
                  <w:rFonts w:ascii="Times New Roman;sans-serif" w:hAnsi="Times New Roman;sans-serif"/>
                  <w:b w:val="false"/>
                  <w:color w:val="000000"/>
                  <w:sz w:val="20"/>
                  <w:u w:val="single"/>
                </w:rPr>
                <w:t>17</w:t>
              </w:r>
            </w:hyperlink>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1. Dividends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337">
              <w:r>
                <w:rPr>
                  <w:rStyle w:val="InternetLink"/>
                  <w:rFonts w:ascii="Times New Roman;sans-serif" w:hAnsi="Times New Roman;sans-serif"/>
                  <w:b w:val="false"/>
                  <w:color w:val="000000"/>
                  <w:sz w:val="20"/>
                  <w:u w:val="single"/>
                </w:rPr>
                <w:t>17</w:t>
              </w:r>
            </w:hyperlink>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2. Disbursements.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332">
              <w:r>
                <w:rPr>
                  <w:rStyle w:val="InternetLink"/>
                  <w:rFonts w:ascii="Times New Roman;sans-serif" w:hAnsi="Times New Roman;sans-serif"/>
                  <w:b w:val="false"/>
                  <w:color w:val="000000"/>
                  <w:sz w:val="20"/>
                  <w:u w:val="single"/>
                </w:rPr>
                <w:t>17</w:t>
              </w:r>
            </w:hyperlink>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3. Fiscal Year</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402">
              <w:r>
                <w:rPr>
                  <w:rStyle w:val="InternetLink"/>
                  <w:rFonts w:ascii="Times New Roman;sans-serif" w:hAnsi="Times New Roman;sans-serif"/>
                  <w:b w:val="false"/>
                  <w:color w:val="000000"/>
                  <w:sz w:val="20"/>
                  <w:u w:val="single"/>
                </w:rPr>
                <w:t>17</w:t>
              </w:r>
            </w:hyperlink>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4. Corporate Seal.</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397">
              <w:r>
                <w:rPr>
                  <w:rStyle w:val="InternetLink"/>
                  <w:rFonts w:ascii="Times New Roman;sans-serif" w:hAnsi="Times New Roman;sans-serif"/>
                  <w:b w:val="false"/>
                  <w:color w:val="000000"/>
                  <w:sz w:val="20"/>
                  <w:u w:val="single"/>
                </w:rPr>
                <w:t>17</w:t>
              </w:r>
            </w:hyperlink>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5. Voting of Stock Owned by the Corporation</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392">
              <w:r>
                <w:rPr>
                  <w:rStyle w:val="InternetLink"/>
                  <w:rFonts w:ascii="Times New Roman;sans-serif" w:hAnsi="Times New Roman;sans-serif"/>
                  <w:b w:val="false"/>
                  <w:color w:val="000000"/>
                  <w:sz w:val="20"/>
                  <w:u w:val="single"/>
                </w:rPr>
                <w:t>17</w:t>
              </w:r>
            </w:hyperlink>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6. Construction and Definitions.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387">
              <w:r>
                <w:rPr>
                  <w:rStyle w:val="InternetLink"/>
                  <w:rFonts w:ascii="Times New Roman;sans-serif" w:hAnsi="Times New Roman;sans-serif"/>
                  <w:b w:val="false"/>
                  <w:color w:val="000000"/>
                  <w:sz w:val="20"/>
                  <w:u w:val="single"/>
                </w:rPr>
                <w:t>17</w:t>
              </w:r>
            </w:hyperlink>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7. Provisions of Certificate Govern</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382">
              <w:r>
                <w:rPr>
                  <w:rStyle w:val="InternetLink"/>
                  <w:rFonts w:ascii="Times New Roman;sans-serif" w:hAnsi="Times New Roman;sans-serif"/>
                  <w:b w:val="false"/>
                  <w:color w:val="000000"/>
                  <w:sz w:val="20"/>
                  <w:u w:val="single"/>
                </w:rPr>
                <w:t>17</w:t>
              </w:r>
            </w:hyperlink>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8. Amendments.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377">
              <w:r>
                <w:rPr>
                  <w:rStyle w:val="InternetLink"/>
                  <w:rFonts w:ascii="Times New Roman;sans-serif" w:hAnsi="Times New Roman;sans-serif"/>
                  <w:b w:val="false"/>
                  <w:color w:val="000000"/>
                  <w:sz w:val="20"/>
                  <w:u w:val="single"/>
                </w:rPr>
                <w:t>17</w:t>
              </w:r>
            </w:hyperlink>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ARTICLE IX FORUM SELECTION</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372">
              <w:r>
                <w:rPr>
                  <w:rStyle w:val="InternetLink"/>
                  <w:rFonts w:ascii="Times New Roman;sans-serif" w:hAnsi="Times New Roman;sans-serif"/>
                  <w:b w:val="false"/>
                  <w:color w:val="000000"/>
                  <w:sz w:val="20"/>
                  <w:u w:val="single"/>
                </w:rPr>
                <w:t>18</w:t>
              </w:r>
            </w:hyperlink>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Section 1. Forum.</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1a030200e5e499ca1d4022484dfff81_367">
              <w:r>
                <w:rPr>
                  <w:rStyle w:val="InternetLink"/>
                  <w:rFonts w:ascii="Times New Roman;sans-serif" w:hAnsi="Times New Roman;sans-serif"/>
                  <w:b w:val="false"/>
                  <w:color w:val="000000"/>
                  <w:sz w:val="20"/>
                  <w:u w:val="single"/>
                </w:rPr>
                <w:t>18</w:t>
              </w:r>
            </w:hyperlink>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TANDEM DIABETES CARE,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2023 LONG-TERM INCENTIVE PLAN</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As approved by the Board of Directors on April 7, 2023</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1. PURPOSES OF THE PLAN</w:t>
      </w:r>
    </w:p>
    <w:p>
      <w:pPr>
        <w:pStyle w:val="TextBody"/>
        <w:bidi w:val="0"/>
        <w:spacing w:before="0" w:after="0"/>
        <w:jc w:val="center"/>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1.1Purposes</w:t>
      </w:r>
      <w:r>
        <w:rPr>
          <w:rFonts w:ascii="Times New Roman;sans-serif" w:hAnsi="Times New Roman;sans-serif"/>
          <w:b w:val="false"/>
          <w:color w:val="000000"/>
          <w:sz w:val="20"/>
        </w:rPr>
        <w:t>. The purposes of the Plan are (a) to enhance the Company’s ability to attract and retain the services of qualified employees, officers, directors, consultants and other service providers upon whose judgment, initiative and efforts the successful conduct and development of the Company’s business largely depends, and (b) to provide additional incentives to such persons or entities to devote their utmost effort and skill to the advancement and betterment of the Company, by providing them an opportunity to participate in the ownership of the Company and thereby have an interest in the success and increased value of the Company.</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2. DEFINITIONS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purposes of this Plan, terms not otherwise defined herein shall have the meanings indicated below:</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 xml:space="preserve">2.1"Administrator" </w:t>
      </w:r>
      <w:r>
        <w:rPr>
          <w:rFonts w:ascii="Times New Roman;sans-serif" w:hAnsi="Times New Roman;sans-serif"/>
          <w:b w:val="false"/>
          <w:color w:val="000000"/>
          <w:sz w:val="20"/>
        </w:rPr>
        <w:t>means the Board or, if the Board delegates responsibility for any matter to the Committee, the term Administrator shall mean the Committee. With reference to the duties of the Board (or Committee) under the Plan which have been delegated to one or more persons pursuant to Section 9.2, the term “Administrator” shall refer to such person(s) unless the Committee or the Board has revoked such delegation.</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2.2"Affiliated Company"</w:t>
      </w:r>
      <w:r>
        <w:rPr>
          <w:color w:val="000000"/>
        </w:rPr>
        <w:t xml:space="preserve"> </w:t>
      </w:r>
      <w:r>
        <w:rPr>
          <w:rFonts w:ascii="Times New Roman;sans-serif" w:hAnsi="Times New Roman;sans-serif"/>
          <w:b w:val="false"/>
          <w:color w:val="000000"/>
          <w:sz w:val="20"/>
        </w:rPr>
        <w:t>means: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(a)with respect to Incentive Options, any “parent corporation” or “subsidiary corporation” of the Company, whether now existing or hereafter created or acquired, as those terms are defined in Sections 424(e) and 424(f) of the Code, respectively, or any successor provisions; and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(b)with respect to Nonqualified Options, Restricted Stock Units, Restricted Stock and Stock Appreciation Rights, any entity described in paragraph (a) of this Section 2.2, plus any other corporation, limited liability company (“LLC”), partnership or joint venture, whether now existing or hereafter created or acquired, with respect to which the Company beneficially owns more than fifty percent (50%) of: (1) the total combined voting power of all outstanding voting securities or (2) the capital or profits interests of an LLC, partnership or joint venture.</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2.3"Applicable Law"</w:t>
      </w:r>
      <w:r>
        <w:rPr>
          <w:color w:val="000000"/>
        </w:rPr>
        <w:t xml:space="preserve"> </w:t>
      </w:r>
      <w:r>
        <w:rPr>
          <w:rFonts w:ascii="Times New Roman;sans-serif" w:hAnsi="Times New Roman;sans-serif"/>
          <w:b w:val="false"/>
          <w:color w:val="000000"/>
          <w:sz w:val="20"/>
        </w:rPr>
        <w:t>means any applicable law, including without limitation: (i) provisions of the Code, the Securities Act, the Exchange Act and any rules or regulations thereunder; (ii) corporate, securities, tax or other laws, statutes, rules, requirements or regulations, whether federal, state, local or foreign; and (iii) rules of any securities exchange or automated quotation system on which the shares of Common Stock are listed, quoted or traded.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2.4"Awards"</w:t>
      </w:r>
      <w:r>
        <w:rPr>
          <w:color w:val="000000"/>
        </w:rPr>
        <w:t xml:space="preserve"> </w:t>
      </w:r>
      <w:r>
        <w:rPr>
          <w:rFonts w:ascii="Times New Roman;sans-serif" w:hAnsi="Times New Roman;sans-serif"/>
          <w:b w:val="false"/>
          <w:color w:val="000000"/>
          <w:sz w:val="20"/>
        </w:rPr>
        <w:t>means Options, Restricted Stock, Restricted Stock Units or Stock Appreciation Rights granted in accordance with the terms of the Plan.</w:t>
      </w:r>
    </w:p>
    <w:p>
      <w:pPr>
        <w:pStyle w:val="TextBody"/>
        <w:bidi w:val="0"/>
        <w:ind w:left="0" w:right="0" w:hanging="360"/>
        <w:jc w:val="lef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ind w:left="0" w:right="0" w:hanging="720"/>
        <w:jc w:val="left"/>
        <w:rPr/>
      </w:pPr>
      <w:r>
        <w:rPr>
          <w:rFonts w:ascii="Times New Roman;sans-serif" w:hAnsi="Times New Roman;sans-serif"/>
          <w:b/>
          <w:color w:val="000000"/>
          <w:sz w:val="20"/>
        </w:rPr>
        <w:t>2.5"Award Agreements"</w:t>
      </w:r>
      <w:r>
        <w:rPr>
          <w:color w:val="000000"/>
        </w:rPr>
        <w:t xml:space="preserve"> </w:t>
      </w:r>
      <w:r>
        <w:rPr>
          <w:rFonts w:ascii="Times New Roman;sans-serif" w:hAnsi="Times New Roman;sans-serif"/>
          <w:b w:val="false"/>
          <w:color w:val="000000"/>
          <w:sz w:val="20"/>
        </w:rPr>
        <w:t>means an Option Agreement, Restricted Stock Agreement, Restricted Stock Units Agreement and/or a Stock Appreciation Rights Agreement, which may be in written or electronic format, in such form and with such terms and conditions as may be specified by the Administrator, evidencing the terms and conditions of the Award. Each Award Agreement is subject to the terms and conditions of the Plan.</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2.6"Base Price"</w:t>
      </w:r>
      <w:r>
        <w:rPr>
          <w:color w:val="000000"/>
        </w:rPr>
        <w:t xml:space="preserve"> </w:t>
      </w:r>
      <w:r>
        <w:rPr>
          <w:rFonts w:ascii="Times New Roman;sans-serif" w:hAnsi="Times New Roman;sans-serif"/>
          <w:b w:val="false"/>
          <w:color w:val="000000"/>
          <w:sz w:val="20"/>
        </w:rPr>
        <w:t>means the price per share of Common Stock for purposes of computing the amount payable to a Participant who holds a Stock Appreciation Right upon exercise thereof.</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2.7"Board"</w:t>
      </w:r>
      <w:r>
        <w:rPr>
          <w:color w:val="000000"/>
        </w:rPr>
        <w:t xml:space="preserve"> </w:t>
      </w:r>
      <w:r>
        <w:rPr>
          <w:rFonts w:ascii="Times New Roman;sans-serif" w:hAnsi="Times New Roman;sans-serif"/>
          <w:b w:val="false"/>
          <w:color w:val="000000"/>
          <w:sz w:val="20"/>
        </w:rPr>
        <w:t>means the Board of Directors of the Company.</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2.8"Cause"</w:t>
      </w:r>
      <w:r>
        <w:rPr>
          <w:color w:val="000000"/>
        </w:rPr>
        <w:t xml:space="preserve"> </w:t>
      </w:r>
      <w:r>
        <w:rPr>
          <w:rFonts w:ascii="Times New Roman;sans-serif" w:hAnsi="Times New Roman;sans-serif"/>
          <w:b w:val="false"/>
          <w:color w:val="000000"/>
          <w:sz w:val="20"/>
        </w:rPr>
        <w:t>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(iii) such Participant’s intentional, material violation of any contract or agreement between the Participant and the Company or of any statutory duty owed to the Company; (iv) such Participant’s unauthorized use or disclosure of the Company’s confidential information or trade secrets; or (v) such Participant’s gross misconduct.</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2.9"Change in Control"</w:t>
      </w:r>
      <w:r>
        <w:rPr>
          <w:color w:val="000000"/>
        </w:rPr>
        <w:t xml:space="preserve"> </w:t>
      </w:r>
      <w:r>
        <w:rPr>
          <w:rFonts w:ascii="Times New Roman;sans-serif" w:hAnsi="Times New Roman;sans-serif"/>
          <w:b w:val="false"/>
          <w:color w:val="000000"/>
          <w:sz w:val="20"/>
        </w:rPr>
        <w:t>means: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(c)The acquisition, directly or indirectly, in one transaction or a series of related transactions, by any person or group (within the meaning of Section 13(d)(3) of the Exchange Act) of the beneficial ownership of securities of the Company possessing more than fifty percent (50%) of the total combined voting power of all outstanding securities of the Company; provided, however, that a Change in Control shall not result upon such acquisition of beneficial ownership if such acquisition occurs as a result of a public offering of the Company’s securities or any financing transaction or series of financing transactions;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(d)A merger or consolidation in which the Company is not the surviving entity, except for a transaction in which the holders of the outstanding voting securities of the Company immediately prior to such merger or consolidation hold as a result of holding Company securities prior to such transaction, in the aggregate, securities possessing more than fifty percent (50%) of the total combined voting power of all outstanding voting securities of the surviving entity (or the parent of the surviving entity) immediately after such merger or consolidation;</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(e)A reverse merger in which the Company is the surviving entity but in which the holders of the outstanding voting securities of the Company immediately prior to such merger hold, in the aggregate, securities possessing less than fifty percent (50%) of the total combined voting power of all outstanding voting securities of the Company or of the acquiring entity immediately after such merger; or</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(f)The sale, transfer or other disposition (in one transaction or a series of related transactions) of all or substantially all of the assets of the Company, except for a transaction in which the holders of the outstanding voting securities of the Company immediately prior to such transaction(s) receive as a distribution with respect to securities of the Company, in the aggregate, securities possessing more than fifty percent (50%) of the total combined voting power of all outstanding voting securities of the acquiring entity immediately after such transaction(s).</w:t>
      </w:r>
    </w:p>
    <w:p>
      <w:pPr>
        <w:pStyle w:val="TextBody"/>
        <w:bidi w:val="0"/>
        <w:spacing w:before="0" w:after="0"/>
        <w:ind w:left="0" w:right="0" w:hanging="36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if (i) a transaction does not qualify as a change in control event within the meaning of Section 409A of the Code and (ii) treating such transaction as a Change in Control would cause, give rise to or otherwise result in a failure to satisfy the distribution requirements of Section 409A(a)(2)(A) of the Code (to the extent the Plan and the applicable Award Agreement are not exempt therefrom), then such transaction will not be deemed a Change in Control.</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2.10"Code"</w:t>
      </w:r>
      <w:r>
        <w:rPr>
          <w:color w:val="000000"/>
        </w:rPr>
        <w:t xml:space="preserve"> </w:t>
      </w:r>
      <w:r>
        <w:rPr>
          <w:rFonts w:ascii="Times New Roman;sans-serif" w:hAnsi="Times New Roman;sans-serif"/>
          <w:b w:val="false"/>
          <w:color w:val="000000"/>
          <w:sz w:val="20"/>
        </w:rPr>
        <w:t>means the U.S. Internal Revenue Code of 1986, as amended from time to time.</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 xml:space="preserve">2.11"Committee" </w:t>
      </w:r>
      <w:r>
        <w:rPr>
          <w:rFonts w:ascii="Times New Roman;sans-serif" w:hAnsi="Times New Roman;sans-serif"/>
          <w:b w:val="false"/>
          <w:color w:val="000000"/>
          <w:sz w:val="20"/>
        </w:rPr>
        <w:t>means a committee of two or more members of the Board appointed to administer the Plan, as set forth in Section 9.1.</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2.12"Common Stock"</w:t>
      </w:r>
      <w:r>
        <w:rPr>
          <w:color w:val="000000"/>
        </w:rPr>
        <w:t xml:space="preserve"> </w:t>
      </w:r>
      <w:r>
        <w:rPr>
          <w:rFonts w:ascii="Times New Roman;sans-serif" w:hAnsi="Times New Roman;sans-serif"/>
          <w:b w:val="false"/>
          <w:color w:val="000000"/>
          <w:sz w:val="20"/>
        </w:rPr>
        <w:t>means the Common Stock of the Company, subject to adjustment pursuant to Section 4.2.</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2.13"Company"</w:t>
      </w:r>
      <w:r>
        <w:rPr>
          <w:color w:val="000000"/>
        </w:rPr>
        <w:t xml:space="preserve"> </w:t>
      </w:r>
      <w:r>
        <w:rPr>
          <w:rFonts w:ascii="Times New Roman;sans-serif" w:hAnsi="Times New Roman;sans-serif"/>
          <w:b w:val="false"/>
          <w:color w:val="000000"/>
          <w:sz w:val="20"/>
        </w:rPr>
        <w:t>means Tandem Diabetes Care, Inc., a Delaware corporation, or any entity that is a successor to the Company.</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2.14"Continuous Service"</w:t>
      </w:r>
      <w:r>
        <w:rPr>
          <w:color w:val="000000"/>
        </w:rPr>
        <w:t xml:space="preserve"> </w:t>
      </w:r>
      <w:r>
        <w:rPr>
          <w:rFonts w:ascii="Times New Roman;sans-serif" w:hAnsi="Times New Roman;sans-serif"/>
          <w:b w:val="false"/>
          <w:color w:val="000000"/>
          <w:sz w:val="20"/>
        </w:rPr>
        <w:t>Unless otherwise provided in the Award Agreement, the terms of which may be different from the following, “Continuous Service” means (a) Participant’s employment by either the Company or any Affiliated Company, or by a successor entity following a Change in Control, which is uninterrupted except for vacations, illness (not including permanent Disability), or leaves of absence which are approved in writing by the Company or any of such other employer corporations, as applicable, (b) service as a member of the Board until the Participant resigns, is removed from office, or Participant’s term of office expires and he or she is not reelected, or (c) so long as the Participant is engaged as a consultant or other Service Provider. Notwithstanding the foregoing, if (i) a termination, leave of absence, resignation, expiration or other cessation of engagement or employment does not qualify as a separation from service from the Company within the meaning of Section 409A of the Code and (ii) treating such termination, leave of absence, resignation, expiration or other cessation of engagement or employment as a termination of Continuous Service would cause, give rise to or otherwise result in a failure to satisfy the distribution requirements of Section 409A(a)(2)(A) of the Code (to the extent the Plan and the applicable Award Agreement are not exempt therefrom), then such termination, leave of absence, resignation, expiration or other cessation of engagement or employment will not be deemed a termination of Continuous Service.</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2.15"Disability"</w:t>
      </w:r>
      <w:r>
        <w:rPr>
          <w:color w:val="000000"/>
        </w:rPr>
        <w:t xml:space="preserve"> </w:t>
      </w:r>
      <w:r>
        <w:rPr>
          <w:rFonts w:ascii="Times New Roman;sans-serif" w:hAnsi="Times New Roman;sans-serif"/>
          <w:b w:val="false"/>
          <w:color w:val="000000"/>
          <w:sz w:val="20"/>
        </w:rPr>
        <w:t>means permanent and total disability as defined in Section 22(e)(3) of the Code. The Administrator’s determination of a Disability or the absence thereof shall be conclusive and binding on all interested parties and for purposes of non-qualified deferred compensation subject to Section 409A of the Code that is payable on or by reference to a Disability, “Disability” shall have the meaning ascribed to in the Section 409A of the Code.</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 xml:space="preserve">2.16"Effective Date" </w:t>
      </w:r>
      <w:r>
        <w:rPr>
          <w:rFonts w:ascii="Times New Roman;sans-serif" w:hAnsi="Times New Roman;sans-serif"/>
          <w:b w:val="false"/>
          <w:color w:val="000000"/>
          <w:sz w:val="20"/>
        </w:rPr>
        <w:t>means the date on which the Company’s stockholders approve the Plan.</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2.17"Exchange Act"</w:t>
      </w:r>
      <w:r>
        <w:rPr>
          <w:color w:val="000000"/>
        </w:rPr>
        <w:t xml:space="preserve"> </w:t>
      </w:r>
      <w:r>
        <w:rPr>
          <w:rFonts w:ascii="Times New Roman;sans-serif" w:hAnsi="Times New Roman;sans-serif"/>
          <w:b w:val="false"/>
          <w:color w:val="000000"/>
          <w:sz w:val="20"/>
        </w:rPr>
        <w:t>means the U.S. Securities and Exchange Act of 1934, as amended.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2.18"Exercise Price"</w:t>
      </w:r>
      <w:r>
        <w:rPr>
          <w:color w:val="000000"/>
        </w:rPr>
        <w:t xml:space="preserve"> </w:t>
      </w:r>
      <w:r>
        <w:rPr>
          <w:rFonts w:ascii="Times New Roman;sans-serif" w:hAnsi="Times New Roman;sans-serif"/>
          <w:b w:val="false"/>
          <w:color w:val="000000"/>
          <w:sz w:val="20"/>
        </w:rPr>
        <w:t>means the purchase price per share of Common Stock payable by the Optionee to the Company upon exercise of an Option.</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2.19"Fair Market Value"</w:t>
      </w:r>
      <w:r>
        <w:rPr>
          <w:color w:val="000000"/>
        </w:rPr>
        <w:t xml:space="preserve"> </w:t>
      </w:r>
      <w:r>
        <w:rPr>
          <w:rFonts w:ascii="Times New Roman;sans-serif" w:hAnsi="Times New Roman;sans-serif"/>
          <w:b w:val="false"/>
          <w:color w:val="000000"/>
          <w:sz w:val="20"/>
        </w:rPr>
        <w:t>on any given date means the value of one share of Common Stock, determined as follows: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(a)If the Common Stock is then listed or admitted to trading on The Nasdaq Stock Market or another stock exchange which reports closing sale prices, the Fair Market Value shall be the closing sale price on the date of valuation on The Nasdaq Stock Market or principal stock exchange on which the Common Stock is then listed or admitted for trading, or, if no closing sale price is quoted on such day, then the Fair Market Value shall be the closing sale price of the Common Stock on The Nasdaq Stock Market or such exchange on the last preceding day on which a closing sale price is reported.</w:t>
      </w:r>
    </w:p>
    <w:p>
      <w:pPr>
        <w:pStyle w:val="TextBody"/>
        <w:bidi w:val="0"/>
        <w:ind w:left="0" w:right="0" w:hanging="360"/>
        <w:jc w:val="lef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(b)If the Common Stock is not then listed or admitted to trading on The Nasdaq Stock Market or a stock exchange which reports closing sale prices, the Fair Market Value shall be the average of the closing bid and asked prices of the Common Stock in the over</w:t>
        <w:noBreakHyphen/>
        <w:t>the</w:t>
        <w:noBreakHyphen/>
        <w:t>counter market on the date of valuation.</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(c)If neither (a) nor (b) is applicable as of the date of valuation, then the Fair Market Value shall be determined by the Administrator in good faith using any reasonable method of evaluation in a manner consistent with the valuation principles under Section 409A of the Code, which determination shall be conclusive and binding on all interested parties.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2.20"FINRA Dealer"</w:t>
      </w:r>
      <w:r>
        <w:rPr>
          <w:color w:val="000000"/>
        </w:rPr>
        <w:t xml:space="preserve"> </w:t>
      </w:r>
      <w:r>
        <w:rPr>
          <w:rFonts w:ascii="Times New Roman;sans-serif" w:hAnsi="Times New Roman;sans-serif"/>
          <w:b w:val="false"/>
          <w:color w:val="000000"/>
          <w:sz w:val="20"/>
        </w:rPr>
        <w:t>means a broker-dealer that is a member of the Financial Industry Regulatory Authority.</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2.21"Full Value Award"</w:t>
      </w:r>
      <w:r>
        <w:rPr>
          <w:color w:val="000000"/>
        </w:rPr>
        <w:t xml:space="preserve"> </w:t>
      </w:r>
      <w:r>
        <w:rPr>
          <w:rFonts w:ascii="Times New Roman;sans-serif" w:hAnsi="Times New Roman;sans-serif"/>
          <w:b w:val="false"/>
          <w:color w:val="000000"/>
          <w:sz w:val="20"/>
        </w:rPr>
        <w:t>means any Award or corresponding Predecessor Plan Award, other than an (i) Option, (ii) Stock Appreciation Right or (iii) other Award for which the Participant pays (or the value or amount payable under the Award is reduced by) an amount equal to or exceeding the Fair Market Value of the shares of Common Stock, determined as of the date of grant.</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2.22"Incentive Option"</w:t>
      </w:r>
      <w:r>
        <w:rPr>
          <w:color w:val="000000"/>
        </w:rPr>
        <w:t xml:space="preserve"> </w:t>
      </w:r>
      <w:r>
        <w:rPr>
          <w:rFonts w:ascii="Times New Roman;sans-serif" w:hAnsi="Times New Roman;sans-serif"/>
          <w:b w:val="false"/>
          <w:color w:val="000000"/>
          <w:sz w:val="20"/>
        </w:rPr>
        <w:t>means any Option designated and qualified as an “incentive stock option” as defined in Section 422 of the Code.</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2.23"Incentive Option Agreement"</w:t>
      </w:r>
      <w:r>
        <w:rPr>
          <w:color w:val="000000"/>
        </w:rPr>
        <w:t xml:space="preserve"> </w:t>
      </w:r>
      <w:r>
        <w:rPr>
          <w:rFonts w:ascii="Times New Roman;sans-serif" w:hAnsi="Times New Roman;sans-serif"/>
          <w:b w:val="false"/>
          <w:color w:val="000000"/>
          <w:sz w:val="20"/>
        </w:rPr>
        <w:t>means an Option Agreement with respect to an Incentive Option.</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2.24"Insider Trading Policy"</w:t>
      </w:r>
      <w:r>
        <w:rPr>
          <w:color w:val="000000"/>
        </w:rPr>
        <w:t xml:space="preserve"> </w:t>
      </w:r>
      <w:r>
        <w:rPr>
          <w:rFonts w:ascii="Times New Roman;sans-serif" w:hAnsi="Times New Roman;sans-serif"/>
          <w:b w:val="false"/>
          <w:color w:val="000000"/>
          <w:sz w:val="20"/>
        </w:rPr>
        <w:t>means the insider trading policy of the Company, as adopted by the Board and then in effect.</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2.25"New Incentives"</w:t>
      </w:r>
      <w:r>
        <w:rPr>
          <w:color w:val="000000"/>
        </w:rPr>
        <w:t xml:space="preserve"> </w:t>
      </w:r>
      <w:r>
        <w:rPr>
          <w:rFonts w:ascii="Times New Roman;sans-serif" w:hAnsi="Times New Roman;sans-serif"/>
          <w:b w:val="false"/>
          <w:color w:val="000000"/>
          <w:sz w:val="20"/>
        </w:rPr>
        <w:t>has the meaning set forth in Section 11.1(b).</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2.26"Nonqualified Option"</w:t>
      </w:r>
      <w:r>
        <w:rPr>
          <w:color w:val="000000"/>
        </w:rPr>
        <w:t xml:space="preserve"> </w:t>
      </w:r>
      <w:r>
        <w:rPr>
          <w:rFonts w:ascii="Times New Roman;sans-serif" w:hAnsi="Times New Roman;sans-serif"/>
          <w:b w:val="false"/>
          <w:color w:val="000000"/>
          <w:sz w:val="20"/>
        </w:rPr>
        <w:t>means any Option that is not an Incentive Option. To the extent that any Option designated as an Incentive Option fails in whole or in part to qualify as an Incentive Option, including, without limitation, for failure to meet the limitations applicable to a 10% Stockholder or because it exceeds the annual limit provided for in Section 5.8 below, it shall to that extent constitute a Nonqualified Option.</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2.27"Nonqualified Option Agreement"</w:t>
      </w:r>
      <w:r>
        <w:rPr>
          <w:color w:val="000000"/>
        </w:rPr>
        <w:t xml:space="preserve"> </w:t>
      </w:r>
      <w:r>
        <w:rPr>
          <w:rFonts w:ascii="Times New Roman;sans-serif" w:hAnsi="Times New Roman;sans-serif"/>
          <w:b w:val="false"/>
          <w:color w:val="000000"/>
          <w:sz w:val="20"/>
        </w:rPr>
        <w:t>means an Option Agreement with respect to a Nonqualified Option.</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2.28"Option"</w:t>
      </w:r>
      <w:r>
        <w:rPr>
          <w:color w:val="000000"/>
        </w:rPr>
        <w:t xml:space="preserve"> </w:t>
      </w:r>
      <w:r>
        <w:rPr>
          <w:rFonts w:ascii="Times New Roman;sans-serif" w:hAnsi="Times New Roman;sans-serif"/>
          <w:b w:val="false"/>
          <w:color w:val="000000"/>
          <w:sz w:val="20"/>
        </w:rPr>
        <w:t>means any option to purchase Common Stock granted pursuant to this Plan.</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2.29"Option Agreement"</w:t>
      </w:r>
      <w:r>
        <w:rPr>
          <w:color w:val="000000"/>
        </w:rPr>
        <w:t xml:space="preserve"> </w:t>
      </w:r>
      <w:r>
        <w:rPr>
          <w:rFonts w:ascii="Times New Roman;sans-serif" w:hAnsi="Times New Roman;sans-serif"/>
          <w:b w:val="false"/>
          <w:color w:val="000000"/>
          <w:sz w:val="20"/>
        </w:rPr>
        <w:t>means the written agreement entered into between the Company and the Optionee with respect to an Option granted under this Plan.</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2.30"Optionee"</w:t>
      </w:r>
      <w:r>
        <w:rPr>
          <w:color w:val="000000"/>
        </w:rPr>
        <w:t xml:space="preserve"> </w:t>
      </w:r>
      <w:r>
        <w:rPr>
          <w:rFonts w:ascii="Times New Roman;sans-serif" w:hAnsi="Times New Roman;sans-serif"/>
          <w:b w:val="false"/>
          <w:color w:val="000000"/>
          <w:sz w:val="20"/>
        </w:rPr>
        <w:t>means any Participant who holds an Option.</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2.31"Participant"</w:t>
      </w:r>
      <w:r>
        <w:rPr>
          <w:color w:val="000000"/>
        </w:rPr>
        <w:t xml:space="preserve"> </w:t>
      </w:r>
      <w:r>
        <w:rPr>
          <w:rFonts w:ascii="Times New Roman;sans-serif" w:hAnsi="Times New Roman;sans-serif"/>
          <w:b w:val="false"/>
          <w:color w:val="000000"/>
          <w:sz w:val="20"/>
        </w:rPr>
        <w:t>means an individual or entity that holds Awards under this Plan.</w:t>
      </w:r>
    </w:p>
    <w:p>
      <w:pPr>
        <w:pStyle w:val="TextBody"/>
        <w:bidi w:val="0"/>
        <w:ind w:left="0" w:right="0" w:hanging="360"/>
        <w:jc w:val="lef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ind w:left="0" w:right="0" w:hanging="720"/>
        <w:jc w:val="left"/>
        <w:rPr/>
      </w:pPr>
      <w:r>
        <w:rPr>
          <w:rFonts w:ascii="Times New Roman;sans-serif" w:hAnsi="Times New Roman;sans-serif"/>
          <w:b/>
          <w:color w:val="000000"/>
          <w:sz w:val="20"/>
        </w:rPr>
        <w:t>2.32"Performance Criteria"</w:t>
      </w:r>
      <w:r>
        <w:rPr>
          <w:color w:val="000000"/>
        </w:rPr>
        <w:t xml:space="preserve"> </w:t>
      </w:r>
      <w:r>
        <w:rPr>
          <w:rFonts w:ascii="Times New Roman;sans-serif" w:hAnsi="Times New Roman;sans-serif"/>
          <w:b w:val="false"/>
          <w:color w:val="000000"/>
          <w:sz w:val="20"/>
        </w:rPr>
        <w:t>means the criteria that the Administrator may select from time to time for purposes of establishing the performance goals or objectives applicable to the vesting of any Incentive Option, Nonqualified Option, Restricted Stock Units, Restricted Stock or Stock Appreciation Rights granted under the Plan, which may include, but is not limited to, any of the following (which may be applicable to the Company, an Affiliated Company, a division, business unit or product of the Company or any Affiliated Company, or any combination of the foregoing, and which may be stated as an absolute amount, a target percentage over a base percentage or absolute amount, or the occurrence of a specific event): revenue or sales, gross profit (loss), operating income (loss), earnings (loss) before interest, taxes, depreciation and amortization (EBITDA); net income (loss) (either before or after interest, taxes, depreciation and/or amortization), cash flow, cash or working capital balance, changes in the market price of the Common Stock, earnings (loss) per share of Common Stock (EPS), product development or regulatory milestones, acquisitions or strategic transactions, return on capital, assets, equity, or investment, total stockholder return, expense amount or reduction, operating efficiency, number of customers and customer satisfaction, recruiting and maintaining personnel, improvement in workforce diversity, fostering health and wellbeing, furthering climate positive actions, and other environmental, social or governance objectives, any of which may be measured either in absolute terms or as compared to any incremental increase or as compared to results of a peer group.</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2.33"Plan"</w:t>
      </w:r>
      <w:r>
        <w:rPr>
          <w:color w:val="000000"/>
        </w:rPr>
        <w:t xml:space="preserve"> </w:t>
      </w:r>
      <w:r>
        <w:rPr>
          <w:rFonts w:ascii="Times New Roman;sans-serif" w:hAnsi="Times New Roman;sans-serif"/>
          <w:b w:val="false"/>
          <w:color w:val="000000"/>
          <w:sz w:val="20"/>
        </w:rPr>
        <w:t>means this 2023 Long-Term Incentive Plan of the Company.</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2.34"Predecessor Plan"</w:t>
      </w:r>
      <w:r>
        <w:rPr>
          <w:color w:val="000000"/>
        </w:rPr>
        <w:t xml:space="preserve"> </w:t>
      </w:r>
      <w:r>
        <w:rPr>
          <w:rFonts w:ascii="Times New Roman;sans-serif" w:hAnsi="Times New Roman;sans-serif"/>
          <w:b w:val="false"/>
          <w:color w:val="000000"/>
          <w:sz w:val="20"/>
        </w:rPr>
        <w:t>means the Tandem Diabetes Care, Inc. Amended and Restated 2013 Stock Incentive Plan.</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 xml:space="preserve">2.35"Purchase Price" </w:t>
      </w:r>
      <w:r>
        <w:rPr>
          <w:rFonts w:ascii="Times New Roman;sans-serif" w:hAnsi="Times New Roman;sans-serif"/>
          <w:b w:val="false"/>
          <w:color w:val="000000"/>
          <w:sz w:val="20"/>
        </w:rPr>
        <w:t>means the purchase price per share of Restricted Stock.</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2.36"Restricted Stock"</w:t>
      </w:r>
      <w:r>
        <w:rPr>
          <w:color w:val="000000"/>
        </w:rPr>
        <w:t xml:space="preserve"> </w:t>
      </w:r>
      <w:r>
        <w:rPr>
          <w:rFonts w:ascii="Times New Roman;sans-serif" w:hAnsi="Times New Roman;sans-serif"/>
          <w:b w:val="false"/>
          <w:color w:val="000000"/>
          <w:sz w:val="20"/>
        </w:rPr>
        <w:t>means shares of Common Stock issued pursuant to Article 7, subject to any restrictions and conditions as are established pursuant to such Article 7.</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2.37"Restricted Stock Agreement"</w:t>
      </w:r>
      <w:r>
        <w:rPr>
          <w:color w:val="000000"/>
        </w:rPr>
        <w:t xml:space="preserve"> </w:t>
      </w:r>
      <w:r>
        <w:rPr>
          <w:rFonts w:ascii="Times New Roman;sans-serif" w:hAnsi="Times New Roman;sans-serif"/>
          <w:b w:val="false"/>
          <w:color w:val="000000"/>
          <w:sz w:val="20"/>
        </w:rPr>
        <w:t>means the written agreement entered into between the Company and a Participant evidencing the grant of Restricted Stock under the Plan.</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2.38"Restricted Stock Unit"</w:t>
      </w:r>
      <w:r>
        <w:rPr>
          <w:color w:val="000000"/>
        </w:rPr>
        <w:t xml:space="preserve"> </w:t>
      </w:r>
      <w:r>
        <w:rPr>
          <w:rFonts w:ascii="Times New Roman;sans-serif" w:hAnsi="Times New Roman;sans-serif"/>
          <w:b w:val="false"/>
          <w:color w:val="000000"/>
          <w:sz w:val="20"/>
        </w:rPr>
        <w:t>means a right to receive an amount equal to the Fair Market Value of one share of Common Stock, issued pursuant to Article 6, subject to any restrictions and conditions as are established pursuant to Article 6.</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2.39"Restricted Stock Unit Agreement"</w:t>
      </w:r>
      <w:r>
        <w:rPr>
          <w:color w:val="000000"/>
        </w:rPr>
        <w:t xml:space="preserve"> </w:t>
      </w:r>
      <w:r>
        <w:rPr>
          <w:rFonts w:ascii="Times New Roman;sans-serif" w:hAnsi="Times New Roman;sans-serif"/>
          <w:b w:val="false"/>
          <w:color w:val="000000"/>
          <w:sz w:val="20"/>
        </w:rPr>
        <w:t>means the written agreement evidencing the grant of Restricted Stock Units to a Participant under the Plan.</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 xml:space="preserve">2.40"Securities Act" </w:t>
      </w:r>
      <w:r>
        <w:rPr>
          <w:rFonts w:ascii="Times New Roman;sans-serif" w:hAnsi="Times New Roman;sans-serif"/>
          <w:b w:val="false"/>
          <w:color w:val="000000"/>
          <w:sz w:val="20"/>
        </w:rPr>
        <w:t>means the U.S. Securities Act of 1933, as amended.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 xml:space="preserve">2.41"Service Provider" </w:t>
      </w:r>
      <w:r>
        <w:rPr>
          <w:rFonts w:ascii="Times New Roman;sans-serif" w:hAnsi="Times New Roman;sans-serif"/>
          <w:b w:val="false"/>
          <w:color w:val="000000"/>
          <w:sz w:val="20"/>
        </w:rPr>
        <w:t>means an employee, consultant, director or other person or entity the Administrator authorizes to become a Participant in the Plan and who provides services to (i) the Company, (ii) an Affiliated Company, or (iii) any other business venture designated by the Administrator in which the Company or an Affiliated Company has a significant ownership interest.</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2.42"Stock Appreciation Right"</w:t>
      </w:r>
      <w:r>
        <w:rPr>
          <w:color w:val="000000"/>
        </w:rPr>
        <w:t xml:space="preserve"> </w:t>
      </w:r>
      <w:r>
        <w:rPr>
          <w:rFonts w:ascii="Times New Roman;sans-serif" w:hAnsi="Times New Roman;sans-serif"/>
          <w:b w:val="false"/>
          <w:color w:val="000000"/>
          <w:sz w:val="20"/>
        </w:rPr>
        <w:t>means a right issued pursuant to Article 8, subject to any restrictions and conditions as are established pursuant to Article 8, that is designated as a Stock Appreciation Right.</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2.43"Stock Appreciation Right Agreement"</w:t>
      </w:r>
      <w:r>
        <w:rPr>
          <w:color w:val="000000"/>
        </w:rPr>
        <w:t xml:space="preserve"> </w:t>
      </w:r>
      <w:r>
        <w:rPr>
          <w:rFonts w:ascii="Times New Roman;sans-serif" w:hAnsi="Times New Roman;sans-serif"/>
          <w:b w:val="false"/>
          <w:color w:val="000000"/>
          <w:sz w:val="20"/>
        </w:rPr>
        <w:t>means the written agreement entered into between the Company and a Participant evidencing the grant of Stock Appreciation Rights under the Plan.</w:t>
      </w:r>
    </w:p>
    <w:p>
      <w:pPr>
        <w:pStyle w:val="TextBody"/>
        <w:bidi w:val="0"/>
        <w:ind w:left="0" w:right="0" w:hanging="360"/>
        <w:jc w:val="lef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ind w:left="0" w:right="0" w:hanging="720"/>
        <w:jc w:val="left"/>
        <w:rPr/>
      </w:pPr>
      <w:r>
        <w:rPr>
          <w:rFonts w:ascii="Times New Roman;sans-serif" w:hAnsi="Times New Roman;sans-serif"/>
          <w:b/>
          <w:color w:val="000000"/>
          <w:sz w:val="20"/>
        </w:rPr>
        <w:t>2.44"Tax-Related Items"</w:t>
      </w:r>
      <w:r>
        <w:rPr>
          <w:color w:val="000000"/>
        </w:rPr>
        <w:t xml:space="preserve"> </w:t>
      </w:r>
      <w:r>
        <w:rPr>
          <w:rFonts w:ascii="Times New Roman;sans-serif" w:hAnsi="Times New Roman;sans-serif"/>
          <w:b w:val="false"/>
          <w:color w:val="000000"/>
          <w:sz w:val="20"/>
        </w:rPr>
        <w:t>means U.S. federal, state and/or local taxes, and/or taxes imposed by jurisdictions outside of the U.S. (including, but not limited to, income tax, social insurance contributions (or similar contributions), payroll tax, fringe benefits tax, payment on account, employment tax obligations, stamp taxes, and any other taxes or tax-related item that may be due) required by law to be withheld, including any employer liability shifted to the Participant under the terms of the applicable Award Agreement or otherwise.</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2.45"10% Stockholder"</w:t>
      </w:r>
      <w:r>
        <w:rPr>
          <w:color w:val="000000"/>
        </w:rPr>
        <w:t xml:space="preserve"> </w:t>
      </w:r>
      <w:r>
        <w:rPr>
          <w:rFonts w:ascii="Times New Roman;sans-serif" w:hAnsi="Times New Roman;sans-serif"/>
          <w:b w:val="false"/>
          <w:color w:val="000000"/>
          <w:sz w:val="20"/>
        </w:rPr>
        <w:t>means a person who, as of a relevant date, owns or is deemed to own (by reason of the attribution rules applicable under Section 424(d) of the Code) stock possessing more than 10% of the total combined voting power of all classes of stock of the Company or of an Affiliated Company.</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ARTICLE 3. ELIGIBILITY</w:t>
      </w:r>
    </w:p>
    <w:p>
      <w:pPr>
        <w:pStyle w:val="TextBody"/>
        <w:bidi w:val="0"/>
        <w:spacing w:before="0" w:after="0"/>
        <w:ind w:left="0" w:right="0" w:hanging="360"/>
        <w:jc w:val="center"/>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3.1Incentive Options.</w:t>
      </w:r>
      <w:r>
        <w:rPr>
          <w:color w:val="000000"/>
        </w:rPr>
        <w:t xml:space="preserve"> </w:t>
      </w:r>
      <w:r>
        <w:rPr>
          <w:rFonts w:ascii="Times New Roman;sans-serif" w:hAnsi="Times New Roman;sans-serif"/>
          <w:b w:val="false"/>
          <w:color w:val="000000"/>
          <w:sz w:val="20"/>
        </w:rPr>
        <w:t>Only employees of the Company or of an Affiliated Company (including members of the Board if they are employees of the Company or of an Affiliated Company) are eligible to receive Incentive Options under the Plan.</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3.2Nonqualified Options; Restricted Stock Units; Restricted Stock and Stock Appreciation Rights.</w:t>
      </w:r>
      <w:r>
        <w:rPr>
          <w:color w:val="000000"/>
        </w:rPr>
        <w:t xml:space="preserve"> </w:t>
      </w:r>
      <w:r>
        <w:rPr>
          <w:rFonts w:ascii="Times New Roman;sans-serif" w:hAnsi="Times New Roman;sans-serif"/>
          <w:b w:val="false"/>
          <w:color w:val="000000"/>
          <w:sz w:val="20"/>
        </w:rPr>
        <w:t>Employees of the Company or of an Affiliated Company, members of the Board (whether or not employed by the Company or an Affiliated Company), and Service Providers are eligible to receive Nonqualified Options, Restricted Stock Units, Restricted Stock and Stock Appreciation Rights under the Plan.</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3.3Award Limitations.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a.Minimum Vesting Requirement.</w:t>
      </w:r>
      <w:r>
        <w:rPr>
          <w:color w:val="000000"/>
        </w:rPr>
        <w:t xml:space="preserve"> </w:t>
      </w:r>
      <w:r>
        <w:rPr>
          <w:rFonts w:ascii="Times New Roman;sans-serif" w:hAnsi="Times New Roman;sans-serif"/>
          <w:b w:val="false"/>
          <w:color w:val="000000"/>
          <w:sz w:val="20"/>
        </w:rPr>
        <w:t>Any Award granted under the Plan shall be granted subject to a minimum vesting period of at least twelve (12) months, such that no such Awards shall vest prior to the first anniversary of the applicable grant date. Notwithstanding the foregoing, (i) up to 5% of the aggregate number of Shares authorized for issuance under this Plan (as described in Section 4.1) may be issued pursuant to Awards subject to any, or no, vesting conditions, as the Administrator determines appropriate, and (ii) the Administrator may accelerate the vesting of awards prior to the first anniversary of the applicable grant date as provided in Section 9.3 hereof.</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b.Annual Limitation.</w:t>
      </w:r>
      <w:r>
        <w:rPr>
          <w:color w:val="000000"/>
        </w:rPr>
        <w:t xml:space="preserve"> </w:t>
      </w:r>
      <w:r>
        <w:rPr>
          <w:rFonts w:ascii="Times New Roman;sans-serif" w:hAnsi="Times New Roman;sans-serif"/>
          <w:b w:val="false"/>
          <w:color w:val="000000"/>
          <w:sz w:val="20"/>
        </w:rPr>
        <w:t>Subject to adjustment as to the number and kind of shares pursuant to Section 4.2, for grants to Participants that are non-employee directors of the Company, the aggregate grant date fair value of Awards granted during any one fiscal year of the Company, together with the value of any cash compensation paid to the non-employee director during such fiscal year, may not exceed $750,000 (on a per-director basis); provided however that the limitation that will apply in the fiscal year in which the non-employee director is initially appointed or elected to the Board shall instead be $1,000,000. For purposes of this limitation, the grant date fair value of an Award shall be determined in accordance with the assumptions that the Company uses to estimate the value of share-based payments for financial reporting purposes. For the sake of clarity, neither Awards granted, nor compensation paid, to an individual for his or her service as an employee or consultant but not as a non-employee director, shall count towards this limitation.</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3.5Deferrals.</w:t>
      </w:r>
      <w:r>
        <w:rPr>
          <w:color w:val="000000"/>
        </w:rPr>
        <w:t xml:space="preserve"> </w:t>
      </w:r>
      <w:r>
        <w:rPr>
          <w:rFonts w:ascii="Times New Roman;sans-serif" w:hAnsi="Times New Roman;sans-serif"/>
          <w:b w:val="false"/>
          <w:color w:val="000000"/>
          <w:sz w:val="20"/>
        </w:rPr>
        <w:t>To the extent permitted by Applicable Law, the Administrator, in its sole discretion, may determine that the delivery of Common Stock or the payment of cash, upon the exercise, vesting or settlement of all or a portion of any Award may be deferred and may establish programs and procedures for deferral elections to be made by Participants. Deferrals by Participants will be made only in accordance with Section 409A of the U.S. Internal Revenue Code of 1986, as amended from time to time (the “Code”).</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ARTICLE 4. PLAN SHARES</w:t>
      </w:r>
    </w:p>
    <w:p>
      <w:pPr>
        <w:pStyle w:val="TextBody"/>
        <w:bidi w:val="0"/>
        <w:spacing w:before="0" w:after="0"/>
        <w:ind w:left="0" w:right="0" w:hanging="360"/>
        <w:jc w:val="center"/>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4.1Shares Subject to the Plan.</w:t>
      </w:r>
      <w:r>
        <w:rPr>
          <w:color w:val="000000"/>
        </w:rPr>
        <w:t xml:space="preserve"> </w:t>
      </w:r>
      <w:r>
        <w:rPr>
          <w:rFonts w:ascii="Times New Roman;sans-serif" w:hAnsi="Times New Roman;sans-serif"/>
          <w:b w:val="false"/>
          <w:color w:val="000000"/>
          <w:sz w:val="20"/>
        </w:rPr>
        <w:t>The maximum number of shares of Common Stock reserved and available for issuance under this Plan shall be 2,602,184 shares, subject to adjustment as to the number and kind of shares pursuant to Section 4.2. Following the Effective Date, no further shares will be granted as awards under the Predecessor Plan unless the Plan is not approved by stockholders. Subject to such overall limitation, the maximum aggregate number of shares of Common Stock that may be issued in the form of Incentive Options shall not exceed 5% of the aggregate number of Shares authorized for issuance under this Plan. For purposes of this limitation, in the event that (a) all or any portion of any Options or Stock Appreciation Rights granted under the Plan can no longer under any circumstances be exercised, (b) any shares of Common Stock are reacquired by the Company pursuant to an Option Agreement, or (c) all or any portion of any Restricted Stock Units or Restricted Stock granted under the Plan are forfeited or can no longer under any circumstances vest, the shares of Common Stock allocable to or covered by the unexercised or unvested portion of such Options, Stock Appreciation Rights, Restricted Stock Units or Restricted Stock or the shares of Common Stock so reacquired shall again be available for grant or issuance under the Plan. In addition, to the extent shares of Common Stock covered by a Full Value Award are retained or are otherwise not issued by the Company in order to satisfy withholding obligations for Tax-Related Items in connection with the Full Value Award, such shares of Common Stock shall again be available for grant or issuance under the Plan. The following shares of Common Stock may not again be made available for issuance as Awards under the Plan: (x) the gross number of shares of Common Stock subject to outstanding Stock Appreciation Rights settled in exchange for shares of Common Stock, (y) shares of Common Stock used to pay the Exercise Price related to outstanding Options, or (z) shares of Common Stock used to pay withholding taxes related to outstanding Options, Stock Appreciation Rights or Restricted Stock Units. The shares available for issuance under the Plan may be authorized but unissued shares of Common Stock or shares of Common Stock reacquired by the Company.</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4.2Changes in Capital Structure.</w:t>
      </w:r>
      <w:r>
        <w:rPr>
          <w:color w:val="000000"/>
        </w:rPr>
        <w:t xml:space="preserve"> </w:t>
      </w:r>
      <w:r>
        <w:rPr>
          <w:rFonts w:ascii="Times New Roman;sans-serif" w:hAnsi="Times New Roman;sans-serif"/>
          <w:b w:val="false"/>
          <w:color w:val="000000"/>
          <w:sz w:val="20"/>
        </w:rPr>
        <w:t>In the event that the outstanding shares of Common Stock are hereafter increased or decreased or changed into or exchanged for a different number or kind of shares or other securities of the Company by reason of a recapitalization, stock split, reverse stock split, reclassification, stock dividend, or other similar change in the capital structure of the Company, then appropriate adjustments shall be made to the aggregate number and kind of shares subject to this Plan, the number and kind of shares and the price per share subject to or covered by outstanding Award Agreements and the limit on the number of shares under Section 3.3, all in order to preserve, as nearly as practical, but not to increase, the benefits to Participants.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ARTICLE 5. OPTIONS</w:t>
      </w:r>
    </w:p>
    <w:p>
      <w:pPr>
        <w:pStyle w:val="TextBody"/>
        <w:bidi w:val="0"/>
        <w:spacing w:before="0" w:after="0"/>
        <w:ind w:left="0" w:right="0" w:hanging="360"/>
        <w:jc w:val="center"/>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5.1Grant of Stock Options.</w:t>
      </w:r>
      <w:r>
        <w:rPr>
          <w:color w:val="000000"/>
        </w:rPr>
        <w:t xml:space="preserve"> </w:t>
      </w:r>
      <w:r>
        <w:rPr>
          <w:rFonts w:ascii="Times New Roman;sans-serif" w:hAnsi="Times New Roman;sans-serif"/>
          <w:b w:val="false"/>
          <w:color w:val="000000"/>
          <w:sz w:val="20"/>
        </w:rPr>
        <w:t>The Administrator (or pursuant to Section 9.2, an officer of the Company) shall have the right to grant pursuant to this Plan, Options subject to such terms, restrictions and conditions as the Administrator may determine at the time of grant. Such conditions may include, but are not limited to, continued employment or the achievement of specified performance goals or objectives established by the Administrator with respect to one or more Performance Criteria, which require the Administrator to certify whether and the extent to which such Performance Criteria were achieved.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5.2Option Agreements.</w:t>
      </w:r>
      <w:r>
        <w:rPr>
          <w:color w:val="000000"/>
        </w:rPr>
        <w:t xml:space="preserve"> </w:t>
      </w:r>
      <w:r>
        <w:rPr>
          <w:rFonts w:ascii="Times New Roman;sans-serif" w:hAnsi="Times New Roman;sans-serif"/>
          <w:b w:val="false"/>
          <w:color w:val="000000"/>
          <w:sz w:val="20"/>
        </w:rPr>
        <w:t>Each Option granted pursuant to this Plan shall be evidenced by an Option Agreement which shall specify the number of shares subject thereto, vesting provisions relating to such Option, the Exercise Price per share, and whether the Option is an Incentive Option or Nonqualified Option. As soon as is practical following the grant of an Option, an Option Agreement shall be duly executed and delivered by or on behalf of the Company to the Optionee to whom such Option was granted. Each Option Agreement shall be in such form and contain such additional terms and conditions, not inconsistent with the provisions of this Plan, as the Administrator shall, from time to time, deem appropriate. Each Option Agreement may be different from each other Option Agreement.</w:t>
      </w:r>
    </w:p>
    <w:p>
      <w:pPr>
        <w:pStyle w:val="TextBody"/>
        <w:bidi w:val="0"/>
        <w:ind w:left="0" w:right="0" w:hanging="360"/>
        <w:jc w:val="lef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ind w:left="0" w:right="0" w:hanging="720"/>
        <w:jc w:val="left"/>
        <w:rPr/>
      </w:pPr>
      <w:r>
        <w:rPr>
          <w:rFonts w:ascii="Times New Roman;sans-serif" w:hAnsi="Times New Roman;sans-serif"/>
          <w:b/>
          <w:color w:val="000000"/>
          <w:sz w:val="20"/>
        </w:rPr>
        <w:t>5.3Exercise Price.</w:t>
      </w:r>
      <w:r>
        <w:rPr>
          <w:color w:val="000000"/>
        </w:rPr>
        <w:t xml:space="preserve"> </w:t>
      </w:r>
      <w:r>
        <w:rPr>
          <w:rFonts w:ascii="Times New Roman;sans-serif" w:hAnsi="Times New Roman;sans-serif"/>
          <w:b w:val="false"/>
          <w:color w:val="000000"/>
          <w:sz w:val="20"/>
        </w:rPr>
        <w:t>The Exercise Price per share of Common Stock covered by each Option shall be determined by the Administrator, subject to the following: (a) the Exercise Price of an Incentive Option shall not be less than 100% of Fair Market Value on the date the Incentive Option is granted, (b) the Exercise Price of a Nonqualified Option shall not be less than 100% of Fair Market Value on the date the Nonqualified Option is granted, and (c) if the person to whom an Incentive Option is granted is a 10% Stockholder on the date of grant, the Exercise Price shall not be less than 110% of Fair Market Value on the date the Incentive Option is granted. However, an Option may be granted with an Exercise Price lower than that set forth in the preceding sentence if such Option is granted pursuant to an assumption or substitution for another option in a manner satisfying the provisions of Sections 409A and 424 of the Code.</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5.4Payment of Exercise Price.</w:t>
      </w:r>
      <w:r>
        <w:rPr>
          <w:color w:val="000000"/>
        </w:rPr>
        <w:t xml:space="preserve"> </w:t>
      </w:r>
      <w:r>
        <w:rPr>
          <w:rFonts w:ascii="Times New Roman;sans-serif" w:hAnsi="Times New Roman;sans-serif"/>
          <w:b w:val="false"/>
          <w:color w:val="000000"/>
          <w:sz w:val="20"/>
        </w:rPr>
        <w:t>Payment of the Exercise Price shall be made upon exercise of an Option and may be made, in the discretion of the Administrator, subject to any legal restrictions, by: (a) cash; (b) check; (c) the surrender of shares of Common Stock owned by the Optionee, which surrendered shares shall be valued at Fair Market Value as of the date of such exercise; (d) the cancellation of indebtedness of the Company to the Optionee; (e) provided that a public market for the Common Stock exists, a “same day sale” commitment from the Optionee and a FINRA Dealer whereby the Optionee irrevocably elects to exercise the Option and to sell a portion of the shares so purchased to pay for the Exercise Price and whereby the FINRA Dealer irrevocably commits upon receipt of such shares to forward the Exercise Price directly to the Company; or (f) any combination of the foregoing methods of payment or any other consideration or method of payment as shall be permitted by Applicable Law.</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5.5Term and Termination of Options.</w:t>
      </w:r>
      <w:r>
        <w:rPr>
          <w:color w:val="000000"/>
        </w:rPr>
        <w:t xml:space="preserve"> </w:t>
      </w:r>
      <w:r>
        <w:rPr>
          <w:rFonts w:ascii="Times New Roman;sans-serif" w:hAnsi="Times New Roman;sans-serif"/>
          <w:b w:val="false"/>
          <w:color w:val="000000"/>
          <w:sz w:val="20"/>
        </w:rPr>
        <w:t>The term and provisions for termination of each Option shall be as fixed by the Administrator, but no Option may be exercisable more than ten (10) years after the date it is granted. An Incentive Option granted to a person who is a 10% Stockholder on the date of grant shall not be exercisable more than five (5) years after the date it is granted.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5.6Date of Grant.</w:t>
      </w:r>
      <w:r>
        <w:rPr>
          <w:color w:val="000000"/>
        </w:rPr>
        <w:t xml:space="preserve"> </w:t>
      </w:r>
      <w:r>
        <w:rPr>
          <w:rFonts w:ascii="Times New Roman;sans-serif" w:hAnsi="Times New Roman;sans-serif"/>
          <w:b w:val="false"/>
          <w:color w:val="000000"/>
          <w:sz w:val="20"/>
        </w:rPr>
        <w:t>The date of grant of an Option will be the date on which the Administrator makes the determination to grant such Options unless a later date is otherwise specified by the Administrator. The Option Agreement and a copy of this Plan will be delivered to the Optionee within a reasonable time after the granting of the Option.</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5.7Vesting and Exercise of Options.</w:t>
      </w:r>
      <w:r>
        <w:rPr>
          <w:color w:val="000000"/>
        </w:rPr>
        <w:t xml:space="preserve"> </w:t>
      </w:r>
      <w:r>
        <w:rPr>
          <w:rFonts w:ascii="Times New Roman;sans-serif" w:hAnsi="Times New Roman;sans-serif"/>
          <w:b w:val="false"/>
          <w:color w:val="000000"/>
          <w:sz w:val="20"/>
        </w:rPr>
        <w:t>Each Option shall vest and become exercisable in one or more installments at such time or times and subject to such conditions, including without limitation the achievement of specified performance goals or objectives established with respect to one or more Performance Criteria as shall be determined by the Administrator.</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5.8Annual Limit on Incentive Options.</w:t>
      </w:r>
      <w:r>
        <w:rPr>
          <w:color w:val="000000"/>
        </w:rPr>
        <w:t xml:space="preserve"> </w:t>
      </w:r>
      <w:r>
        <w:rPr>
          <w:rFonts w:ascii="Times New Roman;sans-serif" w:hAnsi="Times New Roman;sans-serif"/>
          <w:b w:val="false"/>
          <w:color w:val="000000"/>
          <w:sz w:val="20"/>
        </w:rPr>
        <w:t>To the extent required for “incentive stock option” treatment under Section 422 of the Code, the aggregate Fair Market Value (determined as of the time of grant) of the Common Stock with respect to which Incentive Options granted under this Plan and any other plan of the Company or any Affiliated Company become exercisable for the first time by an Optionee during any calendar year shall not exceed $100,000.</w:t>
      </w:r>
    </w:p>
    <w:p>
      <w:pPr>
        <w:pStyle w:val="TextBody"/>
        <w:bidi w:val="0"/>
        <w:ind w:left="0" w:right="0" w:hanging="360"/>
        <w:jc w:val="lef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ind w:left="0" w:right="0" w:hanging="720"/>
        <w:jc w:val="left"/>
        <w:rPr/>
      </w:pPr>
      <w:r>
        <w:rPr>
          <w:rFonts w:ascii="Times New Roman;sans-serif" w:hAnsi="Times New Roman;sans-serif"/>
          <w:b/>
          <w:color w:val="000000"/>
          <w:sz w:val="20"/>
        </w:rPr>
        <w:t>5.9Nontransferability of Options.</w:t>
      </w:r>
      <w:r>
        <w:rPr>
          <w:color w:val="000000"/>
        </w:rPr>
        <w:t xml:space="preserve"> </w:t>
      </w:r>
      <w:r>
        <w:rPr>
          <w:rFonts w:ascii="Times New Roman;sans-serif" w:hAnsi="Times New Roman;sans-serif"/>
          <w:b w:val="false"/>
          <w:color w:val="000000"/>
          <w:sz w:val="20"/>
        </w:rPr>
        <w:t>Except as otherwise provided in this Section 5.9, Options shall not be assignable or transferable except by will, the laws of descent and distribution or pursuant to a domestic relations order entered by a court in settlement of marital property rights, and during the life of the Optionee, Options shall be exercisable only by the Optionee. At the discretion of the Administrator and in accordance with rules it establishes from time to time, Optionees may be permitted to transfer some or all of their Nonqualified Options to one or more “family members,” which is not a “prohibited transfer for value,” provided that (a) the Optionee (or such Optionee’s estate or representative) shall remain obligated to satisfy all income or other tax withholding obligations associated with the exercise of such Nonqualified Option; (b) the Optionee shall notify the Company in writing that such transfer has occurred and disclose to the Company the name and address of the “family member” or “family members” and their relationship to the Optionee, and (c) such transfer shall be effected pursuant to transfer documents in a form approved by the Administrator. For purposes of the foregoing, the terms “family members” and “prohibited transfer for value” have the meaning ascribed to them in the General Instructions to Form S-8 (or any successor form) promulgated under the Securities Act.</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5.10Rights as a Stockholder.</w:t>
      </w:r>
      <w:r>
        <w:rPr>
          <w:color w:val="000000"/>
        </w:rPr>
        <w:t xml:space="preserve"> </w:t>
      </w:r>
      <w:r>
        <w:rPr>
          <w:rFonts w:ascii="Times New Roman;sans-serif" w:hAnsi="Times New Roman;sans-serif"/>
          <w:b w:val="false"/>
          <w:color w:val="000000"/>
          <w:sz w:val="20"/>
        </w:rPr>
        <w:t>An Optionee or permitted transferee of an Option shall have no rights or privileges as a stockholder with respect to any shares covered by an Option until such Option has been duly exercised in accordance with the terms of the relevant Option Agreement.</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5.11Unvested Shares.</w:t>
      </w:r>
      <w:r>
        <w:rPr>
          <w:color w:val="000000"/>
        </w:rPr>
        <w:t xml:space="preserve"> </w:t>
      </w:r>
      <w:r>
        <w:rPr>
          <w:rFonts w:ascii="Times New Roman;sans-serif" w:hAnsi="Times New Roman;sans-serif"/>
          <w:b w:val="false"/>
          <w:color w:val="000000"/>
          <w:sz w:val="20"/>
        </w:rPr>
        <w:t>The Administrator shall have the discretion to grant Options that are exercisable for unvested shares of Common Stock on such terms and conditions as the Administrator shall determine from time to time.</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5.12Notice of Disqualifying Disposition of Incentive Option Shares.</w:t>
      </w:r>
      <w:r>
        <w:rPr>
          <w:color w:val="000000"/>
        </w:rPr>
        <w:t xml:space="preserve"> </w:t>
      </w:r>
      <w:r>
        <w:rPr>
          <w:rFonts w:ascii="Times New Roman;sans-serif" w:hAnsi="Times New Roman;sans-serif"/>
          <w:b w:val="false"/>
          <w:color w:val="000000"/>
          <w:sz w:val="20"/>
        </w:rPr>
        <w:t>If a Participant sells or otherwise disposes of any of the shares of Common Stock acquired pursuant to the exercise of an Incentive Option on or before the later of (i) the date two (2) years after the date of grant of such Incentive Option, or (ii) the date one (1) year after the date of exercise of such Incentive Option, such Participant shall immediately notify the Company in writing of such disposition.</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5.13Compliance with Code Section 409A.</w:t>
      </w:r>
      <w:r>
        <w:rPr>
          <w:color w:val="000000"/>
        </w:rPr>
        <w:t xml:space="preserve"> </w:t>
      </w:r>
      <w:r>
        <w:rPr>
          <w:rFonts w:ascii="Times New Roman;sans-serif" w:hAnsi="Times New Roman;sans-serif"/>
          <w:b w:val="false"/>
          <w:color w:val="000000"/>
          <w:sz w:val="20"/>
        </w:rPr>
        <w:t>Notwithstanding anything in this Article 5 to the contrary, to the extent that any Option is subject to Code Section 409A, the Option is intended to be structured to satisfy the requirements of Code Section 409A, or an applicable exemption, as determined by the Administrator.</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ARTICLE 6. RESTRICTED STOCK UNITS</w:t>
      </w:r>
    </w:p>
    <w:p>
      <w:pPr>
        <w:pStyle w:val="TextBody"/>
        <w:bidi w:val="0"/>
        <w:spacing w:before="0" w:after="0"/>
        <w:ind w:left="0" w:right="0" w:hanging="360"/>
        <w:jc w:val="center"/>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6.1Grants of Restricted Stock Units.</w:t>
      </w:r>
      <w:r>
        <w:rPr>
          <w:color w:val="000000"/>
        </w:rPr>
        <w:t xml:space="preserve"> </w:t>
      </w:r>
      <w:r>
        <w:rPr>
          <w:rFonts w:ascii="Times New Roman;sans-serif" w:hAnsi="Times New Roman;sans-serif"/>
          <w:b w:val="false"/>
          <w:color w:val="000000"/>
          <w:sz w:val="20"/>
        </w:rPr>
        <w:t>The Administrator shall have the right to grant pursuant to this Plan Restricted Stock Units subject to such terms, restrictions and conditions as the Administrator may determine at the time of grant. Such conditions may include, but are not limited to, continued employment or the achievement of specified performance goals or objectives established by the Administrator with respect to one or more Performance Criteria, which require the Administrator to certify whether and the extent to which such Performance Criteria were achieved.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6.2Restricted Stock Unit Agreements.</w:t>
      </w:r>
      <w:r>
        <w:rPr>
          <w:color w:val="000000"/>
        </w:rPr>
        <w:t xml:space="preserve"> </w:t>
      </w:r>
      <w:r>
        <w:rPr>
          <w:rFonts w:ascii="Times New Roman;sans-serif" w:hAnsi="Times New Roman;sans-serif"/>
          <w:b w:val="false"/>
          <w:color w:val="000000"/>
          <w:sz w:val="20"/>
        </w:rPr>
        <w:t>A Participant shall have no rights with respect to the Restricted Stock Units covered by a Restricted Stock Unit Agreement until the Participant has executed and delivered to the Company the applicable Restricted Stock Unit Agreement. Each Restricted Stock Unit Agreement shall be in such form, and shall set forth such other terms, conditions, and restrictions of the Restricted Stock Unit Agreement, not inconsistent with the provisions of this Plan, as the Administrator shall, from time to time, deem appropriate. Each Restricted Stock Unit Agreement may be different from each other Restricted Stock Unit Agreement.</w:t>
      </w:r>
    </w:p>
    <w:p>
      <w:pPr>
        <w:pStyle w:val="TextBody"/>
        <w:bidi w:val="0"/>
        <w:spacing w:before="0" w:after="0"/>
        <w:ind w:left="0" w:right="0" w:hanging="360"/>
        <w:jc w:val="left"/>
        <w:rPr/>
      </w:pPr>
      <w:r>
        <w:rPr/>
      </w:r>
    </w:p>
    <w:p>
      <w:pPr>
        <w:pStyle w:val="TextBody"/>
        <w:bidi w:val="0"/>
        <w:spacing w:lineRule="auto" w:line="288"/>
        <w:ind w:left="0" w:right="0" w:hanging="720"/>
        <w:jc w:val="left"/>
        <w:rPr/>
      </w:pPr>
      <w:r>
        <w:rPr>
          <w:rFonts w:ascii="Times New Roman;sans-serif" w:hAnsi="Times New Roman;sans-serif"/>
          <w:b/>
          <w:color w:val="000000"/>
          <w:sz w:val="20"/>
        </w:rPr>
        <w:t xml:space="preserve">6.3Vesting of Restricted Stock Units. </w:t>
      </w:r>
      <w:r>
        <w:rPr>
          <w:rFonts w:ascii="Times New Roman;sans-serif" w:hAnsi="Times New Roman;sans-serif"/>
          <w:b w:val="false"/>
          <w:color w:val="000000"/>
          <w:sz w:val="20"/>
        </w:rPr>
        <w:t>Each Restricted Stock Unit shall vest in one or more installments at such time or times and subject to such conditions, including without limitation the achievement of specified performance goals or objectives established with respect to one or more Performance Criteria as shall be determined by the Administrator.</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6.4Form and Timing of Settlement.</w:t>
      </w:r>
      <w:r>
        <w:rPr>
          <w:color w:val="000000"/>
        </w:rPr>
        <w:t xml:space="preserve"> </w:t>
      </w:r>
      <w:r>
        <w:rPr>
          <w:rFonts w:ascii="Times New Roman;sans-serif" w:hAnsi="Times New Roman;sans-serif"/>
          <w:b w:val="false"/>
          <w:color w:val="000000"/>
          <w:sz w:val="20"/>
        </w:rPr>
        <w:t>Except as otherwise provided in a Restricted Stock Unit Agreement, settlement in respect of vested Restricted Stock Units will be automatic upon vesting thereof. Payment in respect thereof will be made no later than thirty (30) days thereafter and may, in the discretion of the Administrator, be in cash, shares of Common Stock of equivalent Fair Market Value as of the date of vesting, or a combination of both, except as otherwise provided in a Restricted Stock Unit Agreement.</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6.5Rights as a Stockholder.</w:t>
      </w:r>
      <w:r>
        <w:rPr>
          <w:color w:val="000000"/>
        </w:rPr>
        <w:t xml:space="preserve"> </w:t>
      </w:r>
      <w:r>
        <w:rPr>
          <w:rFonts w:ascii="Times New Roman;sans-serif" w:hAnsi="Times New Roman;sans-serif"/>
          <w:b w:val="false"/>
          <w:color w:val="000000"/>
          <w:sz w:val="20"/>
        </w:rPr>
        <w:t>Holders of Restricted Stock Units shall have no rights or privileges as a stockholder with respect to any shares of Common Stock covered thereby unless and until they become owners of shares of Common Stock following settlement in respect of such Restricted Stock Units, in whole or in part, in shares of Common Stock, pursuant to the terms, restrictions and conditions set forth in the relevant Restricted Stock Unit Agreement.</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6.6Restrictions.</w:t>
      </w:r>
      <w:r>
        <w:rPr>
          <w:color w:val="000000"/>
        </w:rPr>
        <w:t xml:space="preserve"> </w:t>
      </w:r>
      <w:r>
        <w:rPr>
          <w:rFonts w:ascii="Times New Roman;sans-serif" w:hAnsi="Times New Roman;sans-serif"/>
          <w:b w:val="false"/>
          <w:color w:val="000000"/>
          <w:sz w:val="20"/>
        </w:rPr>
        <w:t>Restricted Stock Units may not be sold, pledged, or otherwise encumbered or disposed of and shall not be assignable or transferable except by will, the laws of descent and distribution or pursuant to a domestic relations order entered by a court in settlement of marital property rights, except as specifically provided in the Restricted Stock Unit Agreement or as authorized by the Administrator.</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 xml:space="preserve">6.7Compliance with Code Section 409A. </w:t>
      </w:r>
      <w:r>
        <w:rPr>
          <w:rFonts w:ascii="Times New Roman;sans-serif" w:hAnsi="Times New Roman;sans-serif"/>
          <w:b w:val="false"/>
          <w:color w:val="000000"/>
          <w:sz w:val="20"/>
        </w:rPr>
        <w:t>Notwithstanding anything in this Article 6 to the contrary, all awards of Restricted Stock Units must be structured to satisfy the requirements of Code Section 409A, or an applicable exemption, as determined by the Administrator.</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ARTICLE 7. RESTRICTED STOCK</w:t>
      </w:r>
    </w:p>
    <w:p>
      <w:pPr>
        <w:pStyle w:val="TextBody"/>
        <w:bidi w:val="0"/>
        <w:spacing w:before="0" w:after="0"/>
        <w:ind w:left="0" w:right="0" w:hanging="360"/>
        <w:jc w:val="center"/>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7.1Issuance and Sale of Restricted Stock.</w:t>
      </w:r>
      <w:r>
        <w:rPr>
          <w:color w:val="000000"/>
        </w:rPr>
        <w:t xml:space="preserve"> </w:t>
      </w:r>
      <w:r>
        <w:rPr>
          <w:rFonts w:ascii="Times New Roman;sans-serif" w:hAnsi="Times New Roman;sans-serif"/>
          <w:b w:val="false"/>
          <w:color w:val="000000"/>
          <w:sz w:val="20"/>
        </w:rPr>
        <w:t>The Administrator shall have the right to issue shares of Restricted Stock subject to such terms, restrictions and conditions as the Administrator may determine at the time of grant. Such conditions may include, but are not limited to, continued employment or the achievement of specified performance goals or objectives established by the Administrator with respect to one or more Performance Criteria, which require the Administrator to certify whether and the extent to which such Performance Criteria were achieved. The Purchase Price of Restricted Stock (which may be zero) shall be determined by the Administrator.</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7.2Restricted Stock Purchase Agreements.</w:t>
      </w:r>
      <w:r>
        <w:rPr>
          <w:color w:val="000000"/>
        </w:rPr>
        <w:t xml:space="preserve"> </w:t>
      </w:r>
      <w:r>
        <w:rPr>
          <w:rFonts w:ascii="Times New Roman;sans-serif" w:hAnsi="Times New Roman;sans-serif"/>
          <w:b w:val="false"/>
          <w:color w:val="000000"/>
          <w:sz w:val="20"/>
        </w:rPr>
        <w:t>A Participant shall have no rights with respect to the shares of Restricted Stock covered by a Restricted Stock Agreement until the Participant has paid the full Purchase Price, if any, to the Company in the manner set forth in Section 7.3 and has executed and delivered to the Company the applicable Restricted Stock Agreement. Each Restricted Stock Agreement shall be in such form, and shall set forth such terms, conditions, and restrictions of the Restricted Stock, not inconsistent with the provisions of this Plan, as the Administrator shall, from time to time, deem appropriate. Each Restricted Stock Agreement may be different from each other Restricted Stock Agreement.</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7.3Payment of Purchase Price.</w:t>
      </w:r>
      <w:r>
        <w:rPr>
          <w:color w:val="000000"/>
        </w:rPr>
        <w:t xml:space="preserve"> </w:t>
      </w:r>
      <w:r>
        <w:rPr>
          <w:rFonts w:ascii="Times New Roman;sans-serif" w:hAnsi="Times New Roman;sans-serif"/>
          <w:b w:val="false"/>
          <w:color w:val="000000"/>
          <w:sz w:val="20"/>
        </w:rPr>
        <w:t>Subject to any legal restrictions, payment of the Purchase Price, if any, may be made, in the discretion of the Administrator, by: (a) cash; (b) check; (c) the Participant’s promissory note in a form and on terms acceptable to the Administrator; (d) the cancellation of indebtedness of the Company to the Participant; (e) the waiver of compensation due or accrued to the Participant for services rendered; or (f) any combination of the foregoing methods of payment or any other consideration or method of payment as shall be permitted by Applicable Law.</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7.4Vesting of Restricted Stock.</w:t>
      </w:r>
      <w:r>
        <w:rPr>
          <w:color w:val="000000"/>
        </w:rPr>
        <w:t xml:space="preserve"> </w:t>
      </w:r>
      <w:r>
        <w:rPr>
          <w:rFonts w:ascii="Times New Roman;sans-serif" w:hAnsi="Times New Roman;sans-serif"/>
          <w:b w:val="false"/>
          <w:color w:val="000000"/>
          <w:sz w:val="20"/>
        </w:rPr>
        <w:t>Each share of Restricted Stock shall vest in one or more installments at such time or times and subject to such conditions, including without limitation the achievement of specified performance goals or objectives established with respect to one or more Performance Criteria as shall be determined by the Administrator.</w:t>
      </w:r>
    </w:p>
    <w:p>
      <w:pPr>
        <w:pStyle w:val="TextBody"/>
        <w:bidi w:val="0"/>
        <w:ind w:left="0" w:right="0" w:hanging="360"/>
        <w:jc w:val="lef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ind w:left="0" w:right="0" w:hanging="720"/>
        <w:jc w:val="left"/>
        <w:rPr/>
      </w:pPr>
      <w:r>
        <w:rPr>
          <w:rFonts w:ascii="Times New Roman;sans-serif" w:hAnsi="Times New Roman;sans-serif"/>
          <w:b/>
          <w:color w:val="000000"/>
          <w:sz w:val="20"/>
        </w:rPr>
        <w:t>7.5Rights as a Stockholder.</w:t>
      </w:r>
      <w:r>
        <w:rPr>
          <w:color w:val="000000"/>
        </w:rPr>
        <w:t xml:space="preserve"> </w:t>
      </w:r>
      <w:r>
        <w:rPr>
          <w:rFonts w:ascii="Times New Roman;sans-serif" w:hAnsi="Times New Roman;sans-serif"/>
          <w:b w:val="false"/>
          <w:color w:val="000000"/>
          <w:sz w:val="20"/>
        </w:rPr>
        <w:t>Upon complying with the provisions of Section 7.2, a Participant shall have the rights of a stockholder with respect to Restricted Stock, including voting and dividend rights (subject to Section 9.6), subject to the terms, restrictions and conditions set forth in the relevant Restricted Stock Agreement.</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7.6Dividends.</w:t>
      </w:r>
      <w:r>
        <w:rPr>
          <w:color w:val="000000"/>
        </w:rPr>
        <w:t xml:space="preserve"> </w:t>
      </w:r>
      <w:r>
        <w:rPr>
          <w:rFonts w:ascii="Times New Roman;sans-serif" w:hAnsi="Times New Roman;sans-serif"/>
          <w:b w:val="false"/>
          <w:color w:val="000000"/>
          <w:sz w:val="20"/>
        </w:rPr>
        <w:t>If payment for shares of Restricted Stock is made by promissory note, any cash dividends paid with respect to the Restricted Stock may be applied, in the discretion of the Administrator, to repayment of such note.</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7.7Compliance with Code Section 409A</w:t>
      </w:r>
      <w:r>
        <w:rPr>
          <w:rFonts w:ascii="Times New Roman;sans-serif" w:hAnsi="Times New Roman;sans-serif"/>
          <w:b/>
          <w:i/>
          <w:color w:val="000000"/>
          <w:sz w:val="20"/>
        </w:rPr>
        <w:t xml:space="preserve">. </w:t>
      </w:r>
      <w:r>
        <w:rPr>
          <w:rFonts w:ascii="Times New Roman;sans-serif" w:hAnsi="Times New Roman;sans-serif"/>
          <w:b w:val="false"/>
          <w:color w:val="000000"/>
          <w:sz w:val="20"/>
        </w:rPr>
        <w:t>Notwithstanding anything in this Article 7 to the contrary, all awards of Restricted Stock must be structured to satisfy the requirements of Code Section 409A, or an applicable exemption, as determined by the Administrator.</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ARTICLE 8. STOCK APPRECIATION RIGHTS</w:t>
      </w:r>
    </w:p>
    <w:p>
      <w:pPr>
        <w:pStyle w:val="TextBody"/>
        <w:bidi w:val="0"/>
        <w:spacing w:before="0" w:after="0"/>
        <w:ind w:left="0" w:right="0" w:hanging="360"/>
        <w:jc w:val="center"/>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8.1Grants of Stock Appreciation Rights.</w:t>
      </w:r>
      <w:r>
        <w:rPr>
          <w:color w:val="000000"/>
        </w:rPr>
        <w:t xml:space="preserve"> </w:t>
      </w:r>
      <w:r>
        <w:rPr>
          <w:rFonts w:ascii="Times New Roman;sans-serif" w:hAnsi="Times New Roman;sans-serif"/>
          <w:b w:val="false"/>
          <w:color w:val="000000"/>
          <w:sz w:val="20"/>
        </w:rPr>
        <w:t>The Administrator shall have the right to grant pursuant to this Plan, Stock Appreciation Rights subject to such terms, restrictions and conditions as the Administrator may determine at the time of grant. Such conditions may include, but are not limited to, continued employment or the achievement of specified performance goals or objectives established by the Administrator with respect to one or more Performance Criteria, which require the Administrator to certify whether and the extent to which such Performance Criteria were achieved.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8.2Stock Appreciation Right Agreements.</w:t>
      </w:r>
      <w:r>
        <w:rPr>
          <w:color w:val="000000"/>
        </w:rPr>
        <w:t xml:space="preserve"> </w:t>
      </w:r>
      <w:r>
        <w:rPr>
          <w:rFonts w:ascii="Times New Roman;sans-serif" w:hAnsi="Times New Roman;sans-serif"/>
          <w:b w:val="false"/>
          <w:color w:val="000000"/>
          <w:sz w:val="20"/>
        </w:rPr>
        <w:t>A Participant shall have no rights with respect to the Stock Appreciation Rights covered by a Stock Appreciation Right Agreement until the Participant has executed and delivered to the Company the applicable Stock Appreciation Right Agreement. Each Stock Appreciation Right Agreement shall be in such form and shall set forth the Base Price and such other terms, conditions and restrictions of the Stock Appreciation Right Agreement, not inconsistent with the provisions of this Plan, as the Administrator shall, from time to time, deem appropriate. Each such Stock Appreciation Right Agreement may be different from each other Stock Appreciation Right Agreement.</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8.3Base Price.</w:t>
      </w:r>
      <w:r>
        <w:rPr>
          <w:color w:val="000000"/>
        </w:rPr>
        <w:t xml:space="preserve"> </w:t>
      </w:r>
      <w:r>
        <w:rPr>
          <w:rFonts w:ascii="Times New Roman;sans-serif" w:hAnsi="Times New Roman;sans-serif"/>
          <w:b w:val="false"/>
          <w:color w:val="000000"/>
          <w:sz w:val="20"/>
        </w:rPr>
        <w:t>The Base Price per share of Common Stock covered by each Stock Appreciation Right shall be determined by the Administrator and will be not less than 100% of Fair Market Value on the date the Stock Appreciation Right is granted. However, a Stock Appreciation Right may be granted with a Base Price lower than that set forth in the preceding sentence if such Stock Appreciation Right is granted pursuant to an assumption or substitution for another stock appreciation right in a manner satisfying the provisions of Section 409A of the Code.</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8.4Term and Termination of Stock Appreciation Rights.</w:t>
      </w:r>
      <w:r>
        <w:rPr>
          <w:color w:val="000000"/>
        </w:rPr>
        <w:t xml:space="preserve"> </w:t>
      </w:r>
      <w:r>
        <w:rPr>
          <w:rFonts w:ascii="Times New Roman;sans-serif" w:hAnsi="Times New Roman;sans-serif"/>
          <w:b w:val="false"/>
          <w:color w:val="000000"/>
          <w:sz w:val="20"/>
        </w:rPr>
        <w:t>The term and provisions for termination of each Stock Appreciation Right shall be as fixed by the Administrator, but no Stock Appreciation Right may be exercisable more than ten (10) years after the date it is granted.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8.5Vesting and Exercise of Stock Appreciation Rights.</w:t>
      </w:r>
      <w:r>
        <w:rPr>
          <w:color w:val="000000"/>
        </w:rPr>
        <w:t xml:space="preserve"> </w:t>
      </w:r>
      <w:r>
        <w:rPr>
          <w:rFonts w:ascii="Times New Roman;sans-serif" w:hAnsi="Times New Roman;sans-serif"/>
          <w:b w:val="false"/>
          <w:color w:val="000000"/>
          <w:sz w:val="20"/>
        </w:rPr>
        <w:t>Each Stock Appreciation Right shall vest and become exercisable in one or more installments at such time or times and subject to such conditions, including without limitation the achievement of specified performance goals or objectives as shall be determined by the Administrator.</w:t>
      </w:r>
    </w:p>
    <w:p>
      <w:pPr>
        <w:pStyle w:val="TextBody"/>
        <w:bidi w:val="0"/>
        <w:ind w:left="0" w:right="0" w:hanging="360"/>
        <w:jc w:val="lef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ind w:left="0" w:right="0" w:hanging="720"/>
        <w:jc w:val="left"/>
        <w:rPr/>
      </w:pPr>
      <w:r>
        <w:rPr>
          <w:rFonts w:ascii="Times New Roman;sans-serif" w:hAnsi="Times New Roman;sans-serif"/>
          <w:b/>
          <w:color w:val="000000"/>
          <w:sz w:val="20"/>
        </w:rPr>
        <w:t>8.6Amount, Form and Timing of Settlement.</w:t>
      </w:r>
      <w:r>
        <w:rPr>
          <w:color w:val="000000"/>
        </w:rPr>
        <w:t xml:space="preserve"> </w:t>
      </w:r>
      <w:r>
        <w:rPr>
          <w:rFonts w:ascii="Times New Roman;sans-serif" w:hAnsi="Times New Roman;sans-serif"/>
          <w:b w:val="false"/>
          <w:color w:val="000000"/>
          <w:sz w:val="20"/>
        </w:rPr>
        <w:t>Upon exercise of a Stock Appreciation Right, the Participant who holds such Stock Appreciation Right will be entitled to receive payment from the Company in an amount equal to the product of (a) the difference between the Fair Market Value of a share of Common Stock on the date of exercise over the Base Price per share of Common Stock covered by such Stock Appreciation Right and (b) the number of shares of Common Stock with respect to which such Stock Appreciation Right is being exercised. Payment in respect thereof will be made no later than thirty (30) days after such exercise, provided that such payment will be made in a manner such that no amount of compensation will be treated as deferred under Treasury Regulation Section 1.409A</w:t>
        <w:noBreakHyphen/>
        <w:t>1(b)(5)(i)(D). Such payment may, in the discretion of the Administrator, be in cash, shares of Common Stock of equivalent Fair Market Value as of the date of exercise, or a combination of both, except as specifically provided in the Stock Appreciation Right Agreement.</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8.7Rights as a Stockholder.</w:t>
      </w:r>
      <w:r>
        <w:rPr>
          <w:color w:val="000000"/>
        </w:rPr>
        <w:t xml:space="preserve"> </w:t>
      </w:r>
      <w:r>
        <w:rPr>
          <w:rFonts w:ascii="Times New Roman;sans-serif" w:hAnsi="Times New Roman;sans-serif"/>
          <w:b w:val="false"/>
          <w:color w:val="000000"/>
          <w:sz w:val="20"/>
        </w:rPr>
        <w:t>Holders of Stock Appreciation Rights shall have no rights or privileges as a stockholder with respect to any shares of Common Stock covered thereby unless and until they become owners of shares of Common Stock following settlement in respect of such Stock Appreciation Rights, in whole or in part, in shares of Common Stock, pursuant to the terms, restrictions and conditions set forth in the relevant Stock Appreciation Rights Agreement.</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8.8Restrictions</w:t>
      </w:r>
      <w:r>
        <w:rPr>
          <w:rFonts w:ascii="Times New Roman;sans-serif" w:hAnsi="Times New Roman;sans-serif"/>
          <w:b w:val="false"/>
          <w:color w:val="000000"/>
          <w:sz w:val="20"/>
        </w:rPr>
        <w:t>. Stock Appreciation Rights may not be sold, pledged, or otherwise encumbered or disposed of and shall not be assignable or transferable except by will, the laws of descent and distribution or pursuant to a domestic relations order entered by a court in settlement of marital property rights, except as specifically provided in the Stock Appreciation Right Agreement or as authorized by the Administrator.</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8.9Unvested Shares.</w:t>
      </w:r>
      <w:r>
        <w:rPr>
          <w:color w:val="000000"/>
        </w:rPr>
        <w:t xml:space="preserve"> </w:t>
      </w:r>
      <w:r>
        <w:rPr>
          <w:rFonts w:ascii="Times New Roman;sans-serif" w:hAnsi="Times New Roman;sans-serif"/>
          <w:b w:val="false"/>
          <w:color w:val="000000"/>
          <w:sz w:val="20"/>
        </w:rPr>
        <w:t>The Administrator shall have the discretion to grant Stock Appreciation Rights that may be exercised or settled for unvested shares of Common Stock on such terms and conditions as the Administrator shall determine from time to time.</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8.10Compliance with Code Section 409A.</w:t>
      </w:r>
      <w:r>
        <w:rPr>
          <w:color w:val="000000"/>
        </w:rPr>
        <w:t xml:space="preserve"> </w:t>
      </w:r>
      <w:r>
        <w:rPr>
          <w:rFonts w:ascii="Times New Roman;sans-serif" w:hAnsi="Times New Roman;sans-serif"/>
          <w:b w:val="false"/>
          <w:color w:val="000000"/>
          <w:sz w:val="20"/>
        </w:rPr>
        <w:t>Notwithstanding anything in this Article 8 to the contrary, all award of Stock Appreciation Rights are intended to be structured to satisfy the requirements of Code Section 409A, or an applicable exemption, as determined by the Administrator.</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9. ADMINISTRATION OF THE PLAN</w:t>
      </w:r>
    </w:p>
    <w:p>
      <w:pPr>
        <w:pStyle w:val="TextBody"/>
        <w:bidi w:val="0"/>
        <w:spacing w:before="0" w:after="0"/>
        <w:jc w:val="center"/>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 xml:space="preserve">9.1Administrator. </w:t>
      </w:r>
      <w:r>
        <w:rPr>
          <w:rFonts w:ascii="Times New Roman;sans-serif" w:hAnsi="Times New Roman;sans-serif"/>
          <w:b w:val="false"/>
          <w:color w:val="000000"/>
          <w:sz w:val="20"/>
        </w:rPr>
        <w:t>Authority to control and manage the operation and administration of the Plan shall be vested in the Board, which may delegate such responsibilities in whole or in part to the Committee. Each of the members shall meet the independence requirements under the then applicable rules, regulations or listing requirements adopted by The Nasdaq Stock Market or the principal exchange on which the Common Stock is then listed or admitted to trading. Members of the Committee may be appointed from time to time by, and shall serve at the pleasure of, the Board. The Board may limit the composition of the Committee to those persons necessary to comply with the requirements of Section 16 of the Exchange Act. As used herein, the term “Administrator” means the Board or, with respect to any matter as to which responsibility has been delegated to the Committee, the term Administrator shall mean the Committee.</w:t>
      </w:r>
    </w:p>
    <w:p>
      <w:pPr>
        <w:pStyle w:val="TextBody"/>
        <w:bidi w:val="0"/>
        <w:ind w:left="0" w:right="0" w:hanging="360"/>
        <w:jc w:val="lef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ind w:left="0" w:right="0" w:hanging="720"/>
        <w:jc w:val="left"/>
        <w:rPr/>
      </w:pPr>
      <w:r>
        <w:rPr>
          <w:rFonts w:ascii="Times New Roman;sans-serif" w:hAnsi="Times New Roman;sans-serif"/>
          <w:b/>
          <w:color w:val="000000"/>
          <w:sz w:val="20"/>
        </w:rPr>
        <w:t>9.2Delegation of Authority.</w:t>
      </w:r>
      <w:r>
        <w:rPr>
          <w:color w:val="000000"/>
        </w:rPr>
        <w:t xml:space="preserve"> </w:t>
      </w:r>
      <w:r>
        <w:rPr>
          <w:rFonts w:ascii="Times New Roman;sans-serif" w:hAnsi="Times New Roman;sans-serif"/>
          <w:b w:val="false"/>
          <w:color w:val="000000"/>
          <w:sz w:val="20"/>
        </w:rPr>
        <w:t>To the extent permitted by Applicable Law, the Board or Committee may from time to time delegate to a committee of one or more members of the Board or one or more officers of the Company or to such other person or body as it deems appropriate the authority to grant or amend Awards or to take other administrative actions pursuant to this Article 9; provided, however, that in no event shall an officer of the Company or other person or body as referenced herein be delegated the authority to grant Awards to, or amend Awards held by: (a) individuals who are subject to Section 16 of the Exchange Act or (b) officers of the Company (or Directors) or other persons or bodies to whom authority to grant or amend Awards has been delegated hereunder; provided, further, that any delegation of administrative authority shall only be permitted to the extent it is permissible under Applicable Law. Any delegation hereunder shall be subject to the restrictions and limits that the Board or Committee specifies at the time of such delegation, and the Board may at any time rescind the authority so delegated or appoint a new delegatee. At all times, the delegatee appointed under this Section 9.2 shall serve in such capacity at the pleasure of the Board and the Committee.</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 xml:space="preserve">9.3Powers of the Administrator. </w:t>
      </w:r>
      <w:r>
        <w:rPr>
          <w:rFonts w:ascii="Times New Roman;sans-serif" w:hAnsi="Times New Roman;sans-serif"/>
          <w:b w:val="false"/>
          <w:color w:val="000000"/>
          <w:sz w:val="20"/>
        </w:rPr>
        <w:t>In addition to any other powers or authority conferred upon the Administrator elsewhere in this Plan or by law, the Administrator shall have full power and authority: (a) to determine the persons to whom, and the time or times at which, Incentive Options, Nonqualified Options, Restricted Stock Units, Restricted Stock or Stock Appreciation Rights shall be granted, the number of shares to be represented by each Award Agreement, and the Exercise Price of such Options, the Purchase Price of the Restricted Stock and the Base Price of such Stock Appreciation Rights; (b) to interpret the Plan; (c) to create, amend or rescind rules and regulations relating to the Plan; (d) to determine the terms, conditions and restrictions contained in, and the form of, Award Agreements; (e) to determine the identity or capacity of any persons who may be entitled to exercise a Participant’s rights under any Option Agreement, Restricted Stock Unit Agreement, Restricted Stock Agreement or Stock Appreciation Right Agreement under the Plan; (f) to correct any defect or supply any omission or reconcile any inconsistency in the Plan or in any Award Agreement; (g) to accelerate the vesting of any Award; (h) to extend the expiration date of any Option Agreement or Stock Appreciation Right Agreement; (i) to amend outstanding Award Agreements to provide for, among other things, any change or modification which the Administrator could have included in the original agreement or in furtherance of the powers provided for herein; and (j) to make all other determinations necessary or advisable for the administration of this Plan, but only to the extent not contrary to the express provisions of this Plan. Any action, decision, interpretation, or determination made in good faith by the Administrator in the exercise of its authority conferred upon it under this Plan shall be final and binding on the Company and all Participants. Notwithstanding any term or provision in this Plan, the Administrator shall not have the power or authority, by amendment or otherwise to extend the expiration date of an Option or Stock Appreciation Right beyond the original expiration date of such Option or Stock Appreciation Right.</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 xml:space="preserve">9.4Repricing Prohibited. </w:t>
      </w:r>
      <w:r>
        <w:rPr>
          <w:rFonts w:ascii="Times New Roman;sans-serif" w:hAnsi="Times New Roman;sans-serif"/>
          <w:b w:val="false"/>
          <w:color w:val="000000"/>
          <w:sz w:val="20"/>
        </w:rPr>
        <w:t>Subject to Section 4.2, and except in connection with a corporate transaction involving the Company (including, without limitation, any stock dividend, stock split, extraordinary cash dividend, recapitalization, reorganization, merger, consolidation, split-up, spin-off, combination, or exchange of shares), neither the Committee nor the Board shall amend the terms of outstanding Awards to reduce the Exercise Price of outstanding Options or the Base Price of outstanding Stock Appreciation Rights or cancel outstanding Options or Stock Appreciation Rights in exchange for cash, Options with an Exercise Price that is less than the Exercise Price of the original Options, or Stock Appreciation Rights with a Base Price that is less than the Base Price of the original Stock Appreciation Rights, in each case without approval of the Company’s stockholders, evidenced by a majority of votes cast.</w:t>
      </w:r>
    </w:p>
    <w:p>
      <w:pPr>
        <w:pStyle w:val="TextBody"/>
        <w:bidi w:val="0"/>
        <w:spacing w:before="0" w:after="0"/>
        <w:ind w:left="0" w:right="0" w:hanging="360"/>
        <w:jc w:val="left"/>
        <w:rPr/>
      </w:pPr>
      <w:r>
        <w:rPr/>
      </w:r>
    </w:p>
    <w:p>
      <w:pPr>
        <w:pStyle w:val="TextBody"/>
        <w:bidi w:val="0"/>
        <w:spacing w:lineRule="auto" w:line="288"/>
        <w:ind w:left="0" w:right="0" w:hanging="720"/>
        <w:jc w:val="left"/>
        <w:rPr/>
      </w:pPr>
      <w:r>
        <w:rPr>
          <w:rFonts w:ascii="Times New Roman;sans-serif" w:hAnsi="Times New Roman;sans-serif"/>
          <w:b/>
          <w:color w:val="000000"/>
          <w:sz w:val="20"/>
        </w:rPr>
        <w:t>9.5Limitation on Liability.</w:t>
      </w:r>
      <w:r>
        <w:rPr>
          <w:color w:val="000000"/>
        </w:rPr>
        <w:t xml:space="preserve"> </w:t>
      </w:r>
      <w:r>
        <w:rPr>
          <w:rFonts w:ascii="Times New Roman;sans-serif" w:hAnsi="Times New Roman;sans-serif"/>
          <w:b w:val="false"/>
          <w:color w:val="000000"/>
          <w:sz w:val="20"/>
        </w:rPr>
        <w:t>No employee of the Company or member of the Board or Committee shall be subject to any liability with respect to duties under the Plan unless the person acts fraudulently or in bad faith. To the extent permitted by law, the Company shall indemnify each member of the Board or Committee, and any employee of the Company with duties under the Plan, who was or is a party, or is threatened to be made a party, to any threatened, pending or completed proceeding, whether civil, criminal, administrative or investigative, by reason of such person’s conduct in the performance of duties under the Plan.</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9.6No Dividends on Unvested Awards.</w:t>
      </w:r>
      <w:r>
        <w:rPr>
          <w:color w:val="000000"/>
        </w:rPr>
        <w:t xml:space="preserve"> </w:t>
      </w:r>
      <w:r>
        <w:rPr>
          <w:rFonts w:ascii="Times New Roman;sans-serif" w:hAnsi="Times New Roman;sans-serif"/>
          <w:b w:val="false"/>
          <w:color w:val="000000"/>
          <w:sz w:val="20"/>
        </w:rPr>
        <w:t>The Administrator may not provide for the current payment of dividends or dividend equivalents with respect to any shares of Common Stock subject to an outstanding Award granted under the Plan (or portion thereof) that has not vested. For any such Award, the Administrator may provide only for the accrual of dividends or dividend equivalents that will not be payable to the Participant unless and until, and only to the extent that, such Award vests. No dividends or dividend equivalents shall be paid on Options or Stock Appreciation Rights.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ARTICLE 10. RESTRICTIONS; EXTENSIONS</w:t>
      </w:r>
    </w:p>
    <w:p>
      <w:pPr>
        <w:pStyle w:val="TextBody"/>
        <w:bidi w:val="0"/>
        <w:spacing w:before="0" w:after="0"/>
        <w:ind w:left="0" w:right="0" w:hanging="360"/>
        <w:jc w:val="center"/>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10.1Clawback/Recovery.</w:t>
      </w:r>
      <w:r>
        <w:rPr>
          <w:color w:val="000000"/>
        </w:rPr>
        <w:t xml:space="preserve"> </w:t>
      </w:r>
      <w:r>
        <w:rPr>
          <w:rFonts w:ascii="Times New Roman;sans-serif" w:hAnsi="Times New Roman;sans-serif"/>
          <w:b w:val="false"/>
          <w:color w:val="000000"/>
          <w:sz w:val="20"/>
        </w:rPr>
        <w:t>All Options and Stock Appreciation Rights, or any shares of Common Stock or cash issued or awarded pursuant to the exercise of Options or Stock Appreciation Rights, and all Restricted Stock and Restricted Stock Units will be subject to recoupment in accordance with any clawback or recovery policy that the Company adopts pursuant to the listing standards of any national securities exchange or association on which the Company’s securities are listed or as is otherwise required by the Dodd-Frank Wall Street Reform and Consumer Protection Act or other Applicable Law. In addition, the Administrator may impose such other clawback, recovery or recoupment provisions in an Award Agreement as the Administrator determines necessary or appropriate, including but not limited to a reacquisition right in respect of previously acquired shares of Common Stock or other cash or property upon the occurrence of an event constituting Cause. No recovery of compensation under such a clawback policy will be an event giving rise to a right to resign for “good reason” or “constructive termination” (or similar term) under any agreement with the Company.</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10.2Termination for Cause.</w:t>
      </w:r>
      <w:r>
        <w:rPr>
          <w:color w:val="000000"/>
        </w:rPr>
        <w:t xml:space="preserve"> </w:t>
      </w:r>
      <w:r>
        <w:rPr>
          <w:rFonts w:ascii="Times New Roman;sans-serif" w:hAnsi="Times New Roman;sans-serif"/>
          <w:b w:val="false"/>
          <w:color w:val="000000"/>
          <w:sz w:val="20"/>
        </w:rPr>
        <w:t>Except as explicitly provided otherwise in a Participant’s Stock Option Agreement or Stock Appreciation Right Agreement or other individual written agreement between the Company or any Affiliated Company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date of such termination of Continuous Service. “Cause” will have the meaning ascribed to such term in any written agreement between the Participant and the Company defining such term and, in the absence of such agreement, shall mean Cause as defined in this Plan. The determination that a termination of the Participant’s Continuous Service is either for Cause or without Cause will be made by the Administrator, in its sole discretion. Any determination by the Administrator that the Continuous Service of a Participant was terminated with or without Cause for the purposes of outstanding Options or Stock Appreciation Rights held by such Participant will have no effect upon any determination of the rights or obligations of the Company or such Participant for any other purpose.</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10.3Extension of Termination Date.</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(a)If the exercise of an Option or Stock Appreciation Right following the termination of the Participant’s Continuous Service (other than for Cause and other than upon the Participant’s death or Disability) would be prohibited at any time solely because the issuance of shares of Common Stock would violate the Securities Act, then the Option or Stock Appreciation Right will terminate on the earlier of (i) the expiration of a total period of time (that need not be consecutive) equal to the applicable post termination exercise period after the termination of the Participant’s Continuous Service (as set forth in the applicable Award Agreement) as extended for any period of time during which the exercise of the Option or Stock Appreciation Right would violate the Securities Act, and (ii) the final expiration of the Option or Stock Appreciation Right as set forth in the applicable Stock Option Agreement or Stock Appreciation Right Agreement.</w:t>
      </w:r>
    </w:p>
    <w:p>
      <w:pPr>
        <w:pStyle w:val="TextBody"/>
        <w:bidi w:val="0"/>
        <w:ind w:left="0" w:right="0" w:hanging="360"/>
        <w:jc w:val="lef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(b)Unless otherwise provided in a Participant’s Option Agreement or Stock Appreciation Right Agreement, if the sale of any Common Stock received on exercise of an Option or Stock Appreciation Right following the termination of the Participant’s Continuous Service (other than for Cause) would violate the Company’s Insider Trading Policy (assuming, for this purpose, that Participant’s Continuous Service had not terminated and thus the provisions of the Insider Trading Policy continued to apply to Participant), then the Option or Stock Appreciation Right will terminate on the earlier of (i) the expiration of a period of time (that need not be consecutive) equal to the applicable post-termination exercise period after the termination of the Participant’s Continuous Service (as set forth in the applicable Award Agreement) as extended for any period of time during which the sale of the Common Stock received upon exercise of the Option or Stock Appreciation Right would violate the Insider Trading Policy (assuming, for this purpose, that Participant’s Continuous Service had not terminated and thus the provisions of the Insider Trading Policy continued to apply to Participant) if, and only if, such violation of the Insider Trading Policy arose during the unmodified post-termination exercise period, or (ii) the final expiration of the term of the Option or Stock Appreciation Right as set forth in the applicable Stock Option Agreement or Stock Appreciation Right Agreement.</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ARTICLE 11. CHANGE IN CONTROL</w:t>
      </w:r>
    </w:p>
    <w:p>
      <w:pPr>
        <w:pStyle w:val="TextBody"/>
        <w:bidi w:val="0"/>
        <w:spacing w:before="0" w:after="0"/>
        <w:ind w:left="0" w:right="0" w:hanging="360"/>
        <w:jc w:val="center"/>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11.1Options and Stock Appreciation Rights.</w:t>
      </w:r>
      <w:r>
        <w:rPr>
          <w:color w:val="000000"/>
        </w:rPr>
        <w:t xml:space="preserve"> </w:t>
      </w:r>
      <w:r>
        <w:rPr>
          <w:rFonts w:ascii="Times New Roman;sans-serif" w:hAnsi="Times New Roman;sans-serif"/>
          <w:b w:val="false"/>
          <w:color w:val="000000"/>
          <w:sz w:val="20"/>
        </w:rPr>
        <w:t>In order to preserve a Participant’s rights with respect to any outstanding Options or Stock Appreciation Rights in the event of a Change in Control of the Company:</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 xml:space="preserve">(a)Vesting of all outstanding Options and Stock Appreciation Rights shall accelerate automatically effective as of immediately prior to the consummation of the Change in Control </w:t>
      </w:r>
      <w:r>
        <w:rPr>
          <w:rFonts w:ascii="Times New Roman;sans-serif" w:hAnsi="Times New Roman;sans-serif"/>
          <w:b w:val="false"/>
          <w:color w:val="000000"/>
          <w:sz w:val="20"/>
          <w:u w:val="single"/>
        </w:rPr>
        <w:t>unless</w:t>
      </w:r>
      <w:r>
        <w:rPr>
          <w:color w:val="000000"/>
        </w:rPr>
        <w:t xml:space="preserve"> </w:t>
      </w:r>
      <w:r>
        <w:rPr>
          <w:rFonts w:ascii="Times New Roman;sans-serif" w:hAnsi="Times New Roman;sans-serif"/>
          <w:b w:val="false"/>
          <w:color w:val="000000"/>
          <w:sz w:val="20"/>
        </w:rPr>
        <w:t>the Options or Stock Appreciation Rights are to be assumed by the acquiring or successor entity (or parent thereof) or new options, stock appreciation rights or New Incentives are to be issued in exchange therefor, as provided in subsection (b) below.</w:t>
      </w:r>
    </w:p>
    <w:p>
      <w:pPr>
        <w:pStyle w:val="TextBody"/>
        <w:bidi w:val="0"/>
        <w:spacing w:before="0" w:after="0"/>
        <w:ind w:left="0" w:right="0" w:firstLine="36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 xml:space="preserve">(b)Vesting of outstanding Options or Stock Appreciation Rights shall </w:t>
      </w:r>
      <w:r>
        <w:rPr>
          <w:rFonts w:ascii="Times New Roman;sans-serif" w:hAnsi="Times New Roman;sans-serif"/>
          <w:b w:val="false"/>
          <w:color w:val="000000"/>
          <w:sz w:val="20"/>
          <w:u w:val="single"/>
        </w:rPr>
        <w:t>not</w:t>
      </w:r>
      <w:r>
        <w:rPr>
          <w:color w:val="000000"/>
        </w:rPr>
        <w:t xml:space="preserve"> </w:t>
      </w:r>
      <w:r>
        <w:rPr>
          <w:rFonts w:ascii="Times New Roman;sans-serif" w:hAnsi="Times New Roman;sans-serif"/>
          <w:b w:val="false"/>
          <w:color w:val="000000"/>
          <w:sz w:val="20"/>
        </w:rPr>
        <w:t>accelerate if and to the extent that: (i) the Options or Stock Appreciation Rights (including the unvested portion thereof) are to be assumed by the acquiring or successor entity (or parent thereof) or new options or stock appreciation rights of comparable value and containing such terms and provisions as the Administrator in its discretion may consider equitable are to be issued in exchange therefor pursuant to the terms of the Change in Control transaction, or (ii) the Options or Stock Appreciation Rights (including the unvested portion thereof) are to be replaced by the acquiring or successor entity (or parent thereof) with other incentives of comparable value containing such terms and provisions as the Administrator in its discretion may consider equitable under a new incentive program (“New Incentives”). If outstanding Options or Stock Appreciation Rights are assumed, or if new options or stock appreciation rights of comparable value are issued in exchange therefor, then each such Option, new option, Stock Appreciation Right or new stock appreciation right shall be appropriately adjusted, concurrently with the Change in Control, to apply to the number and class of securities or other property that the Participant would have received pursuant to the Change in Control transaction in exchange for the shares that would have been issued upon exercise of the Option or Stock Appreciation Right had the Option or Stock Appreciation Right been exercised immediately prior to the Change in Control and, with respect to Stock Appreciation Rights, payments in respect of such Stock Appreciation Right been made in shares, and appropriate adjustment also shall be made to the Exercise Price or Base Price such that the aggregate Exercise Price of each such Option or new option or Base Price of each Stock Appreciation Right or new stock appreciation right shall remain the same as nearly as practicable and in a manner satisfying the provisions of Sections 409A and 424 of the Code.</w:t>
      </w:r>
    </w:p>
    <w:p>
      <w:pPr>
        <w:pStyle w:val="TextBody"/>
        <w:bidi w:val="0"/>
        <w:ind w:left="0" w:right="0" w:firstLine="360"/>
        <w:jc w:val="lef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(c)If any Option or Stock Appreciation Right is assumed by an acquiring or successor entity (or parent thereof) or a new option or stock appreciation right of comparable value or New Incentive is issued in exchange therefor pursuant to the terms of a Change in Control transaction, then, if so provided in an Option Agreement or Stock Appreciation Right Agreement, the vesting of the Option, new option, Stock Appreciation Right, new stock appreciation right or New Incentive shall accelerate if and at such time as the Participant’s service as an employee, director, officer, consultant or other Service Provider to the acquiring or successor entity (or a parent or subsidiary thereof) is terminated involuntarily or voluntarily under certain circumstances within a specified period following consummation of the Change in Control, pursuant to such terms and conditions as shall be set forth in the Option Agreement or Stock Appreciation Right Agreement.</w:t>
      </w:r>
    </w:p>
    <w:p>
      <w:pPr>
        <w:pStyle w:val="TextBody"/>
        <w:bidi w:val="0"/>
        <w:spacing w:before="0" w:after="0"/>
        <w:ind w:left="0" w:right="0" w:firstLine="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(d)If vesting of outstanding Options or Stock Appreciation Rights will accelerate pursuant to subsection (a) above, the Administrator in its discretion may provide, in connection with the Change in Control transaction, for the purchase or exchange of each Option or Stock Appreciation Right for an amount of cash or other property having a value equal to (i) with respect to each Option, the amount (or “spread”) by which, (x) the value of the cash or other property that the Optionee would have received pursuant to the Change in Control transaction in exchange for the shares issuable upon exercise of the Option had the Option been exercised immediately prior to the Change in Control, exceeds (y) the Exercise Price of the Option, and (ii) with respect to each Stock Appreciation Right, the value of the cash or other property that the Participant would have received had the Stock Appreciation Right been exercised immediately prior to the Change in Control.</w:t>
      </w:r>
    </w:p>
    <w:p>
      <w:pPr>
        <w:pStyle w:val="TextBody"/>
        <w:bidi w:val="0"/>
        <w:spacing w:before="0" w:after="0"/>
        <w:ind w:left="0" w:right="0" w:firstLine="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(e)The Administrator shall have the discretion to provide in each Option Agreement and Stock Appreciation Right Agreement other terms and conditions that relate to (i) vesting of such Option or Stock Appreciation Right in the event of a Change in Control and (ii) assumption of such Options or Stock Appreciation Rights or issuance of comparable securities or New Incentives in the event of a Change in Control. The aforementioned terms and conditions may vary in each Option Agreement and Stock Appreciation Right Agreement and may be different from and have precedence over the provisions set forth in Sections 11.1(a) - 11.1(d) above.</w:t>
      </w:r>
    </w:p>
    <w:p>
      <w:pPr>
        <w:pStyle w:val="TextBody"/>
        <w:bidi w:val="0"/>
        <w:spacing w:before="0" w:after="0"/>
        <w:ind w:left="0" w:right="0" w:firstLine="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(f)Outstanding Options and Stock Appreciation Rights shall terminate and cease to be exercisable upon consummation of a Change in Control except to the extent that the Options or Stock Appreciation Rights are assumed by the successor entity (or parent thereof) pursuant to the terms of the Change in Control transaction.</w:t>
      </w:r>
    </w:p>
    <w:p>
      <w:pPr>
        <w:pStyle w:val="TextBody"/>
        <w:bidi w:val="0"/>
        <w:spacing w:before="0" w:after="0"/>
        <w:ind w:left="0" w:right="0" w:firstLine="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(g)If outstanding Options or Stock Appreciation Rights will not be assumed by the acquiring or successor entity (or parent thereof), the Administrator shall cause written notice of a proposed Change in Control transaction to be given to the Participants who hold Options and Stock Appreciation Rights not less than fifteen (15) days prior to the anticipated effective date of the proposed transaction.</w:t>
      </w:r>
    </w:p>
    <w:p>
      <w:pPr>
        <w:pStyle w:val="TextBody"/>
        <w:bidi w:val="0"/>
        <w:spacing w:before="0" w:after="0"/>
        <w:ind w:left="0" w:right="0" w:firstLine="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11.2Restricted Stock Units and Restricted Stock.</w:t>
      </w:r>
      <w:r>
        <w:rPr>
          <w:color w:val="000000"/>
        </w:rPr>
        <w:t xml:space="preserve"> </w:t>
      </w:r>
      <w:r>
        <w:rPr>
          <w:rFonts w:ascii="Times New Roman;sans-serif" w:hAnsi="Times New Roman;sans-serif"/>
          <w:b w:val="false"/>
          <w:color w:val="000000"/>
          <w:sz w:val="20"/>
        </w:rPr>
        <w:t>In order to preserve a Participant’s rights with respect to any outstanding Restricted Stock Units or Restricted Stock in the event of a Change in Control of the Company:</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 xml:space="preserve">(a)All Restricted Stock Units and Restricted Stock shall vest in full effective as of immediately prior to the consummation of the Change in Control, </w:t>
      </w:r>
      <w:r>
        <w:rPr>
          <w:rFonts w:ascii="Times New Roman;sans-serif" w:hAnsi="Times New Roman;sans-serif"/>
          <w:b w:val="false"/>
          <w:color w:val="000000"/>
          <w:sz w:val="20"/>
          <w:u w:val="single"/>
        </w:rPr>
        <w:t>except</w:t>
      </w:r>
      <w:r>
        <w:rPr>
          <w:color w:val="000000"/>
        </w:rPr>
        <w:t xml:space="preserve"> </w:t>
      </w:r>
      <w:r>
        <w:rPr>
          <w:rFonts w:ascii="Times New Roman;sans-serif" w:hAnsi="Times New Roman;sans-serif"/>
          <w:b w:val="false"/>
          <w:color w:val="000000"/>
          <w:sz w:val="20"/>
        </w:rPr>
        <w:t>to the extent that in connection with such Change in Control, the acquiring or successor entity (or parent thereof) provides for the continuance or assumption of Restricted Stock Unit Agreements or Restricted Stock Agreements or the substitution of new agreements of comparable value covering shares of a successor corporation, with appropriate adjustments as to the number and kind of shares.</w:t>
      </w:r>
    </w:p>
    <w:p>
      <w:pPr>
        <w:pStyle w:val="TextBody"/>
        <w:bidi w:val="0"/>
        <w:ind w:left="0" w:right="0" w:hanging="360"/>
        <w:jc w:val="lef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(b)The Administrator in its discretion may provide in any Restricted Stock Unit Agreement or Restricted Stock Agreement that if, upon a Change in Control, the acquiring or successor entity (or parent thereof) assumes such Restricted Stock Unit Agreement or Restricted Stock Agreement or substitutes new agreements of comparable value and containing such terms and provisions as the Administrator in its discretion may consider equitable covering shares of a successor corporation (with appropriate adjustments as to the number and kind of shares), then the Restricted Stock Units or Restricted Stock or any substituted shares covered thereby shall immediately vest in full, if the Participant’s service as an employee, director, officer, consultant or other Service Provider to the acquiring or successor entity (or a parent or subsidiary thereof) is terminated involuntarily or voluntarily under certain circumstances within a specified period following consummation of a Change in Control, pursuant to such terms and conditions as shall be set forth in the Restricted Stock Unit Agreement or Restricted Stock Agreement.</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(c)If vesting of outstanding Restricted Stock Units or Restricted Stock will accelerate pursuant to subsection (a) above, the Administrator in its discretion may provide, in connection with the Change in Control transaction, for the purchase or exchange of each Restricted Stock Unit or Restricted Stock for an amount of cash or other property having a value equal to the value of the cash or other property that the Participant would have received had the Restricted Stock vested immediately prior to the Change in Control.</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(d)The Administrator shall have the discretion to provide in each Restricted Stock Unit Agreement or Restricted Stock Agreement other terms and conditions that relate to (i) vesting of such Restricted Stock Units or Restricted Stock in the event of a Change in Control and (ii) assumption of such Restricted Stock Unit Agreements or Restricted Stock Agreements or issuance of substitute new agreements of comparable value in the event of a Change in Control. The aforementioned terms and conditions may vary in each Restricted Stock Unit Agreement or Restricted Stock Agreement and may be different from and have precedence over the provisions set forth in Sections 11.2(a) - 11.2(c) above.</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11.3Dissolution or Liquidation.</w:t>
      </w:r>
      <w:r>
        <w:rPr>
          <w:color w:val="000000"/>
        </w:rPr>
        <w:t xml:space="preserve"> </w:t>
      </w:r>
      <w:r>
        <w:rPr>
          <w:rFonts w:ascii="Times New Roman;sans-serif" w:hAnsi="Times New Roman;sans-serif"/>
          <w:b w:val="false"/>
          <w:color w:val="000000"/>
          <w:sz w:val="20"/>
        </w:rPr>
        <w:t>Except as otherwise provided in an Award Agreement, in the event of a dissolution, liquidation or winding up of the Company, all outstanding Awards will terminate immediately prior to the completion of such dissolution or liquidation, and the shares of Common Stock subject to the Company’s repurchase rights or subject to a forfeiture condition under an award of Restricted Stock or pursuant to early exercise of an Option, may be repurchased or reacquired by the Company notwithstanding the fact that the holder of such Award is providing Continuous Service; provided, however, that the Administrator may, in its sole discretion, cause some or all Awards to become fully vested, exercisable and/or no longer subject to repurchase or forfeiture (to the extent such Awards have not previously expired or terminated) before the dissolution, liquidation or winding up is completed but contingent on its completion.</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ARTICLE 12. AMENDMENT AND TERMINATION OF THE PLAN</w:t>
      </w:r>
    </w:p>
    <w:p>
      <w:pPr>
        <w:pStyle w:val="TextBody"/>
        <w:bidi w:val="0"/>
        <w:spacing w:before="0" w:after="0"/>
        <w:ind w:left="0" w:right="0" w:hanging="360"/>
        <w:jc w:val="center"/>
        <w:rPr/>
      </w:pPr>
      <w:r>
        <w:rPr/>
      </w:r>
    </w:p>
    <w:p>
      <w:pPr>
        <w:pStyle w:val="TextBody"/>
        <w:bidi w:val="0"/>
        <w:spacing w:lineRule="auto" w:line="288"/>
        <w:ind w:left="0" w:right="0" w:hanging="720"/>
        <w:jc w:val="left"/>
        <w:rPr/>
      </w:pPr>
      <w:r>
        <w:rPr>
          <w:rFonts w:ascii="Times New Roman;sans-serif" w:hAnsi="Times New Roman;sans-serif"/>
          <w:b/>
          <w:color w:val="000000"/>
          <w:sz w:val="20"/>
        </w:rPr>
        <w:t>12.1Amendments.</w:t>
      </w:r>
      <w:r>
        <w:rPr>
          <w:color w:val="000000"/>
        </w:rPr>
        <w:t xml:space="preserve"> </w:t>
      </w:r>
      <w:r>
        <w:rPr>
          <w:rFonts w:ascii="Times New Roman;sans-serif" w:hAnsi="Times New Roman;sans-serif"/>
          <w:b w:val="false"/>
          <w:color w:val="000000"/>
          <w:sz w:val="20"/>
        </w:rPr>
        <w:t>The Board may from time to time alter, amend, suspend, or terminate this Plan in such respects as the Board may deem advisable. No such alteration, amendment, suspension, or termination shall be made which shall substantially affect or impair the rights of any Participant under an outstanding Award Agreement without such Participant’s consent. The Board may alter or amend the Plan to comply with requirements under the Code relating to Incentive Options or other types of options which give Optionees more favorable tax treatment than that applicable to Options granted under this Plan as of the Effective Date. Upon any such alteration or amendment, any outstanding Option granted hereunder may, if the Administrator so determines and if permitted by Applicable Law, be subject to the more favorable tax treatment afforded to an Optionee pursuant to such terms and conditions. The Board may also adopt amendments of the Plan relating to certain nonqualified deferred compensation under Section 409A of the Code and/or ensuring the Plan or any Awards granted under the Plan are exempt from, or compliant with, the requirements for nonqualified deferred compensation under Section 409A of the Code, subject to the limitations, if any, of Applicable Law.</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 xml:space="preserve">12.2Foreign Participants. </w:t>
      </w:r>
      <w:r>
        <w:rPr>
          <w:rFonts w:ascii="Times New Roman;sans-serif" w:hAnsi="Times New Roman;sans-serif"/>
          <w:b w:val="false"/>
          <w:color w:val="000000"/>
          <w:sz w:val="20"/>
        </w:rPr>
        <w:t>The Board may from time to time adopt such procedures, terms and conditions and sub-plans as are necessary or appropriate to facilitate participation in the Plan by Service Providers who are foreign nationals or employed or providing services outside the United States (provided that Board approval will not be necessary for immaterial modifications to the Plan or any Award Agreements that are required or advisable for compliance with the laws of the relevant foreign jurisdiction).</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12.3Plan Termination.</w:t>
      </w:r>
      <w:r>
        <w:rPr>
          <w:color w:val="000000"/>
        </w:rPr>
        <w:t xml:space="preserve"> </w:t>
      </w:r>
      <w:r>
        <w:rPr>
          <w:rFonts w:ascii="Times New Roman;sans-serif" w:hAnsi="Times New Roman;sans-serif"/>
          <w:b w:val="false"/>
          <w:color w:val="000000"/>
          <w:sz w:val="20"/>
        </w:rPr>
        <w:t>Unless this Plan shall theretofore have been terminated, the Plan shall terminate on the tenth (10th) anniversary of the Effective Date and no Awards may be granted under the Plan thereafter, but Award Agreements then outstanding shall continue in effect in accordance with their respective terms.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ARTICLE 13. TAXES</w:t>
      </w:r>
    </w:p>
    <w:p>
      <w:pPr>
        <w:pStyle w:val="TextBody"/>
        <w:bidi w:val="0"/>
        <w:spacing w:before="0" w:after="0"/>
        <w:ind w:left="0" w:right="0" w:hanging="360"/>
        <w:jc w:val="center"/>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13.1Withholding.</w:t>
      </w:r>
      <w:r>
        <w:rPr>
          <w:color w:val="000000"/>
        </w:rPr>
        <w:t xml:space="preserve"> </w:t>
      </w:r>
      <w:r>
        <w:rPr>
          <w:rFonts w:ascii="Times New Roman;sans-serif" w:hAnsi="Times New Roman;sans-serif"/>
          <w:b w:val="false"/>
          <w:color w:val="000000"/>
          <w:sz w:val="20"/>
        </w:rPr>
        <w:t>The Company or any Affiliated Company, as applicable, shall have the authority and the right to deduct or withhold, or to require a Participant to remit to the Company or one or more of its Affiliated Companies, the amount of any Tax-Related Items concerning a Participant arising as a result of the Participant’s participation in the Plan or to take such other action as may be necessary or appropriate in the opinion of the Company or an Affiliated Company, as applicable, to satisfy such Tax-Related Items. The Company may defer making payment of an Award if any such Tax-Related Items may be pending unless and until indemnified to its satisfaction, and neither the Company nor any Affiliated Company shall have any liability to any Participant for exercising the foregoing right. The Committee may, in its sole discretion and subject to such rules as it may adopt, permit or require a Participant to pay all or a portion of the Tax-Related Items arising in connection with an Award by, one or a combination of the following: (a) having the Participant pay an amount in cash (by check or wire transfer), (b) having the Company or Affiliated Company withhold from the Participant’s wages or other cash compensation; (c) having the Company withholding from the proceeds of the sale of shares of Common Stock underlying an Award, either through a voluntary sale or a mandatory sale arranged by the Company on the Participant’s behalf, without need of further authorization; (d) having the Company withhold shares of Common Stock otherwise issuable under an Award (or allowing the return of shares of Common Stock) sufficient, as determined by the Company in its sole discretion, to satisfy such Tax-Related Items; (e) having the Participant deliver shares of Common Stock (which are not subject to any pledge or other security interest) that have been both held by the Participant and vested for at least six (6) months (or such other period as established from time to time by the Company to avoid adverse accounting treatment under applicable accounting standards) sufficient, as determined by the Company in its sole discretion, to satisfy such Tax-Related Items; (f) requiring the Participant to repay the Company or Affiliated Company, as applicable, in cash or in shares of Common Stock, for Tax-Related Items paid on the Participant’s behalf, or (vii) any other method of withholding determined by the Committee that is permissible under Applicable Laws.</w:t>
      </w:r>
    </w:p>
    <w:p>
      <w:pPr>
        <w:pStyle w:val="TextBody"/>
        <w:bidi w:val="0"/>
        <w:ind w:left="0" w:right="0" w:hanging="360"/>
        <w:jc w:val="lef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ind w:left="0" w:right="0" w:hanging="720"/>
        <w:jc w:val="left"/>
        <w:rPr/>
      </w:pPr>
      <w:r>
        <w:rPr>
          <w:rFonts w:ascii="Times New Roman;sans-serif" w:hAnsi="Times New Roman;sans-serif"/>
          <w:b/>
          <w:color w:val="000000"/>
          <w:sz w:val="20"/>
        </w:rPr>
        <w:t>13.2Compliance with Section 409A of the Code.</w:t>
      </w:r>
      <w:r>
        <w:rPr>
          <w:color w:val="000000"/>
        </w:rPr>
        <w:t xml:space="preserve"> </w:t>
      </w:r>
      <w:r>
        <w:rPr>
          <w:rFonts w:ascii="Times New Roman;sans-serif" w:hAnsi="Times New Roman;sans-serif"/>
          <w:b w:val="false"/>
          <w:color w:val="000000"/>
          <w:sz w:val="20"/>
        </w:rPr>
        <w:t>Options, Restricted Stock Units, Restricted Stock and Stock Appreciation Rights will be designed and operated in such a manner that they are either exempt from the application of, or comply with, the requirements of Section 409A of the Code such that the grant, payment, settlement, or deferral will not be subject to the additional tax or interest applicable under Section 409A of the Code, except as otherwise determined in the sole discretion of the Administrator. The Plan and each Award Agreement is intended to meet the requirements of Section 409A of the Code and will be construed and interpreted in accordance with such intent, except as otherwise determined in the sole discretion of the Administrator. To the extent that an Award or grant, payment, settlement, or deferral thereof is subject to Section 409A of the Code such Award will be granted, paid, settled or deferred in a manner that will meet the requirements of Section 409A of the Code, such that the grant, payment, settlement or deferral thereof will not be subject to the additional tax or interest applicable under Section 409A of the Code. Notwithstanding the generality of the preceding sentence, to the extent any grant, payment, settlement or deferral of an Award subject to Section 409A is subject to the requirement under Section 409A(a)(2)(B)(i) of the Code that such grant, payment, settlement or deferral be delayed until six (6) months after Participant’s separation from service if Participant is a specified employee within the meaning of the aforesaid section of the Code at the time of such separation from service, then such grant, payment, settlement or deferral will not be made before the date which is six (6) months after the date of such separation from service (or, if earlier, the date of death of such Participant).</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13.3No Representations or Covenants with respect to Tax Qualification.</w:t>
      </w:r>
      <w:r>
        <w:rPr>
          <w:color w:val="000000"/>
        </w:rPr>
        <w:t xml:space="preserve"> </w:t>
      </w:r>
      <w:r>
        <w:rPr>
          <w:rFonts w:ascii="Times New Roman;sans-serif" w:hAnsi="Times New Roman;sans-serif"/>
          <w:b w:val="false"/>
          <w:color w:val="000000"/>
          <w:sz w:val="20"/>
        </w:rPr>
        <w:t>Although the Company may endeavor to (a) qualify an Award under the Plan for favorable or specific tax treatment under the laws of the United States or jurisdictions outside of the United States or (b) avoid adverse tax treatment, the Company makes no representation to that effect and expressly disavows any covenant to maintain favorable or avoid unfavorable tax treatment, anything to the contrary in this Plan, including Section 13.2 hereof, notwithstanding. The Company shall be unconstrained in its corporate activities without regard to the potential negative tax impact on holders of Awards under the Plan. Nothing in this Plan or in an Award Agreement shall provide a basis for any person to take any action against the Company or any Affiliated Company based on matters covered by Section 409A of the Code, including the tax treatment of any Awards, and neither the Company nor any Affiliated Company will have any liability under any circumstances to the Participant or any other party if the Award that is intended to be exempt from, or compliant with, Section 409A of the Code, is not so exempt or compliant or for any action taken by the Administrator with respect thereto.</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ARTICLE 14. MISCELLANEOUS</w:t>
      </w:r>
    </w:p>
    <w:p>
      <w:pPr>
        <w:pStyle w:val="TextBody"/>
        <w:bidi w:val="0"/>
        <w:spacing w:before="0" w:after="0"/>
        <w:ind w:left="0" w:right="0" w:hanging="360"/>
        <w:jc w:val="center"/>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14.1Benefits Not Alienable.</w:t>
      </w:r>
      <w:r>
        <w:rPr>
          <w:color w:val="000000"/>
        </w:rPr>
        <w:t xml:space="preserve"> </w:t>
      </w:r>
      <w:r>
        <w:rPr>
          <w:rFonts w:ascii="Times New Roman;sans-serif" w:hAnsi="Times New Roman;sans-serif"/>
          <w:b w:val="false"/>
          <w:color w:val="000000"/>
          <w:sz w:val="20"/>
        </w:rPr>
        <w:t>Other than as provided above, benefits under this Plan may not be assigned or alienated, whether voluntarily or involuntarily. Any unauthorized attempt at assignment, transfer, pledge, or other disposition shall be without effect.</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14.2No Enlargement of Employee Rights.</w:t>
      </w:r>
      <w:r>
        <w:rPr>
          <w:color w:val="000000"/>
        </w:rPr>
        <w:t xml:space="preserve"> </w:t>
      </w:r>
      <w:r>
        <w:rPr>
          <w:rFonts w:ascii="Times New Roman;sans-serif" w:hAnsi="Times New Roman;sans-serif"/>
          <w:b w:val="false"/>
          <w:color w:val="000000"/>
          <w:sz w:val="20"/>
        </w:rPr>
        <w:t>This Plan is strictly a voluntary undertaking on the part of the Company and shall not be deemed to constitute a contract between the Company and any Participant to be consideration for, or an inducement to, or a condition of, the employment of any Participant. Nothing contained in the Plan shall be deemed to give the right to any Participant to be retained as an employee of the Company or any Affiliated Company or to interfere with the right of the Company or any Affiliated Company to discharge any Participant at any time. The Company will have no duty or obligation to any Participant to advise such holder as to the time or manner of exercising any right under any outstanding Awards under the Plan. Furthermore, the Company will have no duty or obligation to warn or otherwise advise such holder of a pending termination or expiration of an Option or any other form of Award under the Plan or a possible period in which such Option or other Award may not be exercised. The Company has no duty or obligation to reduce the tax consequences of any Award granted to a Participant under the Plan.</w:t>
      </w:r>
    </w:p>
    <w:p>
      <w:pPr>
        <w:pStyle w:val="TextBody"/>
        <w:bidi w:val="0"/>
        <w:spacing w:before="0" w:after="0"/>
        <w:ind w:left="0" w:right="0" w:hanging="360"/>
        <w:jc w:val="left"/>
        <w:rPr/>
      </w:pPr>
      <w:r>
        <w:rPr/>
      </w:r>
    </w:p>
    <w:p>
      <w:pPr>
        <w:pStyle w:val="TextBody"/>
        <w:bidi w:val="0"/>
        <w:spacing w:lineRule="auto" w:line="288"/>
        <w:ind w:left="0" w:right="0" w:hanging="720"/>
        <w:jc w:val="left"/>
        <w:rPr/>
      </w:pPr>
      <w:r>
        <w:rPr>
          <w:rFonts w:ascii="Times New Roman;sans-serif" w:hAnsi="Times New Roman;sans-serif"/>
          <w:b/>
          <w:color w:val="000000"/>
          <w:sz w:val="20"/>
        </w:rPr>
        <w:t>14.3Compliance with Laws.</w:t>
      </w:r>
      <w:r>
        <w:rPr>
          <w:color w:val="000000"/>
        </w:rPr>
        <w:t xml:space="preserve"> </w:t>
      </w:r>
      <w:r>
        <w:rPr>
          <w:rFonts w:ascii="Times New Roman;sans-serif" w:hAnsi="Times New Roman;sans-serif"/>
          <w:b w:val="false"/>
          <w:color w:val="000000"/>
          <w:sz w:val="20"/>
        </w:rPr>
        <w:t xml:space="preserve">The Plan, the granting and vesting of Awards under the Plan and the issuance and delivery of shares of Common Stock and the payment of money under the Plan or under Awards granted or awarded hereunder are subject to compliance with all Applicable Law (including but not limited to state,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federal and foreign securities law and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 To the extent permitted by Applicable Law, the Plan and Awards granted or awarded hereunder shall be deemed amended to the extent necessary to conform to Applicable Law.</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14.4Fractional Shares.</w:t>
      </w:r>
      <w:r>
        <w:rPr>
          <w:color w:val="000000"/>
        </w:rPr>
        <w:t xml:space="preserve"> </w:t>
      </w:r>
      <w:r>
        <w:rPr>
          <w:rFonts w:ascii="Times New Roman;sans-serif" w:hAnsi="Times New Roman;sans-serif"/>
          <w:b w:val="false"/>
          <w:color w:val="000000"/>
          <w:sz w:val="20"/>
        </w:rPr>
        <w:t>Unless the Administrator otherwise determines, no fractional shares of Common Stock shall be issued and the Administrator, in its discretion, shall determine whether cash shall be given in lieu of fractional shares or whether such fractional shares shall be eliminated by rounding down.</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14.5Application of Funds.</w:t>
      </w:r>
      <w:r>
        <w:rPr>
          <w:color w:val="000000"/>
        </w:rPr>
        <w:t xml:space="preserve"> </w:t>
      </w:r>
      <w:r>
        <w:rPr>
          <w:rFonts w:ascii="Times New Roman;sans-serif" w:hAnsi="Times New Roman;sans-serif"/>
          <w:b w:val="false"/>
          <w:color w:val="000000"/>
          <w:sz w:val="20"/>
        </w:rPr>
        <w:t>The proceeds received by the Company from the sale of Common Stock pursuant to Option Agreements or Restricted Stock Agreements, except as otherwise provided herein, will be used for general corporate purposes.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 xml:space="preserve">14.6Governing Law. </w:t>
      </w:r>
      <w:r>
        <w:rPr>
          <w:rFonts w:ascii="Times New Roman;sans-serif" w:hAnsi="Times New Roman;sans-serif"/>
          <w:b w:val="false"/>
          <w:color w:val="000000"/>
          <w:sz w:val="20"/>
        </w:rPr>
        <w:t>The Plan and any Agreements hereunder shall be administered, interpreted, and enforced under the internal laws of the State of Delaware without regard to conflicts of laws thereof or of any other jurisdiction.</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 xml:space="preserve">14.7Annual Reports. </w:t>
      </w:r>
      <w:r>
        <w:rPr>
          <w:rFonts w:ascii="Times New Roman;sans-serif" w:hAnsi="Times New Roman;sans-serif"/>
          <w:b w:val="false"/>
          <w:color w:val="000000"/>
          <w:sz w:val="20"/>
        </w:rPr>
        <w:t>During the term of this Plan, the Company will furnish to each Participant who does not otherwise receive such materials, copies of all reports, proxy statements and other communications that the Company distributes generally to its stockholders or as otherwise required by Applicable Law.</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14.8Stockholder Approval.</w:t>
      </w:r>
      <w:r>
        <w:rPr>
          <w:color w:val="000000"/>
        </w:rPr>
        <w:t xml:space="preserve"> </w:t>
      </w:r>
      <w:r>
        <w:rPr>
          <w:rFonts w:ascii="Times New Roman;sans-serif" w:hAnsi="Times New Roman;sans-serif"/>
          <w:b w:val="false"/>
          <w:color w:val="000000"/>
          <w:sz w:val="20"/>
        </w:rPr>
        <w:t>This Plan shall be effective as of the approval of the stockholders of the Company.</w:t>
      </w:r>
    </w:p>
    <w:p>
      <w:pPr>
        <w:pStyle w:val="TextBody"/>
        <w:bidi w:val="0"/>
        <w:spacing w:before="0" w:after="0"/>
        <w:ind w:left="0" w:right="0" w:hanging="360"/>
        <w:jc w:val="left"/>
        <w:rPr/>
      </w:pPr>
      <w:r>
        <w:rPr/>
      </w:r>
    </w:p>
    <w:p>
      <w:pPr>
        <w:pStyle w:val="TextBody"/>
        <w:bidi w:val="0"/>
        <w:spacing w:lineRule="auto" w:line="288"/>
        <w:ind w:left="0" w:right="0" w:hanging="720"/>
        <w:jc w:val="left"/>
        <w:rPr/>
      </w:pPr>
      <w:r>
        <w:rPr>
          <w:rFonts w:ascii="Times New Roman;sans-serif" w:hAnsi="Times New Roman;sans-serif"/>
          <w:b/>
          <w:color w:val="000000"/>
          <w:sz w:val="20"/>
        </w:rPr>
        <w:t>14.9Electronic Delivery.</w:t>
      </w:r>
      <w:r>
        <w:rPr>
          <w:color w:val="000000"/>
        </w:rPr>
        <w:t xml:space="preserve"> </w:t>
      </w:r>
      <w:r>
        <w:rPr>
          <w:rFonts w:ascii="Times New Roman;sans-serif" w:hAnsi="Times New Roman;sans-serif"/>
          <w:b w:val="false"/>
          <w:color w:val="000000"/>
          <w:sz w:val="20"/>
        </w:rPr>
        <w:t>Any reference herein to a “written” agreement or document shall include any agreement or document delivered electronically or posted on the Company’s intranet.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10.2</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NOTICE OF RESTRICTED STOCK UNIT AWARD</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TANDEM DIABETES CARE,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2023 LONG-TERM INCENTIVE PLAN</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0"/>
        </w:rPr>
        <w:t>Unless otherwise defined herein, the terms defined in the Tandem Diabetes Care, Inc.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2023 Long-Term Incentive Plan (the “</w:t>
      </w:r>
      <w:r>
        <w:rPr>
          <w:rFonts w:ascii="Times New Roman;sans-serif" w:hAnsi="Times New Roman;sans-serif"/>
          <w:b/>
          <w:i/>
          <w:color w:val="000000"/>
          <w:sz w:val="20"/>
        </w:rPr>
        <w:t>Plan</w:t>
      </w:r>
      <w:r>
        <w:rPr>
          <w:color w:val="000000"/>
        </w:rPr>
        <w:t>”</w:t>
      </w:r>
      <w:r>
        <w:rPr>
          <w:rFonts w:ascii="Times New Roman;sans-serif" w:hAnsi="Times New Roman;sans-serif"/>
          <w:b w:val="false"/>
          <w:color w:val="000000"/>
          <w:sz w:val="20"/>
        </w:rPr>
        <w:t>) shall have the same meanings in this Notice of Restricted Stock Unit Award (the “</w:t>
      </w:r>
      <w:r>
        <w:rPr>
          <w:rFonts w:ascii="Times New Roman;sans-serif" w:hAnsi="Times New Roman;sans-serif"/>
          <w:b/>
          <w:i/>
          <w:color w:val="000000"/>
          <w:sz w:val="20"/>
        </w:rPr>
        <w:t>Notice</w:t>
      </w:r>
      <w:r>
        <w:rPr>
          <w:color w:val="000000"/>
        </w:rPr>
        <w:t>”</w:t>
      </w:r>
      <w:r>
        <w:rPr>
          <w:rFonts w:ascii="Times New Roman;sans-serif" w:hAnsi="Times New Roman;sans-serif"/>
          <w:b w:val="false"/>
          <w:color w:val="000000"/>
          <w:sz w:val="20"/>
        </w:rPr>
        <w:t>) and the attached Restricted Stock Unit Agreement (the “</w:t>
      </w:r>
      <w:r>
        <w:rPr>
          <w:rFonts w:ascii="Times New Roman;sans-serif" w:hAnsi="Times New Roman;sans-serif"/>
          <w:b/>
          <w:i/>
          <w:color w:val="000000"/>
          <w:sz w:val="20"/>
        </w:rPr>
        <w:t>RSU Agreement</w:t>
      </w:r>
      <w:r>
        <w:rPr>
          <w:color w:val="000000"/>
        </w:rPr>
        <w:t>”</w:t>
      </w:r>
      <w:r>
        <w:rPr>
          <w:rFonts w:ascii="Times New Roman;sans-serif" w:hAnsi="Times New Roman;sans-serif"/>
          <w:b w:val="false"/>
          <w:color w:val="000000"/>
          <w:sz w:val="20"/>
        </w:rPr>
        <w:t>). You have been granted an award of Restricted Stock Units (“</w:t>
      </w:r>
      <w:r>
        <w:rPr>
          <w:rFonts w:ascii="Times New Roman;sans-serif" w:hAnsi="Times New Roman;sans-serif"/>
          <w:b/>
          <w:i/>
          <w:color w:val="000000"/>
          <w:sz w:val="20"/>
        </w:rPr>
        <w:t>RSUs</w:t>
      </w:r>
      <w:r>
        <w:rPr>
          <w:color w:val="000000"/>
        </w:rPr>
        <w:t>”</w:t>
      </w:r>
      <w:r>
        <w:rPr>
          <w:rFonts w:ascii="Times New Roman;sans-serif" w:hAnsi="Times New Roman;sans-serif"/>
          <w:b w:val="false"/>
          <w:color w:val="000000"/>
          <w:sz w:val="20"/>
        </w:rPr>
        <w:t>) under the Plan subject to the terms and conditions of the Plan, this Notice and the attached RSU Agreement.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60"/>
        <w:gridCol w:w="360"/>
        <w:gridCol w:w="363"/>
        <w:gridCol w:w="2611"/>
        <w:gridCol w:w="2611"/>
        <w:gridCol w:w="3700"/>
      </w:tblGrid>
      <w:tr>
        <w:trPr/>
        <w:tc>
          <w:tcPr>
            <w:tcW w:w="5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3700" w:type="dxa"/>
            <w:tcBorders/>
            <w:vAlign w:val="center"/>
          </w:tcPr>
          <w:p>
            <w:pPr>
              <w:pStyle w:val="TableContents"/>
              <w:bidi w:val="0"/>
              <w:spacing w:before="0" w:after="283"/>
              <w:jc w:val="left"/>
              <w:rPr>
                <w:sz w:val="4"/>
                <w:szCs w:val="4"/>
              </w:rPr>
            </w:pPr>
            <w:r>
              <w:rPr>
                <w:sz w:val="4"/>
                <w:szCs w:val="4"/>
              </w:rPr>
            </w:r>
          </w:p>
        </w:tc>
      </w:tr>
      <w:tr>
        <w:trPr/>
        <w:tc>
          <w:tcPr>
            <w:tcW w:w="1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6D6D6D"/>
                <w:sz w:val="20"/>
              </w:rPr>
            </w:pPr>
            <w:r>
              <w:rPr>
                <w:rFonts w:ascii="Times New Roman;sans-serif" w:hAnsi="Times New Roman;sans-serif"/>
                <w:b/>
                <w:color w:val="6D6D6D"/>
                <w:sz w:val="20"/>
              </w:rPr>
              <w:t>###PARTICIPANT_NAME###</w:t>
            </w:r>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Number of RSUs:</w:t>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6D6D6D"/>
                <w:sz w:val="20"/>
              </w:rPr>
            </w:pPr>
            <w:r>
              <w:rPr>
                <w:rFonts w:ascii="Times New Roman;sans-serif" w:hAnsi="Times New Roman;sans-serif"/>
                <w:b/>
                <w:color w:val="6D6D6D"/>
                <w:sz w:val="20"/>
              </w:rPr>
              <w:t>###TOTAL_AWARDS###</w:t>
            </w:r>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Date of Grant:</w:t>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6D6D6D"/>
              </w:rPr>
            </w:pPr>
            <w:r>
              <w:rPr>
                <w:color w:val="6D6D6D"/>
              </w:rPr>
              <w:t> </w:t>
            </w:r>
            <w:r>
              <w:rPr>
                <w:rFonts w:ascii="Times New Roman;sans-serif" w:hAnsi="Times New Roman;sans-serif"/>
                <w:b/>
                <w:color w:val="6D6D6D"/>
                <w:sz w:val="20"/>
              </w:rPr>
              <w:t>###GRANT_DATE###</w:t>
            </w:r>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Expiration: </w:t>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RSU expires on the date on which settlement of all RSUs granted hereunder occurs or earlier if your Service terminates earlier, as described in the RSU Agreement.</w:t>
            </w:r>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Vesting Schedule:</w:t>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###VEST_SCHEDULE_TABLE###</w:t>
            </w:r>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Additional Terms:</w:t>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0"/>
              </w:rPr>
              <w:t>If this box is checked, the additional terms and conditions set forth on Attachment 1 hereto (as executed by the Company) are applicable and are incorporated herein by reference. No document need be attached as Attachment 1 if the box is not checked.</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You acknowledge that the vesting of the RSUs pursuant to this Notice is earned only by Continuous Service. By accepting this award, you and the Company agree that this award is granted under and governed by the terms and conditions of the Plan, the Notice and the RSU Agreement. You acknowledge and agree that the Vesting Schedule may change prospectively in the event that your service status changes between full and part-time status in accordance with Company policies relating to work schedules and vesting of awards. You further acknowledge that the grant of this RSU by the Company is at the Company’s sole discretion, and does not entitle you to further grant(s) of RSU(s) or any other award(s) under the Plan or any other plan or program maintained by the Company or any Affiliated Company. By accepting this RSU, you consent to electronic delivery as set forth in the RSU Agreement.</w:t>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This award may be executed in two or more counterparts, each of which shall be deemed an original and all of which together shall constitute one instrument.</w:t>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10.2</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7619" w:type="dxa"/>
        <w:jc w:val="left"/>
        <w:tblInd w:w="0" w:type="dxa"/>
        <w:tblLayout w:type="fixed"/>
        <w:tblCellMar>
          <w:top w:w="28" w:type="dxa"/>
          <w:left w:w="28" w:type="dxa"/>
          <w:bottom w:w="28" w:type="dxa"/>
          <w:right w:w="28" w:type="dxa"/>
        </w:tblCellMar>
      </w:tblPr>
      <w:tblGrid>
        <w:gridCol w:w="1471"/>
        <w:gridCol w:w="1293"/>
        <w:gridCol w:w="1300"/>
        <w:gridCol w:w="1041"/>
        <w:gridCol w:w="1041"/>
        <w:gridCol w:w="1473"/>
      </w:tblGrid>
      <w:tr>
        <w:trPr/>
        <w:tc>
          <w:tcPr>
            <w:tcW w:w="1471"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PARTICIPANT:</w:t>
            </w:r>
          </w:p>
        </w:tc>
        <w:tc>
          <w:tcPr>
            <w:tcW w:w="35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TANDEM DIABETES CARE, INC.</w:t>
            </w:r>
          </w:p>
        </w:tc>
      </w:tr>
      <w:tr>
        <w:trPr/>
        <w:tc>
          <w:tcPr>
            <w:tcW w:w="4064"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 xml:space="preserve">Signature: </w:t>
            </w:r>
            <w:r>
              <w:rPr>
                <w:rFonts w:ascii="Times New Roman;sans-serif" w:hAnsi="Times New Roman;sans-serif"/>
                <w:b/>
                <w:color w:val="6D6D6D"/>
                <w:sz w:val="20"/>
                <w:u w:val="single"/>
              </w:rPr>
              <w:t>###PARTICIPANT_NAME##</w:t>
            </w:r>
          </w:p>
        </w:tc>
        <w:tc>
          <w:tcPr>
            <w:tcW w:w="35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 xml:space="preserve">Name: </w:t>
            </w:r>
            <w:r>
              <w:rPr>
                <w:rFonts w:ascii="Times New Roman;sans-serif" w:hAnsi="Times New Roman;sans-serif"/>
                <w:b w:val="false"/>
                <w:color w:val="000000"/>
                <w:sz w:val="20"/>
                <w:u w:val="single"/>
              </w:rPr>
              <w:t>John Sheridan</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 xml:space="preserve">Title: </w:t>
            </w:r>
            <w:r>
              <w:rPr>
                <w:rFonts w:ascii="Times New Roman;sans-serif" w:hAnsi="Times New Roman;sans-serif"/>
                <w:b w:val="false"/>
                <w:color w:val="000000"/>
                <w:sz w:val="20"/>
                <w:u w:val="single"/>
              </w:rPr>
              <w:t>President &amp; Chief Executive Officer</w:t>
            </w:r>
          </w:p>
        </w:tc>
      </w:tr>
      <w:tr>
        <w:trPr/>
        <w:tc>
          <w:tcPr>
            <w:tcW w:w="4064"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color w:val="6D6D6D"/>
                <w:sz w:val="20"/>
                <w:shd w:fill="FFFFFF" w:val="clear"/>
              </w:rPr>
              <w:t>Executed as of:</w:t>
            </w:r>
            <w:r>
              <w:rPr>
                <w:color w:val="6D6D6D"/>
              </w:rPr>
              <w:t xml:space="preserve"> </w:t>
            </w:r>
            <w:r>
              <w:rPr>
                <w:rFonts w:ascii="Times New Roman;sans-serif" w:hAnsi="Times New Roman;sans-serif"/>
                <w:b/>
                <w:color w:val="6D6D6D"/>
                <w:sz w:val="20"/>
                <w:shd w:fill="FFFFFF" w:val="clear"/>
              </w:rPr>
              <w:t>###ACCEPTANCE_DATE###</w:t>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10.2</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GLOBAL RESTRICTED STOCK UNIT AGREEMENT</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TANDEM DIABETES CARE,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2023 LONG-TERM INCENTIVE PLAN</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0"/>
        </w:rPr>
        <w:t>You have been granted Restricted Stock Units (“</w:t>
      </w:r>
      <w:r>
        <w:rPr>
          <w:rFonts w:ascii="Times New Roman;sans-serif" w:hAnsi="Times New Roman;sans-serif"/>
          <w:b/>
          <w:color w:val="000000"/>
          <w:sz w:val="20"/>
        </w:rPr>
        <w:t>RSUs</w:t>
      </w:r>
      <w:r>
        <w:rPr>
          <w:color w:val="000000"/>
        </w:rPr>
        <w:t>”</w:t>
      </w:r>
      <w:r>
        <w:rPr>
          <w:rFonts w:ascii="Times New Roman;sans-serif" w:hAnsi="Times New Roman;sans-serif"/>
          <w:b w:val="false"/>
          <w:color w:val="000000"/>
          <w:sz w:val="20"/>
        </w:rPr>
        <w:t>) by Tandem Diabetes Care, Inc. (the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 subject to the terms, restrictions and conditions of the Tandem Diabetes Care, Inc. 2023 Long-Term Incentive Plan (the “</w:t>
      </w:r>
      <w:r>
        <w:rPr>
          <w:rFonts w:ascii="Times New Roman;sans-serif" w:hAnsi="Times New Roman;sans-serif"/>
          <w:b/>
          <w:color w:val="000000"/>
          <w:sz w:val="20"/>
        </w:rPr>
        <w:t>Plan</w:t>
      </w:r>
      <w:r>
        <w:rPr>
          <w:color w:val="000000"/>
        </w:rPr>
        <w:t>”</w:t>
      </w:r>
      <w:r>
        <w:rPr>
          <w:rFonts w:ascii="Times New Roman;sans-serif" w:hAnsi="Times New Roman;sans-serif"/>
          <w:b w:val="false"/>
          <w:color w:val="000000"/>
          <w:sz w:val="20"/>
        </w:rPr>
        <w:t>), the Notice of Restricted Stock Unit Award applicable to the RSUs (the “</w:t>
      </w:r>
      <w:r>
        <w:rPr>
          <w:rFonts w:ascii="Times New Roman;sans-serif" w:hAnsi="Times New Roman;sans-serif"/>
          <w:b/>
          <w:color w:val="000000"/>
          <w:sz w:val="20"/>
        </w:rPr>
        <w:t>Notice</w:t>
      </w:r>
      <w:r>
        <w:rPr>
          <w:color w:val="000000"/>
        </w:rPr>
        <w:t>”</w:t>
      </w:r>
      <w:r>
        <w:rPr>
          <w:rFonts w:ascii="Times New Roman;sans-serif" w:hAnsi="Times New Roman;sans-serif"/>
          <w:b w:val="false"/>
          <w:color w:val="000000"/>
          <w:sz w:val="20"/>
        </w:rPr>
        <w:t>) and this Global Restricted Stock Unit Agreement (the “</w:t>
      </w:r>
      <w:r>
        <w:rPr>
          <w:rFonts w:ascii="Times New Roman;sans-serif" w:hAnsi="Times New Roman;sans-serif"/>
          <w:b/>
          <w:color w:val="000000"/>
          <w:sz w:val="20"/>
        </w:rPr>
        <w:t>RSU Agreement</w:t>
      </w:r>
      <w:r>
        <w:rPr>
          <w:color w:val="000000"/>
        </w:rPr>
        <w:t>”</w:t>
      </w:r>
      <w:r>
        <w:rPr>
          <w:rFonts w:ascii="Times New Roman;sans-serif" w:hAnsi="Times New Roman;sans-serif"/>
          <w:b w:val="false"/>
          <w:color w:val="000000"/>
          <w:sz w:val="20"/>
        </w:rPr>
        <w:t>), including any additional terms and conditions for your country set forth in the appendix attached hereto (“</w:t>
      </w:r>
      <w:r>
        <w:rPr>
          <w:rFonts w:ascii="Times New Roman;sans-serif" w:hAnsi="Times New Roman;sans-serif"/>
          <w:b/>
          <w:color w:val="000000"/>
          <w:sz w:val="20"/>
        </w:rPr>
        <w:t>Appendix A</w:t>
      </w:r>
      <w:r>
        <w:rPr>
          <w:color w:val="000000"/>
        </w:rPr>
        <w:t>”</w:t>
      </w:r>
      <w:r>
        <w:rPr>
          <w:rFonts w:ascii="Times New Roman;sans-serif" w:hAnsi="Times New Roman;sans-serif"/>
          <w:b w:val="false"/>
          <w:color w:val="000000"/>
          <w:sz w:val="20"/>
        </w:rPr>
        <w:t>). Unless otherwise defined herein, the terms defined in the Plan or the Notice shall have the same meanings in this RSU Agreement.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1.</w:t>
      </w:r>
      <w:r>
        <w:rPr>
          <w:rFonts w:ascii="Times New Roman;sans-serif" w:hAnsi="Times New Roman;sans-serif"/>
          <w:b/>
          <w:color w:val="000000"/>
          <w:sz w:val="20"/>
          <w:u w:val="single"/>
        </w:rPr>
        <w:t>Settlement</w:t>
      </w:r>
      <w:r>
        <w:rPr>
          <w:rFonts w:ascii="Times New Roman;sans-serif" w:hAnsi="Times New Roman;sans-serif"/>
          <w:b w:val="false"/>
          <w:color w:val="000000"/>
          <w:sz w:val="20"/>
        </w:rPr>
        <w:t>. Settlement in respect of vested RSUs will be automatic upon vesting thereof. Payment in respect thereof will be made no later than thirty (30) days thereafter and may, in the discretion of the Administrator, be in cash, shares of Common Stock (the “</w:t>
      </w:r>
      <w:r>
        <w:rPr>
          <w:rFonts w:ascii="Times New Roman;sans-serif" w:hAnsi="Times New Roman;sans-serif"/>
          <w:b/>
          <w:color w:val="000000"/>
          <w:sz w:val="20"/>
        </w:rPr>
        <w:t>Shares</w:t>
      </w:r>
      <w:r>
        <w:rPr>
          <w:color w:val="000000"/>
        </w:rPr>
        <w:t>”</w:t>
      </w:r>
      <w:r>
        <w:rPr>
          <w:rFonts w:ascii="Times New Roman;sans-serif" w:hAnsi="Times New Roman;sans-serif"/>
          <w:b w:val="false"/>
          <w:color w:val="000000"/>
          <w:sz w:val="20"/>
        </w:rPr>
        <w:t>) of equivalent Fair Market Value as of the date of vesting, or a combination of both.</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w:t>
      </w:r>
      <w:r>
        <w:rPr>
          <w:rFonts w:ascii="Times New Roman;sans-serif" w:hAnsi="Times New Roman;sans-serif"/>
          <w:b/>
          <w:color w:val="000000"/>
          <w:sz w:val="20"/>
          <w:u w:val="single"/>
        </w:rPr>
        <w:t>No Stockholder Rights</w:t>
      </w:r>
      <w:r>
        <w:rPr>
          <w:rFonts w:ascii="Times New Roman;sans-serif" w:hAnsi="Times New Roman;sans-serif"/>
          <w:b w:val="false"/>
          <w:color w:val="000000"/>
          <w:sz w:val="20"/>
        </w:rPr>
        <w:t>. Unless and until such time as Shares, if any, are issued in settlement of vested RSUs, you shall have no ownership of the Shares, if any, allocated to the RSUs and shall have no right to dividends or to vote such Shares.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3.</w:t>
      </w:r>
      <w:r>
        <w:rPr>
          <w:rFonts w:ascii="Times New Roman;sans-serif" w:hAnsi="Times New Roman;sans-serif"/>
          <w:b/>
          <w:color w:val="000000"/>
          <w:sz w:val="20"/>
          <w:u w:val="single"/>
        </w:rPr>
        <w:t>Dividend Equivalents</w:t>
      </w:r>
      <w:r>
        <w:rPr>
          <w:rFonts w:ascii="Times New Roman;sans-serif" w:hAnsi="Times New Roman;sans-serif"/>
          <w:b w:val="false"/>
          <w:color w:val="000000"/>
          <w:sz w:val="20"/>
        </w:rPr>
        <w:t>. Dividends, if any (whether in cash or Shares), shall not be credited to you.</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4.</w:t>
      </w:r>
      <w:r>
        <w:rPr>
          <w:rFonts w:ascii="Times New Roman;sans-serif" w:hAnsi="Times New Roman;sans-serif"/>
          <w:b/>
          <w:color w:val="000000"/>
          <w:sz w:val="20"/>
          <w:u w:val="single"/>
        </w:rPr>
        <w:t>No Transfer</w:t>
      </w:r>
      <w:r>
        <w:rPr>
          <w:rFonts w:ascii="Times New Roman;sans-serif" w:hAnsi="Times New Roman;sans-serif"/>
          <w:b w:val="false"/>
          <w:color w:val="000000"/>
          <w:sz w:val="20"/>
        </w:rPr>
        <w:t>. RSUs may not be sold, assigned, transferred, pledged, hypothecated, or otherwise disposed of in any manner other than by will or by the laws of descent or distribution or court order or unless otherwise permitted by the Administrator on a case-by-case basis.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5.</w:t>
      </w:r>
      <w:r>
        <w:rPr>
          <w:rFonts w:ascii="Times New Roman;sans-serif" w:hAnsi="Times New Roman;sans-serif"/>
          <w:b/>
          <w:color w:val="000000"/>
          <w:sz w:val="20"/>
          <w:u w:val="single"/>
        </w:rPr>
        <w:t>Termination</w:t>
      </w:r>
      <w:r>
        <w:rPr>
          <w:rFonts w:ascii="Times New Roman;sans-serif" w:hAnsi="Times New Roman;sans-serif"/>
          <w:b w:val="false"/>
          <w:color w:val="000000"/>
          <w:sz w:val="20"/>
        </w:rPr>
        <w:t>. If your Continuous Service terminates for any reason, all unvested RSUs shall be forfeited to the Company forthwith, and all rights you have to such RSUs shall immediately terminate. In case of any dispute as to whether your termination of Continuous Service has occurred, the Administrator shall have sole discretion to determine whether such termination has occurred and the effective date of such termination.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purposes of the RSUs, your Continuous Service will be considered terminated as of the date you are no longer actively providing services to the Company or one of its Affiliated Companies (regardless of the reason for such termination and whether or not later found to be invalid or in breach of employment laws in the jurisdiction where you are employed or otherwise providing services or the terms of your employment or other service agreement, if any) and will not be extended by any notice period (e.g., your Continuous Service would not include any contractual notice period or any period of “garden leave” or similar period mandated under employment laws in the jurisdiction where you are employed or otherwise providing services or the terms of your employment or other service agreement, if any); the Administrator shall have the exclusive discretion to determine when you are no longer actively providing services for purposes of the RSUs (including whether you may still be considered to be providing services while on a leave of absence).</w:t>
      </w:r>
    </w:p>
    <w:p>
      <w:pPr>
        <w:pStyle w:val="TextBody"/>
        <w:bidi w:val="0"/>
        <w:spacing w:before="0" w:after="0"/>
        <w:ind w:left="0" w:right="0" w:firstLine="72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6.</w:t>
      </w:r>
      <w:r>
        <w:rPr>
          <w:rFonts w:ascii="Times New Roman;sans-serif" w:hAnsi="Times New Roman;sans-serif"/>
          <w:b/>
          <w:color w:val="000000"/>
          <w:sz w:val="20"/>
          <w:u w:val="single"/>
        </w:rPr>
        <w:t>Construction</w:t>
      </w:r>
      <w:r>
        <w:rPr>
          <w:rFonts w:ascii="Times New Roman;sans-serif" w:hAnsi="Times New Roman;sans-serif"/>
          <w:b w:val="false"/>
          <w:color w:val="000000"/>
          <w:sz w:val="20"/>
        </w:rPr>
        <w:t>. This RSU Agreement and the RSUs evidenced hereby are made and granted pursuant to the Plan and are in all respects limited by and subject to the terms of the Plan. In the event of any conflict between the terms of this RSU Agreement and the Plan, the terms of the Plan shall apply. All decisions of the Administrator with respect to any question or issue arising under the Plan or this RSU Agreement shall be conclusive and binding on all persons having an interest in the RSUs.</w:t>
      </w:r>
    </w:p>
    <w:p>
      <w:pPr>
        <w:pStyle w:val="TextBody"/>
        <w:bidi w:val="0"/>
        <w:ind w:left="0" w:right="0" w:hanging="360"/>
        <w:jc w:val="left"/>
        <w:rPr/>
      </w:pPr>
      <w:r>
        <w:rPr/>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10.2</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left"/>
        <w:rPr/>
      </w:pPr>
      <w:r>
        <w:rPr>
          <w:rFonts w:ascii="Times New Roman;sans-serif" w:hAnsi="Times New Roman;sans-serif"/>
          <w:b/>
          <w:color w:val="000000"/>
          <w:sz w:val="20"/>
        </w:rPr>
        <w:t>7.</w:t>
      </w:r>
      <w:r>
        <w:rPr>
          <w:rFonts w:ascii="Times New Roman;sans-serif" w:hAnsi="Times New Roman;sans-serif"/>
          <w:b/>
          <w:color w:val="000000"/>
          <w:sz w:val="20"/>
          <w:u w:val="single"/>
        </w:rPr>
        <w:t>Notices</w:t>
      </w:r>
      <w:r>
        <w:rPr>
          <w:rFonts w:ascii="Times New Roman;sans-serif" w:hAnsi="Times New Roman;sans-serif"/>
          <w:b w:val="false"/>
          <w:color w:val="000000"/>
          <w:sz w:val="20"/>
        </w:rPr>
        <w:t>. Any notice to be given under the terms of the Plan shall be addressed to the Company in care of its principal office, and any notice to be given to you shall be addressed to you at the address maintained by the Company for you or at such other address as you may specify in writing to the Company in accordance with this Section 7. Any notice will be deemed duly given when actually received, when sent by email, when sent by certified mail (return receipt requested) and deposited with postage prepaid in a post office or branch post office regularly maintained by the United States Postal Service, or comparable non-U.S. postal service, when delivered by a nationally recognized express shipping company or upon receipt of a facsimile transmission confirmation.</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8.</w:t>
      </w:r>
      <w:r>
        <w:rPr>
          <w:rFonts w:ascii="Times New Roman;sans-serif" w:hAnsi="Times New Roman;sans-serif"/>
          <w:b/>
          <w:color w:val="000000"/>
          <w:sz w:val="20"/>
          <w:u w:val="single"/>
        </w:rPr>
        <w:t>Responsibility for Taxes</w:t>
      </w:r>
      <w:r>
        <w:rPr>
          <w:rFonts w:ascii="Times New Roman;sans-serif" w:hAnsi="Times New Roman;sans-serif"/>
          <w:b w:val="false"/>
          <w:color w:val="000000"/>
          <w:sz w:val="20"/>
        </w:rPr>
        <w:t xml:space="preserve">. </w:t>
      </w:r>
    </w:p>
    <w:p>
      <w:pPr>
        <w:pStyle w:val="TextBody"/>
        <w:bidi w:val="0"/>
        <w:spacing w:before="0" w:after="0"/>
        <w:ind w:left="0" w:right="0" w:hanging="360"/>
        <w:jc w:val="left"/>
        <w:rPr/>
      </w:pPr>
      <w:r>
        <w:rPr/>
      </w:r>
    </w:p>
    <w:p>
      <w:pPr>
        <w:pStyle w:val="TextBody"/>
        <w:bidi w:val="0"/>
        <w:spacing w:lineRule="auto" w:line="288" w:before="0" w:after="0"/>
        <w:jc w:val="left"/>
        <w:rPr/>
      </w:pPr>
      <w:r>
        <w:rPr>
          <w:rFonts w:ascii="Times New Roman;sans-serif" w:hAnsi="Times New Roman;sans-serif"/>
          <w:b w:val="false"/>
          <w:color w:val="000000"/>
          <w:sz w:val="20"/>
        </w:rPr>
        <w:t>(a)Regardless of any action taken by the Company or, if different, the Affiliated Company which employs you (the “</w:t>
      </w:r>
      <w:r>
        <w:rPr>
          <w:rFonts w:ascii="Times New Roman;sans-serif" w:hAnsi="Times New Roman;sans-serif"/>
          <w:b/>
          <w:color w:val="000000"/>
          <w:sz w:val="20"/>
        </w:rPr>
        <w:t>Employer</w:t>
      </w:r>
      <w:r>
        <w:rPr>
          <w:color w:val="000000"/>
        </w:rPr>
        <w:t>”</w:t>
      </w:r>
      <w:r>
        <w:rPr>
          <w:rFonts w:ascii="Times New Roman;sans-serif" w:hAnsi="Times New Roman;sans-serif"/>
          <w:b w:val="false"/>
          <w:color w:val="000000"/>
          <w:sz w:val="20"/>
        </w:rPr>
        <w:t>), the ultimate liability for all income tax, social insurance, payroll tax, fringe benefits tax, payment on account or other tax-related items related to your participation in the Plan and legally applicable or deemed applicable to you (“</w:t>
      </w:r>
      <w:r>
        <w:rPr>
          <w:rFonts w:ascii="Times New Roman;sans-serif" w:hAnsi="Times New Roman;sans-serif"/>
          <w:b/>
          <w:color w:val="000000"/>
          <w:sz w:val="20"/>
        </w:rPr>
        <w:t>Tax-Related Items</w:t>
      </w:r>
      <w:r>
        <w:rPr>
          <w:color w:val="000000"/>
        </w:rPr>
        <w:t>”</w:t>
      </w:r>
      <w:r>
        <w:rPr>
          <w:rFonts w:ascii="Times New Roman;sans-serif" w:hAnsi="Times New Roman;sans-serif"/>
          <w:b w:val="false"/>
          <w:color w:val="000000"/>
          <w:sz w:val="20"/>
        </w:rPr>
        <w:t>) is and remains your responsibility and may exceed the amount (if any) actually withheld by the Company or the Employer. You further acknowledge that the Company and/or the Employer (1) make no representations or undertakings regarding the treatment of any Tax-Related Items in connection with any aspect of the RSUs, including the grant, vesting or settlement of the RSUs, or the subsequent sale of Shares, if any, acquired pursuant to such settlement and the receipt of any dividends; and (2) do not commit to and are under no obligation to structure the terms of the grant or any aspect of the RSUs to reduce or eliminate your liability for Tax-Related Items or achieve any particular result. Further, if you are subject to Tax-Related Items in more than one jurisdiction, you acknowledge that the Company and/or the Employer (or former Employer, as applicable) may be required to withhold or account for Tax-Related Items in more than one jurisdiction.</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(b)In connection with any relevant taxable or tax withholding event, as applicable, you agree to make adequate arrangements satisfactory to the Company and/or the Employer to satisfy all withholding and payment on account obligations of the Company and/or the Employer. In this regard, you authorize the Company and/or the Employer to (i) withhold all applicable Tax-Related Items legally payable by you from your wages or other cash compensation paid to you by the Company and/or the Employer and/or (ii) establish (and you hereby consent to) a method of withholding from any of the following alternatives, if permissible under local law, (a) withholding Shares that otherwise would be issued to you when your RSUs are settled, (b) having the Company withhold taxes from the proceeds of the sale of the Shares, either through a voluntary sale or through a mandatory sale arranged by the Company (on your behalf and you hereby authorize such sales by this authorization), (c) your payment of a cash amount, or (d) any other arrangement approved by the Company; all under such rules as may be established by the Administrator and in compliance with the Company’s Insider Trading Policy and 10b5-1 Trading Plan Policy, if applicable; provided however, that if you are a Section 16 officer of the Company under the Exchange Act, then the Administrator (as constituted in accordance with Rule 16b-3 under the Exchange Act) shall establish the method of withholding from alternatives (a)-(d) above, and the Administrator shall establish the method prior to the Tax-Related Items withholding event. You shall pay to the Company or the Employer any amount of Tax-Related Items that the Company or the Employer may be required to withhold as a result of your participation in the Plan or your purchase of Shares that cannot be satisfied by the means previously described. </w:t>
      </w:r>
    </w:p>
    <w:p>
      <w:pPr>
        <w:pStyle w:val="TextBody"/>
        <w:bidi w:val="0"/>
        <w:spacing w:before="0" w:after="0"/>
        <w:ind w:left="0" w:right="0" w:firstLine="36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(c)The Company may withhold or account for Tax-Related Items by considering statutory or other applicable withholding rates, including maximum rates applicable in your jurisdiction. In the event of over-withholding, you may receive a refund of any over-withheld amount in cash (with no entitlement to the equivalent in Shares) or, if not refunded, you may seek a refund from the local tax authorities. In the event of under-withholding, you may be required to pay any additional Tax-Related Items directly to the applicable tax authority or to the Company and/or the Employer. If the obligations for Tax-Related Items are satisfied by withholding Shares, for tax purposes, you will be deemed to have been issued the full number of Shares subject to the vested RSUs, notwithstanding that a number of the Shares is held back solely for the purpose of satisfying the withholding obligations for the Tax-Related Items.</w:t>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10.2</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(d)The Company shall not be obligated to deliver any Shares to you or your legal representative unless and until you or your legal representative shall have paid or otherwise satisfied in full the amount of any withholding obligation for Tax-Related Items resulting from the RSUs or the Shares subject to the RSUs.</w:t>
      </w:r>
    </w:p>
    <w:p>
      <w:pPr>
        <w:pStyle w:val="TextBody"/>
        <w:bidi w:val="0"/>
        <w:spacing w:before="0" w:after="0"/>
        <w:ind w:left="0" w:right="0" w:firstLine="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9.</w:t>
      </w:r>
      <w:r>
        <w:rPr>
          <w:rFonts w:ascii="Times New Roman;sans-serif" w:hAnsi="Times New Roman;sans-serif"/>
          <w:b/>
          <w:color w:val="000000"/>
          <w:sz w:val="20"/>
          <w:u w:val="single"/>
        </w:rPr>
        <w:t>Nature of Grant</w:t>
      </w:r>
      <w:r>
        <w:rPr>
          <w:rFonts w:ascii="Times New Roman;sans-serif" w:hAnsi="Times New Roman;sans-serif"/>
          <w:b w:val="false"/>
          <w:color w:val="000000"/>
          <w:sz w:val="20"/>
        </w:rPr>
        <w:t>. By accepting the RSUs, you acknowledge, understand and agree that:</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(a)the Plan is established voluntarily by the Company, is wholly discretionary in nature and may be modified, amended, suspended or terminated by the Company at any time, to the extent permitted by the Plan;</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(b)the grant of the RSUs are exceptional, voluntary and occasional and does not create any contractual or other right to receive future grants of restricted stock units, or benefits in lieu of restricted stock units, even if restricted stock units have been awarded in the past; </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(c)all decisions with respect to future grants of restricted stock units or other grants, if any, will be at the sole discretion of the Company; </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(d)the RSUs and your participation in the Plan shall not create a right of employment or other service relationship with the Company;</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(e)the RSUs and your participation in the Plan shall not be interpreted as forming or amending an employment or service contract with the Company or the Employer, and shall not interfere with the ability of the Company, the Employer or any Affiliated Company, as applicable, to terminate your Continuous Service (if any);</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(f)you are voluntarily participating in the Plan;</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(g)the RSUs and any Shares acquired under the Plan, and the income from and value of the same, are not intended to replace any pension rights or compensation;</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(h)the RSUs and any Shares acquired under the Plan, and the income from and value of the same, are not part of normal or expected compensation for any purposes, including but not limited to, calculating any severance, resignation, termination, redundancy, dismissal, end-of-service payments, bonuses, long-service awards, holiday pay, pension or retirement or welfare benefits or similar payments;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(i)the future value of the Shares underlying the RSUs is unknown, indeterminable, and cannot be predicted with certainty;</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(j)no claim or entitlement to compensation or damages shall arise from forfeiture of any portion of the RSUs resulting from your termination of Continuous Service (for any reason whatsoever and regardless of whether or not later found to be invalid or in breach of Applicable Law in the jurisdiction where you are providing service or the terms of your employment or other service agreement, if any) and/or the application of any recoupment, recovery, or clawback policy otherwise required by Applicable Law;</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(k)unless otherwise agreed with the Company in writing, the RSUs and the Shares subject to the RSUs, and the income from and value of the same, are not granted as consideration for, or in connection with, the service you may provide as a director of an Affiliated Company;</w:t>
      </w:r>
    </w:p>
    <w:p>
      <w:pPr>
        <w:pStyle w:val="TextBody"/>
        <w:bidi w:val="0"/>
        <w:spacing w:before="0" w:after="0"/>
        <w:ind w:left="0" w:right="0" w:firstLine="36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(l)unless otherwise provided in the Plan or by the Company in its discretion, the RSUs and the benefits evidenced by this RSU Agreement do not create any entitlement to have the RSUs or any such benefits transferred to, or assumed by, another company nor to be exchanged, cashed out or substituted for, in connection with any corporate transaction affecting the Shares; and</w:t>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10.2</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(m)neither the Company, the Employer nor any other Affiliated Company shall be liable for any foreign exchange rate fluctuation between your local currency and the U.S. dollar that may affect the value of the RSUs or of any amounts due to you pursuant to the vesting of the RSUs or the subsequent sale of any Shares acquired upon settlement of the RSUs.</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10.</w:t>
      </w:r>
      <w:r>
        <w:rPr>
          <w:rFonts w:ascii="Times New Roman;sans-serif" w:hAnsi="Times New Roman;sans-serif"/>
          <w:b/>
          <w:color w:val="000000"/>
          <w:sz w:val="20"/>
          <w:u w:val="single"/>
        </w:rPr>
        <w:t>No Advice Regarding Grant</w:t>
      </w:r>
      <w:r>
        <w:rPr>
          <w:rFonts w:ascii="Times New Roman;sans-serif" w:hAnsi="Times New Roman;sans-serif"/>
          <w:b w:val="false"/>
          <w:color w:val="000000"/>
          <w:sz w:val="20"/>
        </w:rPr>
        <w:t>. The Company is not providing any tax, legal or financial advice, nor is the Company making any recommendations regarding your participation in the Plan or your receipt, vesting or settlement of the RSUs or the Shares allocated thereto or the sale of such Shares. You are hereby advised to consult with your own personal tax, legal and financial advisors regarding your participation in the Plan and the RSUs before accepting the RSUs or otherwise taking any action related to the RSUs or the Plan.</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11.</w:t>
      </w:r>
      <w:r>
        <w:rPr>
          <w:rFonts w:ascii="Times New Roman;sans-serif" w:hAnsi="Times New Roman;sans-serif"/>
          <w:b/>
          <w:color w:val="000000"/>
          <w:sz w:val="20"/>
          <w:u w:val="single"/>
        </w:rPr>
        <w:t>Data Privacy Notice and Consent</w:t>
      </w:r>
      <w:r>
        <w:rPr>
          <w:rFonts w:ascii="Times New Roman;sans-serif" w:hAnsi="Times New Roman;sans-serif"/>
          <w:b w:val="false"/>
          <w:color w:val="000000"/>
          <w:sz w:val="20"/>
        </w:rPr>
        <w:t>.</w:t>
      </w:r>
    </w:p>
    <w:p>
      <w:pPr>
        <w:pStyle w:val="TextBody"/>
        <w:bidi w:val="0"/>
        <w:spacing w:before="0" w:after="0"/>
        <w:ind w:left="0" w:right="0" w:hanging="360"/>
        <w:jc w:val="left"/>
        <w:rPr/>
      </w:pPr>
      <w:r>
        <w:rPr/>
      </w:r>
    </w:p>
    <w:p>
      <w:pPr>
        <w:pStyle w:val="TextBody"/>
        <w:bidi w:val="0"/>
        <w:spacing w:lineRule="auto" w:line="288" w:before="0" w:after="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Data Collection and Usage</w:t>
      </w:r>
      <w:r>
        <w:rPr>
          <w:rFonts w:ascii="Times New Roman;sans-serif" w:hAnsi="Times New Roman;sans-serif"/>
          <w:b w:val="false"/>
          <w:color w:val="000000"/>
          <w:sz w:val="20"/>
        </w:rPr>
        <w:t>. The Company and the Employer collect, process and use certain personal information about you, including, but not limited to, your name, home address, email address and telephone number, date of birth, social insurance number, passport or other identification number, salary, nationality, job title, any Shares or directorships held in the Company, details of all RSUs or any other entitlement to shares of Common Stock awarded, canceled, exercised, vested, unvested or outstanding in your favor (“Data”), for the purposes of implementing, administering and managing your participation in the Plan. The legal basis, where required, for the processing of Data is your consent.</w:t>
      </w:r>
    </w:p>
    <w:p>
      <w:pPr>
        <w:pStyle w:val="TextBody"/>
        <w:bidi w:val="0"/>
        <w:spacing w:before="0" w:after="0"/>
        <w:ind w:left="0" w:right="0" w:firstLine="360"/>
        <w:jc w:val="left"/>
        <w:rPr/>
      </w:pPr>
      <w:r>
        <w:rPr/>
      </w:r>
    </w:p>
    <w:p>
      <w:pPr>
        <w:pStyle w:val="TextBody"/>
        <w:bidi w:val="0"/>
        <w:spacing w:lineRule="auto" w:line="288" w:before="0" w:after="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Stock Plan Administration Service Providers</w:t>
      </w:r>
      <w:r>
        <w:rPr>
          <w:rFonts w:ascii="Times New Roman;sans-serif" w:hAnsi="Times New Roman;sans-serif"/>
          <w:b w:val="false"/>
          <w:color w:val="000000"/>
          <w:sz w:val="20"/>
        </w:rPr>
        <w:t>. The Company transfers Data to Morgan Stanley and certain of its affiliated companies (the “Designated Broker”), an independent service provider based in the United States, which is assisting the Company with the implementation, administration and management of the Plan. The Company may select a different service provider or additional service providers and share Data with such other provider serving in a similar manner. You may be asked to agree on separate terms and data processing practices with the Designated Broker or other service providers, with such agreement being a condition to the ability to participate in the Plan. The Company and the Designated Broker are based in the United States. Your country or jurisdiction may have different data privacy laws and protections than the United States. The Company’s legal basis, where required, for the transfer of Data is your consent.</w:t>
      </w:r>
    </w:p>
    <w:p>
      <w:pPr>
        <w:pStyle w:val="TextBody"/>
        <w:bidi w:val="0"/>
        <w:spacing w:before="0" w:after="0"/>
        <w:ind w:left="0" w:right="0" w:firstLine="360"/>
        <w:jc w:val="left"/>
        <w:rPr/>
      </w:pPr>
      <w:r>
        <w:rPr/>
      </w:r>
    </w:p>
    <w:p>
      <w:pPr>
        <w:pStyle w:val="TextBody"/>
        <w:bidi w:val="0"/>
        <w:spacing w:lineRule="auto" w:line="288" w:before="0" w:after="0"/>
        <w:jc w:val="left"/>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Data Retention</w:t>
      </w:r>
      <w:r>
        <w:rPr>
          <w:rFonts w:ascii="Times New Roman;sans-serif" w:hAnsi="Times New Roman;sans-serif"/>
          <w:b w:val="false"/>
          <w:color w:val="000000"/>
          <w:sz w:val="20"/>
        </w:rPr>
        <w:t>. The Company will hold and use the Data only as long as is necessary to implement, administer and manage your participation in the Plan, or as required to comply with Applicable Law, exercise or defense of legal rights, and archiving, back-up and deletion processes. This period may extend beyond your period of Continuous Service.</w:t>
      </w:r>
    </w:p>
    <w:p>
      <w:pPr>
        <w:pStyle w:val="TextBody"/>
        <w:bidi w:val="0"/>
        <w:spacing w:before="0" w:after="0"/>
        <w:ind w:left="0" w:right="0" w:firstLine="360"/>
        <w:jc w:val="left"/>
        <w:rPr/>
      </w:pPr>
      <w:r>
        <w:rPr/>
      </w:r>
    </w:p>
    <w:p>
      <w:pPr>
        <w:pStyle w:val="TextBody"/>
        <w:bidi w:val="0"/>
        <w:spacing w:lineRule="auto" w:line="288" w:before="0" w:after="0"/>
        <w:jc w:val="left"/>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Voluntariness and Consequences of Consent Denial or Withdrawal</w:t>
      </w:r>
      <w:r>
        <w:rPr>
          <w:rFonts w:ascii="Times New Roman;sans-serif" w:hAnsi="Times New Roman;sans-serif"/>
          <w:b w:val="false"/>
          <w:color w:val="000000"/>
          <w:sz w:val="20"/>
        </w:rPr>
        <w:t>. Participation in the Plan is voluntary and you are providing the consents herein on a purely voluntary basis. If you do not consent, or if you later seek to revoke your consent, your salary from or employment or other service with the Employer will not be affected; the only consequence of refusing or withdrawing your consent is that the Company would not be able to grant RSUs or other equity awards to you or administer or maintain such awards.</w:t>
      </w:r>
    </w:p>
    <w:p>
      <w:pPr>
        <w:pStyle w:val="TextBody"/>
        <w:bidi w:val="0"/>
        <w:spacing w:before="0" w:after="0"/>
        <w:ind w:left="0" w:right="0" w:firstLine="360"/>
        <w:jc w:val="left"/>
        <w:rPr/>
      </w:pPr>
      <w:r>
        <w:rPr/>
      </w:r>
    </w:p>
    <w:p>
      <w:pPr>
        <w:pStyle w:val="TextBody"/>
        <w:bidi w:val="0"/>
        <w:spacing w:lineRule="auto" w:line="288" w:before="0" w:after="0"/>
        <w:jc w:val="left"/>
        <w:rPr/>
      </w:pPr>
      <w:r>
        <w:rPr>
          <w:rFonts w:ascii="Times New Roman;sans-serif" w:hAnsi="Times New Roman;sans-serif"/>
          <w:b w:val="false"/>
          <w:color w:val="000000"/>
          <w:sz w:val="20"/>
        </w:rPr>
        <w:t>(e)</w:t>
      </w:r>
      <w:r>
        <w:rPr>
          <w:rFonts w:ascii="Times New Roman;sans-serif" w:hAnsi="Times New Roman;sans-serif"/>
          <w:b w:val="false"/>
          <w:color w:val="000000"/>
          <w:sz w:val="20"/>
          <w:u w:val="single"/>
        </w:rPr>
        <w:t>Data Subject Rights</w:t>
      </w:r>
      <w:r>
        <w:rPr>
          <w:rFonts w:ascii="Times New Roman;sans-serif" w:hAnsi="Times New Roman;sans-serif"/>
          <w:b w:val="false"/>
          <w:color w:val="000000"/>
          <w:sz w:val="20"/>
        </w:rPr>
        <w:t>. You may have a number of rights under data privacy laws in your jurisdiction. Depending on where you are based, such rights may include the right to (i) request access or copies of Data the Company processes, (ii) rectification of incorrect Data, (iii) deletion of Data, (iv) restrictions on processing of Data, (v) portability of Data, (vi) lodge complaints with competent authorities in your jurisdiction, and/or (vii) receive a list with the names and addresses of any potential recipients of Data. To receive clarification regarding these rights or to exercise these rights, you can contact your local human resources representative.</w:t>
      </w:r>
    </w:p>
    <w:p>
      <w:pPr>
        <w:pStyle w:val="TextBody"/>
        <w:bidi w:val="0"/>
        <w:ind w:left="0" w:right="0" w:firstLine="360"/>
        <w:jc w:val="left"/>
        <w:rPr/>
      </w:pPr>
      <w:r>
        <w:rPr/>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10.2</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left"/>
        <w:rPr/>
      </w:pPr>
      <w:r>
        <w:rPr>
          <w:rFonts w:ascii="Times New Roman;sans-serif" w:hAnsi="Times New Roman;sans-serif"/>
          <w:b/>
          <w:color w:val="000000"/>
          <w:sz w:val="20"/>
        </w:rPr>
        <w:t>12.</w:t>
      </w:r>
      <w:r>
        <w:rPr>
          <w:rFonts w:ascii="Times New Roman;sans-serif" w:hAnsi="Times New Roman;sans-serif"/>
          <w:b/>
          <w:color w:val="000000"/>
          <w:sz w:val="20"/>
          <w:u w:val="single"/>
        </w:rPr>
        <w:t>Acknowledgement</w:t>
      </w:r>
      <w:r>
        <w:rPr>
          <w:rFonts w:ascii="Times New Roman;sans-serif" w:hAnsi="Times New Roman;sans-serif"/>
          <w:b w:val="false"/>
          <w:color w:val="000000"/>
          <w:sz w:val="20"/>
        </w:rPr>
        <w:t>. The Company and you agree that the RSUs are granted under and governed by the Notice, this RSU Agreement and the provisions of the Plan (incorporated herein by reference). You: (a) acknowledge receipt of a copy of the Plan and the Plan prospectus, (b) represent that you have carefully read and are familiar with their provisions, and (c) hereby accept the RSUs subject to all of the terms and conditions set forth herein and those set forth in the Plan and the Notice. You hereby agree to accept as binding, conclusive and final all decisions or interpretations of the Administrator upon any questions relating to the Plan, the Notice and this RSU Agreement.</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13.</w:t>
      </w:r>
      <w:r>
        <w:rPr>
          <w:rFonts w:ascii="Times New Roman;sans-serif" w:hAnsi="Times New Roman;sans-serif"/>
          <w:b/>
          <w:color w:val="000000"/>
          <w:sz w:val="20"/>
          <w:u w:val="single"/>
        </w:rPr>
        <w:t>Entire Agreement; Enforcement of Rights</w:t>
      </w:r>
      <w:r>
        <w:rPr>
          <w:rFonts w:ascii="Times New Roman;sans-serif" w:hAnsi="Times New Roman;sans-serif"/>
          <w:b w:val="false"/>
          <w:color w:val="000000"/>
          <w:sz w:val="20"/>
        </w:rPr>
        <w:t>. This RSU Agreement, the Plan and the Notice constitute the entire agreement and understanding of the parties relating to the subject matter herein and supersede all prior discussions between them. Any prior agreements, commitments or negotiations concerning the purchase of the Shares hereunder are superseded. No modification of or amendment to this RSU Agreement, nor any waiver of any rights under this RSU Agreement, shall be effective unless in writing and signed by the parties to this RSU Agreement. The failure by either party to enforce any rights under this RSU Agreement shall not be construed as a waiver of any rights of such party.</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14.</w:t>
      </w:r>
      <w:r>
        <w:rPr>
          <w:rFonts w:ascii="Times New Roman;sans-serif" w:hAnsi="Times New Roman;sans-serif"/>
          <w:b/>
          <w:color w:val="000000"/>
          <w:sz w:val="20"/>
          <w:u w:val="single"/>
        </w:rPr>
        <w:t>Severability</w:t>
      </w:r>
      <w:r>
        <w:rPr>
          <w:rFonts w:ascii="Times New Roman;sans-serif" w:hAnsi="Times New Roman;sans-serif"/>
          <w:b w:val="false"/>
          <w:color w:val="000000"/>
          <w:sz w:val="20"/>
        </w:rPr>
        <w:t>. If one or more provisions of this RSU Agreement are held to be unenforceable under applicable law, the parties agree to renegotiate such provision in good faith. In the event that the parties cannot reach a mutually agreeable and enforceable replacement for such provision, then (a) such provision shall be excluded from this RSU Agreement, (b) the balance of this RSU Agreement shall be interpreted as if such provision were so excluded and (c) the balance of this RSU Agreement shall be enforceable in accordance with its terms.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15.</w:t>
      </w:r>
      <w:r>
        <w:rPr>
          <w:rFonts w:ascii="Times New Roman;sans-serif" w:hAnsi="Times New Roman;sans-serif"/>
          <w:b/>
          <w:color w:val="000000"/>
          <w:sz w:val="20"/>
          <w:u w:val="single"/>
        </w:rPr>
        <w:t>Compliance with Laws and Regulations</w:t>
      </w:r>
      <w:r>
        <w:rPr>
          <w:rFonts w:ascii="Times New Roman;sans-serif" w:hAnsi="Times New Roman;sans-serif"/>
          <w:b w:val="false"/>
          <w:color w:val="000000"/>
          <w:sz w:val="20"/>
        </w:rPr>
        <w:t>. The issuance of Shares will be subject to and conditioned upon compliance by the Company and you with all applicable state, federal and foreign laws and regulations and with all applicable requirements of any stock exchange or automated quotation system on which the Company’s Common Stock may be listed or quoted at the time of such issuance or transfer. The Shares issued pursuant to this RSU Agreement shall be endorsed with appropriate legends, if any, determined by the Company.</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16.</w:t>
      </w:r>
      <w:r>
        <w:rPr>
          <w:rFonts w:ascii="Times New Roman;sans-serif" w:hAnsi="Times New Roman;sans-serif"/>
          <w:b/>
          <w:color w:val="000000"/>
          <w:sz w:val="20"/>
          <w:u w:val="single"/>
        </w:rPr>
        <w:t>Governing Law and Venue</w:t>
      </w:r>
      <w:r>
        <w:rPr>
          <w:rFonts w:ascii="Times New Roman;sans-serif" w:hAnsi="Times New Roman;sans-serif"/>
          <w:b w:val="false"/>
          <w:color w:val="000000"/>
          <w:sz w:val="20"/>
        </w:rPr>
        <w:t>. This RSU Agreement and all acts and transactions pursuant hereto and the rights and obligations of the parties hereto shall be governed, construed and interpreted in accordance with the laws of the State of Delaware, without giving effect to principles of conflicts of law. For purposes of litigating any dispute that may arise directly or indirectly from the Plan, the Notice and this RSU Agreement, the parties hereby submit and consent to litigation in the exclusive jurisdiction of the State of California and agree that any such litigation shall be conducted only in the courts of California in San Diego County or the federal courts of the United States for the Southern District of California and no other courts.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17.</w:t>
      </w:r>
      <w:r>
        <w:rPr>
          <w:rFonts w:ascii="Times New Roman;sans-serif" w:hAnsi="Times New Roman;sans-serif"/>
          <w:b/>
          <w:color w:val="000000"/>
          <w:sz w:val="20"/>
          <w:u w:val="single"/>
        </w:rPr>
        <w:t>Language</w:t>
      </w:r>
      <w:r>
        <w:rPr>
          <w:rFonts w:ascii="Times New Roman;sans-serif" w:hAnsi="Times New Roman;sans-serif"/>
          <w:b w:val="false"/>
          <w:color w:val="000000"/>
          <w:sz w:val="20"/>
        </w:rPr>
        <w:t>. You acknowledge that you are sufficiently proficient in English, or have consulted with an advisor who is sufficiently proficient in English, so as to allow you to understand the terms and conditions of this RSU Agreement and the Plan. If you received this RSU Agreement, or any other document related to the RSUs and/or the Plan translated into a language other than English and if the meaning of the translated version is different than the English version, the English version will control, unless otherwise required by Applicable Law.</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18.</w:t>
      </w:r>
      <w:r>
        <w:rPr>
          <w:rFonts w:ascii="Times New Roman;sans-serif" w:hAnsi="Times New Roman;sans-serif"/>
          <w:b/>
          <w:color w:val="000000"/>
          <w:sz w:val="20"/>
          <w:u w:val="single"/>
        </w:rPr>
        <w:t>Appendix</w:t>
      </w:r>
      <w:r>
        <w:rPr>
          <w:rFonts w:ascii="Times New Roman;sans-serif" w:hAnsi="Times New Roman;sans-serif"/>
          <w:b w:val="false"/>
          <w:color w:val="000000"/>
          <w:sz w:val="20"/>
        </w:rPr>
        <w:t>. Notwithstanding any provisions in this Agreement, the RSUs shall be subject to any additional terms and conditions set forth in Appendix A to this RSU Agreement for your country. Moreover, if you relocate to one of the countries included in Appendix A, the additional terms and conditions for such country will apply to you to the extent the Company determines that the application of such terms and conditions is necessary or advisable for legal or administrative reasons. Appendix A constitutes part of this RSU Agreement.</w:t>
      </w:r>
    </w:p>
    <w:p>
      <w:pPr>
        <w:pStyle w:val="TextBody"/>
        <w:bidi w:val="0"/>
        <w:ind w:left="0" w:right="0" w:hanging="360"/>
        <w:jc w:val="left"/>
        <w:rPr/>
      </w:pPr>
      <w:r>
        <w:rPr/>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10.2</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left"/>
        <w:rPr/>
      </w:pPr>
      <w:r>
        <w:rPr>
          <w:rFonts w:ascii="Times New Roman;sans-serif" w:hAnsi="Times New Roman;sans-serif"/>
          <w:b/>
          <w:color w:val="000000"/>
          <w:sz w:val="20"/>
        </w:rPr>
        <w:t>19.</w:t>
      </w:r>
      <w:r>
        <w:rPr>
          <w:rFonts w:ascii="Times New Roman;sans-serif" w:hAnsi="Times New Roman;sans-serif"/>
          <w:b/>
          <w:color w:val="000000"/>
          <w:sz w:val="20"/>
          <w:u w:val="single"/>
        </w:rPr>
        <w:t>Imposition of Other Requirements</w:t>
      </w:r>
      <w:r>
        <w:rPr>
          <w:rFonts w:ascii="Times New Roman;sans-serif" w:hAnsi="Times New Roman;sans-serif"/>
          <w:b w:val="false"/>
          <w:color w:val="000000"/>
          <w:sz w:val="20"/>
        </w:rPr>
        <w:t>. The Company reserves the right to impose other requirements on the RSUs and the Shares issuable thereunder, to the extent the Company determines it is necessary or advisable in order to comply with local laws or facilitate the administration of the Plan, and to require you to sign any additional agreements or undertakings that may be necessary to accomplish the foregoing.</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20.</w:t>
      </w:r>
      <w:r>
        <w:rPr>
          <w:rFonts w:ascii="Times New Roman;sans-serif" w:hAnsi="Times New Roman;sans-serif"/>
          <w:b/>
          <w:color w:val="000000"/>
          <w:sz w:val="20"/>
          <w:u w:val="single"/>
        </w:rPr>
        <w:t>Waiver</w:t>
      </w:r>
      <w:r>
        <w:rPr>
          <w:rFonts w:ascii="Times New Roman;sans-serif" w:hAnsi="Times New Roman;sans-serif"/>
          <w:b w:val="false"/>
          <w:color w:val="000000"/>
          <w:sz w:val="20"/>
        </w:rPr>
        <w:t>. You acknowledge that a waiver by the Company of breach of any provision of this RSU Agreement shall not operate or be construed as a waiver of any other provision of this RSU Agreement, or of any subsequent breach by you.</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21.</w:t>
      </w:r>
      <w:r>
        <w:rPr>
          <w:rFonts w:ascii="Times New Roman;sans-serif" w:hAnsi="Times New Roman;sans-serif"/>
          <w:b/>
          <w:color w:val="000000"/>
          <w:sz w:val="20"/>
          <w:u w:val="single"/>
        </w:rPr>
        <w:t>No Rights as Employee, Director or Consultant</w:t>
      </w:r>
      <w:r>
        <w:rPr>
          <w:rFonts w:ascii="Times New Roman;sans-serif" w:hAnsi="Times New Roman;sans-serif"/>
          <w:b w:val="false"/>
          <w:color w:val="000000"/>
          <w:sz w:val="20"/>
        </w:rPr>
        <w:t>. Nothing in this RSU Agreement shall affect in any manner whatsoever the right or power of the Company, or an Affiliated Company, to terminate your service to the Company or such Affiliated Company, as applicable, for any reason, with or without Cause.</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22.</w:t>
      </w:r>
      <w:r>
        <w:rPr>
          <w:rFonts w:ascii="Times New Roman;sans-serif" w:hAnsi="Times New Roman;sans-serif"/>
          <w:b/>
          <w:color w:val="000000"/>
          <w:sz w:val="20"/>
          <w:u w:val="single"/>
        </w:rPr>
        <w:t>Consent to Electronic Delivery of All Plan Documents and Disclosures</w:t>
      </w:r>
      <w:r>
        <w:rPr>
          <w:rFonts w:ascii="Times New Roman;sans-serif" w:hAnsi="Times New Roman;sans-serif"/>
          <w:b w:val="false"/>
          <w:color w:val="000000"/>
          <w:sz w:val="20"/>
        </w:rPr>
        <w:t>. By your acceptance of this RSU, you consent to the electronic delivery of the Notice, this RSU Agreement, the Plan, account statements, Plan prospectuses required by the Securities and Exchange Commission, U.S. financial reports of the Company, and all other documents that the Company is required to deliver to its security holders (including, without limitation, annual reports and proxy statements) or other communications or information related to the RSU. Electronic delivery may include the delivery of a link to a Company intranet or the internet site of a third party involved in administering the Plan, the delivery of the document via e-mail or such other delivery determined at the Company’s discretion. You acknowledge that you may receive from the Company a paper copy of any documents delivered electronically at no cost if you contact the Company by telephone, through a postal service or electronic mail at stockadmin@tandemdiabetes.com. You further acknowledge that you will be provided with a paper copy of any documents delivered electronically if electronic delivery fails; similarly, you understand that you must provide on request to the Company or any designated third party a paper copy of any documents delivered electronically if electronic delivery fails. Also, you understand that your consent may be revoked or changed, including any change in the electronic mail address to which documents are delivered (if you have provided an electronic mail address), at any time by notifying the Company of such revised or revoked consent by telephone, postal service or electronic mail at stockadmin@tandemdiabetes.com. Finally, you understand that you are not required to consent to electronic delivery.</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23.</w:t>
      </w:r>
      <w:r>
        <w:rPr>
          <w:rFonts w:ascii="Times New Roman;sans-serif" w:hAnsi="Times New Roman;sans-serif"/>
          <w:b/>
          <w:color w:val="000000"/>
          <w:sz w:val="20"/>
          <w:u w:val="single"/>
        </w:rPr>
        <w:t>Code Section 409A</w:t>
      </w:r>
      <w:r>
        <w:rPr>
          <w:rFonts w:ascii="Times New Roman;sans-serif" w:hAnsi="Times New Roman;sans-serif"/>
          <w:b w:val="false"/>
          <w:color w:val="000000"/>
          <w:sz w:val="20"/>
        </w:rPr>
        <w:t>. For purposes of this RSU Agreement, to the extent that you are a U.S. taxpayer, a termination of employment will be determined consistent with the rules relating to a “separation from service” as defined in Section 409A of the Internal Revenue Code of 1986, as amended, and the regulations thereunder (“</w:t>
      </w:r>
      <w:r>
        <w:rPr>
          <w:rFonts w:ascii="Times New Roman;sans-serif" w:hAnsi="Times New Roman;sans-serif"/>
          <w:b/>
          <w:color w:val="000000"/>
          <w:sz w:val="20"/>
        </w:rPr>
        <w:t>Section 409A</w:t>
      </w:r>
      <w:r>
        <w:rPr>
          <w:color w:val="000000"/>
        </w:rPr>
        <w:t>”</w:t>
      </w:r>
      <w:r>
        <w:rPr>
          <w:rFonts w:ascii="Times New Roman;sans-serif" w:hAnsi="Times New Roman;sans-serif"/>
          <w:b w:val="false"/>
          <w:color w:val="000000"/>
          <w:sz w:val="20"/>
        </w:rPr>
        <w:t>). Notwithstanding anything else provided herein, to the extent any payments provided under this RSU Agreement in connection with your termination of employment constitute deferred compensation subject to Section 409A, and you are deemed at the time of such termination of employment to be a “specified employee” under Section 409A, then such payment shall not be made or commence until the earlier of (a) the expiration of the six-month period measured from your separation from service or (b) the date of your death following such a separation from service; provided, however, that such deferral shall only be effected to the extent required to avoid adverse tax treatment to you including, without limitation, the additional tax for which you would otherwise be liable under Section 409A(a)(1)(B) in the absence of such a deferral. To the extent any payment under this RSU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24.</w:t>
      </w:r>
      <w:r>
        <w:rPr>
          <w:rFonts w:ascii="Times New Roman;sans-serif" w:hAnsi="Times New Roman;sans-serif"/>
          <w:b/>
          <w:color w:val="000000"/>
          <w:sz w:val="20"/>
          <w:u w:val="single"/>
        </w:rPr>
        <w:t>Adjustment</w:t>
      </w:r>
      <w:r>
        <w:rPr>
          <w:rFonts w:ascii="Times New Roman;sans-serif" w:hAnsi="Times New Roman;sans-serif"/>
          <w:b w:val="false"/>
          <w:color w:val="000000"/>
          <w:sz w:val="20"/>
        </w:rPr>
        <w:t>. In the event of a stock split, a stock dividend or a similar change in Company stock described in Section 4.2 of the Plan, the number of Shares covered by the RSUs may be adjusted pursuant to the Plan.</w:t>
      </w:r>
    </w:p>
    <w:p>
      <w:pPr>
        <w:pStyle w:val="TextBody"/>
        <w:bidi w:val="0"/>
        <w:ind w:left="0" w:right="0" w:hanging="360"/>
        <w:jc w:val="left"/>
        <w:rPr/>
      </w:pPr>
      <w:r>
        <w:rPr/>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10.2</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left"/>
        <w:rPr/>
      </w:pPr>
      <w:r>
        <w:rPr>
          <w:rFonts w:ascii="Times New Roman;sans-serif" w:hAnsi="Times New Roman;sans-serif"/>
          <w:b/>
          <w:color w:val="000000"/>
          <w:sz w:val="20"/>
        </w:rPr>
        <w:t>25.</w:t>
      </w:r>
      <w:r>
        <w:rPr>
          <w:rFonts w:ascii="Times New Roman;sans-serif" w:hAnsi="Times New Roman;sans-serif"/>
          <w:b/>
          <w:color w:val="000000"/>
          <w:sz w:val="20"/>
          <w:u w:val="single"/>
        </w:rPr>
        <w:t>Award Subject to Company Clawback or Recoupment</w:t>
      </w:r>
      <w:r>
        <w:rPr>
          <w:rFonts w:ascii="Times New Roman;sans-serif" w:hAnsi="Times New Roman;sans-serif"/>
          <w:b w:val="false"/>
          <w:color w:val="000000"/>
          <w:sz w:val="20"/>
        </w:rPr>
        <w:t>. To the extent permitted by Applicable Law, the RSUs shall be subject to clawback or recoupment pursuant to any compensation clawback or recoupment policy adopted by the Administrator or required by law during the term of your employment or other service that is applicable to you. In addition to any other remedies available under such policy, Applicable Law may require the cancellation of your RSUs (whether vested or unvested) and the recoupment of any gains realized with respect to your RSUs.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26.</w:t>
      </w:r>
      <w:r>
        <w:rPr>
          <w:rFonts w:ascii="Times New Roman;sans-serif" w:hAnsi="Times New Roman;sans-serif"/>
          <w:b/>
          <w:color w:val="000000"/>
          <w:sz w:val="20"/>
          <w:u w:val="single"/>
        </w:rPr>
        <w:t>Insider Trading/Market Abuse Laws</w:t>
      </w:r>
      <w:r>
        <w:rPr>
          <w:rFonts w:ascii="Times New Roman;sans-serif" w:hAnsi="Times New Roman;sans-serif"/>
          <w:b w:val="false"/>
          <w:color w:val="000000"/>
          <w:sz w:val="20"/>
        </w:rPr>
        <w:t>. Depending on your country or broker’s country, or the country in which the Shares are listed, you may be subject to insider trading restrictions and/or market abuse laws in applicable jurisdictions, which may affect your ability to accept, acquire, sell or attempt to sell, or otherwise dispose of the Shares, rights to Shares (</w:t>
      </w:r>
      <w:r>
        <w:rPr>
          <w:rFonts w:ascii="Times New Roman;sans-serif" w:hAnsi="Times New Roman;sans-serif"/>
          <w:b w:val="false"/>
          <w:i/>
          <w:color w:val="000000"/>
          <w:sz w:val="20"/>
        </w:rPr>
        <w:t>e.g.</w:t>
      </w:r>
      <w:r>
        <w:rPr>
          <w:rFonts w:ascii="Times New Roman;sans-serif" w:hAnsi="Times New Roman;sans-serif"/>
          <w:b w:val="false"/>
          <w:color w:val="000000"/>
          <w:sz w:val="20"/>
        </w:rPr>
        <w:t>, the RSUs) or rights linked to the value of Shares, during such times as you are considered to have “inside information” regarding the Company (as defined by Applicable Law). Local insider trading laws and regulations may prohibit the cancellation or amendment of orders you placed before possessing inside information. Furthermore, you may be prohibited from (i) disclosing insider information to any third party, including fellow employees (other than on a “need to know” basis) and (ii) “tipping” third parties or causing them to otherwise buy or sell securities. Any restrictions under these laws or regulations are separate from and in addition to any restrictions that may be imposed under any applicable Company insider trading policy. You acknowledge that it is your responsibility to comply with any applicable restrictions, and you should speak to your personal advisor on this matter.</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27.</w:t>
      </w:r>
      <w:r>
        <w:rPr>
          <w:rFonts w:ascii="Times New Roman;sans-serif" w:hAnsi="Times New Roman;sans-serif"/>
          <w:b/>
          <w:color w:val="000000"/>
          <w:sz w:val="20"/>
          <w:u w:val="single"/>
        </w:rPr>
        <w:t>Foreign Asset/Account Reporting, Exchange Control and Tax Reporting</w:t>
      </w:r>
      <w:r>
        <w:rPr>
          <w:rFonts w:ascii="Times New Roman;sans-serif" w:hAnsi="Times New Roman;sans-serif"/>
          <w:b w:val="false"/>
          <w:color w:val="000000"/>
          <w:sz w:val="20"/>
        </w:rPr>
        <w:t>. You may be subject to foreign asset/account, exchange control and/or tax reporting requirements as a result of the acquisition, holding and/or transfer of Shares or cash (including dividends and the proceeds arising from the sale of Shares) derived from your participation in the Plan in, to and/or from a brokerage/bank account or legal entity located outside your country. Applicable Law may require that you report such accounts, assets, the balances therein, the value thereof and/or the transactions related thereto to the applicable authorities in such country. You also may be required to repatriate sale proceeds or other funds received as a result of your participation in the Plan to your country through a designated bank or broker within a certain time after receipt. You acknowledge that you are responsible for ensuring compliance with any applicable foreign asset/account, exchange control and tax reporting requirements and should consult your personal legal advisor on this matter.</w:t>
      </w:r>
    </w:p>
    <w:p>
      <w:pPr>
        <w:pStyle w:val="TextBody"/>
        <w:bidi w:val="0"/>
        <w:spacing w:before="0" w:after="0"/>
        <w:ind w:left="0" w:right="0" w:hanging="360"/>
        <w:jc w:val="left"/>
        <w:rPr/>
      </w:pPr>
      <w:r>
        <w:rPr/>
      </w:r>
    </w:p>
    <w:p>
      <w:pPr>
        <w:pStyle w:val="TextBody"/>
        <w:bidi w:val="0"/>
        <w:spacing w:lineRule="auto" w:line="288"/>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BY ACCEPTING THE RSUs, YOU AGREE TO ALL OF THE TERMS AND CONDITIONS DESCRIBED ABOVE AND IN THE PLAN. </w:t>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10.2</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APPENDIX A TO</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TANDEM DIABETES 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GLOBAL RESTRICTED STOCK UNIT AGREEMENT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Capitalized terms used but not defined herein shall have the meanings ascribed to them in the Grant Notice, the Global Restricted Stock Unit Agreement (the “</w:t>
      </w:r>
      <w:r>
        <w:rPr>
          <w:rFonts w:ascii="Times New Roman;sans-serif" w:hAnsi="Times New Roman;sans-serif"/>
          <w:b/>
          <w:color w:val="000000"/>
          <w:sz w:val="20"/>
        </w:rPr>
        <w:t>RSU Agreement</w:t>
      </w:r>
      <w:r>
        <w:rPr>
          <w:color w:val="000000"/>
        </w:rPr>
        <w:t>”</w:t>
      </w:r>
      <w:r>
        <w:rPr>
          <w:rFonts w:ascii="Times New Roman;sans-serif" w:hAnsi="Times New Roman;sans-serif"/>
          <w:b w:val="false"/>
          <w:color w:val="000000"/>
          <w:sz w:val="20"/>
        </w:rPr>
        <w:t>) and the Plan.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Terms and Conditions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Appendix A includes additional terms and conditions that govern the RSUs if you reside and/or work in one of the countries listed below. If you are a citizen or resident (or are considered as such for local law purposes) of a country other than the country in which you are currently residing and/or working, or if you transfer to another country after the date of grant, the Administrator shall, in its discretion, determine to what extent the terms and conditions contained herein shall be applicable to you.</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Notifications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Appendix A also includes information regarding securities, exchange controls, tax and certain other issues of which you should be aware with respect to your participation in the Plan. The information is based on the securities, exchange control, tax and other laws in effect in the respective countries as of May 2023. Such laws are often complex and change frequently. As a result, the Company strongly recommends that you not rely on the information noted herein as the only source of information relating to the consequences of your participation in the Plan because the information may be out of date when you vest in the RSUs, the RSUs are settled or you sell Shares acquired under the Plan.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information contained herein is general in nature and may not apply to your particular situation, and the Company is not in a position to assure you of any particular result. Accordingly, you should seek appropriate professional advice as to how the Applicable Law in your country may apply to your situation.</w:t>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Finally, if you are a citizen or resident (or are considered as such for local law purposes) of a country other than the one in which you are currently residing and/or working, or if you transfer to another country after the date of grant, the information contained herein may not be applicable to you in the same manner.</w:t>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10.2</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CANADA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Terms and Conditions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u w:val="single"/>
        </w:rPr>
        <w:t>Form of Settlement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For the avoidance of doubt, the RSUs shall be settled in Shares only. In no event shall the RSUs be settled in cash, notwithstanding any discretion contained in the Plan to the contrary.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u w:val="single"/>
        </w:rPr>
        <w:t>Termination</w:t>
      </w:r>
      <w:r>
        <w:rPr>
          <w:rFonts w:ascii="Times New Roman;sans-serif" w:hAnsi="Times New Roman;sans-serif"/>
          <w:b w:val="false"/>
          <w:color w:val="000000"/>
          <w:sz w:val="20"/>
        </w:rPr>
        <w:t>. This provision replaces the second paragraph of Section 5 of the RSU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purposes of this RSU Agreement, and except as expressly required by applicable legislation, your Continuous Service shall terminate as of the earlier of: (1) the date upon which your employment with the Employer is terminated, and (2) the date you receive written notice of termination of employment from the Employer, regardless of any period during which notice, pay in lieu of such notice or related payments or damages are required to be provided under local law (including, but not limited to statutory law, regulatory law and/or common law). For greater certainty, you will not earn or be entitled to any pro-rated vesting for that portion of time before the date on which your right to vest in the RSUs terminates, nor will you be entitled to any compensation for lost vesting.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if applicable employment standards legislation explicitly requires continued participation in the Plan during a statutory notice period, you acknowledge that your right to participate in the Plan, if any, will terminate effective as of the last day of your minimum statutory notice period, but you will not earn or be entitled to pro-rata vesting if the vesting date falls after the end of your statutory notice period, nor will your be entitled to any compensation for lost vesting.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The following provisions will apply if you are a resident of Quebec:</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u w:val="single"/>
        </w:rPr>
        <w:t>Data Privacy Notice and Consent</w:t>
      </w:r>
      <w:r>
        <w:rPr>
          <w:rFonts w:ascii="Times New Roman;sans-serif" w:hAnsi="Times New Roman;sans-serif"/>
          <w:b w:val="false"/>
          <w:color w:val="000000"/>
          <w:sz w:val="20"/>
        </w:rPr>
        <w:t>. This provision supplements Section 12 of the RSU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You hereby authorize the Company (including the Employer) and the Company’s representatives, including the broker(s) designated by the Company, to discuss with and obtain all relevant information from all personnel, professional or non-professional, involved with the administration and operation of the Plan. You further authorize the Company and/or the Employer and any stock plan service provider, or such other broker(s) as designated by the Company, to disclose and discuss the Plan with their advisors. You further authorize the Company and/or the Employer to record such information and to keep such information in your employee file. You acknowledge and agree that your personal information, including sensitive personal information, may be transferred or disclosed outside the province of Quebec, including to the United States. You further acknowledge and authorize the Company, the Employer and/or any Affiliated Company and other parties involved in the administration of the Plan to use technology for profiling purposes and to make automated decisions that may have an impact on you or the administration of the Plan.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u w:val="single"/>
        </w:rPr>
        <w:t>French Language Documents</w:t>
      </w:r>
      <w:r>
        <w:rPr>
          <w:rFonts w:ascii="Times New Roman;sans-serif" w:hAnsi="Times New Roman;sans-serif"/>
          <w:b w:val="false"/>
          <w:color w:val="000000"/>
          <w:sz w:val="20"/>
        </w:rPr>
        <w:t>. A French translation of this document and the Plan will be made available to you as soon as reasonably practicable. Notwithstanding anything to the contrary in the RSU Agreement, and unless you indicate otherwise, the French translation of this document and the Plan will govern your participation in the Plan.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u w:val="single"/>
        </w:rPr>
        <w:t>Documents en Langue Française</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i/>
          <w:color w:val="000000"/>
          <w:sz w:val="20"/>
        </w:rPr>
        <w:t>Une traduction française du présent document et du Plan sera mise à votre disposition dès que cela sera raisonnablement possible. Nonobstant toute disposition contraire dans le Contrat d’RSU, et à moins que vous n’indiquez le contraire, la traduction française du présent document et du Plan régira votre participation au Plan.</w:t>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10.2</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Notifications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u w:val="single"/>
        </w:rPr>
        <w:t>Securities Law Information</w:t>
      </w:r>
      <w:r>
        <w:rPr>
          <w:rFonts w:ascii="Times New Roman;sans-serif" w:hAnsi="Times New Roman;sans-serif"/>
          <w:b w:val="false"/>
          <w:color w:val="000000"/>
          <w:sz w:val="20"/>
        </w:rPr>
        <w:t>. You are permitted to sell Shares acquired upon the vesting and settlement of the RSUs through the designated broker appointed under the Plan, if any, provided the resale of Shares acquired under the Plan takes place outside of Canada through the facilities of a stock exchange on which the Shares are listed and are sold in accordance with the Company’s Insider Trading Policy, as applicable. The Shares are currently listed on the NASDAQ.</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u w:val="single"/>
        </w:rPr>
        <w:t>Foreign Asset / Account Reporting Information</w:t>
      </w:r>
      <w:r>
        <w:rPr>
          <w:rFonts w:ascii="Times New Roman;sans-serif" w:hAnsi="Times New Roman;sans-serif"/>
          <w:b w:val="false"/>
          <w:color w:val="000000"/>
          <w:sz w:val="20"/>
        </w:rPr>
        <w:t>. Specified foreign property, including shares and rights to receive shares (</w:t>
      </w:r>
      <w:r>
        <w:rPr>
          <w:rFonts w:ascii="Times New Roman;sans-serif" w:hAnsi="Times New Roman;sans-serif"/>
          <w:b w:val="false"/>
          <w:i/>
          <w:color w:val="000000"/>
          <w:sz w:val="20"/>
        </w:rPr>
        <w:t>e.g.</w:t>
      </w:r>
      <w:r>
        <w:rPr>
          <w:rFonts w:ascii="Times New Roman;sans-serif" w:hAnsi="Times New Roman;sans-serif"/>
          <w:b w:val="false"/>
          <w:color w:val="000000"/>
          <w:sz w:val="20"/>
        </w:rPr>
        <w:t>, RSUs) of a non-Canadian company held by a Canadian resident must generally be reported annually on a Form T1135 (Foreign Income Verification Statement) if the total cost of the specified foreign property exceeds C$100,000 at any time during the year. Thus, the RSUs must be reported (generally at a nil cost) if the C$100,000 cost threshold is exceeded because you hold other specified foreign property. When Shares are acquired upon settlement of the RSUs, their cost generally is the adjusted cost base (“</w:t>
      </w:r>
      <w:r>
        <w:rPr>
          <w:rFonts w:ascii="Times New Roman;sans-serif" w:hAnsi="Times New Roman;sans-serif"/>
          <w:b/>
          <w:color w:val="000000"/>
          <w:sz w:val="20"/>
        </w:rPr>
        <w:t>ACB</w:t>
      </w:r>
      <w:r>
        <w:rPr>
          <w:color w:val="000000"/>
        </w:rPr>
        <w:t>”</w:t>
      </w:r>
      <w:r>
        <w:rPr>
          <w:rFonts w:ascii="Times New Roman;sans-serif" w:hAnsi="Times New Roman;sans-serif"/>
          <w:b w:val="false"/>
          <w:color w:val="000000"/>
          <w:sz w:val="20"/>
        </w:rPr>
        <w:t>) of the Shares. The ACB ordinarily is equal to the fair market value of the Shares at the time of acquisition, but if you own other Shares, this ACB may have to be averaged with the ACB of the other Shares. You should consult with your personal tax advisor to ensure compliance with the applicable reporting obligations.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NETHERLANDS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country-specific provisions.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SWITZERLAND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Notifications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u w:val="single"/>
        </w:rPr>
        <w:t>Securities Law Information</w:t>
      </w:r>
      <w:r>
        <w:rPr>
          <w:rFonts w:ascii="Times New Roman;sans-serif" w:hAnsi="Times New Roman;sans-serif"/>
          <w:b w:val="false"/>
          <w:color w:val="000000"/>
          <w:sz w:val="20"/>
        </w:rPr>
        <w:t>. The grant of RSUs is considered a private offering in Switzerland and is therefore not subject to registration. Neither this document nor any materials relating to the RSUs (i) constitutes a prospectus according to articles 35 et seq. of the Swiss Federal Act on Financial Services (“</w:t>
      </w:r>
      <w:r>
        <w:rPr>
          <w:rFonts w:ascii="Times New Roman;sans-serif" w:hAnsi="Times New Roman;sans-serif"/>
          <w:b/>
          <w:color w:val="000000"/>
          <w:sz w:val="20"/>
        </w:rPr>
        <w:t>FinSA</w:t>
      </w:r>
      <w:r>
        <w:rPr>
          <w:color w:val="000000"/>
        </w:rPr>
        <w:t>”</w:t>
      </w:r>
      <w:r>
        <w:rPr>
          <w:rFonts w:ascii="Times New Roman;sans-serif" w:hAnsi="Times New Roman;sans-serif"/>
          <w:b w:val="false"/>
          <w:color w:val="000000"/>
          <w:sz w:val="20"/>
        </w:rPr>
        <w:t>), (ii) may be publicly distributed nor otherwise made publicly available in Switzerland to any person other than an employee of the Company or the Employer, or (iii) has been or will be filed with, approved or supervised by any Swiss reviewing body according to article 51 FinSA or any Swiss regulatory authority, including the Swiss Financial Supervisory Authority (FINMA).</w:t>
      </w:r>
    </w:p>
    <w:p>
      <w:pPr>
        <w:pStyle w:val="TextBody"/>
        <w:bidi w:val="0"/>
        <w:spacing w:before="0" w:after="0"/>
        <w:jc w:val="left"/>
        <w:rPr/>
      </w:pPr>
      <w:r>
        <w:rPr/>
      </w:r>
    </w:p>
    <w:p>
      <w:pPr>
        <w:pStyle w:val="TextBody"/>
        <w:bidi w:val="0"/>
        <w:spacing w:lineRule="auto" w:line="288"/>
        <w:jc w:val="left"/>
        <w:rPr/>
      </w:pPr>
      <w:r>
        <w:rPr>
          <w:rFonts w:ascii="Times New Roman;sans-serif" w:hAnsi="Times New Roman;sans-serif"/>
          <w:b/>
          <w:color w:val="000000"/>
          <w:sz w:val="20"/>
          <w:u w:val="single"/>
        </w:rPr>
        <w:t>Foreign Asset / Account Reporting Information</w:t>
      </w:r>
      <w:r>
        <w:rPr>
          <w:rFonts w:ascii="Times New Roman;sans-serif" w:hAnsi="Times New Roman;sans-serif"/>
          <w:b w:val="false"/>
          <w:color w:val="000000"/>
          <w:sz w:val="20"/>
        </w:rPr>
        <w:t>. You are required to declare all of your foreign bank and brokerage accounts in which you hold cash or securities, including the accounts that were opened and/or closed during the tax year, as well as any other assets, on an annual basis on your tax return. This includes RSUs granted to you under the Plan which should not be subject to the net wealth tax, but must be reflected “pro memoria” in the statement on bank accounts and securities (</w:t>
      </w:r>
      <w:r>
        <w:rPr>
          <w:rFonts w:ascii="Times New Roman;sans-serif" w:hAnsi="Times New Roman;sans-serif"/>
          <w:b w:val="false"/>
          <w:i/>
          <w:color w:val="000000"/>
          <w:sz w:val="20"/>
        </w:rPr>
        <w:t>Wertschriftenverzeichnis</w:t>
      </w:r>
      <w:r>
        <w:rPr>
          <w:rFonts w:ascii="Times New Roman;sans-serif" w:hAnsi="Times New Roman;sans-serif"/>
          <w:b w:val="false"/>
          <w:color w:val="000000"/>
          <w:sz w:val="20"/>
        </w:rPr>
        <w:t>) that you are required to file with your tax return.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John F. Sheridan, certify that: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Tandem Diabetes Care, Inc</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7288" w:type="dxa"/>
        <w:jc w:val="left"/>
        <w:tblInd w:w="0" w:type="dxa"/>
        <w:tblLayout w:type="fixed"/>
        <w:tblCellMar>
          <w:top w:w="28" w:type="dxa"/>
          <w:left w:w="28" w:type="dxa"/>
          <w:bottom w:w="28" w:type="dxa"/>
          <w:right w:w="28" w:type="dxa"/>
        </w:tblCellMar>
      </w:tblPr>
      <w:tblGrid>
        <w:gridCol w:w="705"/>
        <w:gridCol w:w="619"/>
        <w:gridCol w:w="625"/>
        <w:gridCol w:w="387"/>
        <w:gridCol w:w="387"/>
        <w:gridCol w:w="387"/>
        <w:gridCol w:w="1301"/>
        <w:gridCol w:w="1301"/>
        <w:gridCol w:w="1313"/>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Tandem Diabetes Care, Inc.</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F. Sheridan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F. Sheridan</w:t>
              <w:br/>
              <w:t>President, Chief Executive Officer and Director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3, 2023</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Leigh A. Vosseller, certify that: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Tandem Diabetes Care, Inc.</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8607" w:type="dxa"/>
        <w:jc w:val="left"/>
        <w:tblInd w:w="0" w:type="dxa"/>
        <w:tblLayout w:type="fixed"/>
        <w:tblCellMar>
          <w:top w:w="28" w:type="dxa"/>
          <w:left w:w="28" w:type="dxa"/>
          <w:bottom w:w="28" w:type="dxa"/>
          <w:right w:w="28" w:type="dxa"/>
        </w:tblCellMar>
      </w:tblPr>
      <w:tblGrid>
        <w:gridCol w:w="705"/>
        <w:gridCol w:w="619"/>
        <w:gridCol w:w="625"/>
        <w:gridCol w:w="387"/>
        <w:gridCol w:w="387"/>
        <w:gridCol w:w="387"/>
        <w:gridCol w:w="1740"/>
        <w:gridCol w:w="1740"/>
        <w:gridCol w:w="1754"/>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Tandem Diabetes Care, Inc.</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Leigh A. Vosseller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Leigh A. Vosseller</w:t>
              <w:br/>
              <w:t>Executive Vice President, Chief Financial Officer and Treasurer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3, 2023</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U.S.C. Section 1350, as Adopted Pursuant to Section 906 of the Sarbanes-Oxley Act of 2002</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Tandem Diabetes Care, Inc. (the “Company”) for the period ended June 30, 2023, as filed with the Securities and Exchange Commission on the date hereof (the “Report”), I, John F. Sheridan, Chief Executive Officer of the Company, certify, pursuant to 18 U.S.C. Section 1350, as adopted pursuant to Section 906 of the Sarbanes-Oxley Act of 2002, that to my knowledge: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 as of the dates and for the periods presented.</w:t>
      </w:r>
    </w:p>
    <w:tbl>
      <w:tblPr>
        <w:tblW w:w="6131"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159"/>
        <w:gridCol w:w="1159"/>
        <w:gridCol w:w="164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F. Sheridan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F. Sheridan</w:t>
              <w:br/>
              <w:t>President, Chief Executive Officer and Director</w:t>
            </w:r>
          </w:p>
        </w:tc>
      </w:tr>
    </w:tbl>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U.S.C. Section 1350, as Adopted Pursuant to Section 906 of the Sarbanes-Oxley Act of 2002</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Tandem Diabetes Care, Inc. (the “Company”) for the period ended June 30, 2023, as filed with the Securities and Exchange Commission on the date hereof (the “Report”), I, Leigh A. Vosseller, Chief Financial Officer of the Company, certify, pursuant to 18 U.S.C. Section 1350, as adopted pursuant to Section 906 of the Sarbanes-Oxley Act of 2002, that to my knowledge: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 as of the dates and for the periods presented.</w:t>
      </w:r>
    </w:p>
    <w:tbl>
      <w:tblPr>
        <w:tblW w:w="7450"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547"/>
        <w:gridCol w:w="1547"/>
        <w:gridCol w:w="218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Leigh A. Vosseller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Leigh A. Vosseller</w:t>
              <w:br/>
              <w:t>Executive Vice President, Chief Financial Officer and Treasurer</w:t>
            </w:r>
          </w:p>
        </w:tc>
      </w:tr>
    </w:tbl>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67</Pages>
  <Words>62027</Words>
  <Characters>332305</Characters>
  <CharactersWithSpaces>392582</CharactersWithSpaces>
  <Paragraphs>3001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