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852.xml.htm"/>
      <w:bookmarkStart w:id="1" w:name="kswkform4_17870848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Gasser Elizabeth 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Strategy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752"/>
        <w:gridCol w:w="1154"/>
        <w:gridCol w:w="99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1,029</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1,396</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33,109</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the Issuer to satisfy tax withholding requirements upon the vesting of restricted stock units (RSUs).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by The Gasser Family Trust dated September 1, 2011, of which Elizabeth A. Gasser is a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Awarded on May 23, 2024 pursuant to the Tandem Diabetes Care Inc. 2023 Long-Term Incentive Plan, as amended, and agreements related thereto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contingent right to receive either one share of common stock of the Issuer or cash in lieu thereof, at the Issuer's discretion, in accordance with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One-third of the RSUs granted on May 23, 2024 vested on May 15, 2025, with the remaining RSUs vesting in eight (8) equal quarterly installments thereafter, subject to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Awarded on May 30, 2025 pursuant 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One-third of the RSUs granted on May 30, 2025 vested on May 15, 2026, with the remaining RSUs vesting in eight (8) equal quarterly installments thereafter, subject to the terms of the 2023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Jerilyn Laskie, Attorney-in-Fact for Elizabeth A. Gasser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6283"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4291</Characters>
  <CharactersWithSpaces>4987</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