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1" w:lineRule="exact"/>
        <w:rPr>
          <w:sz w:val="24"/>
          <w:szCs w:val="24"/>
          <w:color w:val="auto"/>
        </w:rPr>
      </w:pPr>
    </w:p>
    <w:p>
      <w:pPr>
        <w:ind w:left="720" w:hanging="550"/>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76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720" w:hanging="550"/>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76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83" w:lineRule="exact"/>
        <w:rPr>
          <w:sz w:val="24"/>
          <w:szCs w:val="24"/>
          <w:color w:val="auto"/>
        </w:rPr>
      </w:pPr>
    </w:p>
    <w:p>
      <w:pPr>
        <w:ind w:left="376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001-36189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Tandem Diabetes Care,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2540" w:type="dxa"/>
            <w:vAlign w:val="bottom"/>
          </w:tcPr>
          <w:p>
            <w:pPr>
              <w:jc w:val="center"/>
              <w:ind w:right="59"/>
              <w:spacing w:after="0"/>
              <w:rPr>
                <w:sz w:val="20"/>
                <w:szCs w:val="20"/>
                <w:color w:val="auto"/>
              </w:rPr>
            </w:pPr>
            <w:r>
              <w:rPr>
                <w:rFonts w:ascii="Arial" w:cs="Arial" w:eastAsia="Arial" w:hAnsi="Arial"/>
                <w:sz w:val="18"/>
                <w:szCs w:val="18"/>
                <w:b w:val="1"/>
                <w:bCs w:val="1"/>
                <w:color w:val="auto"/>
                <w:w w:val="91"/>
              </w:rPr>
              <w:t>Delaware</w:t>
            </w:r>
          </w:p>
        </w:tc>
        <w:tc>
          <w:tcPr>
            <w:tcW w:w="5380" w:type="dxa"/>
            <w:vAlign w:val="bottom"/>
          </w:tcPr>
          <w:p>
            <w:pPr>
              <w:jc w:val="right"/>
              <w:ind w:right="40"/>
              <w:spacing w:after="0"/>
              <w:rPr>
                <w:sz w:val="20"/>
                <w:szCs w:val="20"/>
                <w:color w:val="auto"/>
              </w:rPr>
            </w:pPr>
            <w:r>
              <w:rPr>
                <w:rFonts w:ascii="Arial" w:cs="Arial" w:eastAsia="Arial" w:hAnsi="Arial"/>
                <w:sz w:val="18"/>
                <w:szCs w:val="18"/>
                <w:b w:val="1"/>
                <w:bCs w:val="1"/>
                <w:color w:val="auto"/>
              </w:rPr>
              <w:t>20-4327508</w:t>
            </w:r>
          </w:p>
        </w:tc>
      </w:tr>
      <w:tr>
        <w:trPr>
          <w:trHeight w:val="149"/>
        </w:trPr>
        <w:tc>
          <w:tcPr>
            <w:tcW w:w="25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380" w:type="dxa"/>
            <w:vAlign w:val="bottom"/>
          </w:tcPr>
          <w:p>
            <w:pPr>
              <w:jc w:val="center"/>
              <w:ind w:left="418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54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incorporation or organization)</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4"/>
              </w:rPr>
              <w:t>Identification No.)</w:t>
            </w:r>
          </w:p>
        </w:tc>
      </w:tr>
      <w:tr>
        <w:trPr>
          <w:trHeight w:val="318"/>
        </w:trPr>
        <w:tc>
          <w:tcPr>
            <w:tcW w:w="2540" w:type="dxa"/>
            <w:vAlign w:val="bottom"/>
          </w:tcPr>
          <w:p>
            <w:pPr>
              <w:jc w:val="center"/>
              <w:ind w:right="79"/>
              <w:spacing w:after="0"/>
              <w:rPr>
                <w:sz w:val="20"/>
                <w:szCs w:val="20"/>
                <w:color w:val="auto"/>
              </w:rPr>
            </w:pPr>
            <w:r>
              <w:rPr>
                <w:rFonts w:ascii="Arial" w:cs="Arial" w:eastAsia="Arial" w:hAnsi="Arial"/>
                <w:sz w:val="18"/>
                <w:szCs w:val="18"/>
                <w:b w:val="1"/>
                <w:bCs w:val="1"/>
                <w:color w:val="auto"/>
                <w:w w:val="87"/>
              </w:rPr>
              <w:t>11075 Roselle Street</w:t>
            </w:r>
          </w:p>
        </w:tc>
        <w:tc>
          <w:tcPr>
            <w:tcW w:w="5380" w:type="dxa"/>
            <w:vAlign w:val="bottom"/>
          </w:tcPr>
          <w:p>
            <w:pPr>
              <w:spacing w:after="0"/>
              <w:rPr>
                <w:sz w:val="24"/>
                <w:szCs w:val="24"/>
                <w:color w:val="auto"/>
              </w:rPr>
            </w:pPr>
          </w:p>
        </w:tc>
      </w:tr>
      <w:tr>
        <w:trPr>
          <w:trHeight w:val="225"/>
        </w:trPr>
        <w:tc>
          <w:tcPr>
            <w:tcW w:w="2540" w:type="dxa"/>
            <w:vAlign w:val="bottom"/>
          </w:tcPr>
          <w:p>
            <w:pPr>
              <w:jc w:val="center"/>
              <w:ind w:right="79"/>
              <w:spacing w:after="0"/>
              <w:rPr>
                <w:sz w:val="20"/>
                <w:szCs w:val="20"/>
                <w:color w:val="auto"/>
              </w:rPr>
            </w:pPr>
            <w:r>
              <w:rPr>
                <w:rFonts w:ascii="Arial" w:cs="Arial" w:eastAsia="Arial" w:hAnsi="Arial"/>
                <w:sz w:val="18"/>
                <w:szCs w:val="18"/>
                <w:b w:val="1"/>
                <w:bCs w:val="1"/>
                <w:color w:val="auto"/>
                <w:w w:val="91"/>
              </w:rPr>
              <w:t>San Diego, California</w:t>
            </w:r>
          </w:p>
        </w:tc>
        <w:tc>
          <w:tcPr>
            <w:tcW w:w="5380" w:type="dxa"/>
            <w:vAlign w:val="bottom"/>
          </w:tcPr>
          <w:p>
            <w:pPr>
              <w:jc w:val="right"/>
              <w:ind w:right="260"/>
              <w:spacing w:after="0"/>
              <w:rPr>
                <w:sz w:val="20"/>
                <w:szCs w:val="20"/>
                <w:color w:val="auto"/>
              </w:rPr>
            </w:pPr>
            <w:r>
              <w:rPr>
                <w:rFonts w:ascii="Arial" w:cs="Arial" w:eastAsia="Arial" w:hAnsi="Arial"/>
                <w:sz w:val="18"/>
                <w:szCs w:val="18"/>
                <w:b w:val="1"/>
                <w:bCs w:val="1"/>
                <w:color w:val="auto"/>
              </w:rPr>
              <w:t>92121</w:t>
            </w:r>
          </w:p>
        </w:tc>
      </w:tr>
      <w:tr>
        <w:trPr>
          <w:trHeight w:val="186"/>
        </w:trPr>
        <w:tc>
          <w:tcPr>
            <w:tcW w:w="254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8"/>
              </w:rPr>
              <w:t>(Zip Code)</w:t>
            </w:r>
          </w:p>
        </w:tc>
      </w:tr>
      <w:tr>
        <w:trPr>
          <w:trHeight w:val="286"/>
        </w:trPr>
        <w:tc>
          <w:tcPr>
            <w:tcW w:w="2540" w:type="dxa"/>
            <w:vAlign w:val="bottom"/>
          </w:tcPr>
          <w:p>
            <w:pPr>
              <w:spacing w:after="0"/>
              <w:rPr>
                <w:sz w:val="24"/>
                <w:szCs w:val="24"/>
                <w:color w:val="auto"/>
              </w:rPr>
            </w:pPr>
          </w:p>
        </w:tc>
        <w:tc>
          <w:tcPr>
            <w:tcW w:w="5380" w:type="dxa"/>
            <w:vAlign w:val="bottom"/>
          </w:tcPr>
          <w:p>
            <w:pPr>
              <w:jc w:val="right"/>
              <w:ind w:right="3000"/>
              <w:spacing w:after="0"/>
              <w:rPr>
                <w:sz w:val="20"/>
                <w:szCs w:val="20"/>
                <w:color w:val="auto"/>
              </w:rPr>
            </w:pPr>
            <w:r>
              <w:rPr>
                <w:rFonts w:ascii="Arial" w:cs="Arial" w:eastAsia="Arial" w:hAnsi="Arial"/>
                <w:sz w:val="18"/>
                <w:szCs w:val="18"/>
                <w:b w:val="1"/>
                <w:bCs w:val="1"/>
                <w:color w:val="auto"/>
              </w:rPr>
              <w:t>(858) 366-6900</w:t>
            </w:r>
          </w:p>
        </w:tc>
      </w:tr>
      <w:tr>
        <w:trPr>
          <w:trHeight w:val="186"/>
        </w:trPr>
        <w:tc>
          <w:tcPr>
            <w:tcW w:w="2540" w:type="dxa"/>
            <w:vAlign w:val="bottom"/>
          </w:tcPr>
          <w:p>
            <w:pPr>
              <w:spacing w:after="0"/>
              <w:rPr>
                <w:sz w:val="16"/>
                <w:szCs w:val="16"/>
                <w:color w:val="auto"/>
              </w:rPr>
            </w:pPr>
          </w:p>
        </w:tc>
        <w:tc>
          <w:tcPr>
            <w:tcW w:w="5380" w:type="dxa"/>
            <w:vAlign w:val="bottom"/>
          </w:tcPr>
          <w:p>
            <w:pPr>
              <w:jc w:val="center"/>
              <w:ind w:right="18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03" w:lineRule="exact"/>
        <w:rPr>
          <w:sz w:val="24"/>
          <w:szCs w:val="24"/>
          <w:color w:val="auto"/>
        </w:rPr>
      </w:pPr>
    </w:p>
    <w:tbl>
      <w:tblPr>
        <w:tblLayout w:type="fixed"/>
        <w:tblInd w:w="980" w:type="dxa"/>
        <w:tblCellMar>
          <w:top w:w="0" w:type="dxa"/>
          <w:left w:w="0" w:type="dxa"/>
          <w:bottom w:w="0" w:type="dxa"/>
          <w:right w:w="0" w:type="dxa"/>
        </w:tblCellMar>
      </w:tblPr>
      <w:tr>
        <w:trPr>
          <w:trHeight w:val="201"/>
        </w:trPr>
        <w:tc>
          <w:tcPr>
            <w:tcW w:w="98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4140" w:type="dxa"/>
            <w:vAlign w:val="bottom"/>
          </w:tcPr>
          <w:p>
            <w:pPr>
              <w:spacing w:after="0"/>
              <w:rPr>
                <w:sz w:val="17"/>
                <w:szCs w:val="17"/>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221"/>
        </w:trPr>
        <w:tc>
          <w:tcPr>
            <w:tcW w:w="6480" w:type="dxa"/>
            <w:vAlign w:val="bottom"/>
            <w:gridSpan w:val="3"/>
          </w:tcPr>
          <w:p>
            <w:pPr>
              <w:jc w:val="center"/>
              <w:ind w:right="318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99695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0" w:lineRule="exact"/>
        <w:rPr>
          <w:sz w:val="24"/>
          <w:szCs w:val="24"/>
          <w:color w:val="auto"/>
        </w:rPr>
      </w:pPr>
    </w:p>
    <w:p>
      <w:pPr>
        <w:ind w:right="100" w:firstLine="518"/>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400" w:firstLine="518"/>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2" w:lineRule="exact"/>
        <w:rPr>
          <w:sz w:val="24"/>
          <w:szCs w:val="24"/>
          <w:color w:val="auto"/>
        </w:rPr>
      </w:pPr>
    </w:p>
    <w:p>
      <w:pPr>
        <w:ind w:right="360" w:firstLine="51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8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3680" w:type="dxa"/>
            <w:vAlign w:val="bottom"/>
          </w:tcPr>
          <w:p>
            <w:pPr>
              <w:ind w:left="1360"/>
              <w:spacing w:after="0"/>
              <w:rPr>
                <w:sz w:val="20"/>
                <w:szCs w:val="20"/>
                <w:color w:val="auto"/>
              </w:rPr>
            </w:pPr>
            <w:r>
              <w:rPr>
                <w:rFonts w:ascii="Arial" w:cs="Arial" w:eastAsia="Arial" w:hAnsi="Arial"/>
                <w:sz w:val="14"/>
                <w:szCs w:val="14"/>
                <w:color w:val="auto"/>
              </w:rPr>
              <w:t>Accelerated filer</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4840" w:type="dxa"/>
            <w:vAlign w:val="bottom"/>
          </w:tcPr>
          <w:p>
            <w:pPr>
              <w:ind w:left="6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680" w:type="dxa"/>
            <w:vAlign w:val="bottom"/>
          </w:tcPr>
          <w:p>
            <w:pPr>
              <w:ind w:left="1360"/>
              <w:spacing w:after="0"/>
              <w:rPr>
                <w:sz w:val="20"/>
                <w:szCs w:val="20"/>
                <w:color w:val="auto"/>
              </w:rPr>
            </w:pPr>
            <w:r>
              <w:rPr>
                <w:rFonts w:ascii="Arial" w:cs="Arial" w:eastAsia="Arial" w:hAnsi="Arial"/>
                <w:sz w:val="14"/>
                <w:szCs w:val="14"/>
                <w:color w:val="auto"/>
              </w:rPr>
              <w:t>Smaller reporting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9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680" w:type="dxa"/>
            <w:vAlign w:val="bottom"/>
          </w:tcPr>
          <w:p>
            <w:pPr>
              <w:ind w:left="1360"/>
              <w:spacing w:after="0"/>
              <w:rPr>
                <w:sz w:val="20"/>
                <w:szCs w:val="20"/>
                <w:color w:val="auto"/>
              </w:rPr>
            </w:pPr>
            <w:r>
              <w:rPr>
                <w:rFonts w:ascii="Arial" w:cs="Arial" w:eastAsia="Arial" w:hAnsi="Arial"/>
                <w:sz w:val="14"/>
                <w:szCs w:val="14"/>
                <w:color w:val="auto"/>
              </w:rPr>
              <w:t>Emerging growth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6"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7140" w:type="dxa"/>
            <w:vAlign w:val="bottom"/>
          </w:tcPr>
          <w:p>
            <w:pPr>
              <w:spacing w:after="0"/>
              <w:rPr>
                <w:sz w:val="20"/>
                <w:szCs w:val="20"/>
                <w:color w:val="auto"/>
              </w:rPr>
            </w:pPr>
            <w:r>
              <w:rPr>
                <w:rFonts w:ascii="Arial" w:cs="Arial" w:eastAsia="Arial" w:hAnsi="Arial"/>
                <w:sz w:val="14"/>
                <w:szCs w:val="14"/>
                <w:color w:val="auto"/>
              </w:rPr>
              <w:t>standards provided pursuant to Section 13(a) of the Exchange Act.</w:t>
            </w:r>
          </w:p>
        </w:tc>
        <w:tc>
          <w:tcPr>
            <w:tcW w:w="428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9"/>
                <w:szCs w:val="19"/>
                <w:color w:val="auto"/>
              </w:rPr>
            </w:pPr>
          </w:p>
        </w:tc>
      </w:tr>
      <w:tr>
        <w:trPr>
          <w:trHeight w:val="398"/>
        </w:trPr>
        <w:tc>
          <w:tcPr>
            <w:tcW w:w="7140" w:type="dxa"/>
            <w:vAlign w:val="bottom"/>
          </w:tcPr>
          <w:p>
            <w:pPr>
              <w:ind w:left="520"/>
              <w:spacing w:after="0"/>
              <w:rPr>
                <w:sz w:val="20"/>
                <w:szCs w:val="20"/>
                <w:color w:val="auto"/>
              </w:rPr>
            </w:pPr>
            <w:r>
              <w:rPr>
                <w:rFonts w:ascii="Arial" w:cs="Arial" w:eastAsia="Arial" w:hAnsi="Arial"/>
                <w:sz w:val="14"/>
                <w:szCs w:val="14"/>
                <w:color w:val="auto"/>
                <w:w w:val="94"/>
              </w:rPr>
              <w:t>Indicate by check mark whether the registrant is a shell company (as defined in Rule 12b-2 of the Exchange Act).</w:t>
            </w:r>
          </w:p>
        </w:tc>
        <w:tc>
          <w:tcPr>
            <w:tcW w:w="4280" w:type="dxa"/>
            <w:vAlign w:val="bottom"/>
          </w:tcPr>
          <w:p>
            <w:pPr>
              <w:ind w:left="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20" w:type="dxa"/>
            <w:vAlign w:val="bottom"/>
          </w:tcPr>
          <w:p>
            <w:pPr>
              <w:spacing w:after="0"/>
              <w:rPr>
                <w:sz w:val="24"/>
                <w:szCs w:val="24"/>
                <w:color w:val="auto"/>
              </w:rPr>
            </w:pPr>
          </w:p>
        </w:tc>
      </w:tr>
      <w:tr>
        <w:trPr>
          <w:trHeight w:val="254"/>
        </w:trPr>
        <w:tc>
          <w:tcPr>
            <w:tcW w:w="7140" w:type="dxa"/>
            <w:vAlign w:val="bottom"/>
          </w:tcPr>
          <w:p>
            <w:pPr>
              <w:ind w:left="520"/>
              <w:spacing w:after="0"/>
              <w:rPr>
                <w:sz w:val="20"/>
                <w:szCs w:val="20"/>
                <w:color w:val="auto"/>
              </w:rPr>
            </w:pPr>
            <w:r>
              <w:rPr>
                <w:rFonts w:ascii="Arial" w:cs="Arial" w:eastAsia="Arial" w:hAnsi="Arial"/>
                <w:sz w:val="14"/>
                <w:szCs w:val="14"/>
                <w:color w:val="auto"/>
              </w:rPr>
              <w:t>As of July 26, 2018, there were 53,190,159 shares of the registrant’s Common Stock outstanding.</w:t>
            </w:r>
          </w:p>
        </w:tc>
        <w:tc>
          <w:tcPr>
            <w:tcW w:w="4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3"/>
        </w:trPr>
        <w:tc>
          <w:tcPr>
            <w:tcW w:w="7140" w:type="dxa"/>
            <w:vAlign w:val="bottom"/>
            <w:tcBorders>
              <w:bottom w:val="single" w:sz="8" w:color="auto"/>
            </w:tcBorders>
          </w:tcPr>
          <w:p>
            <w:pPr>
              <w:spacing w:after="0"/>
              <w:rPr>
                <w:sz w:val="8"/>
                <w:szCs w:val="8"/>
                <w:color w:val="auto"/>
              </w:rPr>
            </w:pPr>
          </w:p>
        </w:tc>
        <w:tc>
          <w:tcPr>
            <w:tcW w:w="4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1"/>
        </w:trPr>
        <w:tc>
          <w:tcPr>
            <w:tcW w:w="714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9"/>
        </w:trPr>
        <w:tc>
          <w:tcPr>
            <w:tcW w:w="71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900" w:type="dxa"/>
            <w:vAlign w:val="bottom"/>
            <w:gridSpan w:val="7"/>
          </w:tcPr>
          <w:p>
            <w:pPr>
              <w:ind w:left="160"/>
              <w:spacing w:after="0"/>
              <w:rPr>
                <w:sz w:val="20"/>
                <w:szCs w:val="20"/>
                <w:color w:val="auto"/>
              </w:rPr>
            </w:pPr>
            <w:r>
              <w:rPr>
                <w:rFonts w:ascii="Arial" w:cs="Arial" w:eastAsia="Arial" w:hAnsi="Arial"/>
                <w:sz w:val="18"/>
                <w:szCs w:val="18"/>
                <w:b w:val="1"/>
                <w:bCs w:val="1"/>
                <w:color w:val="auto"/>
              </w:rPr>
              <w:t>TABLE OF CONTENTS</w:t>
            </w:r>
          </w:p>
        </w:tc>
        <w:tc>
          <w:tcPr>
            <w:tcW w:w="940" w:type="dxa"/>
            <w:vAlign w:val="bottom"/>
          </w:tcPr>
          <w:p>
            <w:pPr>
              <w:spacing w:after="0"/>
              <w:rPr>
                <w:sz w:val="20"/>
                <w:szCs w:val="20"/>
                <w:color w:val="auto"/>
              </w:rPr>
            </w:pPr>
          </w:p>
        </w:tc>
      </w:tr>
      <w:tr>
        <w:trPr>
          <w:trHeight w:val="392"/>
        </w:trPr>
        <w:tc>
          <w:tcPr>
            <w:tcW w:w="80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158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Financial Information</w:t>
              </w:r>
            </w:hyperlink>
          </w:p>
        </w:tc>
        <w:tc>
          <w:tcPr>
            <w:tcW w:w="8120" w:type="dxa"/>
            <w:vAlign w:val="bottom"/>
            <w:gridSpan w:val="10"/>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1</w:t>
            </w:r>
          </w:p>
        </w:tc>
        <w:tc>
          <w:tcPr>
            <w:tcW w:w="970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970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Balance Sheets at June 30, 2018 (Unaudited) and December 31, 2017</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9700" w:type="dxa"/>
            <w:vAlign w:val="bottom"/>
            <w:gridSpan w:val="17"/>
          </w:tcPr>
          <w:p>
            <w:pPr>
              <w:spacing w:after="0" w:line="196"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Condensed Statements of Operations and Comprehensive Loss for the Three and Six Months Ended June 30, 2018 and 2017</w:t>
              </w:r>
            </w:hyperlink>
          </w:p>
        </w:tc>
        <w:tc>
          <w:tcPr>
            <w:tcW w:w="94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(Unaudited)</w:t>
              </w:r>
            </w:hyperlink>
          </w:p>
        </w:tc>
        <w:tc>
          <w:tcPr>
            <w:tcW w:w="8080" w:type="dxa"/>
            <w:vAlign w:val="bottom"/>
            <w:tcBorders>
              <w:top w:val="single" w:sz="8" w:color="0000EE"/>
            </w:tcBorders>
            <w:gridSpan w:val="14"/>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800" w:type="dxa"/>
            <w:vAlign w:val="bottom"/>
          </w:tcPr>
          <w:p>
            <w:pPr>
              <w:spacing w:after="0"/>
              <w:rPr>
                <w:sz w:val="17"/>
                <w:szCs w:val="17"/>
                <w:color w:val="auto"/>
              </w:rPr>
            </w:pPr>
          </w:p>
        </w:tc>
        <w:tc>
          <w:tcPr>
            <w:tcW w:w="970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Statements of Cash Flows for the Six Months Ended June 30, 2018 and 2017 (Unaudited)</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00" w:type="dxa"/>
            <w:vAlign w:val="bottom"/>
          </w:tcPr>
          <w:p>
            <w:pPr>
              <w:spacing w:after="0"/>
              <w:rPr>
                <w:sz w:val="17"/>
                <w:szCs w:val="17"/>
                <w:color w:val="auto"/>
              </w:rPr>
            </w:pPr>
          </w:p>
        </w:tc>
        <w:tc>
          <w:tcPr>
            <w:tcW w:w="38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Condensed Financial Statements</w:t>
              </w:r>
            </w:hyperlink>
          </w:p>
        </w:tc>
        <w:tc>
          <w:tcPr>
            <w:tcW w:w="3500" w:type="dxa"/>
            <w:vAlign w:val="bottom"/>
            <w:tcBorders>
              <w:top w:val="single" w:sz="8" w:color="0000EE"/>
            </w:tcBorders>
            <w:gridSpan w:val="5"/>
          </w:tcPr>
          <w:p>
            <w:pPr>
              <w:spacing w:after="0"/>
              <w:rPr>
                <w:sz w:val="17"/>
                <w:szCs w:val="17"/>
                <w:color w:val="auto"/>
              </w:rPr>
            </w:pPr>
          </w:p>
        </w:tc>
        <w:tc>
          <w:tcPr>
            <w:tcW w:w="2400" w:type="dxa"/>
            <w:vAlign w:val="bottom"/>
            <w:gridSpan w:val="2"/>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2</w:t>
            </w:r>
          </w:p>
        </w:tc>
        <w:tc>
          <w:tcPr>
            <w:tcW w:w="9700" w:type="dxa"/>
            <w:vAlign w:val="bottom"/>
            <w:gridSpan w:val="1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3240" w:type="dxa"/>
            <w:vAlign w:val="bottom"/>
            <w:gridSpan w:val="3"/>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Controls and Procedures</w:t>
              </w:r>
            </w:hyperlink>
          </w:p>
        </w:tc>
        <w:tc>
          <w:tcPr>
            <w:tcW w:w="7920" w:type="dxa"/>
            <w:vAlign w:val="bottom"/>
            <w:gridSpan w:val="9"/>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331"/>
        </w:trPr>
        <w:tc>
          <w:tcPr>
            <w:tcW w:w="8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34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Other Information</w:t>
              </w:r>
            </w:hyperlink>
          </w:p>
        </w:tc>
        <w:tc>
          <w:tcPr>
            <w:tcW w:w="8360" w:type="dxa"/>
            <w:vAlign w:val="bottom"/>
            <w:gridSpan w:val="12"/>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Legal Proceedings</w:t>
              </w:r>
            </w:hyperlink>
          </w:p>
        </w:tc>
        <w:tc>
          <w:tcPr>
            <w:tcW w:w="8360" w:type="dxa"/>
            <w:vAlign w:val="bottom"/>
            <w:gridSpan w:val="12"/>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1A</w:t>
            </w:r>
          </w:p>
        </w:tc>
        <w:tc>
          <w:tcPr>
            <w:tcW w:w="9700" w:type="dxa"/>
            <w:vAlign w:val="bottom"/>
            <w:gridSpan w:val="1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Unregistered Sales of Equity Securities and Use of Proceeds</w:t>
              </w:r>
            </w:hyperlink>
          </w:p>
        </w:tc>
        <w:tc>
          <w:tcPr>
            <w:tcW w:w="5340" w:type="dxa"/>
            <w:vAlign w:val="bottom"/>
            <w:gridSpan w:val="5"/>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3</w:t>
            </w:r>
          </w:p>
        </w:tc>
        <w:tc>
          <w:tcPr>
            <w:tcW w:w="9700" w:type="dxa"/>
            <w:vAlign w:val="bottom"/>
            <w:gridSpan w:val="1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Defaults Upon Senior Securities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17"/>
                <w:szCs w:val="17"/>
                <w:color w:val="auto"/>
              </w:rPr>
            </w:pPr>
          </w:p>
        </w:tc>
        <w:tc>
          <w:tcPr>
            <w:tcW w:w="7380" w:type="dxa"/>
            <w:vAlign w:val="bottom"/>
            <w:gridSpan w:val="8"/>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Other Information</w:t>
              </w:r>
            </w:hyperlink>
          </w:p>
        </w:tc>
        <w:tc>
          <w:tcPr>
            <w:tcW w:w="8380" w:type="dxa"/>
            <w:vAlign w:val="bottom"/>
            <w:gridSpan w:val="13"/>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6</w:t>
            </w:r>
          </w:p>
        </w:tc>
        <w:tc>
          <w:tcPr>
            <w:tcW w:w="9700" w:type="dxa"/>
            <w:vAlign w:val="bottom"/>
            <w:gridSpan w:val="1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027"/>
        </w:trPr>
        <w:tc>
          <w:tcPr>
            <w:tcW w:w="80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0"/>
        </w:trPr>
        <w:tc>
          <w:tcPr>
            <w:tcW w:w="1160" w:type="dxa"/>
            <w:vAlign w:val="bottom"/>
          </w:tcPr>
          <w:p>
            <w:pPr>
              <w:spacing w:after="0"/>
              <w:rPr>
                <w:sz w:val="18"/>
                <w:szCs w:val="18"/>
                <w:color w:val="auto"/>
              </w:rPr>
            </w:pPr>
          </w:p>
        </w:tc>
        <w:tc>
          <w:tcPr>
            <w:tcW w:w="6480" w:type="dxa"/>
            <w:vAlign w:val="bottom"/>
          </w:tcPr>
          <w:p>
            <w:pPr>
              <w:jc w:val="center"/>
              <w:ind w:left="2559"/>
              <w:spacing w:after="0"/>
              <w:rPr>
                <w:sz w:val="20"/>
                <w:szCs w:val="20"/>
                <w:color w:val="auto"/>
              </w:rPr>
            </w:pPr>
            <w:r>
              <w:rPr>
                <w:rFonts w:ascii="Arial" w:cs="Arial" w:eastAsia="Arial" w:hAnsi="Arial"/>
                <w:sz w:val="16"/>
                <w:szCs w:val="16"/>
                <w:b w:val="1"/>
                <w:bCs w:val="1"/>
                <w:color w:val="auto"/>
              </w:rPr>
              <w:t>PART I. FINANCIAL INFORMATION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6480" w:type="dxa"/>
            <w:vAlign w:val="bottom"/>
          </w:tcPr>
          <w:p>
            <w:pPr>
              <w:spacing w:after="0"/>
              <w:rPr>
                <w:sz w:val="20"/>
                <w:szCs w:val="20"/>
                <w:color w:val="auto"/>
              </w:rPr>
            </w:pPr>
            <w:r>
              <w:rPr>
                <w:rFonts w:ascii="Arial" w:cs="Arial" w:eastAsia="Arial" w:hAnsi="Arial"/>
                <w:sz w:val="16"/>
                <w:szCs w:val="16"/>
                <w:b w:val="1"/>
                <w:bCs w:val="1"/>
                <w:color w:val="auto"/>
              </w:rPr>
              <w:t>Financial Statements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1160" w:type="dxa"/>
            <w:vAlign w:val="bottom"/>
          </w:tcPr>
          <w:p>
            <w:pPr>
              <w:spacing w:after="0"/>
              <w:rPr>
                <w:sz w:val="24"/>
                <w:szCs w:val="24"/>
                <w:color w:val="auto"/>
              </w:rPr>
            </w:pPr>
          </w:p>
        </w:tc>
        <w:tc>
          <w:tcPr>
            <w:tcW w:w="6480" w:type="dxa"/>
            <w:vAlign w:val="bottom"/>
          </w:tcPr>
          <w:p>
            <w:pPr>
              <w:jc w:val="center"/>
              <w:ind w:left="2559"/>
              <w:spacing w:after="0"/>
              <w:rPr>
                <w:sz w:val="20"/>
                <w:szCs w:val="20"/>
                <w:color w:val="auto"/>
              </w:rPr>
            </w:pPr>
            <w:r>
              <w:rPr>
                <w:rFonts w:ascii="Arial" w:cs="Arial" w:eastAsia="Arial" w:hAnsi="Arial"/>
                <w:sz w:val="16"/>
                <w:szCs w:val="16"/>
                <w:b w:val="1"/>
                <w:bCs w:val="1"/>
                <w:color w:val="auto"/>
              </w:rPr>
              <w:t>TANDEM DIABETES CARE, INC.</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480" w:type="dxa"/>
            <w:vAlign w:val="bottom"/>
          </w:tcPr>
          <w:p>
            <w:pPr>
              <w:jc w:val="center"/>
              <w:ind w:left="2559"/>
              <w:spacing w:after="0"/>
              <w:rPr>
                <w:sz w:val="20"/>
                <w:szCs w:val="20"/>
                <w:color w:val="auto"/>
              </w:rPr>
            </w:pPr>
            <w:r>
              <w:rPr>
                <w:rFonts w:ascii="Arial" w:cs="Arial" w:eastAsia="Arial" w:hAnsi="Arial"/>
                <w:sz w:val="16"/>
                <w:szCs w:val="16"/>
                <w:b w:val="1"/>
                <w:bCs w:val="1"/>
                <w:color w:val="auto"/>
                <w:w w:val="99"/>
              </w:rPr>
              <w:t>CONDENSED BALANCE SHEETS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480" w:type="dxa"/>
            <w:vAlign w:val="bottom"/>
          </w:tcPr>
          <w:p>
            <w:pPr>
              <w:jc w:val="center"/>
              <w:ind w:left="2539"/>
              <w:spacing w:after="0"/>
              <w:rPr>
                <w:sz w:val="20"/>
                <w:szCs w:val="20"/>
                <w:color w:val="auto"/>
              </w:rPr>
            </w:pPr>
            <w:r>
              <w:rPr>
                <w:rFonts w:ascii="Arial" w:cs="Arial" w:eastAsia="Arial" w:hAnsi="Arial"/>
                <w:sz w:val="16"/>
                <w:szCs w:val="16"/>
                <w:b w:val="1"/>
                <w:bCs w:val="1"/>
                <w:color w:val="auto"/>
                <w:w w:val="90"/>
              </w:rPr>
              <w:t>(In thousands, except par value)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11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92"/>
              <w:spacing w:after="0" w:line="155"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center"/>
              <w:ind w:right="172"/>
              <w:spacing w:after="0" w:line="155"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92"/>
              </w:rPr>
              <w:t>(Note 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w w:val="93"/>
              </w:rPr>
              <w:t>Current assets:</w:t>
            </w:r>
          </w:p>
        </w:tc>
        <w:tc>
          <w:tcPr>
            <w:tcW w:w="6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50,548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26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35,957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260"/>
              <w:spacing w:after="0"/>
              <w:rPr>
                <w:sz w:val="20"/>
                <w:szCs w:val="20"/>
                <w:color w:val="auto"/>
              </w:rPr>
            </w:pPr>
            <w:r>
              <w:rPr>
                <w:rFonts w:ascii="Arial" w:cs="Arial" w:eastAsia="Arial" w:hAnsi="Arial"/>
                <w:sz w:val="18"/>
                <w:szCs w:val="18"/>
                <w:color w:val="auto"/>
              </w:rPr>
              <w:t>Inventory, net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24,912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26,993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128,343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64,156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Patents, net</w:t>
            </w:r>
          </w:p>
        </w:tc>
        <w:tc>
          <w:tcPr>
            <w:tcW w:w="6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cash - long term</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4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157,994</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95,346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26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expense</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260"/>
              <w:spacing w:after="0"/>
              <w:rPr>
                <w:sz w:val="20"/>
                <w:szCs w:val="20"/>
                <w:color w:val="auto"/>
              </w:rPr>
            </w:pPr>
            <w:r>
              <w:rPr>
                <w:rFonts w:ascii="Arial" w:cs="Arial" w:eastAsia="Arial" w:hAnsi="Arial"/>
                <w:sz w:val="18"/>
                <w:szCs w:val="18"/>
                <w:color w:val="auto"/>
              </w:rPr>
              <w:t>Employee-related liabilities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14,488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260"/>
              <w:spacing w:after="0"/>
              <w:rPr>
                <w:sz w:val="20"/>
                <w:szCs w:val="20"/>
                <w:color w:val="auto"/>
              </w:rPr>
            </w:pPr>
            <w:r>
              <w:rPr>
                <w:rFonts w:ascii="Arial" w:cs="Arial" w:eastAsia="Arial" w:hAnsi="Arial"/>
                <w:sz w:val="18"/>
                <w:szCs w:val="18"/>
                <w:color w:val="auto"/>
              </w:rPr>
              <w:t>Common stock warrants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42,507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36,085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 payable—long-term</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77,100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Deferred rent—long-term</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Total liabilities</w:t>
            </w:r>
          </w:p>
        </w:tc>
        <w:tc>
          <w:tcPr>
            <w:tcW w:w="6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131,989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124,494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1"/>
              </w:rPr>
              <w:t>Common stock, $0.001 par value; 100,000 shares authorized as of June 30, 2018 and December 31,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2"/>
              </w:rPr>
              <w:t>2017, 53,186 and 10,119 shares issued and outstanding at June 30, 2018 and December 31, 2017,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7"/>
              </w:rPr>
              <w:t>respectively.</w:t>
            </w:r>
          </w:p>
        </w:tc>
        <w:tc>
          <w:tcPr>
            <w:tcW w:w="64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595,463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448,455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40" w:type="dxa"/>
            <w:vAlign w:val="bottom"/>
            <w:gridSpan w:val="2"/>
          </w:tcPr>
          <w:p>
            <w:pPr>
              <w:ind w:left="2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(569,517)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(477,613)</w:t>
            </w:r>
          </w:p>
        </w:tc>
        <w:tc>
          <w:tcPr>
            <w:tcW w:w="0" w:type="dxa"/>
            <w:vAlign w:val="bottom"/>
          </w:tcPr>
          <w:p>
            <w:pPr>
              <w:spacing w:after="0"/>
              <w:rPr>
                <w:sz w:val="1"/>
                <w:szCs w:val="1"/>
                <w:color w:val="auto"/>
              </w:rPr>
            </w:pPr>
          </w:p>
        </w:tc>
      </w:tr>
      <w:tr>
        <w:trPr>
          <w:trHeight w:val="223"/>
        </w:trPr>
        <w:tc>
          <w:tcPr>
            <w:tcW w:w="7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 (deficit)</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26,005</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(29,148)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 (deficit)</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TANDEM DIABETES CARE,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STATEMENTS OF OPERATIONS AND COMPREHENSIVE LOSS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8"/>
              </w:rPr>
              <w:t>Three Months Ended June 30,</w:t>
            </w:r>
          </w:p>
        </w:tc>
        <w:tc>
          <w:tcPr>
            <w:tcW w:w="260" w:type="dxa"/>
            <w:vAlign w:val="bottom"/>
          </w:tcPr>
          <w:p>
            <w:pPr>
              <w:spacing w:after="0"/>
              <w:rPr>
                <w:sz w:val="16"/>
                <w:szCs w:val="16"/>
                <w:color w:val="auto"/>
              </w:rPr>
            </w:pPr>
          </w:p>
        </w:tc>
        <w:tc>
          <w:tcPr>
            <w:tcW w:w="24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50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34,126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19,039</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13,325</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25,549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22,104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6,456</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4,866</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29,084</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26,970</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55,972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Operating loss</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(13,997)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(18,968)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Interest and other income</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expense</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(3,112)</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(2,892)</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(6,184)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Change in fair value of stock warrants</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(42,549)</w:t>
            </w:r>
          </w:p>
        </w:tc>
        <w:tc>
          <w:tcPr>
            <w:tcW w:w="26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(56,777)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(45,362)</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(2,832)</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(62,571)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(59,359)</w:t>
            </w:r>
          </w:p>
        </w:tc>
        <w:tc>
          <w:tcPr>
            <w:tcW w:w="2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(21,800)</w:t>
            </w:r>
          </w:p>
        </w:tc>
        <w:tc>
          <w:tcPr>
            <w:tcW w:w="2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(92,053)</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Unrealized gain on short-term investments</w:t>
            </w:r>
          </w:p>
        </w:tc>
        <w:tc>
          <w:tcPr>
            <w:tcW w:w="5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(59,353)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(92,047)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(45,592)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diluted(1)</w:t>
            </w:r>
          </w:p>
        </w:tc>
        <w:tc>
          <w:tcPr>
            <w:tcW w:w="5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26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5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4"/>
              </w:rPr>
              <w:t>Weighted average shares used to compute basic and diluted net loss per</w:t>
            </w: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share(1)</w:t>
            </w:r>
          </w:p>
        </w:tc>
        <w:tc>
          <w:tcPr>
            <w:tcW w:w="3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50,948</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5,004</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39,594</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4,101</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condensed financial statements.</w:t>
      </w:r>
    </w:p>
    <w:p>
      <w:pPr>
        <w:spacing w:after="0" w:line="221" w:lineRule="exact"/>
        <w:rPr>
          <w:sz w:val="20"/>
          <w:szCs w:val="20"/>
          <w:color w:val="auto"/>
        </w:rPr>
      </w:pPr>
    </w:p>
    <w:p>
      <w:pPr>
        <w:ind w:left="760" w:right="120" w:hanging="374"/>
        <w:spacing w:after="0" w:line="293"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issued and outstanding shares of common stock have been restated for all periods presented to reflect the effects of the 1-for-10 reverse stock split, which was effective on October 9, 2017.</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TANDEM DIABETES CARE,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w w:val="92"/>
              </w:rPr>
              <w:t>Six Months Ended June 30,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880" w:type="dxa"/>
            <w:vAlign w:val="bottom"/>
          </w:tcPr>
          <w:p>
            <w:pPr>
              <w:spacing w:after="0"/>
              <w:rPr>
                <w:sz w:val="17"/>
                <w:szCs w:val="17"/>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880" w:type="dxa"/>
            <w:vAlign w:val="bottom"/>
            <w:tcBorders>
              <w:bottom w:val="single" w:sz="8" w:color="CFF0FC"/>
            </w:tcBorders>
          </w:tcPr>
          <w:p>
            <w:pPr>
              <w:spacing w:after="0"/>
              <w:rPr>
                <w:sz w:val="2"/>
                <w:szCs w:val="2"/>
                <w:color w:val="auto"/>
              </w:rPr>
            </w:pPr>
          </w:p>
        </w:tc>
        <w:tc>
          <w:tcPr>
            <w:tcW w:w="8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Net loss</w:t>
            </w:r>
          </w:p>
        </w:tc>
        <w:tc>
          <w:tcPr>
            <w:tcW w:w="1780" w:type="dxa"/>
            <w:vAlign w:val="bottom"/>
            <w:gridSpan w:val="2"/>
          </w:tcPr>
          <w:p>
            <w:pPr>
              <w:jc w:val="right"/>
              <w:ind w:right="7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(92,053)</w:t>
            </w:r>
          </w:p>
        </w:tc>
        <w:tc>
          <w:tcPr>
            <w:tcW w:w="1060" w:type="dxa"/>
            <w:vAlign w:val="bottom"/>
          </w:tcPr>
          <w:p>
            <w:pPr>
              <w:jc w:val="right"/>
              <w:ind w:right="90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(45,593)</w:t>
            </w: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60"/>
              <w:spacing w:after="0"/>
              <w:rPr>
                <w:sz w:val="20"/>
                <w:szCs w:val="20"/>
                <w:color w:val="auto"/>
              </w:rPr>
            </w:pPr>
            <w:r>
              <w:rPr>
                <w:rFonts w:ascii="Arial" w:cs="Arial" w:eastAsia="Arial" w:hAnsi="Arial"/>
                <w:sz w:val="18"/>
                <w:szCs w:val="18"/>
                <w:color w:val="auto"/>
              </w:rPr>
              <w:t>Depreciation and amortization expense</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2,898</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related to amortization of debt discount and debt issuance costs</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60"/>
              <w:spacing w:after="0"/>
              <w:rPr>
                <w:sz w:val="20"/>
                <w:szCs w:val="20"/>
                <w:color w:val="auto"/>
              </w:rPr>
            </w:pPr>
            <w:r>
              <w:rPr>
                <w:rFonts w:ascii="Arial" w:cs="Arial" w:eastAsia="Arial" w:hAnsi="Arial"/>
                <w:sz w:val="18"/>
                <w:szCs w:val="18"/>
                <w:color w:val="auto"/>
              </w:rPr>
              <w:t>Provision for allowance for doubtful accounts</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745</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inventory reserve</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60"/>
              <w:spacing w:after="0"/>
              <w:rPr>
                <w:sz w:val="20"/>
                <w:szCs w:val="20"/>
                <w:color w:val="auto"/>
              </w:rPr>
            </w:pPr>
            <w:r>
              <w:rPr>
                <w:rFonts w:ascii="Arial" w:cs="Arial" w:eastAsia="Arial" w:hAnsi="Arial"/>
                <w:sz w:val="18"/>
                <w:szCs w:val="18"/>
                <w:color w:val="auto"/>
              </w:rPr>
              <w:t>Payment in kind interest accrual of notes payable</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common stock warrants</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56,777</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tcPr>
          <w:p>
            <w:pPr>
              <w:ind w:left="260"/>
              <w:spacing w:after="0"/>
              <w:rPr>
                <w:sz w:val="20"/>
                <w:szCs w:val="20"/>
                <w:color w:val="auto"/>
              </w:rPr>
            </w:pPr>
            <w:r>
              <w:rPr>
                <w:rFonts w:ascii="Arial" w:cs="Arial" w:eastAsia="Arial" w:hAnsi="Arial"/>
                <w:sz w:val="18"/>
                <w:szCs w:val="18"/>
                <w:color w:val="auto"/>
              </w:rPr>
              <w:t>Amortization of discount on short-term investments</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298</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3,890</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6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500"/>
              <w:spacing w:after="0"/>
              <w:rPr>
                <w:sz w:val="20"/>
                <w:szCs w:val="20"/>
                <w:color w:val="auto"/>
              </w:rPr>
            </w:pPr>
            <w:r>
              <w:rPr>
                <w:rFonts w:ascii="Arial" w:cs="Arial" w:eastAsia="Arial" w:hAnsi="Arial"/>
                <w:sz w:val="18"/>
                <w:szCs w:val="18"/>
                <w:color w:val="auto"/>
              </w:rPr>
              <w:t>Accounts receivable, net</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6,135</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Inventory, net</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(4,797)</w:t>
            </w:r>
          </w:p>
        </w:tc>
        <w:tc>
          <w:tcPr>
            <w:tcW w:w="0" w:type="dxa"/>
            <w:vAlign w:val="bottom"/>
          </w:tcPr>
          <w:p>
            <w:pPr>
              <w:spacing w:after="0"/>
              <w:rPr>
                <w:sz w:val="1"/>
                <w:szCs w:val="1"/>
                <w:color w:val="auto"/>
              </w:rPr>
            </w:pPr>
          </w:p>
        </w:tc>
      </w:tr>
      <w:tr>
        <w:trPr>
          <w:trHeight w:val="230"/>
        </w:trPr>
        <w:tc>
          <w:tcPr>
            <w:tcW w:w="6880" w:type="dxa"/>
            <w:vAlign w:val="bottom"/>
          </w:tcPr>
          <w:p>
            <w:pPr>
              <w:ind w:left="500"/>
              <w:spacing w:after="0"/>
              <w:rPr>
                <w:sz w:val="20"/>
                <w:szCs w:val="20"/>
                <w:color w:val="auto"/>
              </w:rPr>
            </w:pPr>
            <w:r>
              <w:rPr>
                <w:rFonts w:ascii="Arial" w:cs="Arial" w:eastAsia="Arial" w:hAnsi="Arial"/>
                <w:sz w:val="18"/>
                <w:szCs w:val="18"/>
                <w:color w:val="auto"/>
              </w:rPr>
              <w:t>Prepaid and other current assets</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(821)</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assets</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(43)</w:t>
            </w:r>
          </w:p>
        </w:tc>
        <w:tc>
          <w:tcPr>
            <w:tcW w:w="10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688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(1,733)</w:t>
            </w:r>
          </w:p>
        </w:tc>
        <w:tc>
          <w:tcPr>
            <w:tcW w:w="10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30"/>
        </w:trPr>
        <w:tc>
          <w:tcPr>
            <w:tcW w:w="6880" w:type="dxa"/>
            <w:vAlign w:val="bottom"/>
          </w:tcPr>
          <w:p>
            <w:pPr>
              <w:ind w:left="500"/>
              <w:spacing w:after="0"/>
              <w:rPr>
                <w:sz w:val="20"/>
                <w:szCs w:val="20"/>
                <w:color w:val="auto"/>
              </w:rPr>
            </w:pPr>
            <w:r>
              <w:rPr>
                <w:rFonts w:ascii="Arial" w:cs="Arial" w:eastAsia="Arial" w:hAnsi="Arial"/>
                <w:sz w:val="18"/>
                <w:szCs w:val="18"/>
                <w:color w:val="auto"/>
              </w:rPr>
              <w:t>Employee-related liabilities</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(848)</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30"/>
        </w:trPr>
        <w:tc>
          <w:tcPr>
            <w:tcW w:w="6880" w:type="dxa"/>
            <w:vAlign w:val="bottom"/>
          </w:tcPr>
          <w:p>
            <w:pPr>
              <w:ind w:left="500"/>
              <w:spacing w:after="0"/>
              <w:rPr>
                <w:sz w:val="20"/>
                <w:szCs w:val="20"/>
                <w:color w:val="auto"/>
              </w:rPr>
            </w:pPr>
            <w:r>
              <w:rPr>
                <w:rFonts w:ascii="Arial" w:cs="Arial" w:eastAsia="Arial" w:hAnsi="Arial"/>
                <w:sz w:val="18"/>
                <w:szCs w:val="18"/>
                <w:color w:val="auto"/>
              </w:rPr>
              <w:t>Other current liabilities</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10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rent</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(359)</w:t>
            </w:r>
          </w:p>
        </w:tc>
        <w:tc>
          <w:tcPr>
            <w:tcW w:w="10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6880" w:type="dxa"/>
            <w:vAlign w:val="bottom"/>
          </w:tcPr>
          <w:p>
            <w:pPr>
              <w:ind w:left="500"/>
              <w:spacing w:after="0"/>
              <w:rPr>
                <w:sz w:val="20"/>
                <w:szCs w:val="20"/>
                <w:color w:val="auto"/>
              </w:rPr>
            </w:pPr>
            <w:r>
              <w:rPr>
                <w:rFonts w:ascii="Arial" w:cs="Arial" w:eastAsia="Arial" w:hAnsi="Arial"/>
                <w:sz w:val="18"/>
                <w:szCs w:val="18"/>
                <w:color w:val="auto"/>
              </w:rPr>
              <w:t>Other long-term liabilities</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603</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23"/>
        </w:trPr>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8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(18,995)</w:t>
            </w:r>
          </w:p>
        </w:tc>
        <w:tc>
          <w:tcPr>
            <w:tcW w:w="2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(35,477)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Purchase of short-term investments</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(40,500)</w:t>
            </w:r>
          </w:p>
        </w:tc>
        <w:tc>
          <w:tcPr>
            <w:tcW w:w="10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Proceeds from sales and maturities of short-term investments</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4,250</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(1,087)</w:t>
            </w:r>
          </w:p>
        </w:tc>
        <w:tc>
          <w:tcPr>
            <w:tcW w:w="10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8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(37,337)</w:t>
            </w:r>
          </w:p>
        </w:tc>
        <w:tc>
          <w:tcPr>
            <w:tcW w:w="28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Proceeds from public offering, net of offering costs</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64,008</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warrants</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29,164</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Proceeds from common stock issued under employee benefit plans</w:t>
            </w:r>
          </w:p>
        </w:tc>
        <w:tc>
          <w:tcPr>
            <w:tcW w:w="8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8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93,180</w:t>
            </w:r>
          </w:p>
        </w:tc>
        <w:tc>
          <w:tcPr>
            <w:tcW w:w="28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increase in cash and cash equivalents and restricted cash</w:t>
            </w:r>
          </w:p>
        </w:tc>
        <w:tc>
          <w:tcPr>
            <w:tcW w:w="8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36,848</w:t>
            </w:r>
          </w:p>
        </w:tc>
        <w:tc>
          <w:tcPr>
            <w:tcW w:w="2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8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23,700</w:t>
            </w:r>
          </w:p>
        </w:tc>
        <w:tc>
          <w:tcPr>
            <w:tcW w:w="28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and restricted cash at end of period</w:t>
            </w:r>
          </w:p>
        </w:tc>
        <w:tc>
          <w:tcPr>
            <w:tcW w:w="860" w:type="dxa"/>
            <w:vAlign w:val="bottom"/>
            <w:tcBorders>
              <w:bottom w:val="single" w:sz="8" w:color="CFF0FC"/>
            </w:tcBorders>
          </w:tcPr>
          <w:p>
            <w:pPr>
              <w:spacing w:after="0"/>
              <w:rPr>
                <w:sz w:val="22"/>
                <w:szCs w:val="22"/>
                <w:color w:val="auto"/>
              </w:rPr>
            </w:pPr>
          </w:p>
        </w:tc>
        <w:tc>
          <w:tcPr>
            <w:tcW w:w="920" w:type="dxa"/>
            <w:vAlign w:val="bottom"/>
            <w:tcBorders>
              <w:bottom w:val="single" w:sz="8" w:color="auto"/>
            </w:tcBorders>
          </w:tcPr>
          <w:p>
            <w:pPr>
              <w:jc w:val="right"/>
              <w:ind w:right="76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60,548</w:t>
            </w:r>
          </w:p>
        </w:tc>
        <w:tc>
          <w:tcPr>
            <w:tcW w:w="280" w:type="dxa"/>
            <w:vAlign w:val="bottom"/>
            <w:tcBorders>
              <w:bottom w:val="single" w:sz="8" w:color="CFF0FC"/>
            </w:tcBorders>
          </w:tcPr>
          <w:p>
            <w:pPr>
              <w:spacing w:after="0"/>
              <w:rPr>
                <w:sz w:val="22"/>
                <w:szCs w:val="22"/>
                <w:color w:val="auto"/>
              </w:rPr>
            </w:pPr>
          </w:p>
        </w:tc>
        <w:tc>
          <w:tcPr>
            <w:tcW w:w="1060" w:type="dxa"/>
            <w:vAlign w:val="bottom"/>
            <w:tcBorders>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37,351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8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8"/>
                <w:szCs w:val="18"/>
                <w:color w:val="auto"/>
              </w:rPr>
              <w:t>Interest paid</w:t>
            </w:r>
          </w:p>
        </w:tc>
        <w:tc>
          <w:tcPr>
            <w:tcW w:w="1780" w:type="dxa"/>
            <w:vAlign w:val="bottom"/>
            <w:gridSpan w:val="2"/>
          </w:tcPr>
          <w:p>
            <w:pPr>
              <w:jc w:val="right"/>
              <w:ind w:right="76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4,784</w:t>
            </w:r>
          </w:p>
        </w:tc>
        <w:tc>
          <w:tcPr>
            <w:tcW w:w="280" w:type="dxa"/>
            <w:vAlign w:val="bottom"/>
          </w:tcPr>
          <w:p>
            <w:pPr>
              <w:spacing w:after="0"/>
              <w:rPr>
                <w:sz w:val="23"/>
                <w:szCs w:val="23"/>
                <w:color w:val="auto"/>
              </w:rPr>
            </w:pPr>
          </w:p>
        </w:tc>
        <w:tc>
          <w:tcPr>
            <w:tcW w:w="1060" w:type="dxa"/>
            <w:vAlign w:val="bottom"/>
          </w:tcPr>
          <w:p>
            <w:pPr>
              <w:jc w:val="right"/>
              <w:ind w:right="90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3,882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8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8"/>
                <w:szCs w:val="18"/>
                <w:color w:val="auto"/>
              </w:rPr>
              <w:t>Lease incentive - lessor-paid tenant improvements</w:t>
            </w:r>
          </w:p>
        </w:tc>
        <w:tc>
          <w:tcPr>
            <w:tcW w:w="1780" w:type="dxa"/>
            <w:vAlign w:val="bottom"/>
            <w:gridSpan w:val="2"/>
          </w:tcPr>
          <w:p>
            <w:pPr>
              <w:jc w:val="right"/>
              <w:ind w:right="7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2,784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Debt discount included in other long-term liabilities</w:t>
            </w:r>
          </w:p>
        </w:tc>
        <w:tc>
          <w:tcPr>
            <w:tcW w:w="86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4,964</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ind w:right="90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color w:val="auto"/>
              </w:rPr>
              <w:t>Common stock warrants issued in connection with term loan</w:t>
            </w:r>
          </w:p>
        </w:tc>
        <w:tc>
          <w:tcPr>
            <w:tcW w:w="17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FF0FC"/>
            </w:tcBorders>
            <w:vMerge w:val="continue"/>
          </w:tcPr>
          <w:p>
            <w:pPr>
              <w:spacing w:after="0"/>
              <w:rPr>
                <w:sz w:val="21"/>
                <w:szCs w:val="21"/>
                <w:color w:val="auto"/>
              </w:rPr>
            </w:pPr>
          </w:p>
        </w:tc>
        <w:tc>
          <w:tcPr>
            <w:tcW w:w="860" w:type="dxa"/>
            <w:vAlign w:val="bottom"/>
            <w:tcBorders>
              <w:bottom w:val="single" w:sz="8" w:color="CFF0FC"/>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76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included in accounts payable</w:t>
            </w:r>
          </w:p>
        </w:tc>
        <w:tc>
          <w:tcPr>
            <w:tcW w:w="8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90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condensed financial statements.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TANDEM DIABETES CARE,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ind w:right="380" w:firstLine="571"/>
        <w:spacing w:after="0" w:line="264" w:lineRule="auto"/>
        <w:rPr>
          <w:sz w:val="20"/>
          <w:szCs w:val="20"/>
          <w:color w:val="auto"/>
        </w:rPr>
      </w:pPr>
      <w:r>
        <w:rPr>
          <w:rFonts w:ascii="Arial" w:cs="Arial" w:eastAsia="Arial" w:hAnsi="Arial"/>
          <w:sz w:val="18"/>
          <w:szCs w:val="18"/>
          <w:color w:val="auto"/>
        </w:rPr>
        <w:t>Tandem Diabetes Care, Inc. is a medical device company focused on the design, development and commercialization of products for people with insulin-dependent diabetes. The Company is incorporated in the state of Delaware. Unless the context requires otherwise, the terms the “Company” or “Tandem” refer to Tandem Diabetes Care, Inc.</w:t>
      </w:r>
    </w:p>
    <w:p>
      <w:pPr>
        <w:spacing w:after="0" w:line="181"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color w:val="auto"/>
        </w:rPr>
        <w:t>The Company manufactures and sells insulin pump products in the United States that are designed to address large and differentiated needs of the insulin-dependent diabetes market. The Company’s manufacturing and sales activities primarily focus on the t:slim X2 Insulin Delivery System, or t:slim X2, the next-generation flagship product that is updatable and designed to display Dexcom G5 continuous glucose monitoring, or CGM, sensor information directly on the pump Home Screen. The Company’s insulin pump products are generally considered durable medical equipment, and have an expected lifespan of at least four years. In addition to selling insulin pumps, the Company sells disposable products that are used together with the pumps and are replaced every few days, including cartridges for storing and delivering insulin, and infusion sets that connect the insulin pump to a user’s body. The Company’s insulin pump products are compatible with the Tandem Device Updater, a Mac and PC-compatible tool for the remote update of Tandem insulin pump software.</w:t>
      </w:r>
    </w:p>
    <w:p>
      <w:pPr>
        <w:spacing w:after="0" w:line="192"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The Company began commercial sales of its first product, t:slim, in August 2012. During 2015, the Company commenced commercial sales of two additional insulin pumps: t:flex in May 2015 and t:slim G4 in September 2015. In October 2016, the Company commenced commercial sales of t:slim X2 and discontinued new sales of t:slim. In September 2017, the Company commenced commercial sales of t:slim X2 with Dexcom G5 Mobile CGM integration, or t:slim X2 with G5, and discontinued new sales of t:slim G4. Because the t:slim X2 hardware platform has represented nearly 100% of new pump shipments, the Company discontinued marketing and sales of new t:flex pumps in the third quarter of 2018. The Company will continue to provide ongoing service and support to existing t:slim, t:slim G4 and t:flex customers.</w:t>
      </w:r>
    </w:p>
    <w:p>
      <w:pPr>
        <w:spacing w:after="0" w:line="193" w:lineRule="exact"/>
        <w:rPr>
          <w:sz w:val="20"/>
          <w:szCs w:val="20"/>
          <w:color w:val="auto"/>
        </w:rPr>
      </w:pPr>
    </w:p>
    <w:p>
      <w:pPr>
        <w:jc w:val="both"/>
        <w:ind w:right="60" w:firstLine="571"/>
        <w:spacing w:after="0" w:line="264" w:lineRule="auto"/>
        <w:rPr>
          <w:sz w:val="20"/>
          <w:szCs w:val="20"/>
          <w:color w:val="auto"/>
        </w:rPr>
      </w:pPr>
      <w:r>
        <w:rPr>
          <w:rFonts w:ascii="Arial" w:cs="Arial" w:eastAsia="Arial" w:hAnsi="Arial"/>
          <w:sz w:val="18"/>
          <w:szCs w:val="18"/>
          <w:color w:val="auto"/>
        </w:rPr>
        <w:t>In July 2016, the Company launched a Technology Upgrade Program that provided eligible t:slim and t:slim G4 customers a path to obtain t:slim X2, or, as of September 2017, t:slim X2 with G5. Participating customers had the right to exchange their original t:slim and t:slim G4 for a t:slim X2 or t:slim X2 with G5, under a variable pricing structure. The Technology Upgrade Program expired on September 30, 2017.</w:t>
      </w:r>
    </w:p>
    <w:p>
      <w:pPr>
        <w:spacing w:after="0" w:line="181"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The Company has incurred operating losses since its inception and, as reflected in the accompanying financial statements, the Company has an accumulated deficit of $569.5 million as of June 30, 2018, which includes a net loss of $92.1 million for the six months ended June 30, 2018. The Company primarily funded its operations through private and public equity and debt financing. Management expects operating losses and negative cash flows to continue for at least the next 12 months.</w:t>
      </w:r>
    </w:p>
    <w:p>
      <w:pPr>
        <w:spacing w:after="0" w:line="187" w:lineRule="exact"/>
        <w:rPr>
          <w:sz w:val="20"/>
          <w:szCs w:val="20"/>
          <w:color w:val="auto"/>
        </w:rPr>
      </w:pPr>
    </w:p>
    <w:p>
      <w:pPr>
        <w:ind w:right="500" w:firstLine="571"/>
        <w:spacing w:after="0" w:line="342" w:lineRule="auto"/>
        <w:rPr>
          <w:sz w:val="20"/>
          <w:szCs w:val="20"/>
          <w:color w:val="auto"/>
        </w:rPr>
      </w:pPr>
      <w:r>
        <w:rPr>
          <w:rFonts w:ascii="Arial" w:cs="Arial" w:eastAsia="Arial" w:hAnsi="Arial"/>
          <w:sz w:val="16"/>
          <w:szCs w:val="16"/>
          <w:color w:val="auto"/>
        </w:rPr>
        <w:t>As of June 30, 2018, the Company had $96.5 million in cash and cash equivalents and short-term investments, which included $10.0 million of restricted cash. Management believes that the cash on hand will be sufficient to satisfy its liquidity requirements for at least the next 12 months.</w:t>
      </w:r>
    </w:p>
    <w:p>
      <w:pPr>
        <w:spacing w:after="0" w:line="124" w:lineRule="exact"/>
        <w:rPr>
          <w:sz w:val="20"/>
          <w:szCs w:val="20"/>
          <w:color w:val="auto"/>
        </w:rPr>
      </w:pPr>
    </w:p>
    <w:p>
      <w:pPr>
        <w:ind w:right="180" w:firstLine="571"/>
        <w:spacing w:after="0" w:line="255" w:lineRule="auto"/>
        <w:rPr>
          <w:sz w:val="20"/>
          <w:szCs w:val="20"/>
          <w:color w:val="auto"/>
        </w:rPr>
      </w:pPr>
      <w:r>
        <w:rPr>
          <w:rFonts w:ascii="Arial" w:cs="Arial" w:eastAsia="Arial" w:hAnsi="Arial"/>
          <w:sz w:val="18"/>
          <w:szCs w:val="18"/>
          <w:color w:val="auto"/>
        </w:rPr>
        <w:t>The Company’s ability to execute on its business strategy, meet its future liquidity requirements, satisfy the covenants under the Amended and Restated Term Loan Agreement with Capital Royalty Partners (“Term Loan Agreement”) (see Note 6, “Term Loan Agreement”) and achieve and maintain profitable operations, is dependent on a number of factors, including its ability to continue to gain market acceptance of its products and achieve a level of revenues adequate to support its cost structure, achieve renewal pump sales objectives, develop and launch new products, increase gross profits from higher sales of infusion sets, maximize manufacturing efficiencies, and leverage the investments made in its sales, clinical, marketing and customer support organizations.</w:t>
      </w:r>
    </w:p>
    <w:p>
      <w:pPr>
        <w:spacing w:after="0" w:line="193" w:lineRule="exact"/>
        <w:rPr>
          <w:sz w:val="20"/>
          <w:szCs w:val="20"/>
          <w:color w:val="auto"/>
        </w:rPr>
      </w:pPr>
    </w:p>
    <w:p>
      <w:pPr>
        <w:ind w:right="40" w:firstLine="571"/>
        <w:spacing w:after="0" w:line="297" w:lineRule="auto"/>
        <w:rPr>
          <w:sz w:val="20"/>
          <w:szCs w:val="20"/>
          <w:color w:val="auto"/>
        </w:rPr>
      </w:pPr>
      <w:r>
        <w:rPr>
          <w:rFonts w:ascii="Arial" w:cs="Arial" w:eastAsia="Arial" w:hAnsi="Arial"/>
          <w:sz w:val="16"/>
          <w:szCs w:val="16"/>
          <w:color w:val="auto"/>
        </w:rPr>
        <w:t>The Company has primarily funded its operations through private and public equity and debt financing. The Company may in the future seek additional capital from public or private offerings of its capital stock, it may elect to repay, restructure or refinance its existing indebtedness, or it may elect to borrow additional amounts under new credit lines or from other sources. If the Company issues equity or debt securities to raise additional funds, its existing stockholders may experience dilution, it may incur significant financing costs, and the new equity or debt securities may have rights, preferences and privileges senior to those of its existing stockholders. There can be no assurance that equity or debt financing will be available on acceptable terms, or at all.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firstLine="577"/>
        <w:spacing w:after="0" w:line="257" w:lineRule="auto"/>
        <w:rPr>
          <w:sz w:val="20"/>
          <w:szCs w:val="20"/>
          <w:color w:val="auto"/>
        </w:rPr>
      </w:pPr>
      <w:r>
        <w:rPr>
          <w:rFonts w:ascii="Arial" w:cs="Arial" w:eastAsia="Arial" w:hAnsi="Arial"/>
          <w:sz w:val="18"/>
          <w:szCs w:val="18"/>
          <w:color w:val="auto"/>
        </w:rPr>
        <w:t>The Company has prepared the accompanying unaudited condensed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considered necessary for a fair presentation of the financial information contained herein, have been included.</w:t>
      </w:r>
    </w:p>
    <w:p>
      <w:pPr>
        <w:spacing w:after="0" w:line="188" w:lineRule="exact"/>
        <w:rPr>
          <w:sz w:val="20"/>
          <w:szCs w:val="20"/>
          <w:color w:val="auto"/>
        </w:rPr>
      </w:pPr>
    </w:p>
    <w:p>
      <w:pPr>
        <w:ind w:right="20" w:firstLine="577"/>
        <w:spacing w:after="0" w:line="279" w:lineRule="auto"/>
        <w:rPr>
          <w:sz w:val="20"/>
          <w:szCs w:val="20"/>
          <w:color w:val="auto"/>
        </w:rPr>
      </w:pPr>
      <w:r>
        <w:rPr>
          <w:rFonts w:ascii="Arial" w:cs="Arial" w:eastAsia="Arial" w:hAnsi="Arial"/>
          <w:sz w:val="17"/>
          <w:szCs w:val="17"/>
          <w:color w:val="auto"/>
        </w:rPr>
        <w:t>Interim financial results are not necessarily indicative of results anticipated for the full year or any other period(s). These unaudited condensed financial statements should be read in conjunction with the Company’s audited financial statements and accompanying footnotes included in the Company’s Annual Report on Form 10-K for the year ended December 31, 2017 (“Annual Report”), from which the balance sheet information herein was derived. These unaudited condensed financial statements exclude disclosures required by U.S. GAAP for complete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right="500" w:firstLine="571"/>
        <w:spacing w:after="0" w:line="342" w:lineRule="auto"/>
        <w:rPr>
          <w:sz w:val="20"/>
          <w:szCs w:val="20"/>
          <w:color w:val="auto"/>
        </w:rPr>
      </w:pPr>
      <w:r>
        <w:rPr>
          <w:rFonts w:ascii="Arial" w:cs="Arial" w:eastAsia="Arial" w:hAnsi="Arial"/>
          <w:sz w:val="16"/>
          <w:szCs w:val="16"/>
          <w:color w:val="auto"/>
        </w:rPr>
        <w:t>There have been no material changes in our significant accounting policies during the six months ended June 30, 2018, as compared with those disclosed in the Annual Report other than adoption of the new revenue recognition standard (“Revenue from Contracts with Customers Standard”).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571"/>
        <w:spacing w:after="0" w:line="312"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informed estimates and assumptions that affect the reported amounts of assets, liabilities, revenues and expenses, and the disclosure of contingent assets and liabilities in the Company’s financial statements and accompanying footnotes as of the date of the financial statements. Actual results could materially differ from those estimates and assumptions.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right="200" w:firstLine="571"/>
        <w:spacing w:after="0" w:line="264" w:lineRule="auto"/>
        <w:rPr>
          <w:sz w:val="20"/>
          <w:szCs w:val="20"/>
          <w:color w:val="auto"/>
        </w:rPr>
      </w:pPr>
      <w:r>
        <w:rPr>
          <w:rFonts w:ascii="Arial" w:cs="Arial" w:eastAsia="Arial" w:hAnsi="Arial"/>
          <w:sz w:val="18"/>
          <w:szCs w:val="18"/>
          <w:color w:val="auto"/>
        </w:rPr>
        <w:t>Operating segments are identified as components of an enterprise about which segment discrete financial information is available for evaluation by the chief operating decision-maker in making decisions regarding resource allocation and assessing performance. To date, the Company has viewed its operations and managed its business as one segment, operating in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60" w:firstLine="571"/>
        <w:spacing w:after="0" w:line="257" w:lineRule="auto"/>
        <w:rPr>
          <w:sz w:val="20"/>
          <w:szCs w:val="20"/>
          <w:color w:val="auto"/>
        </w:rPr>
      </w:pPr>
      <w:r>
        <w:rPr>
          <w:rFonts w:ascii="Arial" w:cs="Arial" w:eastAsia="Arial" w:hAnsi="Arial"/>
          <w:sz w:val="18"/>
          <w:szCs w:val="18"/>
          <w:color w:val="auto"/>
        </w:rPr>
        <w:t>The Company recorded $10.0 million of restricted cash as of both June 30, 2018 and December 31, 2017, for the minimum cash balance requirement in connection with the Term Loan Agreement (see Note 6, “Term Loan Agreement”). In January 2018, the Company adopted new guidance from the Financial Accounting Standards Board (“FASB”) that clarifies how entities should classify certain cash receipts and cash payments on the statement of cash flows. As a result, the restricted cash balance is now included as a component of cash and cash equivalents on the statement of cash flows in all periods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80" w:firstLine="629"/>
        <w:spacing w:after="0" w:line="279" w:lineRule="auto"/>
        <w:rPr>
          <w:sz w:val="20"/>
          <w:szCs w:val="20"/>
          <w:color w:val="auto"/>
        </w:rPr>
      </w:pPr>
      <w:r>
        <w:rPr>
          <w:rFonts w:ascii="Arial" w:cs="Arial" w:eastAsia="Arial" w:hAnsi="Arial"/>
          <w:sz w:val="17"/>
          <w:szCs w:val="17"/>
          <w:color w:val="auto"/>
        </w:rPr>
        <w:t>The Company grants credit to various customers in the ordinary course of business. The Company maintains an allowance for doubtful accounts for potential credit losses. Provisions are made based on historical experience, assessment of specific risk, review of outstanding invoices, and various assumptions and estimates that are believed to be reasonable under the circumstances. Uncollectible accounts are written off against the allowance after appropriate collection efforts have been exhausted and when it is deemed that a balance is uncollectible.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40" w:firstLine="571"/>
        <w:spacing w:after="0" w:line="257"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 and employee-related liabilities are reasonable estimates of their fair values because of the short-term nature of these assets and liabilities. Short-term investments are carried at fair value. Based on the borrowing rates currently available for loans with similar terms, the Company believes the fair value of its long-term notes payable approximates its carrying value. The estimated fair value of certain of the Company’s common stock warrants is determined using the Black-Scholes pricing model as of June 30, 2018 and December 31, 2017 (see Note 5, “Fair Value Measurements”).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40" w:firstLine="571"/>
        <w:spacing w:after="0" w:line="264" w:lineRule="auto"/>
        <w:rPr>
          <w:sz w:val="20"/>
          <w:szCs w:val="20"/>
          <w:color w:val="auto"/>
        </w:rPr>
      </w:pPr>
      <w:r>
        <w:rPr>
          <w:rFonts w:ascii="Arial" w:cs="Arial" w:eastAsia="Arial" w:hAnsi="Arial"/>
          <w:sz w:val="18"/>
          <w:szCs w:val="18"/>
          <w:color w:val="auto"/>
        </w:rPr>
        <w:t>Revenue is generated primarily from sales in the United States of insulin pumps, disposable cartridges and infusion sets to individual customers and third-party distributors that resell the product to insulin-dependent diabetes customers. The Company is paid directly by customers who use the products, distributors and third-party insurance payors.</w:t>
      </w:r>
    </w:p>
    <w:p>
      <w:pPr>
        <w:spacing w:after="0" w:line="181" w:lineRule="exact"/>
        <w:rPr>
          <w:sz w:val="20"/>
          <w:szCs w:val="20"/>
          <w:color w:val="auto"/>
        </w:rPr>
      </w:pPr>
    </w:p>
    <w:p>
      <w:pPr>
        <w:ind w:right="160" w:firstLine="577"/>
        <w:spacing w:after="0" w:line="290" w:lineRule="auto"/>
        <w:rPr>
          <w:sz w:val="20"/>
          <w:szCs w:val="20"/>
          <w:color w:val="auto"/>
        </w:rPr>
      </w:pPr>
      <w:r>
        <w:rPr>
          <w:rFonts w:ascii="Arial" w:cs="Arial" w:eastAsia="Arial" w:hAnsi="Arial"/>
          <w:sz w:val="16"/>
          <w:szCs w:val="16"/>
          <w:color w:val="auto"/>
        </w:rPr>
        <w:t>In January 2018, the Company adopted Revenue from Contracts with Customers Standard that supersedes existing revenue guidance under U.S. GAAP and International Financial Reporting Standards. Pursuant to the Revenue from Contracts with Customers Standard’s core principle, subsequent to January 1, 2018, the Company recognizes revenue when it transfers promised goods or services to customers in an amount that reflects the consideration to which the Company expects to be entitled in exchange for those goods or services. The Company elected to implement this new standard utilizing the modified retrospective method. Under this approach, the Company applied the new standard to all new contracts initiated on or after the effective date, and, for contracts which had remaining obligations as of the effective date, the Company recorded an adjustment to the opening balance of accumulated deficit. The accounting for the significant majority of the Company’s revenues is not impacted by the new guidance. As a result, on January 1, 2018, the Company recorded a net reduction to accumulated deficit in the amount of $149,000, reflecting the accounting change.</w:t>
      </w:r>
    </w:p>
    <w:p>
      <w:pPr>
        <w:spacing w:after="0" w:line="166" w:lineRule="exact"/>
        <w:rPr>
          <w:sz w:val="20"/>
          <w:szCs w:val="20"/>
          <w:color w:val="auto"/>
        </w:rPr>
      </w:pPr>
    </w:p>
    <w:p>
      <w:pPr>
        <w:ind w:firstLine="571"/>
        <w:spacing w:after="0" w:line="277" w:lineRule="auto"/>
        <w:rPr>
          <w:sz w:val="20"/>
          <w:szCs w:val="20"/>
          <w:color w:val="auto"/>
        </w:rPr>
      </w:pPr>
      <w:r>
        <w:rPr>
          <w:rFonts w:ascii="Arial" w:cs="Arial" w:eastAsia="Arial" w:hAnsi="Arial"/>
          <w:sz w:val="18"/>
          <w:szCs w:val="18"/>
          <w:color w:val="auto"/>
        </w:rPr>
        <w:t>Prior to the implementation of this new standard, revenue was recognized when persuasive evidence of an arrangement existed, delivery had occurred and title passed, the price was fixed or determinable, and collectability was reasonably assured.</w:t>
      </w:r>
    </w:p>
    <w:p>
      <w:pPr>
        <w:spacing w:after="0" w:line="170" w:lineRule="exact"/>
        <w:rPr>
          <w:sz w:val="20"/>
          <w:szCs w:val="20"/>
          <w:color w:val="auto"/>
        </w:rPr>
      </w:pPr>
    </w:p>
    <w:p>
      <w:pPr>
        <w:ind w:firstLine="588"/>
        <w:spacing w:after="0" w:line="289" w:lineRule="auto"/>
        <w:rPr>
          <w:sz w:val="20"/>
          <w:szCs w:val="20"/>
          <w:color w:val="auto"/>
        </w:rPr>
      </w:pPr>
      <w:r>
        <w:rPr>
          <w:rFonts w:ascii="Arial" w:cs="Arial" w:eastAsia="Arial" w:hAnsi="Arial"/>
          <w:sz w:val="16"/>
          <w:szCs w:val="16"/>
          <w:color w:val="auto"/>
        </w:rPr>
        <w:t>The Company considers the individual deliverables in its product offering as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upon delivery, while access to the complementary products (t:connect cloud-based data management application and the Tandem Device Updater) are considered performance obligations satisfied over the four-year warranty period of the insulin pumps. There is no standalone value for these complementary products. Therefore, the Company determines their value by applying the expected cost plus margin approach and then allocates the residual to the insulin pumps. At June 30, 2018 and December 31, 2017, $2.3 million and $2.0 million, respectively, were recorded as deferred revenue for these performance obligations that are satisfied over time.</w:t>
      </w:r>
    </w:p>
    <w:p>
      <w:pPr>
        <w:spacing w:after="0" w:line="167"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Additionally, the Company offers a 30-day right of return to its customers from the date of shipment of any of its insulin pumps, provided a physician’s confirmation of the medical reason for the return is received. Estimated allowances for sales returns are based on historical returned quantities as compared to pump shipments in those same periods of return. The return rate is then applied to the sales of the current period to establish a reserve at the end of the period. The return rates used in the reserve are adjusted for known or expected changes in the marketplace when appropriate. Under the new guidance, the allowance for product returns is recorded as a reduction of revenue and an increase in deferred revenue in the period in which the related sale is recorded. Historically, the allowance was recorded as a reduction of revenue and accounts receivable. The amount recorded on the Company’s balance sheets for product return allowance was $0.1 million and $0.2 million at June 30, 2018 and December 31, 2017, respectively. Actual product returns have not differed materially from estimated amounts reserved in the accompanying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225" w:lineRule="exact"/>
        <w:rPr>
          <w:sz w:val="20"/>
          <w:szCs w:val="20"/>
          <w:color w:val="auto"/>
        </w:rPr>
      </w:pPr>
    </w:p>
    <w:p>
      <w:pPr>
        <w:ind w:right="60" w:firstLine="571"/>
        <w:spacing w:after="0" w:line="273" w:lineRule="auto"/>
        <w:rPr>
          <w:sz w:val="20"/>
          <w:szCs w:val="20"/>
          <w:color w:val="auto"/>
        </w:rPr>
      </w:pPr>
      <w:r>
        <w:rPr>
          <w:rFonts w:ascii="Arial" w:cs="Arial" w:eastAsia="Arial" w:hAnsi="Arial"/>
          <w:sz w:val="17"/>
          <w:szCs w:val="17"/>
          <w:color w:val="auto"/>
        </w:rPr>
        <w:t>The Company generally provides a four-year warranty on its insulin pumps to end user customers and may replace any pumps that do not function in accordance with the product specifications. Insulin pumps returned to the Company may be refurbished and redeployed. Additionally, the Company offers a six-month warranty on disposable cartridges and infusion sets. Estimated warranty costs are recorded at the time of shipment. Warranty costs are estimated based on the current expected product replacement cost and expected replacement rates based on historical experience. The Company evaluates the reserve quarterly and makes adjustments when appropriate. Changes to the actual replacement rates or the expected product replacement cost could have a material impact on the Company’s estimated warranty reserve.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 w:name="page9"/>
    <w:bookmarkEnd w:id="8"/>
    <w:p>
      <w:pPr>
        <w:ind w:right="340" w:firstLine="577"/>
        <w:spacing w:after="0" w:line="277" w:lineRule="auto"/>
        <w:rPr>
          <w:sz w:val="20"/>
          <w:szCs w:val="20"/>
          <w:color w:val="auto"/>
        </w:rPr>
      </w:pPr>
      <w:r>
        <w:rPr>
          <w:rFonts w:ascii="Arial" w:cs="Arial" w:eastAsia="Arial" w:hAnsi="Arial"/>
          <w:sz w:val="18"/>
          <w:szCs w:val="18"/>
          <w:color w:val="auto"/>
        </w:rPr>
        <w:t>As of June 30, 2018 and December 31, 2017, the warranty reserve was $6.3 million and $5.6 million, respectively. The following table provides a reconciliation of the change in product warranty liabilities from December 31, 2017 through June 30, 2018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3700" w:type="dxa"/>
            <w:vAlign w:val="bottom"/>
            <w:gridSpan w:val="2"/>
            <w:shd w:val="clear" w:color="auto" w:fill="CFF0FC"/>
          </w:tcPr>
          <w:p>
            <w:pPr>
              <w:jc w:val="right"/>
              <w:ind w:right="92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Provision for warranties issued during the period</w:t>
            </w:r>
          </w:p>
        </w:tc>
        <w:tc>
          <w:tcPr>
            <w:tcW w:w="2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Settlements made during the period</w:t>
            </w:r>
          </w:p>
        </w:tc>
        <w:tc>
          <w:tcPr>
            <w:tcW w:w="26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Increases in warranty estimates</w:t>
            </w:r>
          </w:p>
        </w:tc>
        <w:tc>
          <w:tcPr>
            <w:tcW w:w="26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2018</w:t>
            </w:r>
          </w:p>
        </w:tc>
        <w:tc>
          <w:tcPr>
            <w:tcW w:w="26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w:t>
            </w:r>
          </w:p>
        </w:tc>
        <w:tc>
          <w:tcPr>
            <w:tcW w:w="3700" w:type="dxa"/>
            <w:vAlign w:val="bottom"/>
            <w:gridSpan w:val="2"/>
            <w:shd w:val="clear" w:color="auto" w:fill="CFF0FC"/>
          </w:tcPr>
          <w:p>
            <w:pPr>
              <w:jc w:val="right"/>
              <w:ind w:right="92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portion</w:t>
            </w:r>
          </w:p>
        </w:tc>
        <w:tc>
          <w:tcPr>
            <w:tcW w:w="26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571"/>
        <w:spacing w:after="0" w:line="293" w:lineRule="auto"/>
        <w:rPr>
          <w:sz w:val="20"/>
          <w:szCs w:val="20"/>
          <w:color w:val="auto"/>
        </w:rPr>
      </w:pPr>
      <w:r>
        <w:rPr>
          <w:rFonts w:ascii="Arial" w:cs="Arial" w:eastAsia="Arial" w:hAnsi="Arial"/>
          <w:sz w:val="16"/>
          <w:szCs w:val="16"/>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2013 Stock Incentive Plan (“2013 Plan”) and shares issued under the Company’s 2013 Employee Stock Purchase Plan (“ESPP”) using a Black-Scholes option-pricing model on the date of grant. The Black-Scholes option-pricing model requires the use of subjective assumptions about a number of key variables, including stock price volatility, expected term, and risk-free interest rate. For awards that vest based on the achievement of service conditions, the Company recognizes expense using the straight-line method less estimated forfeitures based on historical experience.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60" w:firstLine="571"/>
        <w:spacing w:after="0" w:line="270" w:lineRule="auto"/>
        <w:rPr>
          <w:sz w:val="20"/>
          <w:szCs w:val="20"/>
          <w:color w:val="auto"/>
        </w:rPr>
      </w:pPr>
      <w:r>
        <w:rPr>
          <w:rFonts w:ascii="Arial" w:cs="Arial" w:eastAsia="Arial" w:hAnsi="Arial"/>
          <w:sz w:val="17"/>
          <w:szCs w:val="17"/>
          <w:color w:val="auto"/>
        </w:rPr>
        <w:t>Basic net loss per share is calculated by dividing the net loss by the weighted average number of common shares that were outstanding for the period, without consideration for common stock equivalents. Diluted loss per share is calculated in accordance with the treasury stock method and reflects the potential dilution that would occur if securities or other contracts to issue common stock were exercised or converted to common stock. Dilutive common share equivalents are comprised of warrants, potential awards granted pursuant to the ESPP, and options outstanding under the Company’s other equity incentive plans. For warrants that are recorded as a liability in the accompanying balance sheet, the calculation of diluted loss per share requires that, to the extent the average market price of the underlying shares for the reporting period exceeds the exercise price of the warrants and the presumed exercise of such securities are dilutive to loss per share for the period, an adjustment to net loss used in the calculation is required to remove the change in fair value of the warrants from the numerator for the period. Likewise, an adjustment to the denominator is required to reflect the related dilutive shares, if any, under the treasury stock method. For all periods presented, there is no difference in the number of shares used to calculate basic and diluted shares outstanding due to the Company’s net loss position.</w:t>
      </w:r>
    </w:p>
    <w:p>
      <w:pPr>
        <w:spacing w:after="0" w:line="178" w:lineRule="exact"/>
        <w:rPr>
          <w:sz w:val="20"/>
          <w:szCs w:val="20"/>
          <w:color w:val="auto"/>
        </w:rPr>
      </w:pPr>
    </w:p>
    <w:p>
      <w:pPr>
        <w:ind w:right="120" w:firstLine="571"/>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inclusion would be anti-dilutive) are as follows (in thousands, in common stock equivalent shares):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3"/>
          </w:tcPr>
          <w:p>
            <w:pPr>
              <w:jc w:val="center"/>
              <w:ind w:left="838"/>
              <w:spacing w:after="0"/>
              <w:rPr>
                <w:sz w:val="20"/>
                <w:szCs w:val="20"/>
                <w:color w:val="auto"/>
              </w:rPr>
            </w:pPr>
            <w:r>
              <w:rPr>
                <w:rFonts w:ascii="Arial" w:cs="Arial" w:eastAsia="Arial" w:hAnsi="Arial"/>
                <w:sz w:val="14"/>
                <w:szCs w:val="14"/>
                <w:b w:val="1"/>
                <w:bCs w:val="1"/>
                <w:color w:val="auto"/>
                <w:w w:val="92"/>
              </w:rPr>
              <w:t>Six Months Ended</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8"/>
        </w:trPr>
        <w:tc>
          <w:tcPr>
            <w:tcW w:w="49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tcBorders>
              <w:bottom w:val="single" w:sz="8" w:color="auto"/>
            </w:tcBorders>
            <w:gridSpan w:val="3"/>
          </w:tcPr>
          <w:p>
            <w:pPr>
              <w:jc w:val="center"/>
              <w:ind w:left="838"/>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5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12"/>
                <w:szCs w:val="12"/>
                <w:b w:val="1"/>
                <w:bCs w:val="1"/>
                <w:color w:val="auto"/>
              </w:rPr>
              <w:t>(1)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478"/>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ind w:right="414"/>
              <w:spacing w:after="0"/>
              <w:rPr>
                <w:sz w:val="20"/>
                <w:szCs w:val="20"/>
                <w:color w:val="auto"/>
              </w:rPr>
            </w:pPr>
            <w:r>
              <w:rPr>
                <w:rFonts w:ascii="Arial" w:cs="Arial" w:eastAsia="Arial" w:hAnsi="Arial"/>
                <w:sz w:val="14"/>
                <w:szCs w:val="14"/>
                <w:b w:val="1"/>
                <w:bCs w:val="1"/>
                <w:color w:val="auto"/>
                <w:w w:val="91"/>
              </w:rPr>
              <w:t>2017</w:t>
            </w:r>
            <w:r>
              <w:rPr>
                <w:rFonts w:ascii="Arial" w:cs="Arial" w:eastAsia="Arial" w:hAnsi="Arial"/>
                <w:sz w:val="12"/>
                <w:szCs w:val="12"/>
                <w:b w:val="1"/>
                <w:bCs w:val="1"/>
                <w:color w:val="auto"/>
                <w:w w:val="91"/>
              </w:rPr>
              <w:t>(1)</w:t>
            </w:r>
          </w:p>
        </w:tc>
        <w:tc>
          <w:tcPr>
            <w:tcW w:w="120" w:type="dxa"/>
            <w:vAlign w:val="bottom"/>
          </w:tcPr>
          <w:p>
            <w:pPr>
              <w:spacing w:after="0"/>
              <w:rPr>
                <w:sz w:val="20"/>
                <w:szCs w:val="20"/>
                <w:color w:val="auto"/>
              </w:rPr>
            </w:pP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Warrants for common stock</w:t>
            </w:r>
          </w:p>
        </w:tc>
        <w:tc>
          <w:tcPr>
            <w:tcW w:w="8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2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2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Common stock options</w:t>
            </w:r>
          </w:p>
        </w:tc>
        <w:tc>
          <w:tcPr>
            <w:tcW w:w="560" w:type="dxa"/>
            <w:vAlign w:val="bottom"/>
          </w:tcPr>
          <w:p>
            <w:pPr>
              <w:jc w:val="right"/>
              <w:spacing w:after="0"/>
              <w:rPr>
                <w:sz w:val="20"/>
                <w:szCs w:val="20"/>
                <w:color w:val="auto"/>
              </w:rPr>
            </w:pPr>
            <w:r>
              <w:rPr>
                <w:rFonts w:ascii="Arial" w:cs="Arial" w:eastAsia="Arial" w:hAnsi="Arial"/>
                <w:sz w:val="18"/>
                <w:szCs w:val="18"/>
                <w:color w:val="auto"/>
              </w:rPr>
              <w:t>2,166</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ESPP</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4920" w:type="dxa"/>
            <w:vAlign w:val="bottom"/>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2,795</w:t>
            </w:r>
          </w:p>
        </w:tc>
        <w:tc>
          <w:tcPr>
            <w:tcW w:w="260" w:type="dxa"/>
            <w:vAlign w:val="bottom"/>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260" w:hanging="372"/>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June 30, 2017 there were no outstanding common share equivalents that were dilutive based on their respective exercise prices compared to the market value of the Company’s common stock on that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Certain reclassifications of prior year amounts have been made to conform to the current year presentation.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In June 2016, FASB issued a new credit loss standard that changes the impairment model for most financial assets and certain other instruments. The standard is effective for public business entities for annual periods beginning after December 15, 2019, and interim periods within those years. Early adoption is permitted for all entities for annual periods beginning after December 15, 2018, and interim periods within those years. The Company is in the process of assessing the impact of the adoption of the standard on its financial statements.</w:t>
      </w:r>
    </w:p>
    <w:p>
      <w:pPr>
        <w:spacing w:after="0" w:line="187" w:lineRule="exact"/>
        <w:rPr>
          <w:sz w:val="20"/>
          <w:szCs w:val="20"/>
          <w:color w:val="auto"/>
        </w:rPr>
      </w:pPr>
    </w:p>
    <w:p>
      <w:pPr>
        <w:ind w:right="20" w:firstLine="577"/>
        <w:spacing w:after="0" w:line="257" w:lineRule="auto"/>
        <w:rPr>
          <w:sz w:val="20"/>
          <w:szCs w:val="20"/>
          <w:color w:val="auto"/>
        </w:rPr>
      </w:pPr>
      <w:r>
        <w:rPr>
          <w:rFonts w:ascii="Arial" w:cs="Arial" w:eastAsia="Arial" w:hAnsi="Arial"/>
          <w:sz w:val="18"/>
          <w:szCs w:val="18"/>
          <w:color w:val="auto"/>
        </w:rPr>
        <w:t>In February 2016, FASB issued final guidance for lease accounting. The new accounting standard requires lessees to recognize right-of-use assets and corresponding lease liabilities for all leases with lease terms of greater than twelve months. It also changes the definition of a lease and expands the disclosure requirements of lease arrangements. The new accounting standard must be adopted using the modified retrospective approach and will be effective for the Company starting in the first quarter of fiscal 2019. Early adoption is permitted. The Company is in the process of assessing the impact of the adoption of the standard on its financial statements.</w:t>
      </w:r>
    </w:p>
    <w:p>
      <w:pPr>
        <w:spacing w:after="0" w:line="188" w:lineRule="exact"/>
        <w:rPr>
          <w:sz w:val="20"/>
          <w:szCs w:val="20"/>
          <w:color w:val="auto"/>
        </w:rPr>
      </w:pPr>
    </w:p>
    <w:p>
      <w:pPr>
        <w:ind w:right="20" w:firstLine="629"/>
        <w:spacing w:after="0" w:line="255" w:lineRule="auto"/>
        <w:rPr>
          <w:sz w:val="20"/>
          <w:szCs w:val="20"/>
          <w:color w:val="auto"/>
        </w:rPr>
      </w:pPr>
      <w:r>
        <w:rPr>
          <w:rFonts w:ascii="Arial" w:cs="Arial" w:eastAsia="Arial" w:hAnsi="Arial"/>
          <w:sz w:val="18"/>
          <w:szCs w:val="18"/>
          <w:color w:val="auto"/>
        </w:rPr>
        <w:t>In March 2018, the FASB issued Accounting Standards Update No. 2018-05, Income taxes (Topic 740): Amendments to SEC Paragraphs Pursuant to SEC Staff Accounting Bulletin No. 118 regarding Income Tax Accounting Implications of the Tax Cuts and Jobs Act. The Company recognized the income tax effects of the 2017 Tax Act in its 2017 financial statements for which the accounting under ASC Topic 740 is incomplete, but a reasonable estimate could be determined. The tax effects of certain provisions of the 2017 Tax Act, such as the deductibility of compensation in excess of $1 million for certain employees, and limitations on executive compensation, requires further analysis. The Company is in the process of assessing the impact of the adoption of the standard on its financial statements.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Short-Term Investments</w:t>
      </w:r>
    </w:p>
    <w:p>
      <w:pPr>
        <w:spacing w:after="0" w:line="229" w:lineRule="exact"/>
        <w:rPr>
          <w:sz w:val="20"/>
          <w:szCs w:val="20"/>
          <w:color w:val="auto"/>
        </w:rPr>
      </w:pPr>
    </w:p>
    <w:p>
      <w:pPr>
        <w:ind w:right="240" w:firstLine="571"/>
        <w:spacing w:after="0" w:line="342" w:lineRule="auto"/>
        <w:rPr>
          <w:sz w:val="20"/>
          <w:szCs w:val="20"/>
          <w:color w:val="auto"/>
        </w:rPr>
      </w:pPr>
      <w:r>
        <w:rPr>
          <w:rFonts w:ascii="Arial" w:cs="Arial" w:eastAsia="Arial" w:hAnsi="Arial"/>
          <w:sz w:val="16"/>
          <w:szCs w:val="16"/>
          <w:color w:val="auto"/>
        </w:rPr>
        <w:t>The Company invests in investment securities, principally debt instruments of financial institutions and corporations with strong credit ratings. The following represents a summary of the estimated fair value of short-term investments as of June 30, 2018 and December 31, 2017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2"/>
              </w:rPr>
              <w:t>At June 30, 2018</w:t>
            </w:r>
          </w:p>
        </w:tc>
        <w:tc>
          <w:tcPr>
            <w:tcW w:w="3620" w:type="dxa"/>
            <w:vAlign w:val="bottom"/>
            <w:gridSpan w:val="2"/>
            <w:vMerge w:val="restart"/>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Amortized</w:t>
            </w:r>
          </w:p>
        </w:tc>
        <w:tc>
          <w:tcPr>
            <w:tcW w:w="920" w:type="dxa"/>
            <w:vAlign w:val="bottom"/>
          </w:tcPr>
          <w:p>
            <w:pPr>
              <w:jc w:val="center"/>
              <w:ind w:left="139"/>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left="14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8"/>
        </w:trPr>
        <w:tc>
          <w:tcPr>
            <w:tcW w:w="1040" w:type="dxa"/>
            <w:vAlign w:val="bottom"/>
            <w:tcBorders>
              <w:bottom w:val="single" w:sz="8" w:color="auto"/>
            </w:tcBorders>
            <w:vMerge w:val="continue"/>
          </w:tcPr>
          <w:p>
            <w:pPr>
              <w:spacing w:after="0"/>
              <w:rPr>
                <w:sz w:val="15"/>
                <w:szCs w:val="15"/>
                <w:color w:val="auto"/>
              </w:rPr>
            </w:pPr>
          </w:p>
        </w:tc>
        <w:tc>
          <w:tcPr>
            <w:tcW w:w="3620" w:type="dxa"/>
            <w:vAlign w:val="bottom"/>
            <w:gridSpan w:val="2"/>
            <w:vMerge w:val="continue"/>
          </w:tcPr>
          <w:p>
            <w:pPr>
              <w:spacing w:after="0"/>
              <w:rPr>
                <w:sz w:val="15"/>
                <w:szCs w:val="15"/>
                <w:color w:val="auto"/>
              </w:rPr>
            </w:pP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jc w:val="center"/>
              <w:ind w:right="400"/>
              <w:spacing w:after="0" w:line="158" w:lineRule="exact"/>
              <w:rPr>
                <w:sz w:val="20"/>
                <w:szCs w:val="20"/>
                <w:color w:val="auto"/>
              </w:rPr>
            </w:pPr>
            <w:r>
              <w:rPr>
                <w:rFonts w:ascii="Arial" w:cs="Arial" w:eastAsia="Arial" w:hAnsi="Arial"/>
                <w:sz w:val="14"/>
                <w:szCs w:val="14"/>
                <w:b w:val="1"/>
                <w:bCs w:val="1"/>
                <w:color w:val="auto"/>
                <w:w w:val="89"/>
              </w:rPr>
              <w:t>Cost</w:t>
            </w:r>
          </w:p>
        </w:tc>
        <w:tc>
          <w:tcPr>
            <w:tcW w:w="920" w:type="dxa"/>
            <w:vAlign w:val="bottom"/>
          </w:tcPr>
          <w:p>
            <w:pPr>
              <w:jc w:val="center"/>
              <w:ind w:left="139"/>
              <w:spacing w:after="0" w:line="158" w:lineRule="exact"/>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center"/>
              <w:ind w:left="120"/>
              <w:spacing w:after="0" w:line="158"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7"/>
        </w:trPr>
        <w:tc>
          <w:tcPr>
            <w:tcW w:w="46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Available-for-sale investment securities:</w:t>
            </w:r>
          </w:p>
        </w:tc>
        <w:tc>
          <w:tcPr>
            <w:tcW w:w="12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Commercial paper</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Less than 1</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35,952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920" w:type="dxa"/>
            <w:vAlign w:val="bottom"/>
          </w:tcPr>
          <w:p>
            <w:pPr>
              <w:jc w:val="right"/>
              <w:ind w:right="74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240" w:type="dxa"/>
            <w:vAlign w:val="bottom"/>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gridSpan w:val="3"/>
            <w:vMerge w:val="continue"/>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35,952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vMerge w:val="continue"/>
            <w:shd w:val="clear" w:color="auto" w:fill="CFF0FC"/>
          </w:tcPr>
          <w:p>
            <w:pPr>
              <w:spacing w:after="0"/>
              <w:rPr>
                <w:sz w:val="19"/>
                <w:szCs w:val="19"/>
                <w:color w:val="auto"/>
              </w:rPr>
            </w:pPr>
          </w:p>
        </w:tc>
        <w:tc>
          <w:tcPr>
            <w:tcW w:w="920" w:type="dxa"/>
            <w:vAlign w:val="bottom"/>
            <w:shd w:val="clear" w:color="auto" w:fill="CFF0FC"/>
          </w:tcPr>
          <w:p>
            <w:pPr>
              <w:jc w:val="right"/>
              <w:ind w:right="74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30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At December 31, 2017</w:t>
            </w:r>
          </w:p>
        </w:tc>
        <w:tc>
          <w:tcPr>
            <w:tcW w:w="3300" w:type="dxa"/>
            <w:vAlign w:val="bottom"/>
            <w:vMerge w:val="restart"/>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Amortized</w:t>
            </w:r>
          </w:p>
        </w:tc>
        <w:tc>
          <w:tcPr>
            <w:tcW w:w="920" w:type="dxa"/>
            <w:vAlign w:val="bottom"/>
          </w:tcPr>
          <w:p>
            <w:pPr>
              <w:jc w:val="center"/>
              <w:ind w:left="139"/>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center"/>
              <w:ind w:left="14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8"/>
        </w:trPr>
        <w:tc>
          <w:tcPr>
            <w:tcW w:w="1360" w:type="dxa"/>
            <w:vAlign w:val="bottom"/>
            <w:tcBorders>
              <w:bottom w:val="single" w:sz="8" w:color="auto"/>
            </w:tcBorders>
            <w:gridSpan w:val="2"/>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jc w:val="center"/>
              <w:ind w:right="400"/>
              <w:spacing w:after="0" w:line="158" w:lineRule="exact"/>
              <w:rPr>
                <w:sz w:val="20"/>
                <w:szCs w:val="20"/>
                <w:color w:val="auto"/>
              </w:rPr>
            </w:pPr>
            <w:r>
              <w:rPr>
                <w:rFonts w:ascii="Arial" w:cs="Arial" w:eastAsia="Arial" w:hAnsi="Arial"/>
                <w:sz w:val="14"/>
                <w:szCs w:val="14"/>
                <w:b w:val="1"/>
                <w:bCs w:val="1"/>
                <w:color w:val="auto"/>
                <w:w w:val="89"/>
              </w:rPr>
              <w:t>Cost</w:t>
            </w:r>
          </w:p>
        </w:tc>
        <w:tc>
          <w:tcPr>
            <w:tcW w:w="920" w:type="dxa"/>
            <w:vAlign w:val="bottom"/>
          </w:tcPr>
          <w:p>
            <w:pPr>
              <w:jc w:val="center"/>
              <w:ind w:left="139"/>
              <w:spacing w:after="0" w:line="158" w:lineRule="exact"/>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center"/>
              <w:ind w:left="120"/>
              <w:spacing w:after="0" w:line="158"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7"/>
        </w:trPr>
        <w:tc>
          <w:tcPr>
            <w:tcW w:w="4660" w:type="dxa"/>
            <w:vAlign w:val="bottom"/>
            <w:gridSpan w:val="3"/>
          </w:tcPr>
          <w:p>
            <w:pPr>
              <w:spacing w:after="0"/>
              <w:rPr>
                <w:sz w:val="20"/>
                <w:szCs w:val="20"/>
                <w:color w:val="auto"/>
              </w:rPr>
            </w:pPr>
            <w:r>
              <w:rPr>
                <w:rFonts w:ascii="Arial" w:cs="Arial" w:eastAsia="Arial" w:hAnsi="Arial"/>
                <w:sz w:val="18"/>
                <w:szCs w:val="18"/>
                <w:color w:val="auto"/>
              </w:rPr>
              <w:t>Trading securities:</w:t>
            </w: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w w:val="97"/>
              </w:rPr>
              <w:t>Mutual funds held for nonqualified deferred compensation</w:t>
            </w: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plan participants</w:t>
            </w:r>
          </w:p>
        </w:tc>
        <w:tc>
          <w:tcPr>
            <w:tcW w:w="12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w:t>
            </w:r>
          </w:p>
        </w:tc>
        <w:tc>
          <w:tcPr>
            <w:tcW w:w="1160" w:type="dxa"/>
            <w:vAlign w:val="bottom"/>
            <w:gridSpan w:val="2"/>
            <w:shd w:val="clear" w:color="auto" w:fill="CFF0FC"/>
          </w:tcPr>
          <w:p>
            <w:pPr>
              <w:jc w:val="right"/>
              <w:ind w:right="7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ind w:left="260"/>
              <w:spacing w:after="0"/>
              <w:rPr>
                <w:sz w:val="20"/>
                <w:szCs w:val="20"/>
                <w:color w:val="auto"/>
              </w:rPr>
            </w:pPr>
            <w:r>
              <w:rPr>
                <w:rFonts w:ascii="Arial" w:cs="Arial" w:eastAsia="Arial" w:hAnsi="Arial"/>
                <w:sz w:val="18"/>
                <w:szCs w:val="18"/>
                <w:b w:val="1"/>
                <w:bCs w:val="1"/>
                <w:color w:val="auto"/>
              </w:rPr>
              <w:t>Total</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4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Inventory consisted of the following as of June 30, 2018 and December 31, 2017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780" w:type="dxa"/>
            <w:vAlign w:val="bottom"/>
          </w:tcPr>
          <w:p>
            <w:pPr>
              <w:jc w:val="right"/>
              <w:ind w:right="186"/>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gridSpan w:val="2"/>
          </w:tcPr>
          <w:p>
            <w:pPr>
              <w:ind w:left="380"/>
              <w:spacing w:after="0"/>
              <w:rPr>
                <w:sz w:val="20"/>
                <w:szCs w:val="20"/>
                <w:color w:val="auto"/>
              </w:rPr>
            </w:pPr>
            <w:r>
              <w:rPr>
                <w:rFonts w:ascii="Arial" w:cs="Arial" w:eastAsia="Arial" w:hAnsi="Arial"/>
                <w:sz w:val="14"/>
                <w:szCs w:val="14"/>
                <w:b w:val="1"/>
                <w:bCs w:val="1"/>
                <w:color w:val="auto"/>
              </w:rPr>
              <w:t>December 31,</w:t>
            </w:r>
          </w:p>
        </w:tc>
      </w:tr>
      <w:tr>
        <w:trPr>
          <w:trHeight w:val="215"/>
        </w:trPr>
        <w:tc>
          <w:tcPr>
            <w:tcW w:w="3500" w:type="dxa"/>
            <w:vAlign w:val="bottom"/>
          </w:tcPr>
          <w:p>
            <w:pPr>
              <w:spacing w:after="0"/>
              <w:rPr>
                <w:sz w:val="18"/>
                <w:szCs w:val="18"/>
                <w:color w:val="auto"/>
              </w:rPr>
            </w:pPr>
          </w:p>
        </w:tc>
        <w:tc>
          <w:tcPr>
            <w:tcW w:w="4100" w:type="dxa"/>
            <w:vAlign w:val="bottom"/>
            <w:gridSpan w:val="2"/>
          </w:tcPr>
          <w:p>
            <w:pPr>
              <w:jc w:val="right"/>
              <w:ind w:right="306"/>
              <w:spacing w:after="0"/>
              <w:rPr>
                <w:sz w:val="20"/>
                <w:szCs w:val="20"/>
                <w:color w:val="auto"/>
              </w:rPr>
            </w:pPr>
            <w:r>
              <w:rPr>
                <w:rFonts w:ascii="Arial" w:cs="Arial" w:eastAsia="Arial" w:hAnsi="Arial"/>
                <w:sz w:val="14"/>
                <w:szCs w:val="14"/>
                <w:b w:val="1"/>
                <w:bCs w:val="1"/>
                <w:color w:val="auto"/>
              </w:rPr>
              <w:t>2018</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00" w:type="dxa"/>
            <w:vAlign w:val="bottom"/>
          </w:tcPr>
          <w:p>
            <w:pPr>
              <w:jc w:val="right"/>
              <w:ind w:right="105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32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jc w:val="right"/>
              <w:ind w:right="162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10,265</w:t>
            </w:r>
          </w:p>
        </w:tc>
        <w:tc>
          <w:tcPr>
            <w:tcW w:w="4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2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Work in process</w:t>
            </w:r>
          </w:p>
        </w:tc>
        <w:tc>
          <w:tcPr>
            <w:tcW w:w="2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3,125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3,812</w:t>
            </w:r>
          </w:p>
        </w:tc>
        <w:tc>
          <w:tcPr>
            <w:tcW w:w="100" w:type="dxa"/>
            <w:vAlign w:val="bottom"/>
          </w:tcPr>
          <w:p>
            <w:pPr>
              <w:spacing w:after="0"/>
              <w:rPr>
                <w:sz w:val="19"/>
                <w:szCs w:val="19"/>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320" w:type="dxa"/>
            <w:vAlign w:val="bottom"/>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11,522</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2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12,853</w:t>
            </w:r>
          </w:p>
        </w:tc>
        <w:tc>
          <w:tcPr>
            <w:tcW w:w="100" w:type="dxa"/>
            <w:vAlign w:val="bottom"/>
            <w:shd w:val="clear" w:color="auto" w:fill="CFF0FC"/>
          </w:tcPr>
          <w:p>
            <w:pPr>
              <w:spacing w:after="0"/>
              <w:rPr>
                <w:sz w:val="19"/>
                <w:szCs w:val="19"/>
                <w:color w:val="auto"/>
              </w:rPr>
            </w:pPr>
          </w:p>
        </w:tc>
      </w:tr>
      <w:tr>
        <w:trPr>
          <w:trHeight w:val="223"/>
        </w:trPr>
        <w:tc>
          <w:tcPr>
            <w:tcW w:w="350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2320" w:type="dxa"/>
            <w:vAlign w:val="bottom"/>
          </w:tcPr>
          <w:p>
            <w:pPr>
              <w:spacing w:after="0"/>
              <w:rPr>
                <w:sz w:val="19"/>
                <w:szCs w:val="19"/>
                <w:color w:val="auto"/>
              </w:rPr>
            </w:pPr>
          </w:p>
        </w:tc>
        <w:tc>
          <w:tcPr>
            <w:tcW w:w="1780" w:type="dxa"/>
            <w:vAlign w:val="bottom"/>
            <w:tcBorders>
              <w:bottom w:val="single" w:sz="8" w:color="auto"/>
            </w:tcBorders>
          </w:tcPr>
          <w:p>
            <w:pPr>
              <w:jc w:val="right"/>
              <w:ind w:right="162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24,912</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26,993</w:t>
            </w:r>
          </w:p>
        </w:tc>
        <w:tc>
          <w:tcPr>
            <w:tcW w:w="10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Authoritative guidance on fair value measurements defines fair value, establishes a consistent framework for measuring fair value, and expands disclosures for each major asset and liability category measured at fair value on either a recurring or a nonrecurring basis. Fair value is intended to reflect an assumed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p>
      <w:pPr>
        <w:spacing w:after="0" w:line="193" w:lineRule="exact"/>
        <w:rPr>
          <w:sz w:val="20"/>
          <w:szCs w:val="20"/>
          <w:color w:val="auto"/>
        </w:rPr>
      </w:pPr>
    </w:p>
    <w:p>
      <w:pPr>
        <w:ind w:left="940" w:right="20" w:hanging="931"/>
        <w:spacing w:after="0" w:line="277" w:lineRule="auto"/>
        <w:tabs>
          <w:tab w:leader="none" w:pos="9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Observable inputs such as unadjusted quoted prices in active markets that are accessible at the measurement date for identical, unrestricted assets or liabilities.</w:t>
      </w:r>
    </w:p>
    <w:p>
      <w:pPr>
        <w:spacing w:after="0" w:line="170" w:lineRule="exact"/>
        <w:rPr>
          <w:sz w:val="20"/>
          <w:szCs w:val="20"/>
          <w:color w:val="auto"/>
        </w:rPr>
      </w:pPr>
    </w:p>
    <w:p>
      <w:pPr>
        <w:ind w:left="940" w:right="300" w:hanging="931"/>
        <w:spacing w:after="0" w:line="277" w:lineRule="auto"/>
        <w:tabs>
          <w:tab w:leader="none" w:pos="9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in active markets, that are observable either directly or indirectly for substantially the full term of the asset or liability.</w:t>
      </w:r>
    </w:p>
    <w:p>
      <w:pPr>
        <w:spacing w:after="0" w:line="170" w:lineRule="exact"/>
        <w:rPr>
          <w:sz w:val="20"/>
          <w:szCs w:val="20"/>
          <w:color w:val="auto"/>
        </w:rPr>
      </w:pPr>
    </w:p>
    <w:p>
      <w:pPr>
        <w:ind w:left="940" w:right="20" w:hanging="931"/>
        <w:spacing w:after="0" w:line="277" w:lineRule="auto"/>
        <w:tabs>
          <w:tab w:leader="none" w:pos="9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in which there is little or no market data and that are significant to the fair value of the assets or liabilities, which require the reporting entity to develop its own valuation techniques that require input assumptions.</w:t>
      </w:r>
    </w:p>
    <w:p>
      <w:pPr>
        <w:spacing w:after="0" w:line="170" w:lineRule="exact"/>
        <w:rPr>
          <w:sz w:val="20"/>
          <w:szCs w:val="20"/>
          <w:color w:val="auto"/>
        </w:rPr>
      </w:pPr>
    </w:p>
    <w:p>
      <w:pPr>
        <w:ind w:right="120" w:firstLine="471"/>
        <w:spacing w:after="0" w:line="264"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as of June 30, 2018 and December 31, 2017, and indicates the fair value hierarchy of the valuation techniques utilized by the Company to determine such fair value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 at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2"/>
              </w:rPr>
              <w:t>June 30, 2018</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13"/>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Cash equivalents (1)</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60,548</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60,548</w:t>
            </w:r>
          </w:p>
        </w:tc>
        <w:tc>
          <w:tcPr>
            <w:tcW w:w="46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35,957</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Total assets</w:t>
            </w: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96,505</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60,548</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35,957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12,291</w:t>
            </w:r>
          </w:p>
        </w:tc>
        <w:tc>
          <w:tcPr>
            <w:tcW w:w="5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6"/>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12,291</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2"/>
        </w:trPr>
        <w:tc>
          <w:tcPr>
            <w:tcW w:w="5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 at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480"/>
              <w:spacing w:after="0" w:line="155" w:lineRule="exact"/>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Cash equivalents (1)</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23,700</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23,700</w:t>
            </w:r>
          </w:p>
        </w:tc>
        <w:tc>
          <w:tcPr>
            <w:tcW w:w="46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Mutual funds held for nonqualified deferred compensation plan</w:t>
            </w: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participants (2)</w:t>
            </w:r>
          </w:p>
        </w:tc>
        <w:tc>
          <w:tcPr>
            <w:tcW w:w="4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24,179</w:t>
            </w:r>
          </w:p>
        </w:tc>
        <w:tc>
          <w:tcPr>
            <w:tcW w:w="3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24,179</w:t>
            </w:r>
          </w:p>
        </w:tc>
        <w:tc>
          <w:tcPr>
            <w:tcW w:w="3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Common stock warrants</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5,432</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Deferred compensation (2)</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5,911</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80" w:hanging="478"/>
        <w:spacing w:after="0" w:line="256"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Generally, cash equivalents include money market funds and investments with a maturity of three months or less from the date of purchase. This asset is included as a component of cash and cash equivalents on the balance sheet, of which $10.0 million is classified as restricted cash – long-term as of both June 30, 2018 and December 31, 2017.</w:t>
      </w:r>
    </w:p>
    <w:p>
      <w:pPr>
        <w:ind w:left="540" w:right="120" w:hanging="478"/>
        <w:spacing w:after="0" w:line="295"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deferred compensation plan was directed by the Company and structured as a Rabbi Trust for the benefit of certain executives and non-employee directors. The investment assets of the Rabbi Trust were valued using quoted market prices multiplied by the number of shares held in each trust account. The related deferred compensation liability represents the fair value of the investment assets</w:t>
      </w:r>
      <w:r>
        <w:rPr>
          <w:rFonts w:ascii="Arial" w:cs="Arial" w:eastAsia="Arial" w:hAnsi="Arial"/>
          <w:sz w:val="13"/>
          <w:szCs w:val="13"/>
          <w:color w:val="auto"/>
        </w:rPr>
        <w:t>.</w:t>
      </w:r>
      <w:r>
        <w:rPr>
          <w:rFonts w:ascii="Arial" w:cs="Arial" w:eastAsia="Arial" w:hAnsi="Arial"/>
          <w:sz w:val="16"/>
          <w:szCs w:val="16"/>
          <w:color w:val="auto"/>
        </w:rPr>
        <w:t xml:space="preserve"> The Company cancelled the deferred compensation plan in 2017 and all deferred compensation amounts were distributed to participants during the quarter ended June 30, 2018.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ind w:right="40" w:firstLine="571"/>
        <w:spacing w:after="0" w:line="302" w:lineRule="auto"/>
        <w:rPr>
          <w:sz w:val="20"/>
          <w:szCs w:val="20"/>
          <w:color w:val="auto"/>
        </w:rPr>
      </w:pPr>
      <w:r>
        <w:rPr>
          <w:rFonts w:ascii="Arial" w:cs="Arial" w:eastAsia="Arial" w:hAnsi="Arial"/>
          <w:sz w:val="16"/>
          <w:szCs w:val="16"/>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 There were no transfers between Level 1 and Level 2 assets during the six months ended June 30, 2018.</w:t>
      </w:r>
    </w:p>
    <w:p>
      <w:pPr>
        <w:spacing w:after="0" w:line="154" w:lineRule="exact"/>
        <w:rPr>
          <w:sz w:val="20"/>
          <w:szCs w:val="20"/>
          <w:color w:val="auto"/>
        </w:rPr>
      </w:pPr>
    </w:p>
    <w:p>
      <w:pPr>
        <w:jc w:val="both"/>
        <w:ind w:right="80" w:firstLine="571"/>
        <w:spacing w:after="0" w:line="291" w:lineRule="auto"/>
        <w:rPr>
          <w:sz w:val="20"/>
          <w:szCs w:val="20"/>
          <w:color w:val="auto"/>
        </w:rPr>
      </w:pPr>
      <w:r>
        <w:rPr>
          <w:rFonts w:ascii="Arial" w:cs="Arial" w:eastAsia="Arial" w:hAnsi="Arial"/>
          <w:sz w:val="16"/>
          <w:szCs w:val="16"/>
          <w:color w:val="auto"/>
        </w:rPr>
        <w:t>The Company’s Level 3 liabilities at June 30, 2018 included the Series A warrants issued by the Company in connection with its public offering of common stock in October 2017. Level 3 liabilities at December 31, 2017 included the Series A and Series B warrants issued by the Company in connection with the October 2017 offering. The Series A warrants have a term of five years and initially provided holders the right to purchase 4,630,000 shares of the Company’s common stock at an exercise price of $3.50 per share. The Series B warrants had a term of six months and initially provided holders the right to purchase 4,630,000 shares of the Company’s common stock at an exercise price of $3.50 per share. The Series A and Series B warrants were initially valued in the aggregate amount of $6.5 million on the date of issuance utilizing a Black-Scholes pricing model. As of June 30, 2018, there were Series A warrants to purchase 628,235 shares outstanding and no Series B warrants outstanding (see Note 7, “Stockholders’ Equity”).</w:t>
      </w:r>
    </w:p>
    <w:p>
      <w:pPr>
        <w:spacing w:after="0" w:line="167"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The Company reassesses the fair value of the outstanding Series A and Series B warrants at each reporting date utilizing a Black-Scholes pricing model. Inputs used in the pricing model include estimates of stock price volatility, expected warrant life and risk-free interest rate. The Company develops its estimates based on publicly available historical data. The assumptions used to estimate the fair values of the common stock warrants at June 30, 2018 and December 31, 2017 are presented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Series A Warrants</w:t>
            </w:r>
          </w:p>
        </w:tc>
        <w:tc>
          <w:tcPr>
            <w:tcW w:w="19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2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tcPr>
          <w:p>
            <w:pPr>
              <w:ind w:left="1060"/>
              <w:spacing w:after="0" w:line="155" w:lineRule="exact"/>
              <w:rPr>
                <w:sz w:val="20"/>
                <w:szCs w:val="20"/>
                <w:color w:val="auto"/>
              </w:rPr>
            </w:pPr>
            <w:r>
              <w:rPr>
                <w:rFonts w:ascii="Arial" w:cs="Arial" w:eastAsia="Arial" w:hAnsi="Arial"/>
                <w:sz w:val="14"/>
                <w:szCs w:val="14"/>
                <w:b w:val="1"/>
                <w:bCs w:val="1"/>
                <w:color w:val="auto"/>
              </w:rPr>
              <w:t>June 30, 2018</w:t>
            </w:r>
          </w:p>
        </w:tc>
        <w:tc>
          <w:tcPr>
            <w:tcW w:w="9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CFF0FC"/>
            </w:tcBorders>
          </w:tcPr>
          <w:p>
            <w:pPr>
              <w:spacing w:after="0"/>
              <w:rPr>
                <w:sz w:val="13"/>
                <w:szCs w:val="13"/>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0" w:type="dxa"/>
            <w:vAlign w:val="bottom"/>
            <w:shd w:val="clear" w:color="auto" w:fill="CFF0FC"/>
          </w:tcPr>
          <w:p>
            <w:pPr>
              <w:spacing w:after="0"/>
              <w:rPr>
                <w:sz w:val="19"/>
                <w:szCs w:val="19"/>
                <w:color w:val="auto"/>
              </w:rPr>
            </w:pPr>
          </w:p>
        </w:tc>
        <w:tc>
          <w:tcPr>
            <w:tcW w:w="20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360" w:type="dxa"/>
            <w:vAlign w:val="bottom"/>
            <w:shd w:val="clear" w:color="auto" w:fill="CFF0FC"/>
          </w:tcPr>
          <w:p>
            <w:pPr>
              <w:spacing w:after="0"/>
              <w:rPr>
                <w:sz w:val="19"/>
                <w:szCs w:val="19"/>
                <w:color w:val="auto"/>
              </w:rPr>
            </w:pPr>
          </w:p>
        </w:tc>
        <w:tc>
          <w:tcPr>
            <w:tcW w:w="2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r>
      <w:tr>
        <w:trPr>
          <w:trHeight w:val="230"/>
        </w:trPr>
        <w:tc>
          <w:tcPr>
            <w:tcW w:w="7820" w:type="dxa"/>
            <w:vAlign w:val="bottom"/>
            <w:gridSpan w:val="3"/>
          </w:tcPr>
          <w:p>
            <w:pPr>
              <w:spacing w:after="0"/>
              <w:rPr>
                <w:sz w:val="20"/>
                <w:szCs w:val="20"/>
                <w:color w:val="auto"/>
              </w:rPr>
            </w:pPr>
            <w:r>
              <w:rPr>
                <w:rFonts w:ascii="Arial" w:cs="Arial" w:eastAsia="Arial" w:hAnsi="Arial"/>
                <w:sz w:val="18"/>
                <w:szCs w:val="18"/>
                <w:color w:val="auto"/>
              </w:rPr>
              <w:t>Expected dividend yield</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9"/>
                <w:szCs w:val="19"/>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7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80.9%</w:t>
            </w:r>
          </w:p>
        </w:tc>
        <w:tc>
          <w:tcPr>
            <w:tcW w:w="360" w:type="dxa"/>
            <w:vAlign w:val="bottom"/>
            <w:shd w:val="clear" w:color="auto" w:fill="CFF0FC"/>
          </w:tcPr>
          <w:p>
            <w:pPr>
              <w:spacing w:after="0"/>
              <w:rPr>
                <w:sz w:val="19"/>
                <w:szCs w:val="19"/>
                <w:color w:val="auto"/>
              </w:rPr>
            </w:pPr>
          </w:p>
        </w:tc>
        <w:tc>
          <w:tcPr>
            <w:tcW w:w="2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63.5%</w:t>
            </w:r>
          </w:p>
        </w:tc>
      </w:tr>
      <w:tr>
        <w:trPr>
          <w:trHeight w:val="230"/>
        </w:trPr>
        <w:tc>
          <w:tcPr>
            <w:tcW w:w="7820" w:type="dxa"/>
            <w:vAlign w:val="bottom"/>
            <w:gridSpan w:val="3"/>
          </w:tcPr>
          <w:p>
            <w:pPr>
              <w:spacing w:after="0"/>
              <w:rPr>
                <w:sz w:val="20"/>
                <w:szCs w:val="20"/>
                <w:color w:val="auto"/>
              </w:rPr>
            </w:pPr>
            <w:r>
              <w:rPr>
                <w:rFonts w:ascii="Arial" w:cs="Arial" w:eastAsia="Arial" w:hAnsi="Arial"/>
                <w:sz w:val="18"/>
                <w:szCs w:val="18"/>
                <w:color w:val="auto"/>
              </w:rPr>
              <w:t>Expected term (in years)</w:t>
            </w: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0"/>
                <w:szCs w:val="20"/>
                <w:color w:val="auto"/>
              </w:rPr>
            </w:pPr>
          </w:p>
        </w:tc>
      </w:tr>
      <w:tr>
        <w:trPr>
          <w:trHeight w:val="661"/>
        </w:trPr>
        <w:tc>
          <w:tcPr>
            <w:tcW w:w="5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Series B Warrants</w:t>
            </w:r>
          </w:p>
        </w:tc>
        <w:tc>
          <w:tcPr>
            <w:tcW w:w="19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56"/>
        </w:trPr>
        <w:tc>
          <w:tcPr>
            <w:tcW w:w="57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80" w:type="dxa"/>
            <w:vAlign w:val="bottom"/>
            <w:tcBorders>
              <w:bottom w:val="single" w:sz="8" w:color="auto"/>
            </w:tcBorders>
          </w:tcPr>
          <w:p>
            <w:pPr>
              <w:ind w:left="1160"/>
              <w:spacing w:after="0" w:line="155" w:lineRule="exact"/>
              <w:rPr>
                <w:sz w:val="20"/>
                <w:szCs w:val="20"/>
                <w:color w:val="auto"/>
              </w:rPr>
            </w:pPr>
            <w:r>
              <w:rPr>
                <w:rFonts w:ascii="Arial" w:cs="Arial" w:eastAsia="Arial" w:hAnsi="Arial"/>
                <w:sz w:val="14"/>
                <w:szCs w:val="14"/>
                <w:b w:val="1"/>
                <w:bCs w:val="1"/>
                <w:color w:val="auto"/>
                <w:w w:val="98"/>
              </w:rPr>
              <w:t>June 30, 2018</w:t>
            </w:r>
          </w:p>
        </w:tc>
        <w:tc>
          <w:tcPr>
            <w:tcW w:w="9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CFF0FC"/>
            </w:tcBorders>
          </w:tcPr>
          <w:p>
            <w:pPr>
              <w:spacing w:after="0"/>
              <w:rPr>
                <w:sz w:val="13"/>
                <w:szCs w:val="13"/>
                <w:color w:val="auto"/>
              </w:rPr>
            </w:pPr>
          </w:p>
        </w:tc>
      </w:tr>
      <w:tr>
        <w:trPr>
          <w:trHeight w:val="223"/>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08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ind w:left="760"/>
              <w:spacing w:after="0"/>
              <w:rPr>
                <w:sz w:val="20"/>
                <w:szCs w:val="20"/>
                <w:color w:val="auto"/>
              </w:rPr>
            </w:pPr>
            <w:r>
              <w:rPr>
                <w:rFonts w:ascii="Arial" w:cs="Arial" w:eastAsia="Arial" w:hAnsi="Arial"/>
                <w:sz w:val="18"/>
                <w:szCs w:val="18"/>
                <w:color w:val="auto"/>
              </w:rPr>
              <w:t>N/A</w:t>
            </w:r>
          </w:p>
        </w:tc>
        <w:tc>
          <w:tcPr>
            <w:tcW w:w="2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r>
      <w:tr>
        <w:trPr>
          <w:trHeight w:val="230"/>
        </w:trPr>
        <w:tc>
          <w:tcPr>
            <w:tcW w:w="7820" w:type="dxa"/>
            <w:vAlign w:val="bottom"/>
            <w:gridSpan w:val="3"/>
          </w:tcPr>
          <w:p>
            <w:pPr>
              <w:spacing w:after="0"/>
              <w:rPr>
                <w:sz w:val="20"/>
                <w:szCs w:val="20"/>
                <w:color w:val="auto"/>
              </w:rPr>
            </w:pPr>
            <w:r>
              <w:rPr>
                <w:rFonts w:ascii="Arial" w:cs="Arial" w:eastAsia="Arial" w:hAnsi="Arial"/>
                <w:sz w:val="18"/>
                <w:szCs w:val="18"/>
                <w:color w:val="auto"/>
              </w:rPr>
              <w:t>Expected dividend yield</w:t>
            </w:r>
          </w:p>
        </w:tc>
        <w:tc>
          <w:tcPr>
            <w:tcW w:w="1460" w:type="dxa"/>
            <w:vAlign w:val="bottom"/>
            <w:gridSpan w:val="3"/>
          </w:tcPr>
          <w:p>
            <w:pPr>
              <w:ind w:left="760"/>
              <w:spacing w:after="0"/>
              <w:rPr>
                <w:sz w:val="20"/>
                <w:szCs w:val="20"/>
                <w:color w:val="auto"/>
              </w:rPr>
            </w:pPr>
            <w:r>
              <w:rPr>
                <w:rFonts w:ascii="Arial" w:cs="Arial" w:eastAsia="Arial" w:hAnsi="Arial"/>
                <w:sz w:val="18"/>
                <w:szCs w:val="18"/>
                <w:color w:val="auto"/>
              </w:rPr>
              <w:t>N/A</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7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460" w:type="dxa"/>
            <w:vAlign w:val="bottom"/>
            <w:gridSpan w:val="3"/>
            <w:shd w:val="clear" w:color="auto" w:fill="CFF0FC"/>
          </w:tcPr>
          <w:p>
            <w:pPr>
              <w:ind w:left="760"/>
              <w:spacing w:after="0"/>
              <w:rPr>
                <w:sz w:val="20"/>
                <w:szCs w:val="20"/>
                <w:color w:val="auto"/>
              </w:rPr>
            </w:pPr>
            <w:r>
              <w:rPr>
                <w:rFonts w:ascii="Arial" w:cs="Arial" w:eastAsia="Arial" w:hAnsi="Arial"/>
                <w:sz w:val="18"/>
                <w:szCs w:val="18"/>
                <w:color w:val="auto"/>
              </w:rPr>
              <w:t>N/A</w:t>
            </w:r>
          </w:p>
        </w:tc>
        <w:tc>
          <w:tcPr>
            <w:tcW w:w="2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80.3%</w:t>
            </w:r>
          </w:p>
        </w:tc>
      </w:tr>
      <w:tr>
        <w:trPr>
          <w:trHeight w:val="230"/>
        </w:trPr>
        <w:tc>
          <w:tcPr>
            <w:tcW w:w="7820" w:type="dxa"/>
            <w:vAlign w:val="bottom"/>
            <w:gridSpan w:val="3"/>
          </w:tcPr>
          <w:p>
            <w:pPr>
              <w:spacing w:after="0"/>
              <w:rPr>
                <w:sz w:val="20"/>
                <w:szCs w:val="20"/>
                <w:color w:val="auto"/>
              </w:rPr>
            </w:pPr>
            <w:r>
              <w:rPr>
                <w:rFonts w:ascii="Arial" w:cs="Arial" w:eastAsia="Arial" w:hAnsi="Arial"/>
                <w:sz w:val="18"/>
                <w:szCs w:val="18"/>
                <w:color w:val="auto"/>
              </w:rPr>
              <w:t>Expected term (in years)</w:t>
            </w:r>
          </w:p>
        </w:tc>
        <w:tc>
          <w:tcPr>
            <w:tcW w:w="1460" w:type="dxa"/>
            <w:vAlign w:val="bottom"/>
            <w:gridSpan w:val="3"/>
          </w:tcPr>
          <w:p>
            <w:pPr>
              <w:ind w:left="760"/>
              <w:spacing w:after="0"/>
              <w:rPr>
                <w:sz w:val="20"/>
                <w:szCs w:val="20"/>
                <w:color w:val="auto"/>
              </w:rPr>
            </w:pPr>
            <w:r>
              <w:rPr>
                <w:rFonts w:ascii="Arial" w:cs="Arial" w:eastAsia="Arial" w:hAnsi="Arial"/>
                <w:sz w:val="18"/>
                <w:szCs w:val="18"/>
                <w:color w:val="auto"/>
              </w:rPr>
              <w:t>N/A</w:t>
            </w:r>
          </w:p>
        </w:tc>
        <w:tc>
          <w:tcPr>
            <w:tcW w:w="196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0"/>
                <w:szCs w:val="20"/>
                <w:color w:val="auto"/>
              </w:rPr>
            </w:pPr>
          </w:p>
        </w:tc>
      </w:tr>
    </w:tbl>
    <w:p>
      <w:pPr>
        <w:spacing w:after="0" w:line="20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As of June 30, 2018, there were no Series B warrants outstanding.</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presents a summary of changes in the fair value of the Company’s Level 3 financial assets for the quarter ended June 30, 2018:</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720" w:type="dxa"/>
            <w:vAlign w:val="bottom"/>
            <w:gridSpan w:val="2"/>
            <w:shd w:val="clear" w:color="auto" w:fill="CFF0FC"/>
          </w:tcPr>
          <w:p>
            <w:pPr>
              <w:jc w:val="right"/>
              <w:ind w:right="1545"/>
              <w:spacing w:after="0"/>
              <w:rPr>
                <w:sz w:val="20"/>
                <w:szCs w:val="20"/>
                <w:color w:val="auto"/>
              </w:rPr>
            </w:pPr>
            <w:r>
              <w:rPr>
                <w:rFonts w:ascii="Arial" w:cs="Arial" w:eastAsia="Arial" w:hAnsi="Arial"/>
                <w:sz w:val="18"/>
                <w:szCs w:val="18"/>
                <w:color w:val="auto"/>
                <w:w w:val="79"/>
              </w:rPr>
              <w:t>$</w:t>
            </w: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Decrease in fair value from warrants exercised during the period</w:t>
            </w: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320" w:type="dxa"/>
            <w:vAlign w:val="bottom"/>
            <w:gridSpan w:val="2"/>
          </w:tcPr>
          <w:p>
            <w:pPr>
              <w:jc w:val="right"/>
              <w:ind w:right="60"/>
              <w:spacing w:after="0"/>
              <w:rPr>
                <w:sz w:val="20"/>
                <w:szCs w:val="20"/>
                <w:color w:val="auto"/>
              </w:rPr>
            </w:pPr>
            <w:r>
              <w:rPr>
                <w:rFonts w:ascii="Arial" w:cs="Arial" w:eastAsia="Arial" w:hAnsi="Arial"/>
                <w:sz w:val="18"/>
                <w:szCs w:val="18"/>
                <w:color w:val="auto"/>
              </w:rPr>
              <w:t>(49,919)</w:t>
            </w:r>
          </w:p>
        </w:tc>
        <w:tc>
          <w:tcPr>
            <w:tcW w:w="0" w:type="dxa"/>
            <w:vAlign w:val="bottom"/>
          </w:tcPr>
          <w:p>
            <w:pPr>
              <w:spacing w:after="0"/>
              <w:rPr>
                <w:sz w:val="1"/>
                <w:szCs w:val="1"/>
                <w:color w:val="auto"/>
              </w:rPr>
            </w:pPr>
          </w:p>
        </w:tc>
      </w:tr>
      <w:tr>
        <w:trPr>
          <w:trHeight w:val="230"/>
        </w:trPr>
        <w:tc>
          <w:tcPr>
            <w:tcW w:w="7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fair value included in change in fair value of common stock warrants</w:t>
            </w:r>
          </w:p>
        </w:tc>
        <w:tc>
          <w:tcPr>
            <w:tcW w:w="2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spacing w:after="0"/>
              <w:rPr>
                <w:sz w:val="19"/>
                <w:szCs w:val="19"/>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56,778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8"/>
                <w:szCs w:val="18"/>
                <w:color w:val="auto"/>
              </w:rPr>
              <w:t>Balance at June 30, 2018</w:t>
            </w:r>
          </w:p>
        </w:tc>
        <w:tc>
          <w:tcPr>
            <w:tcW w:w="172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1545"/>
              <w:spacing w:after="0"/>
              <w:rPr>
                <w:sz w:val="20"/>
                <w:szCs w:val="20"/>
                <w:color w:val="auto"/>
              </w:rPr>
            </w:pPr>
            <w:r>
              <w:rPr>
                <w:rFonts w:ascii="Arial" w:cs="Arial" w:eastAsia="Arial" w:hAnsi="Arial"/>
                <w:sz w:val="15"/>
                <w:szCs w:val="15"/>
                <w:color w:val="auto"/>
                <w:w w:val="71"/>
              </w:rPr>
              <w:t>$</w:t>
            </w:r>
          </w:p>
        </w:tc>
        <w:tc>
          <w:tcPr>
            <w:tcW w:w="2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571"/>
        <w:spacing w:after="0" w:line="264" w:lineRule="auto"/>
        <w:rPr>
          <w:sz w:val="20"/>
          <w:szCs w:val="20"/>
          <w:color w:val="auto"/>
        </w:rPr>
      </w:pPr>
      <w:r>
        <w:rPr>
          <w:rFonts w:ascii="Arial" w:cs="Arial" w:eastAsia="Arial" w:hAnsi="Arial"/>
          <w:sz w:val="18"/>
          <w:szCs w:val="18"/>
          <w:color w:val="auto"/>
        </w:rPr>
        <w:t>During the six months ended June 30, 2018, the Company issued 8,485,871 shares of common stock upon the exercise of Series A and Series B warrants and 13,450 Series B warrants expired unexercised. As a result, there were 628,235 Series A warrants to purchase common stock from the October 2017 financing outstanding as of June 30, 2018.</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6. Term Loan Agreement</w:t>
      </w:r>
    </w:p>
    <w:p>
      <w:pPr>
        <w:spacing w:after="0" w:line="229" w:lineRule="exact"/>
        <w:rPr>
          <w:sz w:val="20"/>
          <w:szCs w:val="20"/>
          <w:color w:val="auto"/>
        </w:rPr>
      </w:pPr>
    </w:p>
    <w:p>
      <w:pPr>
        <w:ind w:right="160" w:firstLine="571"/>
        <w:spacing w:after="0" w:line="277" w:lineRule="auto"/>
        <w:rPr>
          <w:sz w:val="20"/>
          <w:szCs w:val="20"/>
          <w:color w:val="auto"/>
        </w:rPr>
      </w:pPr>
      <w:r>
        <w:rPr>
          <w:rFonts w:ascii="Arial" w:cs="Arial" w:eastAsia="Arial" w:hAnsi="Arial"/>
          <w:sz w:val="18"/>
          <w:szCs w:val="18"/>
          <w:color w:val="auto"/>
        </w:rPr>
        <w:t>The Company had $82.7 million of aggregate borrowings outstanding under the Term Loan Agreement as of June 30, 2018 and December 31, 2017, respectively.</w:t>
      </w:r>
    </w:p>
    <w:p>
      <w:pPr>
        <w:spacing w:after="0" w:line="170" w:lineRule="exact"/>
        <w:rPr>
          <w:sz w:val="20"/>
          <w:szCs w:val="20"/>
          <w:color w:val="auto"/>
        </w:rPr>
      </w:pPr>
    </w:p>
    <w:p>
      <w:pPr>
        <w:ind w:firstLine="577"/>
        <w:spacing w:after="0" w:line="272" w:lineRule="auto"/>
        <w:rPr>
          <w:sz w:val="20"/>
          <w:szCs w:val="20"/>
          <w:color w:val="auto"/>
        </w:rPr>
      </w:pPr>
      <w:r>
        <w:rPr>
          <w:rFonts w:ascii="Arial" w:cs="Arial" w:eastAsia="Arial" w:hAnsi="Arial"/>
          <w:sz w:val="17"/>
          <w:szCs w:val="17"/>
          <w:color w:val="auto"/>
        </w:rPr>
        <w:t>Under the Term Loan Agreement, interest is payable at the Company’s option, (i) in cash at a rate of 11.5% per annum, or (ii) at a rate of 9.5% of the 11.5% per annum in cash and 2.0% of the 11.5% per annum (the “PIK Loan”) to be added to the principal of the loan and subject to accruing interest. Interest-only payments are due quarterly on March 31, June 30, September 30 and December 31 of each year of the interest-only payment period, which ends on December 31, 2019. The principal balance is due in full at the end of the term of the loan, which is March 31, 2020 (the “Maturity Date”). The Company had elected to pay interest in cash at a rate of 11.5% per annum through September 30, 2015. From October 1, 2015 through December 31, 2017, the Company elected to pay interest in cash at a rate of 9.5% per annum and for a rate of 2.0% per annum to be added to the principal of the loan. As a result, $2.7 million was added to the principal of the loan during that time period (the “PIK Loans”).</w:t>
      </w:r>
    </w:p>
    <w:p>
      <w:pPr>
        <w:spacing w:after="0" w:line="178" w:lineRule="exact"/>
        <w:rPr>
          <w:sz w:val="20"/>
          <w:szCs w:val="20"/>
          <w:color w:val="auto"/>
        </w:rPr>
      </w:pPr>
    </w:p>
    <w:p>
      <w:pPr>
        <w:ind w:right="460" w:firstLine="571"/>
        <w:spacing w:after="0" w:line="277" w:lineRule="auto"/>
        <w:rPr>
          <w:sz w:val="20"/>
          <w:szCs w:val="20"/>
          <w:color w:val="auto"/>
        </w:rPr>
      </w:pPr>
      <w:r>
        <w:rPr>
          <w:rFonts w:ascii="Arial" w:cs="Arial" w:eastAsia="Arial" w:hAnsi="Arial"/>
          <w:sz w:val="18"/>
          <w:szCs w:val="18"/>
          <w:color w:val="auto"/>
        </w:rPr>
        <w:t>The term loan is collateralized by all assets of the Company. The principal financial covenants require that the Company attain minimum annual revenues of $95.0 million in 2018 and each year thereafter until the Maturity Date.</w:t>
      </w:r>
    </w:p>
    <w:p>
      <w:pPr>
        <w:spacing w:after="0" w:line="170" w:lineRule="exact"/>
        <w:rPr>
          <w:sz w:val="20"/>
          <w:szCs w:val="20"/>
          <w:color w:val="auto"/>
        </w:rPr>
      </w:pPr>
    </w:p>
    <w:p>
      <w:pPr>
        <w:jc w:val="both"/>
        <w:ind w:right="20" w:firstLine="571"/>
        <w:spacing w:after="0" w:line="259" w:lineRule="auto"/>
        <w:rPr>
          <w:sz w:val="20"/>
          <w:szCs w:val="20"/>
          <w:color w:val="auto"/>
        </w:rPr>
      </w:pPr>
      <w:r>
        <w:rPr>
          <w:rFonts w:ascii="Arial" w:cs="Arial" w:eastAsia="Arial" w:hAnsi="Arial"/>
          <w:sz w:val="18"/>
          <w:szCs w:val="18"/>
          <w:color w:val="auto"/>
        </w:rPr>
        <w:t>Pursuant to Amendment No. 3 to the Term Loan Agreement (the “Third Amendment”), the Company agreed to pay, on the earlier of (i) the Maturity Date, (ii) the date that the loan under the Term Loan Agreement becomes due, and (iii) the date on which the Company makes a voluntary pre-payment of the loan, a financing fee equal to 3.0% of the sum of (x) the aggregate amount drawn under the Third Amendment, which is $50.0 million, and (y) any PIK Loans issued in relation to the Third Amendment (collectively, the “Back End Financing Fee”).</w:t>
      </w:r>
    </w:p>
    <w:p>
      <w:pPr>
        <w:spacing w:after="0" w:line="187" w:lineRule="exact"/>
        <w:rPr>
          <w:sz w:val="20"/>
          <w:szCs w:val="20"/>
          <w:color w:val="auto"/>
        </w:rPr>
      </w:pPr>
    </w:p>
    <w:p>
      <w:pPr>
        <w:ind w:right="100" w:firstLine="571"/>
        <w:spacing w:after="0" w:line="272" w:lineRule="auto"/>
        <w:rPr>
          <w:sz w:val="20"/>
          <w:szCs w:val="20"/>
          <w:color w:val="auto"/>
        </w:rPr>
      </w:pPr>
      <w:r>
        <w:rPr>
          <w:rFonts w:ascii="Arial" w:cs="Arial" w:eastAsia="Arial" w:hAnsi="Arial"/>
          <w:sz w:val="17"/>
          <w:szCs w:val="17"/>
          <w:color w:val="auto"/>
        </w:rPr>
        <w:t>In March 2017, the Company entered into Amendment No. 4 to the Term Loan Agreement (the “Fourth Amendment”), which included a limited waiver of a potential event of default that could have resulted from the explanatory paragraph in the audit report of its independent registered public accounting firm contained in its financial statements for the year ended December 31, 2016. In consideration for the waiver, the Company agreed to: (i) issue Capital Royalty Partners ten-year warrants to purchase an aggregate of 193,788 shares of the Company’s common stock at an exercise price of $23.50 per share, (ii) increase the Company’s minimum cash balance requirement under the Term Loan Agreement from $2.0 million to $10.0 million, (iii) provide Capital Royalty Partners the same information it makes available to its board of directors, subject to limited exceptions, and (iv) not incur additional third party indebtedness secured solely by accounts receivable, inventory and cash.</w:t>
      </w:r>
    </w:p>
    <w:p>
      <w:pPr>
        <w:spacing w:after="0" w:line="178" w:lineRule="exact"/>
        <w:rPr>
          <w:sz w:val="20"/>
          <w:szCs w:val="20"/>
          <w:color w:val="auto"/>
        </w:rPr>
      </w:pPr>
    </w:p>
    <w:p>
      <w:pPr>
        <w:ind w:right="80" w:firstLine="571"/>
        <w:spacing w:after="0" w:line="279" w:lineRule="auto"/>
        <w:rPr>
          <w:sz w:val="20"/>
          <w:szCs w:val="20"/>
          <w:color w:val="auto"/>
        </w:rPr>
      </w:pPr>
      <w:r>
        <w:rPr>
          <w:rFonts w:ascii="Arial" w:cs="Arial" w:eastAsia="Arial" w:hAnsi="Arial"/>
          <w:sz w:val="17"/>
          <w:szCs w:val="17"/>
          <w:color w:val="auto"/>
        </w:rPr>
        <w:t>Furthermore, the Company agreed to increase the Back End Financing Fee to 5.0% of the entire aggregate principal amount of borrowings outstanding, including total PIK Loans issued, under the Term Loan Agreement, which was $82.7 million as of December 31, 2017. The Back End Financing Fee is payable at maturity of the Company’s loans and on the principal amount of any loans for which it makes an optional prepayment, and may be payable in connection with asset sales not permitted under the Term Loan Agreement or a change of control.</w:t>
      </w:r>
    </w:p>
    <w:p>
      <w:pPr>
        <w:spacing w:after="0" w:line="171"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In February 2018, the Company entered into Amendment No. 5 to the Term Loan Agreement (the “Fifth Amendment”), which included a limited advance waiver of a potential event of default that could have resulted from a qualification regarding the Company’s ability to continue as a going concern in the audit report for the year ended December 31, 2017. The Fifth Amendment included a covenant requiring the Company to complete a financing in which gross proceeds from the sale of equity securities was at least $20.0 million, no later than August 30, 2018, which covenant was satisfied in February 2018. In addition, the Company agreed to increase the Back End Financing Fee from 5.0% to 6.0% of the entire aggregate principal amount of borrowings outstanding, including total PIK Loans issued, under the Term Loan Agreement.</w:t>
      </w:r>
    </w:p>
    <w:p>
      <w:pPr>
        <w:spacing w:after="0" w:line="193" w:lineRule="exact"/>
        <w:rPr>
          <w:sz w:val="20"/>
          <w:szCs w:val="20"/>
          <w:color w:val="auto"/>
        </w:rPr>
      </w:pPr>
    </w:p>
    <w:p>
      <w:pPr>
        <w:ind w:right="100" w:firstLine="571"/>
        <w:spacing w:after="0" w:line="277" w:lineRule="auto"/>
        <w:rPr>
          <w:sz w:val="20"/>
          <w:szCs w:val="20"/>
          <w:color w:val="auto"/>
        </w:rPr>
      </w:pPr>
      <w:r>
        <w:rPr>
          <w:rFonts w:ascii="Arial" w:cs="Arial" w:eastAsia="Arial" w:hAnsi="Arial"/>
          <w:sz w:val="18"/>
          <w:szCs w:val="18"/>
          <w:color w:val="auto"/>
        </w:rPr>
        <w:t>As of June 30, 2018, and December 31, 2017, the Company had accrued $5.0 million and $4.1 million for the Back End Financing Fee in other long-term liabilities and as contra-debt in notes payable-long-term on the accompanying balance sheet.</w:t>
      </w:r>
    </w:p>
    <w:p>
      <w:pPr>
        <w:spacing w:after="0" w:line="170"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The Company treated the execution of each of the Third, Fourth and Fifth Amendments as a modification for accounting purposes. The present value of the future cash flows under these amendments did not exceed the present value of the future cash flows under the previous terms by more than 10%. The Back End Financing Fee and the remaining balance of debt issuance costs and debt discount of the loan are amortized to interest expense over the remaining term using the effective interest method.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Offerings</w:t>
      </w:r>
    </w:p>
    <w:p>
      <w:pPr>
        <w:spacing w:after="0" w:line="225" w:lineRule="exact"/>
        <w:rPr>
          <w:sz w:val="20"/>
          <w:szCs w:val="20"/>
          <w:color w:val="auto"/>
        </w:rPr>
      </w:pPr>
    </w:p>
    <w:p>
      <w:pPr>
        <w:jc w:val="both"/>
        <w:ind w:right="20" w:firstLine="571"/>
        <w:spacing w:after="0" w:line="264" w:lineRule="auto"/>
        <w:rPr>
          <w:sz w:val="20"/>
          <w:szCs w:val="20"/>
          <w:color w:val="auto"/>
        </w:rPr>
      </w:pPr>
      <w:r>
        <w:rPr>
          <w:rFonts w:ascii="Arial" w:cs="Arial" w:eastAsia="Arial" w:hAnsi="Arial"/>
          <w:sz w:val="18"/>
          <w:szCs w:val="18"/>
          <w:color w:val="auto"/>
        </w:rPr>
        <w:t>In the first quarter of 2017, the Company completed a public offering of 1,850,000 shares of its common stock at a public offering price of $12.50 per share. The gross proceeds to the Company from the offering were $23.1 million, before deducting underwriting discounts and commissions and other offering expenses payable by the Company.</w:t>
      </w:r>
    </w:p>
    <w:p>
      <w:pPr>
        <w:spacing w:after="0" w:line="181" w:lineRule="exact"/>
        <w:rPr>
          <w:sz w:val="20"/>
          <w:szCs w:val="20"/>
          <w:color w:val="auto"/>
        </w:rPr>
      </w:pPr>
    </w:p>
    <w:p>
      <w:pPr>
        <w:ind w:firstLine="629"/>
        <w:spacing w:after="0" w:line="264" w:lineRule="auto"/>
        <w:rPr>
          <w:sz w:val="20"/>
          <w:szCs w:val="20"/>
          <w:color w:val="auto"/>
        </w:rPr>
      </w:pPr>
      <w:r>
        <w:rPr>
          <w:rFonts w:ascii="Arial" w:cs="Arial" w:eastAsia="Arial" w:hAnsi="Arial"/>
          <w:sz w:val="18"/>
          <w:szCs w:val="18"/>
          <w:color w:val="auto"/>
        </w:rPr>
        <w:t>From July 2017 through September 2017, the Company sold 464,108 shares of its common stock under its “at-the-market” offering program at prices ranging from $5.64 to $10.54. The gross proceeds from the offering were $4.3 million, before deducting underwriting discounts and commissions and other offering expenses.</w:t>
      </w:r>
    </w:p>
    <w:p>
      <w:pPr>
        <w:spacing w:after="0" w:line="181" w:lineRule="exact"/>
        <w:rPr>
          <w:sz w:val="20"/>
          <w:szCs w:val="20"/>
          <w:color w:val="auto"/>
        </w:rPr>
      </w:pPr>
    </w:p>
    <w:p>
      <w:pPr>
        <w:ind w:firstLine="571"/>
        <w:spacing w:after="0" w:line="273" w:lineRule="auto"/>
        <w:rPr>
          <w:sz w:val="20"/>
          <w:szCs w:val="20"/>
          <w:color w:val="auto"/>
        </w:rPr>
      </w:pPr>
      <w:r>
        <w:rPr>
          <w:rFonts w:ascii="Arial" w:cs="Arial" w:eastAsia="Arial" w:hAnsi="Arial"/>
          <w:sz w:val="17"/>
          <w:szCs w:val="17"/>
          <w:color w:val="auto"/>
        </w:rPr>
        <w:t>In October 2017, the Company completed a public offering, pursuant to which it sold 4,630,000 shares of its common stock, Series A warrants to purchase up to 4,630,000 shares and Series B warrants to purchase up to 4,630,000 shares at a public offering price of $3.50 per share and accompanying warrants. The gross proceeds from the public offering were approximately $16.2 million, before deducting underwriting discounts and commissions and other offering expenses. As of June 30, 2018, the Company had issued 8,485,871 shares upon exercise of Series A and Series B warrants, which resulted in gross proceeds to the Company of $29.2 million. As of June 30, 2018, there were 628,235 Series A warrants outstanding and no Series B warrants outstanding. During the three months ended June 30, 2018, 13,450 Series B warrants expired unexercised.</w:t>
      </w:r>
    </w:p>
    <w:p>
      <w:pPr>
        <w:spacing w:after="0" w:line="178" w:lineRule="exact"/>
        <w:rPr>
          <w:sz w:val="20"/>
          <w:szCs w:val="20"/>
          <w:color w:val="auto"/>
        </w:rPr>
      </w:pPr>
    </w:p>
    <w:p>
      <w:pPr>
        <w:jc w:val="both"/>
        <w:ind w:right="20" w:firstLine="571"/>
        <w:spacing w:after="0" w:line="264" w:lineRule="auto"/>
        <w:rPr>
          <w:sz w:val="20"/>
          <w:szCs w:val="20"/>
          <w:color w:val="auto"/>
        </w:rPr>
      </w:pPr>
      <w:r>
        <w:rPr>
          <w:rFonts w:ascii="Arial" w:cs="Arial" w:eastAsia="Arial" w:hAnsi="Arial"/>
          <w:sz w:val="18"/>
          <w:szCs w:val="18"/>
          <w:color w:val="auto"/>
        </w:rPr>
        <w:t>In the first quarter of 2018, the Company completed a public offering of 34,500,000 shares of its common stock at a public offering price of $2.00 per share. The gross proceeds to the Company from the offering were $69.0 million, before deducting underwriting discounts and commissions and other offering expenses payable by the Company.</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shares of the Company’s common stock were reserved for future issuance as of June 30, 2018 (in thousands):</w:t>
      </w:r>
    </w:p>
    <w:p>
      <w:pPr>
        <w:sectPr>
          <w:pgSz w:w="11900" w:h="16838" w:orient="portrait"/>
          <w:cols w:equalWidth="0" w:num="1">
            <w:col w:w="11400"/>
          </w:cols>
          <w:pgMar w:left="240" w:top="337" w:right="25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Shares underlying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Shares underlying outstanding stock options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Shares authorized for future equity award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Shares authorized for issuance as ESPP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921</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5,558</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1,317</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2,101</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9,897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-1809115</wp:posOffset>
            </wp:positionH>
            <wp:positionV relativeFrom="paragraph">
              <wp:posOffset>53975</wp:posOffset>
            </wp:positionV>
            <wp:extent cx="20751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160" w:space="720"/>
            <w:col w:w="520"/>
          </w:cols>
          <w:pgMar w:left="240" w:top="337" w:right="259" w:bottom="1440" w:gutter="0" w:footer="0" w:header="0"/>
          <w:type w:val="continuous"/>
        </w:sectPr>
      </w:pPr>
    </w:p>
    <w:p>
      <w:pPr>
        <w:spacing w:after="0" w:line="100" w:lineRule="exact"/>
        <w:rPr>
          <w:sz w:val="20"/>
          <w:szCs w:val="20"/>
          <w:color w:val="auto"/>
        </w:rPr>
      </w:pPr>
    </w:p>
    <w:p>
      <w:pPr>
        <w:ind w:right="40" w:firstLine="661"/>
        <w:spacing w:after="0" w:line="302" w:lineRule="auto"/>
        <w:rPr>
          <w:sz w:val="20"/>
          <w:szCs w:val="20"/>
          <w:color w:val="auto"/>
        </w:rPr>
      </w:pPr>
      <w:r>
        <w:rPr>
          <w:rFonts w:ascii="Arial" w:cs="Arial" w:eastAsia="Arial" w:hAnsi="Arial"/>
          <w:sz w:val="16"/>
          <w:szCs w:val="16"/>
          <w:color w:val="auto"/>
        </w:rPr>
        <w:t>In June 2018, the Company received approval from its stockholders to increase the number of shares of common stock reserved under the 2013 Plan by 5,500,000 shares. The Company issued 8,485,871 shares of its common stock upon the exercise of warrants, and 564 shares of its common stock upon the exercise of stock options during the six months ended June 30, 2018. The Company did not issue any shares of its common stock upon the exercise of warrants, and issued 24,406 shares of its common stock upon the exercise of stock options during the year ended December 31, 2017.</w:t>
      </w:r>
    </w:p>
    <w:p>
      <w:pPr>
        <w:spacing w:after="0" w:line="154"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The ESPP enables eligible employees to purchase shares of common stock using their after tax payroll deductions, subject to certain conditions. Historically, offerings under the ESPP consisted of a two-year offering period with four six-month purchase periods which began in May and November of each year. The Company announced the suspension of the ESPP in May 2017 due to a lack of available shares. In June 2018, the Company received approval from its stockholders to increase the number of shares reserved for issuance under the ESPP by 2,000,000 shares. A new offering commenced under the ESPP on June 15, 2018, and the first purchase date will be November 15, 2018. As a result of the previous suspension of the ESPP, no shares of common stock were purchased under the ESPP during the six months ended June 30, 2018. There were 38,929 shares of common stock purchased under the ESPP during the year ended December 31, 2017.</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firstLine="571"/>
        <w:spacing w:after="0" w:line="257" w:lineRule="auto"/>
        <w:rPr>
          <w:sz w:val="20"/>
          <w:szCs w:val="20"/>
          <w:color w:val="auto"/>
        </w:rPr>
      </w:pPr>
      <w:r>
        <w:rPr>
          <w:rFonts w:ascii="Arial" w:cs="Arial" w:eastAsia="Arial" w:hAnsi="Arial"/>
          <w:sz w:val="18"/>
          <w:szCs w:val="18"/>
          <w:color w:val="auto"/>
        </w:rPr>
        <w:t>In June 2018, the Company issued options to purchase 811,800 shares of common stock under the 2013 Plan, which were originally granted on December 1, 2017, subject to and conditioned upon the approval by its stockholders of an increase in the number of shares authorized under the 2013 Plan. In addition, in June 2018, the Company granted options to purchase 3,339,300 shares of common stock under the 2013 Plan. These options have an exercise price equal to the closing price of the common stock on the respective grant date, and generally vest 50% on the first anniversary of the grant date, with the balance vesting monthly over the following year.</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assumptions used in the Black-Scholes option-pricing model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rPr>
              <w:t>Stock Options</w:t>
            </w:r>
          </w:p>
        </w:tc>
        <w:tc>
          <w:tcPr>
            <w:tcW w:w="1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38"/>
        </w:trPr>
        <w:tc>
          <w:tcPr>
            <w:tcW w:w="3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40" w:type="dxa"/>
            <w:vAlign w:val="bottom"/>
            <w:gridSpan w:val="5"/>
          </w:tcPr>
          <w:p>
            <w:pPr>
              <w:jc w:val="center"/>
              <w:ind w:left="455"/>
              <w:spacing w:after="0"/>
              <w:rPr>
                <w:sz w:val="20"/>
                <w:szCs w:val="20"/>
                <w:color w:val="auto"/>
              </w:rPr>
            </w:pPr>
            <w:r>
              <w:rPr>
                <w:rFonts w:ascii="Arial" w:cs="Arial" w:eastAsia="Arial" w:hAnsi="Arial"/>
                <w:sz w:val="14"/>
                <w:szCs w:val="14"/>
                <w:b w:val="1"/>
                <w:bCs w:val="1"/>
                <w:color w:val="auto"/>
                <w:w w:val="93"/>
              </w:rPr>
              <w:t>Six Months Ended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5"/>
        </w:trPr>
        <w:tc>
          <w:tcPr>
            <w:tcW w:w="39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jc w:val="center"/>
              <w:ind w:left="475"/>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396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9"/>
                <w:szCs w:val="19"/>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w w:val="97"/>
              </w:rPr>
              <w:t>Weighted average grant date fair value (per share)</w:t>
            </w:r>
          </w:p>
        </w:tc>
        <w:tc>
          <w:tcPr>
            <w:tcW w:w="1020" w:type="dxa"/>
            <w:vAlign w:val="bottom"/>
            <w:gridSpan w:val="2"/>
            <w:shd w:val="clear" w:color="auto" w:fill="CFF0FC"/>
          </w:tcPr>
          <w:p>
            <w:pPr>
              <w:jc w:val="right"/>
              <w:ind w:right="85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52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w:t>
            </w: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8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180" w:type="dxa"/>
            <w:vAlign w:val="bottom"/>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0.0%</w:t>
            </w: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Expected volatility</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71.5%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71.4%</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r>
      <w:tr>
        <w:trPr>
          <w:trHeight w:val="446"/>
        </w:trPr>
        <w:tc>
          <w:tcPr>
            <w:tcW w:w="3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ESPP</w:t>
            </w: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238"/>
        </w:trPr>
        <w:tc>
          <w:tcPr>
            <w:tcW w:w="3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80" w:type="dxa"/>
            <w:vAlign w:val="bottom"/>
            <w:gridSpan w:val="6"/>
          </w:tcPr>
          <w:p>
            <w:pPr>
              <w:jc w:val="center"/>
              <w:ind w:left="74"/>
              <w:spacing w:after="0"/>
              <w:rPr>
                <w:sz w:val="20"/>
                <w:szCs w:val="20"/>
                <w:color w:val="auto"/>
              </w:rPr>
            </w:pPr>
            <w:r>
              <w:rPr>
                <w:rFonts w:ascii="Arial" w:cs="Arial" w:eastAsia="Arial" w:hAnsi="Arial"/>
                <w:sz w:val="14"/>
                <w:szCs w:val="14"/>
                <w:b w:val="1"/>
                <w:bCs w:val="1"/>
                <w:color w:val="auto"/>
                <w:w w:val="95"/>
              </w:rPr>
              <w:t>Three Months Ended</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40" w:type="dxa"/>
            <w:vAlign w:val="bottom"/>
            <w:gridSpan w:val="5"/>
          </w:tcPr>
          <w:p>
            <w:pPr>
              <w:jc w:val="center"/>
              <w:ind w:left="655"/>
              <w:spacing w:after="0"/>
              <w:rPr>
                <w:sz w:val="20"/>
                <w:szCs w:val="20"/>
                <w:color w:val="auto"/>
              </w:rPr>
            </w:pPr>
            <w:r>
              <w:rPr>
                <w:rFonts w:ascii="Arial" w:cs="Arial" w:eastAsia="Arial" w:hAnsi="Arial"/>
                <w:sz w:val="14"/>
                <w:szCs w:val="14"/>
                <w:b w:val="1"/>
                <w:bCs w:val="1"/>
                <w:color w:val="auto"/>
                <w:w w:val="93"/>
              </w:rPr>
              <w:t>Six Months Ended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5"/>
        </w:trPr>
        <w:tc>
          <w:tcPr>
            <w:tcW w:w="3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r>
      <w:tr>
        <w:trPr>
          <w:trHeight w:val="223"/>
        </w:trPr>
        <w:tc>
          <w:tcPr>
            <w:tcW w:w="39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center"/>
              <w:ind w:right="254"/>
              <w:spacing w:after="0"/>
              <w:rPr>
                <w:sz w:val="20"/>
                <w:szCs w:val="20"/>
                <w:color w:val="auto"/>
              </w:rPr>
            </w:pPr>
            <w:r>
              <w:rPr>
                <w:rFonts w:ascii="Arial" w:cs="Arial" w:eastAsia="Arial" w:hAnsi="Arial"/>
                <w:sz w:val="14"/>
                <w:szCs w:val="14"/>
                <w:b w:val="1"/>
                <w:bCs w:val="1"/>
                <w:color w:val="auto"/>
                <w:w w:val="95"/>
              </w:rPr>
              <w:t>2017</w:t>
            </w:r>
            <w:r>
              <w:rPr>
                <w:rFonts w:ascii="Arial" w:cs="Arial" w:eastAsia="Arial" w:hAnsi="Arial"/>
                <w:sz w:val="12"/>
                <w:szCs w:val="12"/>
                <w:b w:val="1"/>
                <w:bCs w:val="1"/>
                <w:color w:val="auto"/>
                <w:w w:val="95"/>
              </w:rPr>
              <w:t>(1)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center"/>
              <w:ind w:right="273"/>
              <w:spacing w:after="0"/>
              <w:rPr>
                <w:sz w:val="20"/>
                <w:szCs w:val="20"/>
                <w:color w:val="auto"/>
              </w:rPr>
            </w:pPr>
            <w:r>
              <w:rPr>
                <w:rFonts w:ascii="Arial" w:cs="Arial" w:eastAsia="Arial" w:hAnsi="Arial"/>
                <w:sz w:val="14"/>
                <w:szCs w:val="14"/>
                <w:b w:val="1"/>
                <w:bCs w:val="1"/>
                <w:color w:val="auto"/>
                <w:w w:val="95"/>
              </w:rPr>
              <w:t>2017</w:t>
            </w:r>
            <w:r>
              <w:rPr>
                <w:rFonts w:ascii="Arial" w:cs="Arial" w:eastAsia="Arial" w:hAnsi="Arial"/>
                <w:sz w:val="12"/>
                <w:szCs w:val="12"/>
                <w:b w:val="1"/>
                <w:bCs w:val="1"/>
                <w:color w:val="auto"/>
                <w:w w:val="95"/>
              </w:rPr>
              <w:t>(1)</w:t>
            </w:r>
          </w:p>
        </w:tc>
        <w:tc>
          <w:tcPr>
            <w:tcW w:w="180" w:type="dxa"/>
            <w:vAlign w:val="bottom"/>
          </w:tcPr>
          <w:p>
            <w:pPr>
              <w:spacing w:after="0"/>
              <w:rPr>
                <w:sz w:val="19"/>
                <w:szCs w:val="19"/>
                <w:color w:val="auto"/>
              </w:rPr>
            </w:pP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Weighted average grant date fair value (per share)</w:t>
            </w:r>
          </w:p>
        </w:tc>
        <w:tc>
          <w:tcPr>
            <w:tcW w:w="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gridSpan w:val="2"/>
            <w:shd w:val="clear" w:color="auto" w:fill="CFF0FC"/>
          </w:tcPr>
          <w:p>
            <w:pPr>
              <w:jc w:val="center"/>
              <w:ind w:right="488"/>
              <w:spacing w:after="0"/>
              <w:rPr>
                <w:sz w:val="20"/>
                <w:szCs w:val="20"/>
                <w:color w:val="auto"/>
              </w:rPr>
            </w:pPr>
            <w:r>
              <w:rPr>
                <w:rFonts w:ascii="Arial" w:cs="Arial" w:eastAsia="Arial" w:hAnsi="Arial"/>
                <w:sz w:val="18"/>
                <w:szCs w:val="18"/>
                <w:color w:val="auto"/>
              </w:rPr>
              <w:t>N/A</w:t>
            </w:r>
          </w:p>
        </w:tc>
        <w:tc>
          <w:tcPr>
            <w:tcW w:w="160" w:type="dxa"/>
            <w:vAlign w:val="bottom"/>
            <w:tcBorders>
              <w:top w:val="single" w:sz="8" w:color="CFF0FC"/>
            </w:tcBorders>
            <w:gridSpan w:val="2"/>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3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gridSpan w:val="2"/>
            <w:shd w:val="clear" w:color="auto" w:fill="CFF0FC"/>
          </w:tcPr>
          <w:p>
            <w:pPr>
              <w:jc w:val="center"/>
              <w:ind w:right="540"/>
              <w:spacing w:after="0"/>
              <w:rPr>
                <w:sz w:val="20"/>
                <w:szCs w:val="20"/>
                <w:color w:val="auto"/>
              </w:rPr>
            </w:pPr>
            <w:r>
              <w:rPr>
                <w:rFonts w:ascii="Arial" w:cs="Arial" w:eastAsia="Arial" w:hAnsi="Arial"/>
                <w:sz w:val="18"/>
                <w:szCs w:val="18"/>
                <w:color w:val="auto"/>
              </w:rPr>
              <w:t>N/A</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center"/>
              <w:ind w:right="488"/>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8"/>
                <w:szCs w:val="18"/>
                <w:color w:val="auto"/>
              </w:rPr>
              <w:t>N/A</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center"/>
              <w:ind w:right="488"/>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0.0%</w:t>
            </w: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center"/>
              <w:ind w:right="540"/>
              <w:spacing w:after="0"/>
              <w:rPr>
                <w:sz w:val="20"/>
                <w:szCs w:val="20"/>
                <w:color w:val="auto"/>
              </w:rPr>
            </w:pPr>
            <w:r>
              <w:rPr>
                <w:rFonts w:ascii="Arial" w:cs="Arial" w:eastAsia="Arial" w:hAnsi="Arial"/>
                <w:sz w:val="18"/>
                <w:szCs w:val="18"/>
                <w:color w:val="auto"/>
              </w:rPr>
              <w:t>N/A</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Expected volatility</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center"/>
              <w:ind w:right="488"/>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77.0%</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8"/>
                <w:szCs w:val="18"/>
                <w:color w:val="auto"/>
              </w:rPr>
              <w:t>N/A</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center"/>
              <w:ind w:right="488"/>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center"/>
              <w:ind w:right="54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jc w:val="right"/>
        <w:ind w:left="580" w:right="3620" w:hanging="572"/>
        <w:spacing w:after="0" w:line="651" w:lineRule="auto"/>
        <w:tabs>
          <w:tab w:leader="none" w:pos="388"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There were no grants made pursuant to the ESPP during the three and six months ended June 30, 2017. The following table summarizes the allocation of stock-based compensation expense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6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40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0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41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Selling, general &amp; administrative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2,100</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6,462</w:t>
            </w:r>
          </w:p>
        </w:tc>
        <w:tc>
          <w:tcPr>
            <w:tcW w:w="10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FF0FC"/>
          </w:tcPr>
          <w:p>
            <w:pPr>
              <w:spacing w:after="0"/>
              <w:rPr>
                <w:sz w:val="19"/>
                <w:szCs w:val="19"/>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w:t>
            </w:r>
          </w:p>
        </w:tc>
        <w:tc>
          <w:tcPr>
            <w:tcW w:w="28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5,146</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8,110</w:t>
            </w:r>
          </w:p>
        </w:tc>
        <w:tc>
          <w:tcPr>
            <w:tcW w:w="10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571"/>
        <w:spacing w:after="0" w:line="277" w:lineRule="auto"/>
        <w:rPr>
          <w:sz w:val="20"/>
          <w:szCs w:val="20"/>
          <w:color w:val="auto"/>
        </w:rPr>
      </w:pPr>
      <w:r>
        <w:rPr>
          <w:rFonts w:ascii="Arial" w:cs="Arial" w:eastAsia="Arial" w:hAnsi="Arial"/>
          <w:sz w:val="18"/>
          <w:szCs w:val="18"/>
          <w:color w:val="auto"/>
        </w:rPr>
        <w:t>The total stock-based compensation expense capitalized as part of the cost of inventory was $0.2 million and $0.2 million as of June 30, 2018 and December 31,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right="180" w:firstLine="571"/>
        <w:spacing w:after="0" w:line="271" w:lineRule="auto"/>
        <w:rPr>
          <w:sz w:val="20"/>
          <w:szCs w:val="20"/>
          <w:color w:val="auto"/>
        </w:rPr>
      </w:pPr>
      <w:r>
        <w:rPr>
          <w:rFonts w:ascii="Arial" w:cs="Arial" w:eastAsia="Arial" w:hAnsi="Arial"/>
          <w:sz w:val="17"/>
          <w:szCs w:val="17"/>
          <w:color w:val="auto"/>
        </w:rPr>
        <w:t>From time to time, the Company may be subject to legal proceedings, disputes and other claims arising in the ordinary course of business, including actions with respect to intellectual property, employment, product liability and contractual matters. In connection with these matters, the Company regularly assesses the probability and range of possible loss based on the developments in these matters. A liability is recorded in the financial statements if it is determined that it is probable that a material loss has been incurred, and that the amount or range of the loss can be reasonably estimated. Because of uncertainties related to any pending actions, the Company is currently unable to predict their ultimate outcome, and, with respect to any legal proceeding or claim where no liability has been accrued, to make a meaningful estimate of the reasonably possible loss or range of loss that could result from an adverse outcome. As of June 30, 2018 and December 31, 2017, there were no legal proceedings, disputes or other claims for which a material loss was considered probable or for which the amount or range of loss was reasonably estimable.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20" w:firstLine="571"/>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our financial statements and related notes in Part I, Item 1 of this Quarterly Report on Form 10-Q for the quarter ended June 30, 2018, or this Quarterly Report.</w:t>
      </w:r>
    </w:p>
    <w:p>
      <w:pPr>
        <w:spacing w:after="0" w:line="170"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i w:val="1"/>
          <w:iCs w:val="1"/>
          <w:color w:val="auto"/>
        </w:rPr>
        <w:t>This Quarterly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or assumed financial condition, results of operations, liquidity, business forecasts and plans, research and product development plans, manufacturing plans, strategic plans and objectives, capital needs and financing plans, product launches, regulatory approvals and competitive environment. We caution you that the foregoing list may not include all of the forward-looking statements made in this Quarterly Report.</w:t>
      </w:r>
    </w:p>
    <w:p>
      <w:pPr>
        <w:spacing w:after="0" w:line="167"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in the section entitled “Risk Factors” in Part II, Item 1A, and elsewhere in this Quarterly Report. You should read this Quarterly Report with the understanding that our actual future financial condition and results may be materially different from and worse than what we expect.</w:t>
      </w:r>
    </w:p>
    <w:p>
      <w:pPr>
        <w:spacing w:after="0" w:line="189" w:lineRule="exact"/>
        <w:rPr>
          <w:sz w:val="20"/>
          <w:szCs w:val="20"/>
          <w:color w:val="auto"/>
        </w:rPr>
      </w:pPr>
    </w:p>
    <w:p>
      <w:pPr>
        <w:ind w:right="400" w:firstLine="571"/>
        <w:spacing w:after="0" w:line="286" w:lineRule="auto"/>
        <w:rPr>
          <w:sz w:val="20"/>
          <w:szCs w:val="20"/>
          <w:color w:val="auto"/>
        </w:rPr>
      </w:pPr>
      <w:r>
        <w:rPr>
          <w:rFonts w:ascii="Arial" w:cs="Arial" w:eastAsia="Arial" w:hAnsi="Arial"/>
          <w:sz w:val="17"/>
          <w:szCs w:val="17"/>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66" w:lineRule="exact"/>
        <w:rPr>
          <w:sz w:val="20"/>
          <w:szCs w:val="20"/>
          <w:color w:val="auto"/>
        </w:rPr>
      </w:pPr>
    </w:p>
    <w:p>
      <w:pPr>
        <w:ind w:right="700" w:firstLine="571"/>
        <w:spacing w:after="0" w:line="342" w:lineRule="auto"/>
        <w:rPr>
          <w:sz w:val="20"/>
          <w:szCs w:val="20"/>
          <w:color w:val="auto"/>
        </w:rPr>
      </w:pPr>
      <w:r>
        <w:rPr>
          <w:rFonts w:ascii="Arial" w:cs="Arial" w:eastAsia="Arial" w:hAnsi="Arial"/>
          <w:sz w:val="16"/>
          <w:szCs w:val="16"/>
          <w:i w:val="1"/>
          <w:iCs w:val="1"/>
          <w:color w:val="auto"/>
        </w:rPr>
        <w:t>Forward-looking statements speak only as of the date they were made, and, except to the extent required by law or the rules of NASDAQ, we undertake no obligation to update or review any forward-looking statement because of new information, future events or other factors.</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We qualify all of our forward-looking statements by these cautionary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are a medical device company with an innovative approach to the design, development and commercialization of products for people with insulin-dependent diabetes. We believe our competitive advantage is rooted in our unique consumer-focused approach, and the incorporation of modern and innovative technology into our product offerings. Our manufacturing and sales activities primarily focus on our flagship product, t:slim X2, which is based on our proprietary technology platform. The simple-to-use t:slim X2 is the smallest durable insulin pump available, and the only pump currently available in the United States that is capable of remote feature updates, which positions us well to address the evolving needs and preferences of differentiated segments of the insulin-dependent diabetes market. By delivering innovative hardware and software solutions, as well as best-in-class customer support, we aim to improve and simplify the lives of people with diabetes and their healthcare providers. For the past five consecutive years, the Company has been ranked #1 by insulin pump users in the United States for customer support in an independent survey by dQ&amp;A, a leading diabetes research firm.</w:t>
      </w:r>
    </w:p>
    <w:p>
      <w:pPr>
        <w:spacing w:after="0" w:line="166"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Since the launch of our first product in August 2012 through June 2018, we have shipped nearly 78,000 pumps to customers in the United States, of which over 66,000 pumps have been shipped within the four years ended June 30, 2018. We plan to begin commercialization of t:slim X2 in select geographies outside the United States, including Canada, during the second half of 2018.</w:t>
      </w:r>
    </w:p>
    <w:p>
      <w:pPr>
        <w:spacing w:after="0" w:line="181"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We began commercial sales of our first insulin pump, t:slim, in August 2012. During 2015, we commenced commercial sales of two additional insulin pumps: t:flex in May 2015 and t:slim G4 in September 2015. In October 2016, we commenced commercial sales of t:slim X2 and discontinued new sales of t:slim. In September 2017, we commenced commercial sales of t:slim X2 integrated with the Dexcom G5 Mobile CGM system and discontinued new sales of t:slim G4. Because the t:slim X2 technology platform has represented nearly 100% of our new pump shipments, we discontinued marketing and sales of new t:flex pumps in the third quarter of 2018. We will continue to provide ongoing service and support to existing t:slim, t:slim G4 and t:flex customers.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6" w:name="page17"/>
    <w:bookmarkEnd w:id="16"/>
    <w:p>
      <w:pPr>
        <w:ind w:right="120" w:firstLine="518"/>
        <w:spacing w:after="0" w:line="255" w:lineRule="auto"/>
        <w:rPr>
          <w:sz w:val="20"/>
          <w:szCs w:val="20"/>
          <w:color w:val="auto"/>
        </w:rPr>
      </w:pPr>
      <w:r>
        <w:rPr>
          <w:rFonts w:ascii="Arial" w:cs="Arial" w:eastAsia="Arial" w:hAnsi="Arial"/>
          <w:sz w:val="18"/>
          <w:szCs w:val="18"/>
          <w:color w:val="auto"/>
        </w:rPr>
        <w:t>In June 2018, we received approval by the United States Food and Drug Administration (FDA) for t:slim X2 with Basal-IQ, our first generation Automated Insulin Delivery (AID) algorithm. We plan to commence commercial sales of this product in the third quarter of 2018. This system uses Dexcom G6® sensor values to adjust the rate of insulin delivery to help minimize the frequency and/or duration of hypoglycemic events. Recently, the FDA also created a new interoperability designation for integrated continuous glucose monitoring (iCGM) devices. Our t:slim X2 with Basal-IQ was the first insulin pump to receive approval for iCGM compatibility, which we expect will streamline the regulatory pathway for integration with future iCGM products approved by the FDA.</w:t>
      </w:r>
    </w:p>
    <w:p>
      <w:pPr>
        <w:spacing w:after="0" w:line="193" w:lineRule="exact"/>
        <w:rPr>
          <w:sz w:val="20"/>
          <w:szCs w:val="20"/>
          <w:color w:val="auto"/>
        </w:rPr>
      </w:pPr>
    </w:p>
    <w:p>
      <w:pPr>
        <w:jc w:val="both"/>
        <w:ind w:right="260" w:firstLine="571"/>
        <w:spacing w:after="0" w:line="302" w:lineRule="auto"/>
        <w:rPr>
          <w:sz w:val="20"/>
          <w:szCs w:val="20"/>
          <w:color w:val="auto"/>
        </w:rPr>
      </w:pPr>
      <w:r>
        <w:rPr>
          <w:rFonts w:ascii="Arial" w:cs="Arial" w:eastAsia="Arial" w:hAnsi="Arial"/>
          <w:sz w:val="16"/>
          <w:szCs w:val="16"/>
          <w:color w:val="auto"/>
        </w:rPr>
        <w:t>Our insulin pump products are generally considered durable medical equipment, and have an expected lifespan of at least four years. In addition to selling insulin pumps, we sell disposable products that are used together with our pumps and replaced every few days, including cartridges for storing and delivering insulin, and infusion sets that connect the insulin pump to a user’s body. In September 2017, we commenced commercial sales of cartridge and infusion set products using t:lock, which replaces the standard Luer-lok connector that historically joined an infusion set to our cartridge.</w:t>
      </w:r>
    </w:p>
    <w:p>
      <w:pPr>
        <w:spacing w:after="0" w:line="154" w:lineRule="exact"/>
        <w:rPr>
          <w:sz w:val="20"/>
          <w:szCs w:val="20"/>
          <w:color w:val="auto"/>
        </w:rPr>
      </w:pPr>
    </w:p>
    <w:p>
      <w:pPr>
        <w:ind w:right="60" w:firstLine="571"/>
        <w:spacing w:after="0" w:line="270" w:lineRule="auto"/>
        <w:rPr>
          <w:sz w:val="20"/>
          <w:szCs w:val="20"/>
          <w:color w:val="auto"/>
        </w:rPr>
      </w:pPr>
      <w:r>
        <w:rPr>
          <w:rFonts w:ascii="Arial" w:cs="Arial" w:eastAsia="Arial" w:hAnsi="Arial"/>
          <w:sz w:val="17"/>
          <w:szCs w:val="17"/>
          <w:color w:val="auto"/>
        </w:rPr>
        <w:t>Our insulin pumps are compatible with the Tandem Device Updater, a revolutionary new tool that allows pump users to update their pumps’ software quickly and easily from a personal computer. The Tandem Device Updater provides our customers access to new and enhanced features and functionality faster than the industry has been able to in the past. The first use of our Tandem Device Updater was for deployment of the latest t:slim software to in-warranty t:slim pumps purchased before April 2015. In September 2017, we set a new standard of care in our industry by offering all existing t:slim X2 customers integration with the Dexcom G5 Mobile CGM system through a software update using the Tandem Device Updater. In October 2017, we announced that, subject to FDA approval, we intend to make any new features approved by the FDA in 2018 available to all in-warranty users of t:slim X2 at no cost through the Tandem Device Updater. This includes software featuring our new Basal-IQ technology, which was approved by the FDA in June 2018. In the future, this tool has the potential to enable users to add other new features and functionality to their pumps independent of the typical four-year insurance pump reimbursement cycle.</w:t>
      </w:r>
    </w:p>
    <w:p>
      <w:pPr>
        <w:spacing w:after="0" w:line="182" w:lineRule="exact"/>
        <w:rPr>
          <w:sz w:val="20"/>
          <w:szCs w:val="20"/>
          <w:color w:val="auto"/>
        </w:rPr>
      </w:pPr>
    </w:p>
    <w:p>
      <w:pPr>
        <w:ind w:right="80" w:firstLine="571"/>
        <w:spacing w:after="0" w:line="257" w:lineRule="auto"/>
        <w:rPr>
          <w:sz w:val="20"/>
          <w:szCs w:val="20"/>
          <w:color w:val="auto"/>
        </w:rPr>
      </w:pPr>
      <w:r>
        <w:rPr>
          <w:rFonts w:ascii="Arial" w:cs="Arial" w:eastAsia="Arial" w:hAnsi="Arial"/>
          <w:sz w:val="18"/>
          <w:szCs w:val="18"/>
          <w:color w:val="auto"/>
        </w:rPr>
        <w:t>Our innovative approach to product design and development is consumer-focused and based on our extensive market research, as we believe the user is the primary decision maker when purchasing an insulin pump. Our market research consists of interviews, focus groups and online surveys to understand what people with diabetes, their caregivers and healthcare providers are seeking in order to improve diabetes therapy management. We also apply the science of human factors to our design and development process, which seeks to optimize our devices, thereby allowing users to successfully operate them in their intended environment.</w:t>
      </w:r>
    </w:p>
    <w:p>
      <w:pPr>
        <w:spacing w:after="0" w:line="188"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We developed our products to provide the specific features that people with insulin-dependent diabetes seek in a next-generation insulin pump. Our proprietary technology platform allows us to design the slimmest and smallest durable insulin pumps on the market, without sacrificing insulin capacity. Our platform features our patented Micro-Delivery technology, and a miniaturized pumping mechanism that draws insulin from a flexible bag within the pump’s cartridge, rather than relying on a syringe and plunger mechanism. It also features an easy-to-navigate software architecture, and a vivid color touchscreen. In addition, the t:slim X2 features an advanced Bluetooth radio capable of communicating with multiple compatible devices, such as a CGM sensor, blood glucose meter or mobile device applications. Our platform has a micro-USB connection that supports a rechargeable battery and software updates through the Tandem Device Updater, as well as uploads to t:connect Diabetes Management Application, or t:connect. t:connect is our custom cloud-based data management application that provides customers and healthcare providers a fast, easy and visual way to display therapy management data from the pump and supported blood glucose meters. In April 2017, we launched the t:connect HCP Portal, which is designed to streamline healthcare providers’ use of the original t:connect Application and improve office efficiency. Currently, t:connect and the Tandem Device Updater are only available in the United States.</w:t>
      </w:r>
    </w:p>
    <w:p>
      <w:pPr>
        <w:spacing w:after="0" w:line="16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have rapidly increased sales since our commercial launch by expanding our sales, clinical and marketing organization, by developing, commercializing and marketing multiple differentiated products that utilize our proprietary technology platform and consumer-focused approach, and by providing strong customer support. In our research, approximately 86% of healthcare providers surveyed believe that providing great customer support is the most important attribute in an insulin pump manufacturer. We believe that by demonstrating our product benefits and the shortcomings of existing insulin therapies, more people will choose our insulin pumps for their therapy needs, allowing us to further penetrate and expand the market. We also believe we are positioned well to address consumers’ needs and preferences with our current products and products under development and by offering customers access to our future innovations through the Tandem Device Updater, as they are approved by the FDA. As we continue to develop differentiated products based on our proprietary technology platform, we intend to leverage a single sales, marketing and clinical organization, a shared manufacturing and supply chain infrastructure, and the expertise of our customer support services.</w:t>
      </w:r>
    </w:p>
    <w:p>
      <w:pPr>
        <w:spacing w:after="0" w:line="182"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In the second half of 2018, we intend to commence commercial sales of our t:slim X2 with G5 integration in select international geographies. We expect that most of our commercial sales outside the United States will be to independent distributors in select geographies who will perform all sales, customer support and training in their respective territories.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Products Under Development</w:t>
      </w:r>
    </w:p>
    <w:p>
      <w:pPr>
        <w:spacing w:after="0" w:line="225" w:lineRule="exact"/>
        <w:rPr>
          <w:sz w:val="20"/>
          <w:szCs w:val="20"/>
          <w:color w:val="auto"/>
        </w:rPr>
      </w:pPr>
    </w:p>
    <w:p>
      <w:pPr>
        <w:jc w:val="both"/>
        <w:ind w:right="180" w:firstLine="588"/>
        <w:spacing w:after="0" w:line="259" w:lineRule="auto"/>
        <w:rPr>
          <w:sz w:val="20"/>
          <w:szCs w:val="20"/>
          <w:color w:val="auto"/>
        </w:rPr>
      </w:pPr>
      <w:r>
        <w:rPr>
          <w:rFonts w:ascii="Arial" w:cs="Arial" w:eastAsia="Arial" w:hAnsi="Arial"/>
          <w:sz w:val="18"/>
          <w:szCs w:val="18"/>
          <w:color w:val="auto"/>
        </w:rPr>
        <w:t>Our products under development support our strategy of focusing on both consumer and clinical needs, and include AID systems, a next-generation hardware platform, and connected (mobile) health offerings. We intend to leverage our consumer-focused approach and proprietary technology platform to continue to develop products that have the features and functionalities that will allow us to target people in differentiated segments of the insulin-dependent diabetes market:</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t:slim X2 with Control IQ </w:t>
      </w:r>
      <w:r>
        <w:rPr>
          <w:rFonts w:ascii="Arial" w:cs="Arial" w:eastAsia="Arial" w:hAnsi="Arial"/>
          <w:sz w:val="17"/>
          <w:szCs w:val="17"/>
          <w:color w:val="auto"/>
        </w:rPr>
        <w:t>– Our second generation AID system is expected to integrate the t:slim X2 pump with the treat-to-range technology that we</w:t>
      </w:r>
      <w:r>
        <w:rPr>
          <w:rFonts w:ascii="Arial" w:cs="Arial" w:eastAsia="Arial" w:hAnsi="Arial"/>
          <w:sz w:val="17"/>
          <w:szCs w:val="17"/>
          <w:i w:val="1"/>
          <w:iCs w:val="1"/>
          <w:color w:val="auto"/>
        </w:rPr>
        <w:t xml:space="preserve"> </w:t>
      </w:r>
      <w:r>
        <w:rPr>
          <w:rFonts w:ascii="Arial" w:cs="Arial" w:eastAsia="Arial" w:hAnsi="Arial"/>
          <w:sz w:val="17"/>
          <w:szCs w:val="17"/>
          <w:color w:val="auto"/>
        </w:rPr>
        <w:t>licensed from TypeZero Technologies LLC, as well as Dexcom’s G6 sensor. With TypeZero’s technology, our product is intended to both increase and decrease basal insulin based on a user’s predicted blood glucose levels, as well as deliver automated correction boluses. We are working with Dexcom and TypeZero on the integration of our technologies into the U.S. portion of the Clinical Acceptance of the Artificial Pancreas (DCLP3) portion of the International Diabetes Closed Loop (IDCL) Trial, for which enrollment began in June 2018. This trial will utilize a t:slim X2 integrated with TypeZero’s inControl AID algorithms, which is designed to automatically adjust a person’s insulin based on information from a Dexcom G6 sensor. We intend to use the results from this trial in a PMA submission with the FDA, the first module of which we intend to file in September 2018. We have also conducted and anticipate continuing to conduct targeted pediatric studies for a future regulatory submission. Subject to both the timely completion of the DCLP3 Trial with a satisfactory outcome and future FDA approval, our goal is to launch this product in the summer of 2019.</w:t>
      </w:r>
    </w:p>
    <w:p>
      <w:pPr>
        <w:spacing w:after="0" w:line="175" w:lineRule="exact"/>
        <w:rPr>
          <w:sz w:val="20"/>
          <w:szCs w:val="20"/>
          <w:color w:val="auto"/>
        </w:rPr>
      </w:pPr>
    </w:p>
    <w:p>
      <w:pPr>
        <w:ind w:firstLine="851"/>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t:slim X2 with Control IQ</w:t>
      </w:r>
      <w:r>
        <w:rPr>
          <w:rFonts w:ascii="Arial" w:cs="Arial" w:eastAsia="Arial" w:hAnsi="Arial"/>
          <w:sz w:val="21"/>
          <w:szCs w:val="21"/>
          <w:color w:val="auto"/>
        </w:rPr>
        <w:t xml:space="preserve"> – Our second generation AID system is expected to integrate the t:slim X2 pump with the treat-to-range technology that we licensed from TypeZero Technologies LLC, as well as Dexcom’s G6 sensor. With TypeZero’s technology, our product is intended to both increase and decrease basal insulin based on a user’s predicted blood glucose levels, as well as deliver automated correction boluses. We are working with Dexcom and TypeZero on the integration of our technologies into the U.S. portion of the Clinical Acceptance of the Artificial Pancreas (DCLP3) portion of the International Diabetes Closed Loop (IDCL) Trial, for which enrollment began in June 2018. This trial will utilize a t:slim X2 integrated with TypeZero’s inControl AID algorithms, which is designed to automatically adjust a person’s insulin based on information from a Dexcom G6 sensor. We intend to use the results from this trial in a PMA submission with the FDA, the first module of which we intend to file in September 2018. We have also conducted and anticipate continuing to conduct targeted pediatric studies for a future regulatory submission. Subject to both the timely completion of the DCLP3 Trial with a satisfactory outcome and future FDA approval, our goal is to launch this product in the summer of 2019.</w:t>
      </w:r>
    </w:p>
    <w:p>
      <w:pPr>
        <w:spacing w:after="0" w:line="200" w:lineRule="exact"/>
        <w:rPr>
          <w:sz w:val="20"/>
          <w:szCs w:val="20"/>
          <w:color w:val="auto"/>
        </w:rPr>
      </w:pPr>
    </w:p>
    <w:p>
      <w:pPr>
        <w:spacing w:after="0" w:line="213" w:lineRule="exact"/>
        <w:rPr>
          <w:sz w:val="20"/>
          <w:szCs w:val="20"/>
          <w:color w:val="auto"/>
        </w:rPr>
      </w:pPr>
    </w:p>
    <w:p>
      <w:pPr>
        <w:ind w:left="1340" w:right="60" w:hanging="387"/>
        <w:spacing w:after="0" w:line="264" w:lineRule="auto"/>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t:sport Insulin Delivery System </w:t>
      </w:r>
      <w:r>
        <w:rPr>
          <w:rFonts w:ascii="Arial" w:cs="Arial" w:eastAsia="Arial" w:hAnsi="Arial"/>
          <w:sz w:val="18"/>
          <w:szCs w:val="18"/>
          <w:color w:val="auto"/>
        </w:rPr>
        <w:t>– This product is our next generation hardware platform that is expected to be half the size of t:slim and is</w:t>
      </w:r>
      <w:r>
        <w:rPr>
          <w:rFonts w:ascii="Arial" w:cs="Arial" w:eastAsia="Arial" w:hAnsi="Arial"/>
          <w:sz w:val="18"/>
          <w:szCs w:val="18"/>
          <w:i w:val="1"/>
          <w:iCs w:val="1"/>
          <w:color w:val="auto"/>
        </w:rPr>
        <w:t xml:space="preserve"> </w:t>
      </w:r>
      <w:r>
        <w:rPr>
          <w:rFonts w:ascii="Arial" w:cs="Arial" w:eastAsia="Arial" w:hAnsi="Arial"/>
          <w:sz w:val="18"/>
          <w:szCs w:val="18"/>
          <w:color w:val="auto"/>
        </w:rPr>
        <w:t>being designed for people who seek even greater discretion and flexibility with the use of their insulin pump. Subject to FDA approval, our goal is to launch this product in 2020 or 2021.</w:t>
      </w:r>
    </w:p>
    <w:p>
      <w:pPr>
        <w:spacing w:after="0" w:line="181" w:lineRule="exact"/>
        <w:rPr>
          <w:rFonts w:ascii="Arial" w:cs="Arial" w:eastAsia="Arial" w:hAnsi="Arial"/>
          <w:sz w:val="18"/>
          <w:szCs w:val="18"/>
          <w:color w:val="auto"/>
        </w:rPr>
      </w:pPr>
    </w:p>
    <w:p>
      <w:pPr>
        <w:ind w:left="1340" w:right="60" w:hanging="387"/>
        <w:spacing w:after="0" w:line="302" w:lineRule="auto"/>
        <w:tabs>
          <w:tab w:leader="none" w:pos="13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Connected (Mobile) Health Offerings </w:t>
      </w:r>
      <w:r>
        <w:rPr>
          <w:rFonts w:ascii="Arial" w:cs="Arial" w:eastAsia="Arial" w:hAnsi="Arial"/>
          <w:sz w:val="16"/>
          <w:szCs w:val="16"/>
          <w:color w:val="auto"/>
        </w:rPr>
        <w:t>- We are currently developing a mobile application that is being designed to utilize the capability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Bluetooth radio to wirelessly upload pump data to t:connect, receive notification of pump alerts and alarms, integrate other health-related information from third party sources, and support future pump-control capabilities for our products under development. Subject to FDA approval, we intend to launch the first generation of our mobile application in the second half of 2018, with a subset of these features.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Pump Shipments</w:t>
      </w:r>
    </w:p>
    <w:p>
      <w:pPr>
        <w:spacing w:after="0" w:line="225"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Since inception, we have derived nearly all of our sales from the shipment of insulin pumps and associated supplies in the United States. We consider the number of units shipped per quarter to be an important metric for managing our business. We have shipped nearly 78,000 insulin pumps since our initial launch in August 2012, of which over 66,000 pumps were shipped within the four year period ended June 30, 2018. Pump shipments are broken down by fiscal quarter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54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Pump Units Shipped for Each of the Three Months Ended in Respective Years</w:t>
            </w:r>
            <w:r>
              <w:rPr>
                <w:rFonts w:ascii="Arial" w:cs="Arial" w:eastAsia="Arial" w:hAnsi="Arial"/>
                <w:sz w:val="12"/>
                <w:szCs w:val="12"/>
                <w:b w:val="1"/>
                <w:bCs w:val="1"/>
                <w:color w:val="auto"/>
                <w:w w:val="92"/>
              </w:rPr>
              <w:t>(1)</w:t>
            </w:r>
          </w:p>
        </w:tc>
        <w:tc>
          <w:tcPr>
            <w:tcW w:w="1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308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1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2"/>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7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jc w:val="right"/>
              <w:ind w:right="2630"/>
              <w:spacing w:after="0"/>
              <w:rPr>
                <w:sz w:val="20"/>
                <w:szCs w:val="20"/>
                <w:color w:val="auto"/>
              </w:rPr>
            </w:pPr>
            <w:r>
              <w:rPr>
                <w:rFonts w:ascii="Arial" w:cs="Arial" w:eastAsia="Arial" w:hAnsi="Arial"/>
                <w:sz w:val="18"/>
                <w:szCs w:val="18"/>
                <w:color w:val="auto"/>
                <w:w w:val="84"/>
              </w:rPr>
              <w:t>2012</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3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jc w:val="right"/>
              <w:ind w:right="2630"/>
              <w:spacing w:after="0"/>
              <w:rPr>
                <w:sz w:val="20"/>
                <w:szCs w:val="20"/>
                <w:color w:val="auto"/>
              </w:rPr>
            </w:pPr>
            <w:r>
              <w:rPr>
                <w:rFonts w:ascii="Arial" w:cs="Arial" w:eastAsia="Arial" w:hAnsi="Arial"/>
                <w:sz w:val="18"/>
                <w:szCs w:val="18"/>
                <w:color w:val="auto"/>
                <w:w w:val="84"/>
              </w:rPr>
              <w:t>2013</w:t>
            </w:r>
          </w:p>
        </w:tc>
        <w:tc>
          <w:tcPr>
            <w:tcW w:w="1400" w:type="dxa"/>
            <w:vAlign w:val="bottom"/>
          </w:tcPr>
          <w:p>
            <w:pPr>
              <w:jc w:val="right"/>
              <w:spacing w:after="0"/>
              <w:rPr>
                <w:sz w:val="20"/>
                <w:szCs w:val="20"/>
                <w:color w:val="auto"/>
              </w:rPr>
            </w:pPr>
            <w:r>
              <w:rPr>
                <w:rFonts w:ascii="Arial" w:cs="Arial" w:eastAsia="Arial" w:hAnsi="Arial"/>
                <w:sz w:val="18"/>
                <w:szCs w:val="18"/>
                <w:color w:val="auto"/>
              </w:rPr>
              <w:t>852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1,363</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2,406</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6,472</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jc w:val="right"/>
              <w:ind w:right="2630"/>
              <w:spacing w:after="0"/>
              <w:rPr>
                <w:sz w:val="20"/>
                <w:szCs w:val="20"/>
                <w:color w:val="auto"/>
              </w:rPr>
            </w:pPr>
            <w:r>
              <w:rPr>
                <w:rFonts w:ascii="Arial" w:cs="Arial" w:eastAsia="Arial" w:hAnsi="Arial"/>
                <w:sz w:val="18"/>
                <w:szCs w:val="18"/>
                <w:color w:val="auto"/>
                <w:w w:val="84"/>
              </w:rPr>
              <w:t>2014</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10,822</w:t>
            </w:r>
          </w:p>
        </w:tc>
        <w:tc>
          <w:tcPr>
            <w:tcW w:w="120" w:type="dxa"/>
            <w:vAlign w:val="bottom"/>
            <w:shd w:val="clear" w:color="auto" w:fill="CFF0FC"/>
          </w:tcPr>
          <w:p>
            <w:pPr>
              <w:spacing w:after="0"/>
              <w:rPr>
                <w:sz w:val="19"/>
                <w:szCs w:val="19"/>
                <w:color w:val="auto"/>
              </w:rPr>
            </w:pPr>
          </w:p>
        </w:tc>
      </w:tr>
      <w:tr>
        <w:trPr>
          <w:trHeight w:val="230"/>
        </w:trPr>
        <w:tc>
          <w:tcPr>
            <w:tcW w:w="3080" w:type="dxa"/>
            <w:vAlign w:val="bottom"/>
          </w:tcPr>
          <w:p>
            <w:pPr>
              <w:jc w:val="right"/>
              <w:ind w:right="2630"/>
              <w:spacing w:after="0"/>
              <w:rPr>
                <w:sz w:val="20"/>
                <w:szCs w:val="20"/>
                <w:color w:val="auto"/>
              </w:rPr>
            </w:pPr>
            <w:r>
              <w:rPr>
                <w:rFonts w:ascii="Arial" w:cs="Arial" w:eastAsia="Arial" w:hAnsi="Arial"/>
                <w:sz w:val="18"/>
                <w:szCs w:val="18"/>
                <w:color w:val="auto"/>
                <w:w w:val="84"/>
              </w:rPr>
              <w:t>2015</w:t>
            </w:r>
          </w:p>
        </w:tc>
        <w:tc>
          <w:tcPr>
            <w:tcW w:w="1400" w:type="dxa"/>
            <w:vAlign w:val="bottom"/>
          </w:tcPr>
          <w:p>
            <w:pPr>
              <w:jc w:val="right"/>
              <w:spacing w:after="0"/>
              <w:rPr>
                <w:sz w:val="20"/>
                <w:szCs w:val="20"/>
                <w:color w:val="auto"/>
              </w:rPr>
            </w:pPr>
            <w:r>
              <w:rPr>
                <w:rFonts w:ascii="Arial" w:cs="Arial" w:eastAsia="Arial" w:hAnsi="Arial"/>
                <w:sz w:val="18"/>
                <w:szCs w:val="18"/>
                <w:color w:val="auto"/>
              </w:rPr>
              <w:t>2,487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3,331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3,431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6,234</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15,483</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jc w:val="right"/>
              <w:ind w:right="2630"/>
              <w:spacing w:after="0"/>
              <w:rPr>
                <w:sz w:val="20"/>
                <w:szCs w:val="20"/>
                <w:color w:val="auto"/>
              </w:rPr>
            </w:pPr>
            <w:r>
              <w:rPr>
                <w:rFonts w:ascii="Arial" w:cs="Arial" w:eastAsia="Arial" w:hAnsi="Arial"/>
                <w:sz w:val="18"/>
                <w:szCs w:val="18"/>
                <w:color w:val="auto"/>
                <w:w w:val="84"/>
              </w:rPr>
              <w:t>2016</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4,042</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4,582</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3,896</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4,418</w:t>
            </w: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16,938</w:t>
            </w:r>
          </w:p>
        </w:tc>
        <w:tc>
          <w:tcPr>
            <w:tcW w:w="120" w:type="dxa"/>
            <w:vAlign w:val="bottom"/>
            <w:shd w:val="clear" w:color="auto" w:fill="CFF0FC"/>
          </w:tcPr>
          <w:p>
            <w:pPr>
              <w:spacing w:after="0"/>
              <w:rPr>
                <w:sz w:val="19"/>
                <w:szCs w:val="19"/>
                <w:color w:val="auto"/>
              </w:rPr>
            </w:pPr>
          </w:p>
        </w:tc>
      </w:tr>
      <w:tr>
        <w:trPr>
          <w:trHeight w:val="230"/>
        </w:trPr>
        <w:tc>
          <w:tcPr>
            <w:tcW w:w="3080" w:type="dxa"/>
            <w:vAlign w:val="bottom"/>
          </w:tcPr>
          <w:p>
            <w:pPr>
              <w:jc w:val="right"/>
              <w:ind w:right="2630"/>
              <w:spacing w:after="0"/>
              <w:rPr>
                <w:sz w:val="20"/>
                <w:szCs w:val="20"/>
                <w:color w:val="auto"/>
              </w:rPr>
            </w:pPr>
            <w:r>
              <w:rPr>
                <w:rFonts w:ascii="Arial" w:cs="Arial" w:eastAsia="Arial" w:hAnsi="Arial"/>
                <w:sz w:val="18"/>
                <w:szCs w:val="18"/>
                <w:color w:val="auto"/>
                <w:w w:val="84"/>
              </w:rPr>
              <w:t>2017</w:t>
            </w:r>
          </w:p>
        </w:tc>
        <w:tc>
          <w:tcPr>
            <w:tcW w:w="1400" w:type="dxa"/>
            <w:vAlign w:val="bottom"/>
          </w:tcPr>
          <w:p>
            <w:pPr>
              <w:jc w:val="right"/>
              <w:spacing w:after="0"/>
              <w:rPr>
                <w:sz w:val="20"/>
                <w:szCs w:val="20"/>
                <w:color w:val="auto"/>
              </w:rPr>
            </w:pPr>
            <w:r>
              <w:rPr>
                <w:rFonts w:ascii="Arial" w:cs="Arial" w:eastAsia="Arial" w:hAnsi="Arial"/>
                <w:sz w:val="18"/>
                <w:szCs w:val="18"/>
                <w:color w:val="auto"/>
              </w:rPr>
              <w:t>2,816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3,427</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3,868</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6,950</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17,061</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jc w:val="right"/>
              <w:ind w:right="2630"/>
              <w:spacing w:after="0"/>
              <w:rPr>
                <w:sz w:val="20"/>
                <w:szCs w:val="20"/>
                <w:color w:val="auto"/>
              </w:rPr>
            </w:pPr>
            <w:r>
              <w:rPr>
                <w:rFonts w:ascii="Arial" w:cs="Arial" w:eastAsia="Arial" w:hAnsi="Arial"/>
                <w:sz w:val="18"/>
                <w:szCs w:val="18"/>
                <w:color w:val="auto"/>
                <w:w w:val="84"/>
              </w:rPr>
              <w:t>2018</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4,444</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5,455</w:t>
            </w:r>
          </w:p>
        </w:tc>
        <w:tc>
          <w:tcPr>
            <w:tcW w:w="3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N/A</w:t>
            </w:r>
          </w:p>
        </w:tc>
        <w:tc>
          <w:tcPr>
            <w:tcW w:w="170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N/A</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9,899</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left="760" w:right="260" w:hanging="374"/>
        <w:spacing w:after="0" w:line="264"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table does not reflect returns or exchanges of pump products that occur in the ordinary course of business, nor does it reflect approximately 3,300 trade-ins fulfilled in 2016 and 2017 under the Technology Upgrade Program (discussed below) related to our commercial launch of t:slim X2.</w:t>
      </w:r>
    </w:p>
    <w:p>
      <w:pPr>
        <w:sectPr>
          <w:pgSz w:w="11900" w:h="16838" w:orient="portrait"/>
          <w:cols w:equalWidth="0" w:num="1">
            <w:col w:w="11420"/>
          </w:cols>
          <w:pgMar w:left="240" w:top="125"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Technology Upgrade Program</w:t>
      </w:r>
    </w:p>
    <w:p>
      <w:pPr>
        <w:spacing w:after="0" w:line="225"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Beginning in the third quarter of 2016 through the third quarter of 2017, we offered a Technology Upgrade Program under a variable pricing structure, as a pathway for certain existing customers to obtain the t:slim X2 insulin pump. Due to the high degree of accounting complexity, the program created unpredictable financial results under U.S. GAAP for the duration of the program. The accounting treatment for the program required us to defer up to 100% of sales at the time of pump shipment and recognize them in a subsequent period, either when the upgrade was fulfilled or at the expiration of the program. We recognized the deferred amount of sales and cost of sales at the earlier of when the obligations under the program were satisfied or upon the expiration of the program. If a customer elected to participate in the program, we recognized any upgrade fees that we received and the associated costs at the time of fulfilling the given obligation. The program expired on September 30, 2017 and, therefore, has no impact on our 2018 financial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Financial Results</w:t>
      </w:r>
    </w:p>
    <w:p>
      <w:pPr>
        <w:spacing w:after="0" w:line="225" w:lineRule="exact"/>
        <w:rPr>
          <w:sz w:val="20"/>
          <w:szCs w:val="20"/>
          <w:color w:val="auto"/>
        </w:rPr>
      </w:pPr>
    </w:p>
    <w:p>
      <w:pPr>
        <w:ind w:right="200" w:firstLine="518"/>
        <w:spacing w:after="0" w:line="286" w:lineRule="auto"/>
        <w:rPr>
          <w:sz w:val="20"/>
          <w:szCs w:val="20"/>
          <w:color w:val="auto"/>
        </w:rPr>
      </w:pPr>
      <w:r>
        <w:rPr>
          <w:rFonts w:ascii="Arial" w:cs="Arial" w:eastAsia="Arial" w:hAnsi="Arial"/>
          <w:sz w:val="17"/>
          <w:szCs w:val="17"/>
          <w:color w:val="auto"/>
        </w:rPr>
        <w:t>For the six months ended June 30, 2018 and 2017, our sales were $61.4 million and $40.3 million, respectively. For the six months ended June 30, 2017, this included incremental net sales of $1.5 million as a result of the Technology Upgrade Program. For the six months ended June 30, 2018 and 2017, our net loss was $92.1 million and $45.6 million, respectively. Our accumulated deficit as of June 30, 2018 was $569.5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Impacting Financial Results</w:t>
      </w:r>
    </w:p>
    <w:p>
      <w:pPr>
        <w:spacing w:after="0" w:line="22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Overall, we have experienced considerable sales growth since the commercial launch of our first product in the third quarter of 2012, while incurring operating losses since our inception. Our operating results have historically fluctuated on a quarterly or annual basis, particularly in periods surrounding anticipated regulatory approvals, and the commercial launch of products by us and our competitors.</w:t>
      </w:r>
    </w:p>
    <w:p>
      <w:pPr>
        <w:spacing w:after="0" w:line="18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believe that our financial condition and operating results, as well as the decision-making process of our customers, has been and will continue to be impacted by a number of general trends, including the following:</w:t>
      </w:r>
    </w:p>
    <w:p>
      <w:pPr>
        <w:spacing w:after="0" w:line="170" w:lineRule="exact"/>
        <w:rPr>
          <w:sz w:val="20"/>
          <w:szCs w:val="20"/>
          <w:color w:val="auto"/>
        </w:rPr>
      </w:pPr>
    </w:p>
    <w:p>
      <w:pPr>
        <w:ind w:left="1340" w:right="360" w:hanging="387"/>
        <w:spacing w:after="0" w:line="277"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acceptance of our products and competitive products by people with insulin-dependent diabetes, their caregivers and healthcare providers;</w:t>
      </w:r>
    </w:p>
    <w:p>
      <w:pPr>
        <w:spacing w:after="0" w:line="170" w:lineRule="exact"/>
        <w:rPr>
          <w:rFonts w:ascii="Arial" w:cs="Arial" w:eastAsia="Arial" w:hAnsi="Arial"/>
          <w:sz w:val="18"/>
          <w:szCs w:val="18"/>
          <w:color w:val="auto"/>
        </w:rPr>
      </w:pPr>
    </w:p>
    <w:p>
      <w:pPr>
        <w:ind w:left="1340" w:right="360" w:hanging="387"/>
        <w:spacing w:after="0" w:line="277"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seasonality associated with summer vacations, annual insurance deductibles, and coinsurance requirements associated with the medical insurance plans utilized by our customers and the customers of our distributors;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buying patterns of our distributors and other customers;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the commercialization of new products by us or our competitors;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competitive landscape, including as a result of companies entering or exiting the diabetes therapy market;</w:t>
      </w:r>
    </w:p>
    <w:p>
      <w:pPr>
        <w:spacing w:after="0" w:line="225" w:lineRule="exact"/>
        <w:rPr>
          <w:rFonts w:ascii="Arial" w:cs="Arial" w:eastAsia="Arial" w:hAnsi="Arial"/>
          <w:sz w:val="18"/>
          <w:szCs w:val="18"/>
          <w:color w:val="auto"/>
        </w:rPr>
      </w:pPr>
    </w:p>
    <w:p>
      <w:pPr>
        <w:ind w:left="1340" w:right="120" w:hanging="387"/>
        <w:spacing w:after="0" w:line="277"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access to adequate coverage and reimbursement for our current and future products by third-party payors, and reimbursement decisions by third-party payors;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magnitude and timing of any changes to our facilities, manufacturing operations and other infrastructure;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anticipated and actual regulatory actions relating to our products and competitive products.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particular, we believe the following specific factors could materially impact our business going forward:</w:t>
      </w:r>
    </w:p>
    <w:p>
      <w:pPr>
        <w:spacing w:after="0" w:line="225" w:lineRule="exact"/>
        <w:rPr>
          <w:sz w:val="20"/>
          <w:szCs w:val="20"/>
          <w:color w:val="auto"/>
        </w:rPr>
      </w:pPr>
    </w:p>
    <w:p>
      <w:pPr>
        <w:ind w:left="1340" w:right="120" w:hanging="387"/>
        <w:spacing w:after="0" w:line="277" w:lineRule="auto"/>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increase in demand following the commercial launch of t:slim X2 and the demonstrated success of our Tandem Device Updater, which we expect will positively impact our sales;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anticipated launch of t:slim X2 with Basal-IQ in the third quarter of 2018, which was approved by the FDA in June 2018;</w:t>
      </w:r>
    </w:p>
    <w:p>
      <w:pPr>
        <w:spacing w:after="0" w:line="225" w:lineRule="exact"/>
        <w:rPr>
          <w:rFonts w:ascii="Arial" w:cs="Arial" w:eastAsia="Arial" w:hAnsi="Arial"/>
          <w:sz w:val="18"/>
          <w:szCs w:val="18"/>
          <w:color w:val="auto"/>
        </w:rPr>
      </w:pPr>
    </w:p>
    <w:p>
      <w:pPr>
        <w:ind w:left="1340" w:right="200" w:hanging="387"/>
        <w:spacing w:after="0" w:line="277" w:lineRule="auto"/>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opportunity to achieve customer renewals as customers become eligible for insurance reimbursement to purchase a new insulin pump at the end of the typical four year reimbursement cycle;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ind w:left="1340" w:right="260" w:hanging="387"/>
        <w:spacing w:after="0" w:line="277" w:lineRule="auto"/>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opportunity to attract Animas customers as their pumps come up for renewal, following the announcement by Johnson &amp; Johnson that it intends to discontinue the operations of Animas and exit the insulin pump business entirely;</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increased sales of infusion sets following the commercial launch of t:lock-compatible pump supplies in the third quarter of 2017;</w:t>
      </w:r>
    </w:p>
    <w:p>
      <w:pPr>
        <w:spacing w:after="0" w:line="236" w:lineRule="exact"/>
        <w:rPr>
          <w:rFonts w:ascii="Arial" w:cs="Arial" w:eastAsia="Arial" w:hAnsi="Arial"/>
          <w:sz w:val="17"/>
          <w:szCs w:val="17"/>
          <w:color w:val="auto"/>
        </w:rPr>
      </w:pPr>
    </w:p>
    <w:p>
      <w:pPr>
        <w:ind w:left="1340" w:right="40" w:hanging="387"/>
        <w:spacing w:after="0" w:line="277" w:lineRule="auto"/>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designation by UnitedHealthcare in July 2016 of one of our competitors as its preferred, in-network durable medical equipment provider of insulin pumps for most customers over the age of 18; and</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expansion in select geographies, including Canada, in the second half of 2018.</w:t>
      </w:r>
    </w:p>
    <w:p>
      <w:pPr>
        <w:spacing w:after="0" w:line="225"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For 2018, in addition to working to achieve our sales growth expectations, we intend to continue to leverage our infrastructure investments to realize additional manufacturing cost efficiencies to improve our operating margins, including costs associated with our international launch plans. We believe we can ultimately achieve profitability by driving incremental sales growth, meeting our pump renewal sales objectives, increasing gross profits from additional sales of infusion sets, maximizing manufacturing efficiencies on increased production volumes and leveraging the investments made in our sales, clinical, marketing and customer support organizations.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FDA Approval of t:slim X2 with Basal-IQ</w:t>
      </w:r>
    </w:p>
    <w:p>
      <w:pPr>
        <w:spacing w:after="0" w:line="225" w:lineRule="exact"/>
        <w:rPr>
          <w:sz w:val="20"/>
          <w:szCs w:val="20"/>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In June 2018, the FDA approved our t:slim X2 Insulin Pump with Basal-IQ technology, a predictive low glucose suspend (PLGS) feature designed to help reduce the frequency and duration of low glucose events. We plan to launch our new product with Dexcom G6® continuous glucose monitoring (CGM) integration in the third quarter of 2018, which requires no fingersticks for calibration or diabetes treatment decisions and was the first CGM device to receive the iCGM designation from the FDA earlier this year.</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International Expansion</w:t>
      </w:r>
    </w:p>
    <w:p>
      <w:pPr>
        <w:spacing w:after="0" w:line="225" w:lineRule="exact"/>
        <w:rPr>
          <w:sz w:val="20"/>
          <w:szCs w:val="20"/>
          <w:color w:val="auto"/>
        </w:rPr>
      </w:pPr>
    </w:p>
    <w:p>
      <w:pPr>
        <w:ind w:right="260" w:firstLine="518"/>
        <w:spacing w:after="0" w:line="279" w:lineRule="auto"/>
        <w:rPr>
          <w:sz w:val="20"/>
          <w:szCs w:val="20"/>
          <w:color w:val="auto"/>
        </w:rPr>
      </w:pPr>
      <w:r>
        <w:rPr>
          <w:rFonts w:ascii="Arial" w:cs="Arial" w:eastAsia="Arial" w:hAnsi="Arial"/>
          <w:sz w:val="17"/>
          <w:szCs w:val="17"/>
          <w:color w:val="auto"/>
        </w:rPr>
        <w:t>In preparation for a commercial launch outside the United States in the second half of 2018, we have filed for the necessary regulatory approvals of our t:slim X2 insulin pump with Dexcom G5 integration in select geographies. In April 2018, we received CE mark approval. We intend to market our products internationally primarily through third-party distributors. To date, we have entered into distribution agreements with independent distributors for markets in Australia, New Zealand, Italy, Scandinavia, South Africa, Spain and the United Kingdom.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from Technology Platform</w:t>
      </w:r>
    </w:p>
    <w:p>
      <w:pPr>
        <w:spacing w:after="0" w:line="225"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We believe we can ultimately achieve profitability because our proprietary technology platform will allow us to maximize efficiencies in the development, production, sale and marketing of multiple differentiated products. By offering products that are all based on our proprietary technology platform, in combination with the flexibility provided by the Tandem Device Updater, we believe we can develop and bring to market products and functionality more rapidly, while significantly reducing our per-unit design and development costs. Due to shared product design features, our production system is adaptable to new products and we intend to leverage our shared manufacturing infrastructure to drive operational efficiencies. Further, we expect to continue to increase production volume and to reduce the per-unit production overhead cost for our pump products and their associated disposable cartridges over time. We anticipate that the transition to our recently launched t:lock Connector will continue to increase our sales of infusion sets. By expanding our product offerings to address the varying needs among people in different segments of the large and growing insulin-dependent diabetes market, we believe we can increase the productivity of our sales, clinical, marketing, and customer support organizations, thereby improving our operating margin over the long term.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offer products for people with insulin-dependent diabetes. We commenced commercial sales of our original t:slim hardware platform in the United States in the third quarter of 2012 and continued to launch various iterations of that platform in the years following. In October 2016, we began shipping t:slim X2, our next generation flagship product. The t:slim X2 hardware platform, which includes remote software update capabilities, now represents nearly 100% of our new pump shipments. Accordingly, we have discontinued new sales of all prior platform versions. Our products also include disposable cartridges and infusion sets. In addition, we offer accessories including protective cases, belt clips, and power adapters, although such sales are not significant.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 w:name="page21"/>
    <w:bookmarkEnd w:id="20"/>
    <w:p>
      <w:pPr>
        <w:ind w:right="180" w:firstLine="571"/>
        <w:spacing w:after="0" w:line="297" w:lineRule="auto"/>
        <w:rPr>
          <w:sz w:val="20"/>
          <w:szCs w:val="20"/>
          <w:color w:val="auto"/>
        </w:rPr>
      </w:pPr>
      <w:r>
        <w:rPr>
          <w:rFonts w:ascii="Arial" w:cs="Arial" w:eastAsia="Arial" w:hAnsi="Arial"/>
          <w:sz w:val="16"/>
          <w:szCs w:val="16"/>
          <w:color w:val="auto"/>
        </w:rPr>
        <w:t>We primarily sell our products through national and regional distributors in the United States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 We believe our existing sales, clinical, and marketing infrastructure will allow us to continue to increase sales by allowing us to promote our products to a greater number of potential customers, caregivers and healthcare providers.</w:t>
      </w:r>
    </w:p>
    <w:p>
      <w:pPr>
        <w:spacing w:after="0" w:line="158" w:lineRule="exact"/>
        <w:rPr>
          <w:sz w:val="20"/>
          <w:szCs w:val="20"/>
          <w:color w:val="auto"/>
        </w:rPr>
      </w:pPr>
    </w:p>
    <w:p>
      <w:pPr>
        <w:ind w:right="60" w:firstLine="571"/>
        <w:spacing w:after="0" w:line="276" w:lineRule="auto"/>
        <w:rPr>
          <w:sz w:val="20"/>
          <w:szCs w:val="20"/>
          <w:color w:val="auto"/>
        </w:rPr>
      </w:pPr>
      <w:r>
        <w:rPr>
          <w:rFonts w:ascii="Arial" w:cs="Arial" w:eastAsia="Arial" w:hAnsi="Arial"/>
          <w:sz w:val="17"/>
          <w:szCs w:val="17"/>
          <w:color w:val="auto"/>
        </w:rPr>
        <w:t>In the second half of 2018, we intend to commence commercial sales of t:slim X2 with G5 integration in select international geographies. We expect that most of our commercial sales outside the United States will be to independent distributors in select geographies who will perform all sales, customer support and training in their respective territories. Historically, we have experienced consistent levels of reimbursement for our products in the United States, but the average sales price will vary in international markets based on a number of factors, such as the nature of the reimbursement environment, government regulations and the extent to which we rely on distributor relationships to provide sales, clinical and marketing support.</w:t>
      </w:r>
    </w:p>
    <w:p>
      <w:pPr>
        <w:spacing w:after="0" w:line="173" w:lineRule="exact"/>
        <w:rPr>
          <w:sz w:val="20"/>
          <w:szCs w:val="20"/>
          <w:color w:val="auto"/>
        </w:rPr>
      </w:pPr>
    </w:p>
    <w:p>
      <w:pPr>
        <w:ind w:right="40" w:firstLine="571"/>
        <w:spacing w:after="0" w:line="264" w:lineRule="auto"/>
        <w:rPr>
          <w:sz w:val="20"/>
          <w:szCs w:val="20"/>
          <w:color w:val="auto"/>
        </w:rPr>
      </w:pPr>
      <w:r>
        <w:rPr>
          <w:rFonts w:ascii="Arial" w:cs="Arial" w:eastAsia="Arial" w:hAnsi="Arial"/>
          <w:sz w:val="18"/>
          <w:szCs w:val="18"/>
          <w:color w:val="auto"/>
        </w:rPr>
        <w:t>In general, we have experienced, and expect to continue to experience, product shipments being weighted heavily towards the second half of the year, with the highest percentage of product shipments expected in the fourth quarter of the year. Consistent with prior results, we also expect product shipments from the fourth quarter to the following first quarter to decrease significantly.</w:t>
      </w:r>
    </w:p>
    <w:p>
      <w:pPr>
        <w:spacing w:after="0" w:line="181" w:lineRule="exact"/>
        <w:rPr>
          <w:sz w:val="20"/>
          <w:szCs w:val="20"/>
          <w:color w:val="auto"/>
        </w:rPr>
      </w:pPr>
    </w:p>
    <w:p>
      <w:pPr>
        <w:ind w:right="40" w:firstLine="571"/>
        <w:spacing w:after="0" w:line="273" w:lineRule="auto"/>
        <w:rPr>
          <w:sz w:val="20"/>
          <w:szCs w:val="20"/>
          <w:color w:val="auto"/>
        </w:rPr>
      </w:pPr>
      <w:r>
        <w:rPr>
          <w:rFonts w:ascii="Arial" w:cs="Arial" w:eastAsia="Arial" w:hAnsi="Arial"/>
          <w:sz w:val="17"/>
          <w:szCs w:val="17"/>
          <w:color w:val="auto"/>
        </w:rPr>
        <w:t>In addition, our quarterly sales have fluctuated, and may continue to fluctuate, substantially in the periods surrounding anticipated and actual regulatory approvals and commercial launches of new products by us or our competitors. For instance, customers may defer a purchasing decision if they believe that a new product may be launched in the future. Additionally, upon the announcement of FDA approval or commercial launch of a new product, either by us or one of our competitors, potential new customers may reconsider their purchasing decision or take additional time to consider the anticipated or new approval or product launch in their purchasing decision. However, we are not able to quantify the extent of the impact of these or similar events, including the launch of t:slim X2 with Basal-IQ technology, on future purchasing decisions.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firstLine="577"/>
        <w:spacing w:after="0" w:line="297" w:lineRule="auto"/>
        <w:rPr>
          <w:sz w:val="20"/>
          <w:szCs w:val="20"/>
          <w:color w:val="auto"/>
        </w:rPr>
      </w:pPr>
      <w:r>
        <w:rPr>
          <w:rFonts w:ascii="Arial" w:cs="Arial" w:eastAsia="Arial" w:hAnsi="Arial"/>
          <w:sz w:val="16"/>
          <w:szCs w:val="16"/>
          <w:color w:val="auto"/>
        </w:rPr>
        <w:t>We manufacture our pumps and disposable cartridges at our manufacturing facilities in San Diego, California. Infusion sets and pump accessories are manufactured by third-party suppliers. Cost of sales includes raw materials, labor costs, manufacturing overhead expenses, product training costs, reserves for expected warranty costs, freight, scrap and inventory excess and obsolescence. Manufacturing overhead expenses include expenses relating to quality assurance, manufacturing engineering, material procurement, inventory control, facilities, equipment, information technology and operations supervision and management. We anticipate that our cost of sales will continue to increase as our products gain broader market acceptance and our product sales increase.</w:t>
      </w:r>
    </w:p>
    <w:p>
      <w:pPr>
        <w:spacing w:after="0" w:line="158" w:lineRule="exact"/>
        <w:rPr>
          <w:sz w:val="20"/>
          <w:szCs w:val="20"/>
          <w:color w:val="auto"/>
        </w:rPr>
      </w:pPr>
    </w:p>
    <w:p>
      <w:pPr>
        <w:ind w:right="60" w:firstLine="577"/>
        <w:spacing w:after="0" w:line="291" w:lineRule="auto"/>
        <w:rPr>
          <w:sz w:val="20"/>
          <w:szCs w:val="20"/>
          <w:color w:val="auto"/>
        </w:rPr>
      </w:pPr>
      <w:r>
        <w:rPr>
          <w:rFonts w:ascii="Arial" w:cs="Arial" w:eastAsia="Arial" w:hAnsi="Arial"/>
          <w:sz w:val="16"/>
          <w:szCs w:val="16"/>
          <w:color w:val="auto"/>
        </w:rPr>
        <w:t>We expect our overall gross margin percentage, which for any given period is calculated as sales less cost of sales divided by sales, to improve over the long term, as our sales increase and we have more opportunities to spread our overhead costs over larger production volumes. We expect we will be able to leverage our manufacturing cost structure across our products that utilize the same proprietary technology platform and manufacturing infrastructure, and will be able to further reduce costs with increased automation, process improvements and raw materials cost reductions. We also expect our warranty costs to decrease as we release product features and functionality utilizing the Tandem Device Updater. However, our overall gross margin may also fluctuate in future quarterly periods as a result of numerous factors besides those associated with production volumes, such as the impact of changes in our stock price on non-cash stock-based compensation, changes in our warranty estimates or inventory obsolescence.</w:t>
      </w:r>
    </w:p>
    <w:p>
      <w:pPr>
        <w:spacing w:after="0" w:line="167" w:lineRule="exact"/>
        <w:rPr>
          <w:sz w:val="20"/>
          <w:szCs w:val="20"/>
          <w:color w:val="auto"/>
        </w:rPr>
      </w:pPr>
    </w:p>
    <w:p>
      <w:pPr>
        <w:ind w:right="20" w:firstLine="577"/>
        <w:spacing w:after="0" w:line="257" w:lineRule="auto"/>
        <w:rPr>
          <w:sz w:val="20"/>
          <w:szCs w:val="20"/>
          <w:color w:val="auto"/>
        </w:rPr>
      </w:pPr>
      <w:r>
        <w:rPr>
          <w:rFonts w:ascii="Arial" w:cs="Arial" w:eastAsia="Arial" w:hAnsi="Arial"/>
          <w:sz w:val="18"/>
          <w:szCs w:val="18"/>
          <w:color w:val="auto"/>
        </w:rPr>
        <w:t>In general, we expect the gross margin on insulin pumps to be higher than the gross margin on pump-related supplies, which would be consistent with our historical experience. Other factors impacting our overall gross margin may include the changing mix of products sold with different gross margins, the changing percentage of products sold to distributors versus directly to individual customers, varying levels of reimbursement among third-party payors and in international markets, the timing and success of new regulatory approvals and product launches, warranty and training costs, and changes in our manufacturing processes, capacity, costs or output.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firstLine="571"/>
        <w:spacing w:after="0" w:line="269" w:lineRule="auto"/>
        <w:rPr>
          <w:sz w:val="20"/>
          <w:szCs w:val="20"/>
          <w:color w:val="auto"/>
        </w:rPr>
      </w:pPr>
      <w:r>
        <w:rPr>
          <w:rFonts w:ascii="Arial" w:cs="Arial" w:eastAsia="Arial" w:hAnsi="Arial"/>
          <w:sz w:val="17"/>
          <w:szCs w:val="17"/>
          <w:color w:val="auto"/>
        </w:rPr>
        <w:t>Our selling, general and administrative, or SG&amp;A, expenses primarily consist of salary, cash-based incentive compensation, fringe benefits and non-cash stock-based compensation for our executive, financial, marketing, sales, clinical, customer support, technical services, insurance verification, regulatory affairs and administrative functions. In particular, our sales and clinical organization consisted of approximately 70 territories as of June 30, 2018. Territories are maintained by sales representatives and field clinical specialists, and supported by managed care liaisons, additional sales management and other customer support personnel. Other significant SG&amp;A expenses include those incurred for product demonstration samples, commercialization activities associated with new product launches, travel, trade shows, outside legal fees, independent auditor fees, outside consultant fees, insurance premiums, facilities costs and information technology costs. Although we do not contemplate an increase in the number of domestic sales territories in the near term, we expect our SG&amp;A expenses, including the cost of our customer support infrastructure, to increase as our customer base grows in the United States and international geographies. Additionally, we expect non-cash stock-based compensation expense to increase significantly in future quarters as a result of the valuation of certain employee option grants, which has been impacted by the significant appreciation in our stock price. Our SG&amp;A expenses may also increase due to costs associated with additional compliance and regulatory reporting requirements.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Our research and development, or R&amp;D, activities primarily consist of engineering and research programs associated with our products under development, as well as activities associated with our core technologies and processes. R&amp;D expenses are primarily related to employee compensation, including salary, fringe benefits, non-cash stock-based compensation and temporary employee expenses.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We expect our R&amp;D expenses to increase as we advance our products under development and develop new products and technologies, as well as due to the impact of changes in our stock price on non-cash stock-based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ind w:right="160" w:firstLine="571"/>
        <w:spacing w:after="0" w:line="297" w:lineRule="auto"/>
        <w:rPr>
          <w:sz w:val="20"/>
          <w:szCs w:val="20"/>
          <w:color w:val="auto"/>
        </w:rPr>
      </w:pPr>
      <w:r>
        <w:rPr>
          <w:rFonts w:ascii="Arial" w:cs="Arial" w:eastAsia="Arial" w:hAnsi="Arial"/>
          <w:sz w:val="16"/>
          <w:szCs w:val="16"/>
          <w:color w:val="auto"/>
        </w:rPr>
        <w:t>Our other income and expense primarily consists of changes in the fair value of the Series A and Series B warrants issued in our public offering of common stock in October 2017, as well as interest expense and amortization of debt discount and issuance costs associated with the Term Loan Agreement. As of June 30, 2018 and 2017, there was $82.7 million and $81.9 million, respectively, of outstanding principal under the Term Loan Agreement, which accrues interest at a coupon rate of 11.5% per annum (see the section below entitled “Indebtedness”). We expect other income and expense to fluctuate from period to period due to revaluations of the outstanding Series A warrants, which expire in the fourth quarter of 2022.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7"/>
              </w:rPr>
              <w:t>(in thousands, except percentages)</w:t>
            </w:r>
          </w:p>
        </w:tc>
        <w:tc>
          <w:tcPr>
            <w:tcW w:w="35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continue"/>
          </w:tcPr>
          <w:p>
            <w:pPr>
              <w:spacing w:after="0"/>
              <w:rPr>
                <w:sz w:val="2"/>
                <w:szCs w:val="2"/>
                <w:color w:val="auto"/>
              </w:rPr>
            </w:pPr>
          </w:p>
        </w:tc>
        <w:tc>
          <w:tcPr>
            <w:tcW w:w="2080" w:type="dxa"/>
            <w:vAlign w:val="bottom"/>
            <w:tcBorders>
              <w:bottom w:val="single" w:sz="8" w:color="CFF0FC"/>
            </w:tcBorders>
          </w:tcPr>
          <w:p>
            <w:pPr>
              <w:spacing w:after="0"/>
              <w:rPr>
                <w:sz w:val="2"/>
                <w:szCs w:val="2"/>
                <w:color w:val="auto"/>
              </w:rPr>
            </w:pPr>
          </w:p>
        </w:tc>
        <w:tc>
          <w:tcPr>
            <w:tcW w:w="3520" w:type="dxa"/>
            <w:vAlign w:val="bottom"/>
            <w:tcBorders>
              <w:bottom w:val="single" w:sz="8" w:color="CFF0FC"/>
            </w:tcBorders>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vMerge w:val="continue"/>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vMerge w:val="continue"/>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vMerge w:val="continue"/>
          </w:tcPr>
          <w:p>
            <w:pPr>
              <w:spacing w:after="0"/>
              <w:rPr>
                <w:sz w:val="2"/>
                <w:szCs w:val="2"/>
                <w:color w:val="auto"/>
              </w:rPr>
            </w:pPr>
          </w:p>
        </w:tc>
        <w:tc>
          <w:tcPr>
            <w:tcW w:w="34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34,126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21,327</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61,402</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40,303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19,039</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13,325</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34,912</w:t>
            </w:r>
          </w:p>
        </w:tc>
        <w:tc>
          <w:tcPr>
            <w:tcW w:w="3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25,549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8,002</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26,490</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ind w:left="2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22,628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22,104</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43,541</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44,952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4,866</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12,431</w:t>
            </w:r>
          </w:p>
        </w:tc>
        <w:tc>
          <w:tcPr>
            <w:tcW w:w="3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3"/>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29,084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26,970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55,972</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54,948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(13,997)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(18,968)</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(29,482)</w:t>
            </w:r>
          </w:p>
        </w:tc>
        <w:tc>
          <w:tcPr>
            <w:tcW w:w="3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(40,194)</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and other income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ind w:left="240"/>
              <w:spacing w:after="0"/>
              <w:rPr>
                <w:sz w:val="20"/>
                <w:szCs w:val="20"/>
                <w:color w:val="auto"/>
              </w:rPr>
            </w:pPr>
            <w:r>
              <w:rPr>
                <w:rFonts w:ascii="Arial" w:cs="Arial" w:eastAsia="Arial" w:hAnsi="Arial"/>
                <w:sz w:val="18"/>
                <w:szCs w:val="18"/>
                <w:color w:val="auto"/>
              </w:rPr>
              <w:t>Interest and other expense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(2,892)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(6,184)</w:t>
            </w:r>
          </w:p>
        </w:tc>
        <w:tc>
          <w:tcPr>
            <w:tcW w:w="4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Change in fair value of stock warrants</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(42,549)</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(56,777)</w:t>
            </w: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3"/>
          </w:tcPr>
          <w:p>
            <w:pPr>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(45,362)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(62,571)</w:t>
            </w:r>
          </w:p>
        </w:tc>
        <w:tc>
          <w:tcPr>
            <w:tcW w:w="3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(59,359)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(92,053)</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(45,593)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Comparison of the Three Months Ended June 30, 2018 and 2017</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For the three months ended June 30, 2018, sales were $34.1 million. Sales were $21.3 million for the same period in 2017.</w:t>
      </w:r>
    </w:p>
    <w:p>
      <w:pPr>
        <w:spacing w:after="0" w:line="225" w:lineRule="exact"/>
        <w:rPr>
          <w:sz w:val="20"/>
          <w:szCs w:val="20"/>
          <w:color w:val="auto"/>
        </w:rPr>
      </w:pPr>
    </w:p>
    <w:p>
      <w:pPr>
        <w:ind w:right="100" w:firstLine="571"/>
        <w:spacing w:after="0" w:line="279" w:lineRule="auto"/>
        <w:rPr>
          <w:sz w:val="20"/>
          <w:szCs w:val="20"/>
          <w:color w:val="auto"/>
        </w:rPr>
      </w:pPr>
      <w:r>
        <w:rPr>
          <w:rFonts w:ascii="Arial" w:cs="Arial" w:eastAsia="Arial" w:hAnsi="Arial"/>
          <w:sz w:val="17"/>
          <w:szCs w:val="17"/>
          <w:color w:val="auto"/>
        </w:rPr>
        <w:t>Sales of insulin pumps were $21.2 million and $13.3 million, respectively, for the three months ended June 30, 2018 and 2017. For the three months ended June 30, 2018, sales of pump-related supplies were $12.9 million, of which $8.8 million were sales of infusion sets and $4.0 million were sales of cartridges. For the three months ended June 30, 2017, sales of pump-related supplies were $8.0 million, of which $4.6 million were sales of infusion sets and $3.3 million were sales of cartridges. Sales of accessories were not significant in either of the reported periods.</w:t>
      </w:r>
    </w:p>
    <w:p>
      <w:pPr>
        <w:spacing w:after="0" w:line="171" w:lineRule="exact"/>
        <w:rPr>
          <w:sz w:val="20"/>
          <w:szCs w:val="20"/>
          <w:color w:val="auto"/>
        </w:rPr>
      </w:pPr>
    </w:p>
    <w:p>
      <w:pPr>
        <w:ind w:right="200" w:firstLine="571"/>
        <w:spacing w:after="0" w:line="257" w:lineRule="auto"/>
        <w:rPr>
          <w:sz w:val="20"/>
          <w:szCs w:val="20"/>
          <w:color w:val="auto"/>
        </w:rPr>
      </w:pPr>
      <w:r>
        <w:rPr>
          <w:rFonts w:ascii="Arial" w:cs="Arial" w:eastAsia="Arial" w:hAnsi="Arial"/>
          <w:sz w:val="18"/>
          <w:szCs w:val="18"/>
          <w:color w:val="auto"/>
        </w:rPr>
        <w:t>The increase in sales was primarily due to a 59% increase in pump shipments to 5,447 compared to 3,427 in the three months ended June 30, 2018 and 2017, respectively, driven by both the August 2017 launch of t:slim X2 with G5 and the changing competitive environment. Additionally, sales from pump-related supplies increased 62% due to the September 2017 launch of infusion set products using the t:lock Connector. The ratio of the number of infusion sets shipped to the number of cartridges shipped increased to just over 100% in the three months ended June 30, 2018 from 61% in the comparable quarter of the prior year.</w:t>
      </w:r>
    </w:p>
    <w:p>
      <w:pPr>
        <w:spacing w:after="0" w:line="188" w:lineRule="exact"/>
        <w:rPr>
          <w:sz w:val="20"/>
          <w:szCs w:val="20"/>
          <w:color w:val="auto"/>
        </w:rPr>
      </w:pPr>
    </w:p>
    <w:p>
      <w:pPr>
        <w:ind w:right="20" w:firstLine="571"/>
        <w:spacing w:after="0" w:line="257" w:lineRule="auto"/>
        <w:rPr>
          <w:sz w:val="20"/>
          <w:szCs w:val="20"/>
          <w:color w:val="auto"/>
        </w:rPr>
      </w:pPr>
      <w:r>
        <w:rPr>
          <w:rFonts w:ascii="Arial" w:cs="Arial" w:eastAsia="Arial" w:hAnsi="Arial"/>
          <w:sz w:val="18"/>
          <w:szCs w:val="18"/>
          <w:color w:val="auto"/>
        </w:rPr>
        <w:t>Sales to distributors accounted for 77% and 72% of our total sales for the three months ended June 30, 2018 and 2017, respectively. Our percentage of sales to distributors versus individual customers is principally determined by the mix of customers ordering our products within the period and whether or not we have a contractual arrangement with their underlying third-party insurance payor. The percentage was particularly impacted in the three months ended June 30, 2018 by the mid-2017 launch of the t:lock Connector, which resulted in greater purchases of infusion sets by our independent distributors during the period as compared to the same period during the prior year.</w:t>
      </w:r>
    </w:p>
    <w:p>
      <w:pPr>
        <w:spacing w:after="0" w:line="188"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for the three months ended June 30, 2018 was $19.0 million resulting in gross profit of $15.1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$13.3 million cost of sales for the same period in 2017 resulting in gross profit of $8.0 million. The gross margin for the three months ended June 30, 2018 was 44% compared to 38% in the same period in 2017.</w:t>
      </w:r>
    </w:p>
    <w:p>
      <w:pPr>
        <w:spacing w:after="0" w:line="181" w:lineRule="exact"/>
        <w:rPr>
          <w:sz w:val="20"/>
          <w:szCs w:val="20"/>
          <w:color w:val="auto"/>
        </w:rPr>
      </w:pPr>
    </w:p>
    <w:p>
      <w:pPr>
        <w:ind w:right="300" w:firstLine="577"/>
        <w:spacing w:after="0" w:line="257" w:lineRule="auto"/>
        <w:rPr>
          <w:sz w:val="20"/>
          <w:szCs w:val="20"/>
          <w:color w:val="auto"/>
        </w:rPr>
      </w:pPr>
      <w:r>
        <w:rPr>
          <w:rFonts w:ascii="Arial" w:cs="Arial" w:eastAsia="Arial" w:hAnsi="Arial"/>
          <w:sz w:val="18"/>
          <w:szCs w:val="18"/>
          <w:color w:val="auto"/>
        </w:rPr>
        <w:t>The increase in our gross profit for the three months ended June 30, 2018 was primarily the result of the 59% increase in pump shipments. Gross profit and gross margin also increased as a result of per unit manufacturing cost improvements from higher sales volumes and overall manufacturing efficiencies, even taking into account the incremental costs associated with the transition to our new manufacturing facility which doubled our capacity, as well as the near doubling of sales from infusion sets. As a whole, other non-manufacturing costs, which primarily consist of warranty, freight and training costs, also reflected improvement.</w:t>
      </w:r>
    </w:p>
    <w:p>
      <w:pPr>
        <w:spacing w:after="0" w:line="188" w:lineRule="exact"/>
        <w:rPr>
          <w:sz w:val="20"/>
          <w:szCs w:val="20"/>
          <w:color w:val="auto"/>
        </w:rPr>
      </w:pPr>
    </w:p>
    <w:p>
      <w:pPr>
        <w:ind w:right="140" w:firstLine="571"/>
        <w:spacing w:after="0" w:line="255" w:lineRule="auto"/>
        <w:rPr>
          <w:sz w:val="20"/>
          <w:szCs w:val="20"/>
          <w:color w:val="auto"/>
        </w:rPr>
      </w:pPr>
      <w:r>
        <w:rPr>
          <w:rFonts w:ascii="Arial" w:cs="Arial" w:eastAsia="Arial" w:hAnsi="Arial"/>
          <w:sz w:val="18"/>
          <w:szCs w:val="18"/>
          <w:color w:val="auto"/>
        </w:rPr>
        <w:t>We expect the most significant factors impacting our gross margin will continue to be the percentage of our pump sales relative to total sales, as our pumps have higher gross margins than our pump-related supplies. We also expect the gross margin on our pump sales to improve as the volume of our pump sales increases. However, we are also continuing to experience an increasingly positive gross margin associated with our pump-related supplies as a whole, after first achieving a positive gross margin in the fourth quarter of 2016. We expect to continue to see improvements in the gross profit and gross margin associated with our pump-related supplies as we manufacture higher volumes of cartridges to support our growing installed base and continue to increase sales of infusion sets.</w:t>
      </w:r>
    </w:p>
    <w:p>
      <w:pPr>
        <w:spacing w:after="0" w:line="193"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expenses increased 2% to $22.6 million for the three months ended June 30, 2018 from $22.1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in 2017. Employee-related expenses for our SG&amp;A functions comprise the majority of SG&amp;A expenses. The increase compared to 2017 was primarily the result of a $2.1 million increase in salaries, incentive compensation and other employee benefits, offset by a decrease of $1.9 million in non-cash stock-based compensation. Total stock-based compensation expense for the three months ended June 30, 2018 of $2.1 million is expected to increase notably in future quarters, reflecting the recent valuation of certain employee option grants that were impacted by the significant appreciation in our stock price in recent months.</w:t>
      </w:r>
    </w:p>
    <w:p>
      <w:pPr>
        <w:spacing w:after="0" w:line="193"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R&amp;D expenses increased 33% to $6.5 million for the three months ended June 30, 2018 from $4.9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2017. The increase in R&amp;D expenses was primarily the result of clinical trial costs associated with products in development. Additionally, there was a $0.7 million increase in salaries, incentive compensation and benefits, partially offset by a decrease of $0.2 million in non-cash stock-based compensation. Total stock-based compensation expense for the three months ended June 30, 2018 of $0.4 million is expected to increase notably in future quarters, reflecting the recent valuation of certain employee option grants that were impacted by the significant appreciation in our stock price in recent months.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firstLine="571"/>
        <w:spacing w:after="0" w:line="273" w:lineRule="auto"/>
        <w:rPr>
          <w:sz w:val="20"/>
          <w:szCs w:val="20"/>
          <w:color w:val="auto"/>
        </w:rPr>
      </w:pPr>
      <w:r>
        <w:rPr>
          <w:rFonts w:ascii="Arial" w:cs="Arial" w:eastAsia="Arial" w:hAnsi="Arial"/>
          <w:sz w:val="17"/>
          <w:szCs w:val="17"/>
          <w:i w:val="1"/>
          <w:iCs w:val="1"/>
          <w:color w:val="auto"/>
        </w:rPr>
        <w:t>Other Income and Expense</w:t>
      </w:r>
      <w:r>
        <w:rPr>
          <w:rFonts w:ascii="Arial" w:cs="Arial" w:eastAsia="Arial" w:hAnsi="Arial"/>
          <w:sz w:val="17"/>
          <w:szCs w:val="17"/>
          <w:color w:val="auto"/>
        </w:rPr>
        <w:t>. Other expense for the three months ended June 30, 2018 and 2017 was $45.5 million and $2.8 million, respectively. Other</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for the three months ended June 30, 2018 was primarily comprised of a $42.5 million revaluation loss from the change in the fair value of the Series A and Series B warrants due to the significant appreciation in our stock price in recent months, as well as $3.2 million of interest expense associated with the Term Loan Agreement. Other expense for the three months ended June 30, 2017 was primarily comprised of interest expense associated with the Term Loan Agreement. The outstanding principal balances under the Term Loan Agreement were $82.7 million and $81.9 million as of June 30, 2018 and June 30, 2017, respectively. Other income for both periods presented was not significant.</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Comparison of the Six Months Ended June 30, 2018 and 2017</w:t>
      </w:r>
    </w:p>
    <w:p>
      <w:pPr>
        <w:spacing w:after="0" w:line="229" w:lineRule="exact"/>
        <w:rPr>
          <w:sz w:val="20"/>
          <w:szCs w:val="20"/>
          <w:color w:val="auto"/>
        </w:rPr>
      </w:pPr>
    </w:p>
    <w:p>
      <w:pPr>
        <w:ind w:right="520" w:firstLine="571"/>
        <w:spacing w:after="0" w:line="277"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For the six months ended June 30, 2018, sales were $61.4 million. Sales were $40.3 million for the same period in 2017, which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incremental net sales of $1.5 million as a result of the Technology Upgrade Program.</w:t>
      </w:r>
    </w:p>
    <w:p>
      <w:pPr>
        <w:spacing w:after="0" w:line="170" w:lineRule="exact"/>
        <w:rPr>
          <w:sz w:val="20"/>
          <w:szCs w:val="20"/>
          <w:color w:val="auto"/>
        </w:rPr>
      </w:pPr>
    </w:p>
    <w:p>
      <w:pPr>
        <w:ind w:right="120" w:firstLine="571"/>
        <w:spacing w:after="0" w:line="297" w:lineRule="auto"/>
        <w:rPr>
          <w:sz w:val="20"/>
          <w:szCs w:val="20"/>
          <w:color w:val="auto"/>
        </w:rPr>
      </w:pPr>
      <w:r>
        <w:rPr>
          <w:rFonts w:ascii="Arial" w:cs="Arial" w:eastAsia="Arial" w:hAnsi="Arial"/>
          <w:sz w:val="16"/>
          <w:szCs w:val="16"/>
          <w:color w:val="auto"/>
        </w:rPr>
        <w:t>Sales of insulin pumps were $38.3 million and $25.8 million, respectively, for the six months ended June 30, 2018 and 2017. For the six months ended June 30, 2018, sales of pump-related supplies were $23.1 million, of which $15.6 million were sales of infusion sets and $7.2 million were sales of cartridges. For the six months ended June 30, 2017, sales of pump-related supplies were $14.3 million, of which $8.0 million were sales of infusion sets and $6.2 million were sales of cartridges. The ratio of the number of infusion sets shipped to the number of cartridges shipped increased to just over 100% in the six months ended June 30, 2018 from 56% in the same period in 2017. Sales of accessories were not significant in either of the reported periods.</w:t>
      </w:r>
    </w:p>
    <w:p>
      <w:pPr>
        <w:spacing w:after="0" w:line="158" w:lineRule="exact"/>
        <w:rPr>
          <w:sz w:val="20"/>
          <w:szCs w:val="20"/>
          <w:color w:val="auto"/>
        </w:rPr>
      </w:pPr>
    </w:p>
    <w:p>
      <w:pPr>
        <w:ind w:right="120" w:firstLine="571"/>
        <w:spacing w:after="0" w:line="277" w:lineRule="auto"/>
        <w:rPr>
          <w:sz w:val="20"/>
          <w:szCs w:val="20"/>
          <w:color w:val="auto"/>
        </w:rPr>
      </w:pPr>
      <w:r>
        <w:rPr>
          <w:rFonts w:ascii="Arial" w:cs="Arial" w:eastAsia="Arial" w:hAnsi="Arial"/>
          <w:sz w:val="18"/>
          <w:szCs w:val="18"/>
          <w:color w:val="auto"/>
        </w:rPr>
        <w:t>The increase in sales was primarily due to a 58% increase in pump shipments to 9,891 compared to 6,243 in the six months ended June 30, 2018 and 2017, respectively, driven by both the August 2017 launch of t:slim X2 with G5 and the changing competitive environment.</w:t>
      </w:r>
    </w:p>
    <w:p>
      <w:pPr>
        <w:spacing w:after="0" w:line="170" w:lineRule="exact"/>
        <w:rPr>
          <w:sz w:val="20"/>
          <w:szCs w:val="20"/>
          <w:color w:val="auto"/>
        </w:rPr>
      </w:pPr>
    </w:p>
    <w:p>
      <w:pPr>
        <w:ind w:right="180" w:firstLine="571"/>
        <w:spacing w:after="0" w:line="277" w:lineRule="auto"/>
        <w:rPr>
          <w:sz w:val="20"/>
          <w:szCs w:val="20"/>
          <w:color w:val="auto"/>
        </w:rPr>
      </w:pPr>
      <w:r>
        <w:rPr>
          <w:rFonts w:ascii="Arial" w:cs="Arial" w:eastAsia="Arial" w:hAnsi="Arial"/>
          <w:sz w:val="18"/>
          <w:szCs w:val="18"/>
          <w:color w:val="auto"/>
        </w:rPr>
        <w:t>Sales to distributors accounted for 78% and 72% of our total sales for the six months ended June 30, 2018 and 2017, respectively, driven by the mid 2017 launch of the t:lock Connector.</w:t>
      </w:r>
    </w:p>
    <w:p>
      <w:pPr>
        <w:spacing w:after="0" w:line="170" w:lineRule="exact"/>
        <w:rPr>
          <w:sz w:val="20"/>
          <w:szCs w:val="20"/>
          <w:color w:val="auto"/>
        </w:rPr>
      </w:pPr>
    </w:p>
    <w:p>
      <w:pPr>
        <w:jc w:val="both"/>
        <w:ind w:right="140" w:firstLine="571"/>
        <w:spacing w:after="0" w:line="264"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for the six months ended June 30, 2018 was $34.9 million resulting in gross profit of $26.5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$25.5 million of cost of sales for the same period in 2017 resulting in gross profit of $14.8 million. The gross margin for the six months ended June 30, 2018 was 43% compared to 37% in the same period in 2017.</w:t>
      </w:r>
    </w:p>
    <w:p>
      <w:pPr>
        <w:spacing w:after="0" w:line="181"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Gross margin increased for the six months ended June 30, 2018 compared to the same period in 2017 primarily as a result of an increase in pump shipments which have higher gross margins than pump-related supplies, as well as per unit cost improvements on all products, increased production volumes, and a decrease in other non-manufacturing costs. During the six months ended June 30, 2017, we also recorded an incremental net benefit of $0.7 million in gross profit associated with the Technology Upgrade Program.</w:t>
      </w:r>
    </w:p>
    <w:p>
      <w:pPr>
        <w:spacing w:after="0" w:line="187" w:lineRule="exact"/>
        <w:rPr>
          <w:sz w:val="20"/>
          <w:szCs w:val="20"/>
          <w:color w:val="auto"/>
        </w:rPr>
      </w:pPr>
    </w:p>
    <w:p>
      <w:pPr>
        <w:ind w:right="20" w:firstLine="571"/>
        <w:spacing w:after="0" w:line="271"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decreased 3% to $43.5 million for the six months ended June 30, 2018 from $45.0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same period in 2017. Employee-related expenses for our SG&amp;A functions comprise the majority of the SG&amp;A expenses. The decrease in SG&amp;A expenses was primarily due to a decrease of $3.5 million in non-cash stock-based compensation, partially offset by an increase of $2.5 million in salaries, incentive compensation and other employee benefits. The decrease in stock-based compensation expense partially resulted from a $1.1 million charge associated with the suspension of our ESPP in 2017, with no corresponding charge in 2018. Total stock-based compensation expense for the six months ended June 30, 2018 of $3.0 million is expected to increase notably in future periods, reflecting the recent valuation of certain employee option grants that were impacted by the significant appreciation in our stock price in recent months. Other SG&amp;A expenses, including costs for outside services, marketing and promotional activities, tradeshows and travel, increased $0.4 million between periods.</w:t>
      </w:r>
    </w:p>
    <w:p>
      <w:pPr>
        <w:spacing w:after="0" w:line="179" w:lineRule="exact"/>
        <w:rPr>
          <w:sz w:val="20"/>
          <w:szCs w:val="20"/>
          <w:color w:val="auto"/>
        </w:rPr>
      </w:pPr>
    </w:p>
    <w:p>
      <w:pPr>
        <w:ind w:right="40" w:firstLine="571"/>
        <w:spacing w:after="0" w:line="273"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R&amp;D expenses increased 24% to $12.4 million for the six months ended June 30, 2018 from $10.0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same period in 2017. The increase in R&amp;D expenses was primarily the result of clinical trial costs associated with the recent approval of t:slim X2 with Basal-IQ technology as well as products in development. Additionally, there was a $1.0 million increase in salaries, incentive compensation and other employee benefits, partially offset by a decrease of $0.4 million in non-cash stock-based compensation. Total stock-based compensation expense for the three months ended June 30, 2018 of $0.5 million is expected to increase notably in future quarters, reflecting the recent valuation of certain employee option grants that were impacted by the significant appreciation in our stock price in recent months.</w:t>
      </w:r>
    </w:p>
    <w:p>
      <w:pPr>
        <w:spacing w:after="0" w:line="178" w:lineRule="exact"/>
        <w:rPr>
          <w:sz w:val="20"/>
          <w:szCs w:val="20"/>
          <w:color w:val="auto"/>
        </w:rPr>
      </w:pPr>
    </w:p>
    <w:p>
      <w:pPr>
        <w:ind w:right="20" w:firstLine="571"/>
        <w:spacing w:after="0" w:line="273" w:lineRule="auto"/>
        <w:rPr>
          <w:sz w:val="20"/>
          <w:szCs w:val="20"/>
          <w:color w:val="auto"/>
        </w:rPr>
      </w:pPr>
      <w:r>
        <w:rPr>
          <w:rFonts w:ascii="Arial" w:cs="Arial" w:eastAsia="Arial" w:hAnsi="Arial"/>
          <w:sz w:val="17"/>
          <w:szCs w:val="17"/>
          <w:i w:val="1"/>
          <w:iCs w:val="1"/>
          <w:color w:val="auto"/>
        </w:rPr>
        <w:t>Other Income and Expense</w:t>
      </w:r>
      <w:r>
        <w:rPr>
          <w:rFonts w:ascii="Arial" w:cs="Arial" w:eastAsia="Arial" w:hAnsi="Arial"/>
          <w:sz w:val="17"/>
          <w:szCs w:val="17"/>
          <w:color w:val="auto"/>
        </w:rPr>
        <w:t>. Other expense for the six months ended June 30, 2018 and 2017 was $62.6 million and $5.4 million, respectively. Other</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for the six months ended June 30, 2018 was primarily comprised of a $56.8 million revaluation loss from the change in fair value of the Series A and Series B warrants due to the significant appreciation in our stock price in recent months, as well as $6.2 million of interest expense associated with the Term Loan Agreement. Other expense for the six months ended June 30, 2017 was primarily comprised of interest expense associated with the Term Loan Agreement. The outstanding principal balances under the Term Loan Agreement were $82.7 million and $81.9 million as of June 30, 2018 and June 30, 2017, respectively. Other income for both periods presented was not significant.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571"/>
        <w:spacing w:after="0" w:line="264" w:lineRule="auto"/>
        <w:rPr>
          <w:sz w:val="20"/>
          <w:szCs w:val="20"/>
          <w:color w:val="auto"/>
        </w:rPr>
      </w:pPr>
      <w:r>
        <w:rPr>
          <w:rFonts w:ascii="Arial" w:cs="Arial" w:eastAsia="Arial" w:hAnsi="Arial"/>
          <w:sz w:val="18"/>
          <w:szCs w:val="18"/>
          <w:color w:val="auto"/>
        </w:rPr>
        <w:t>As of June 30, 2018, we had $96.5 million in cash and cash equivalents and short-term investments, which included $10.0 million of restricted cash as required by the Term Loan Agreement. We believe that our cash and cash equivalents and short-term investments balance is sufficient to satisfy our liquidity requirements for at least the next 12 months from the date of this filing.</w:t>
      </w:r>
    </w:p>
    <w:p>
      <w:pPr>
        <w:spacing w:after="0" w:line="181" w:lineRule="exact"/>
        <w:rPr>
          <w:sz w:val="20"/>
          <w:szCs w:val="20"/>
          <w:color w:val="auto"/>
        </w:rPr>
      </w:pPr>
    </w:p>
    <w:p>
      <w:pPr>
        <w:ind w:right="140" w:firstLine="571"/>
        <w:spacing w:after="0" w:line="277" w:lineRule="auto"/>
        <w:rPr>
          <w:sz w:val="20"/>
          <w:szCs w:val="20"/>
          <w:color w:val="auto"/>
        </w:rPr>
      </w:pPr>
      <w:r>
        <w:rPr>
          <w:rFonts w:ascii="Arial" w:cs="Arial" w:eastAsia="Arial" w:hAnsi="Arial"/>
          <w:sz w:val="18"/>
          <w:szCs w:val="18"/>
          <w:color w:val="auto"/>
        </w:rPr>
        <w:t>Historically, our principal sources of cash have included private placements and public offerings of equity securities, the Term Loan Agreement, and cash collected from product sales. Since the beginning of 2017, we completed the following financings:</w:t>
      </w:r>
    </w:p>
    <w:p>
      <w:pPr>
        <w:spacing w:after="0" w:line="170" w:lineRule="exact"/>
        <w:rPr>
          <w:sz w:val="20"/>
          <w:szCs w:val="20"/>
          <w:color w:val="auto"/>
        </w:rPr>
      </w:pPr>
    </w:p>
    <w:p>
      <w:pPr>
        <w:jc w:val="both"/>
        <w:ind w:left="1340" w:right="160" w:hanging="387"/>
        <w:spacing w:after="0" w:line="264" w:lineRule="auto"/>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February 2018, we completed a registered public offering of 34,500,000 shares of common stock at a public offering price of $2.00 per share. The gross proceeds from the offering were approximately $69.0 million, before deducting underwriting discounts and commissions and other offering expenses.</w:t>
      </w:r>
    </w:p>
    <w:p>
      <w:pPr>
        <w:spacing w:after="0" w:line="181" w:lineRule="exact"/>
        <w:rPr>
          <w:rFonts w:ascii="Arial" w:cs="Arial" w:eastAsia="Arial" w:hAnsi="Arial"/>
          <w:sz w:val="18"/>
          <w:szCs w:val="18"/>
          <w:color w:val="auto"/>
        </w:rPr>
      </w:pPr>
    </w:p>
    <w:p>
      <w:pPr>
        <w:ind w:left="1340" w:right="60" w:hanging="387"/>
        <w:spacing w:after="0" w:line="255" w:lineRule="auto"/>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October 2017, we completed a public offering of common stock, pursuant to which we sold 4,630,000 shares of our common stock, Series A warrants to purchase up to 4,630,000 shares of our common stock and Series B warrants to purchase up to 4,630,000 shares of our common stock at a public offering price of $3.50 per share and accompanying warrants. The gross proceeds to us from this financing were approximately $16.2 million, before deducting underwriting discounts and commissions and other offering expenses payable by us. In the six months ended June 30, 2018, we received proceeds of $29.2 million from the exercise of 8,618,315 outstanding Series A and Series B warrants. As of June 30, 2018, there were Series A warrants to purchase 628,235 shares outstanding and there were no Series B warrants outstanding.</w:t>
      </w:r>
    </w:p>
    <w:p>
      <w:pPr>
        <w:spacing w:after="0" w:line="189" w:lineRule="exact"/>
        <w:rPr>
          <w:rFonts w:ascii="Arial" w:cs="Arial" w:eastAsia="Arial" w:hAnsi="Arial"/>
          <w:sz w:val="18"/>
          <w:szCs w:val="18"/>
          <w:color w:val="auto"/>
        </w:rPr>
      </w:pPr>
    </w:p>
    <w:p>
      <w:pPr>
        <w:ind w:left="1340" w:right="120" w:hanging="387"/>
        <w:spacing w:after="0" w:line="264" w:lineRule="auto"/>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the three months ended September 30, 2017, we sold 464,108 shares of common stock under our “at the market” program at prices ranging from $5.64 to $10.54. The gross proceeds to us from the offering were $4.3 million, before deducting underwriting discounts and commissions and other offering expenses payable by us.</w:t>
      </w:r>
    </w:p>
    <w:p>
      <w:pPr>
        <w:spacing w:after="0" w:line="181" w:lineRule="exact"/>
        <w:rPr>
          <w:rFonts w:ascii="Arial" w:cs="Arial" w:eastAsia="Arial" w:hAnsi="Arial"/>
          <w:sz w:val="18"/>
          <w:szCs w:val="18"/>
          <w:color w:val="auto"/>
        </w:rPr>
      </w:pPr>
    </w:p>
    <w:p>
      <w:pPr>
        <w:ind w:left="1340" w:right="60" w:hanging="387"/>
        <w:spacing w:after="0" w:line="264" w:lineRule="auto"/>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March 2017, we completed a registered public offering of 1,850,000 shares of our common stock at a public offering price of $12.50 per share. The gross proceeds to us from the offering were approximately $23.1 million, before deducting underwriting discounts and commissions and other offering expenses payable by us.</w:t>
      </w:r>
    </w:p>
    <w:p>
      <w:pPr>
        <w:spacing w:after="0" w:line="181" w:lineRule="exact"/>
        <w:rPr>
          <w:sz w:val="20"/>
          <w:szCs w:val="20"/>
          <w:color w:val="auto"/>
        </w:rPr>
      </w:pPr>
    </w:p>
    <w:p>
      <w:pPr>
        <w:ind w:right="20" w:firstLine="571"/>
        <w:spacing w:after="0" w:line="302" w:lineRule="auto"/>
        <w:rPr>
          <w:sz w:val="20"/>
          <w:szCs w:val="20"/>
          <w:color w:val="auto"/>
        </w:rPr>
      </w:pPr>
      <w:r>
        <w:rPr>
          <w:rFonts w:ascii="Arial" w:cs="Arial" w:eastAsia="Arial" w:hAnsi="Arial"/>
          <w:sz w:val="16"/>
          <w:szCs w:val="16"/>
          <w:color w:val="auto"/>
        </w:rPr>
        <w:t>Our historical cash outflows have primarily been associated with cash used for operating activities such as the development and commercialization of our products and expansion and support of our sales, marketing, clinical and customer support organizations, an increase in our R&amp;D activities, the acquisition of intellectual property, expenditures related to increases in our manufacturing capacity and improvements to our manufacturing efficiency, overall facility expansion, and other working capital needs. Additionally, we have used cash for the interest expense associated with our Term Loan Agreement.</w:t>
      </w:r>
    </w:p>
    <w:p>
      <w:pPr>
        <w:spacing w:after="0" w:line="154" w:lineRule="exact"/>
        <w:rPr>
          <w:sz w:val="20"/>
          <w:szCs w:val="20"/>
          <w:color w:val="auto"/>
        </w:rPr>
      </w:pPr>
    </w:p>
    <w:p>
      <w:pPr>
        <w:ind w:right="140" w:firstLine="571"/>
        <w:spacing w:after="0" w:line="257" w:lineRule="auto"/>
        <w:rPr>
          <w:sz w:val="20"/>
          <w:szCs w:val="20"/>
          <w:color w:val="auto"/>
        </w:rPr>
      </w:pPr>
      <w:r>
        <w:rPr>
          <w:rFonts w:ascii="Arial" w:cs="Arial" w:eastAsia="Arial" w:hAnsi="Arial"/>
          <w:sz w:val="18"/>
          <w:szCs w:val="18"/>
          <w:color w:val="auto"/>
        </w:rPr>
        <w:t>We expect our sales performance and the resulting operating income or loss, as well as the status of each of our new product development programs, will significantly impact our cash flow from operations, liquidity position and cash management decisions. Our ability to raise additional financing may be negatively impacted by a number of factors, including our recent and projected financial results, recent changes in and volatility of our stock price, perceptions about the dilutive impact of our recent financing transactions, our current level of indebtedness and debt service costs, the competitive environment in our industry, and uncertainties regarding the regulator environment.</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a summary of our cash flows for the six months ended June 30, 2018 and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2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50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740" w:type="dxa"/>
            <w:vAlign w:val="bottom"/>
            <w:tcBorders>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8"/>
                <w:szCs w:val="18"/>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Operating activities</w:t>
            </w:r>
          </w:p>
        </w:tc>
        <w:tc>
          <w:tcPr>
            <w:tcW w:w="31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(18,995)</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(35,477)</w:t>
            </w: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2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(37,337)</w:t>
            </w: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4,445</w:t>
            </w: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27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93,180</w:t>
            </w:r>
          </w:p>
        </w:tc>
        <w:tc>
          <w:tcPr>
            <w:tcW w:w="2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21,705</w:t>
            </w:r>
          </w:p>
        </w:tc>
        <w:tc>
          <w:tcPr>
            <w:tcW w:w="100" w:type="dxa"/>
            <w:vAlign w:val="bottom"/>
            <w:tcBorders>
              <w:bottom w:val="single" w:sz="8" w:color="CFF0FC"/>
            </w:tcBorders>
          </w:tcPr>
          <w:p>
            <w:pPr>
              <w:spacing w:after="0"/>
              <w:rPr>
                <w:sz w:val="19"/>
                <w:szCs w:val="19"/>
                <w:color w:val="auto"/>
              </w:rPr>
            </w:pPr>
          </w:p>
        </w:tc>
      </w:tr>
      <w:tr>
        <w:trPr>
          <w:trHeight w:val="223"/>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7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36,848</w:t>
            </w:r>
          </w:p>
        </w:tc>
        <w:tc>
          <w:tcPr>
            <w:tcW w:w="2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25" w:name="page26"/>
    <w:bookmarkEnd w:id="25"/>
    <w:p>
      <w:pPr>
        <w:ind w:firstLine="571"/>
        <w:spacing w:after="0" w:line="25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used in operating activities was $19.0 million for the six months ended June 30, 2018, compared to $35.5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2017. The decrease in net cash used in operating activities was primarily associated with a reduction in net loss when adjusted for non-cash expenses, particularly impacted by the change in the fair value of Series A and Series B warrants discussed above, and net changes in working capital. The net changes in working capital were primarily due to higher cash collections from higher revenues and lower cash used for inventory, offset by the amount and timing of annual bonus and incentive-based compensation payments.</w:t>
      </w:r>
    </w:p>
    <w:p>
      <w:pPr>
        <w:spacing w:after="0" w:line="188"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Net cash used in investing activities was $37.3 million for the six months ended June 30, 2018, which was primarily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short-term investments of $40.5 million. Net cash provided by investing activities was $4.4 million for the six months ended June 30, 2017, which was primarily related to sales and maturities of $8.5 million of short-term investments, partially offset by the purchase of $4.1 million of property and equipment.</w:t>
      </w:r>
    </w:p>
    <w:p>
      <w:pPr>
        <w:spacing w:after="0" w:line="187" w:lineRule="exact"/>
        <w:rPr>
          <w:sz w:val="20"/>
          <w:szCs w:val="20"/>
          <w:color w:val="auto"/>
        </w:rPr>
      </w:pPr>
    </w:p>
    <w:p>
      <w:pPr>
        <w:ind w:right="80" w:firstLine="571"/>
        <w:spacing w:after="0" w:line="25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Net cash provided by financing activities was $93.2 million for the six months ended June 30, 2018, which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net proceeds of approximately $64.0 million from the public offering of our common stock in February 2018, as well as proceeds of $29.2 million from the exercise of Series A and Series B warrants issued in the public offering of common stock in October 2017. Net cash provided by financing activities was $21.7 million for the six months ended June 30, 2017, which was primarily the result of net proceeds of $21.1 million from the public offering of our common stock in March 2017.</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liquidity position and capital requirements are subject to fluctuation based on a number of factors, including the following:</w:t>
      </w:r>
    </w:p>
    <w:p>
      <w:pPr>
        <w:spacing w:after="0" w:line="225" w:lineRule="exact"/>
        <w:rPr>
          <w:sz w:val="20"/>
          <w:szCs w:val="20"/>
          <w:color w:val="auto"/>
        </w:rPr>
      </w:pPr>
    </w:p>
    <w:p>
      <w:pPr>
        <w:ind w:left="1340" w:hanging="387"/>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generate sales, the timing of those sales and the collection of receivables from period to period;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amount of any additional financings, including the exercise of the remaining Series A warrants;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gross margins and operating margins;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working capital.</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primary short-term capital needs, which are subject to change, include expenditures related to:</w:t>
      </w:r>
    </w:p>
    <w:p>
      <w:pPr>
        <w:spacing w:after="0" w:line="225" w:lineRule="exact"/>
        <w:rPr>
          <w:sz w:val="20"/>
          <w:szCs w:val="20"/>
          <w:color w:val="auto"/>
        </w:rPr>
      </w:pPr>
    </w:p>
    <w:p>
      <w:pPr>
        <w:ind w:left="1340" w:hanging="387"/>
        <w:spacing w:after="0"/>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support of our commercialization efforts related to our current and future products;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research and product development efforts, including clinical trial costs;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 of interest due under the Term Loan Agreement;</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 of equipment and other fixed assets;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payments under our licensing, development and commercialization agreements.</w:t>
      </w:r>
    </w:p>
    <w:p>
      <w:pPr>
        <w:spacing w:after="0" w:line="225" w:lineRule="exact"/>
        <w:rPr>
          <w:sz w:val="20"/>
          <w:szCs w:val="20"/>
          <w:color w:val="auto"/>
        </w:rPr>
      </w:pPr>
    </w:p>
    <w:p>
      <w:pPr>
        <w:ind w:right="180" w:firstLine="571"/>
        <w:spacing w:after="0" w:line="273" w:lineRule="auto"/>
        <w:rPr>
          <w:sz w:val="20"/>
          <w:szCs w:val="20"/>
          <w:color w:val="auto"/>
        </w:rPr>
      </w:pPr>
      <w:r>
        <w:rPr>
          <w:rFonts w:ascii="Arial" w:cs="Arial" w:eastAsia="Arial" w:hAnsi="Arial"/>
          <w:sz w:val="17"/>
          <w:szCs w:val="17"/>
          <w:color w:val="auto"/>
        </w:rPr>
        <w:t>Although we believe the foregoing items reflect our most likely uses of cash in the short-term, we cannot predict with certainty all of our particular cash uses or the timing or amount of cash used. If cash generated from operations is insufficient to satisfy our working capital requirements, we may be required to sell additional equity or debt securities. There can be no assurance that equity or debt financing will be available on satisfactory terms, or at all. Further, any additional equity financing may be dilutive to stockholders, and debt financing may require debt service payments and include restrictive covenants. We may also seek to repay, restructure or refinance our existing indebtedness, including with the proceeds from sales of additional equity or debt securities, which could result in additional dilution, debt service costs and restrictive covenants.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Agreement</w:t>
      </w:r>
    </w:p>
    <w:p>
      <w:pPr>
        <w:spacing w:after="0" w:line="225" w:lineRule="exact"/>
        <w:rPr>
          <w:sz w:val="20"/>
          <w:szCs w:val="20"/>
          <w:color w:val="auto"/>
        </w:rPr>
      </w:pPr>
    </w:p>
    <w:p>
      <w:pPr>
        <w:ind w:right="940" w:firstLine="571"/>
        <w:spacing w:after="0" w:line="277" w:lineRule="auto"/>
        <w:rPr>
          <w:sz w:val="20"/>
          <w:szCs w:val="20"/>
          <w:color w:val="auto"/>
        </w:rPr>
      </w:pPr>
      <w:r>
        <w:rPr>
          <w:rFonts w:ascii="Arial" w:cs="Arial" w:eastAsia="Arial" w:hAnsi="Arial"/>
          <w:sz w:val="18"/>
          <w:szCs w:val="18"/>
          <w:color w:val="auto"/>
        </w:rPr>
        <w:t>We had $82.7 million of aggregate borrowings outstanding under the Term Loan Agreement as of June 30, 2018 and December 31, 2017, respectively.</w:t>
      </w:r>
    </w:p>
    <w:p>
      <w:pPr>
        <w:spacing w:after="0" w:line="170" w:lineRule="exact"/>
        <w:rPr>
          <w:sz w:val="20"/>
          <w:szCs w:val="20"/>
          <w:color w:val="auto"/>
        </w:rPr>
      </w:pPr>
    </w:p>
    <w:p>
      <w:pPr>
        <w:ind w:right="60" w:firstLine="577"/>
        <w:spacing w:after="0" w:line="255" w:lineRule="auto"/>
        <w:rPr>
          <w:sz w:val="20"/>
          <w:szCs w:val="20"/>
          <w:color w:val="auto"/>
        </w:rPr>
      </w:pPr>
      <w:r>
        <w:rPr>
          <w:rFonts w:ascii="Arial" w:cs="Arial" w:eastAsia="Arial" w:hAnsi="Arial"/>
          <w:sz w:val="18"/>
          <w:szCs w:val="18"/>
          <w:color w:val="auto"/>
        </w:rPr>
        <w:t>Under the Term Loan Agreement, interest is payable, at our option, (i) in cash at a rate of 11.5% per annum or (ii) at a rate of 9.5% of the 11.5% per annum in cash and 2.0% of the 11.5% per annum to be added to the principal of the loan and subject to accruing interest. Interest-only payments are due quarterly on March 31, June 30, September 30 and December 31 of each year of the interest-only payment period, which ends on December 31, 2019. The principal balance is due in full on the maturity date of the Term Loan Agreement, which is March 31, 2020. We had elected to pay interest in cash at a rate of 11.5% per annum through September 30, 2015. From October 1, 2015 through December 31, 2017, we elected to pay interest in cash at a rate of 9.5% per annum and to have 2.0% per annum added to the principal of the loan. As a result, $2.7 million was added to the principal of the loan during that time period, which we refer to as the PIK Loans.</w:t>
      </w:r>
    </w:p>
    <w:p>
      <w:pPr>
        <w:spacing w:after="0" w:line="189" w:lineRule="exact"/>
        <w:rPr>
          <w:sz w:val="20"/>
          <w:szCs w:val="20"/>
          <w:color w:val="auto"/>
        </w:rPr>
      </w:pPr>
    </w:p>
    <w:p>
      <w:pPr>
        <w:ind w:right="220" w:firstLine="571"/>
        <w:spacing w:after="0" w:line="277" w:lineRule="auto"/>
        <w:rPr>
          <w:sz w:val="20"/>
          <w:szCs w:val="20"/>
          <w:color w:val="auto"/>
        </w:rPr>
      </w:pPr>
      <w:r>
        <w:rPr>
          <w:rFonts w:ascii="Arial" w:cs="Arial" w:eastAsia="Arial" w:hAnsi="Arial"/>
          <w:sz w:val="18"/>
          <w:szCs w:val="18"/>
          <w:color w:val="auto"/>
        </w:rPr>
        <w:t>The loan is collateralized by all of our assets. The principal financial covenants require that we attain minimum annual revenues of $95.0 million in 2018 and each year thereafter until the end of the term of the loan.</w:t>
      </w:r>
    </w:p>
    <w:p>
      <w:pPr>
        <w:spacing w:after="0" w:line="170" w:lineRule="exact"/>
        <w:rPr>
          <w:sz w:val="20"/>
          <w:szCs w:val="20"/>
          <w:color w:val="auto"/>
        </w:rPr>
      </w:pPr>
    </w:p>
    <w:p>
      <w:pPr>
        <w:ind w:firstLine="577"/>
        <w:spacing w:after="0" w:line="259" w:lineRule="auto"/>
        <w:rPr>
          <w:sz w:val="20"/>
          <w:szCs w:val="20"/>
          <w:color w:val="auto"/>
        </w:rPr>
      </w:pPr>
      <w:r>
        <w:rPr>
          <w:rFonts w:ascii="Arial" w:cs="Arial" w:eastAsia="Arial" w:hAnsi="Arial"/>
          <w:sz w:val="18"/>
          <w:szCs w:val="18"/>
          <w:color w:val="auto"/>
        </w:rPr>
        <w:t>In connection with the Third Amendment, we previously agreed to pay, on the earlier of (i) the maturity date of the Term Loan Agreement, which is March 31, 2020, (ii) the date that the loan under the Term Loan Agreement becomes due, and (iii) the date on which we make a voluntary pre-payment of the loan, a financing fee equal to 3.0% of the sum of (x) the aggregate amount drawn under the Third Amendment, and (y) any PIK Loans issued in relation to the Third Amendment, or the Back End Financing Fee.</w:t>
      </w:r>
    </w:p>
    <w:p>
      <w:pPr>
        <w:spacing w:after="0" w:line="187" w:lineRule="exact"/>
        <w:rPr>
          <w:sz w:val="20"/>
          <w:szCs w:val="20"/>
          <w:color w:val="auto"/>
        </w:rPr>
      </w:pPr>
    </w:p>
    <w:p>
      <w:pPr>
        <w:ind w:right="120" w:firstLine="647"/>
        <w:spacing w:after="0" w:line="259" w:lineRule="auto"/>
        <w:rPr>
          <w:sz w:val="20"/>
          <w:szCs w:val="20"/>
          <w:color w:val="auto"/>
        </w:rPr>
      </w:pPr>
      <w:r>
        <w:rPr>
          <w:rFonts w:ascii="Arial" w:cs="Arial" w:eastAsia="Arial" w:hAnsi="Arial"/>
          <w:sz w:val="18"/>
          <w:szCs w:val="18"/>
          <w:color w:val="auto"/>
        </w:rPr>
        <w:t>Pursuant to the Fourth Amendment, we agreed to increase the Back End Financing Fee to 5.0% of the entire aggregate principal amount of borrowings outstanding, including total PIK Loans issued, under the Term Loan Agreement. The Back End Financing Fee is payable at maturity of our loans and on the principal amount of any loans for which we make an optional prepayment, and may be payable in connection with asset sales not permitted under the Term Loan Agreement or a change of control.</w:t>
      </w:r>
    </w:p>
    <w:p>
      <w:pPr>
        <w:spacing w:after="0" w:line="187" w:lineRule="exact"/>
        <w:rPr>
          <w:sz w:val="20"/>
          <w:szCs w:val="20"/>
          <w:color w:val="auto"/>
        </w:rPr>
      </w:pPr>
    </w:p>
    <w:p>
      <w:pPr>
        <w:ind w:right="40" w:firstLine="647"/>
        <w:spacing w:after="0" w:line="257" w:lineRule="auto"/>
        <w:rPr>
          <w:sz w:val="20"/>
          <w:szCs w:val="20"/>
          <w:color w:val="auto"/>
        </w:rPr>
      </w:pPr>
      <w:r>
        <w:rPr>
          <w:rFonts w:ascii="Arial" w:cs="Arial" w:eastAsia="Arial" w:hAnsi="Arial"/>
          <w:sz w:val="18"/>
          <w:szCs w:val="18"/>
          <w:color w:val="auto"/>
        </w:rPr>
        <w:t>In February 2018, we entered into the Fifth Amendment, which included a limited advance waiver of a potential event of default in the event that the audit report and opinion of our independent registered public accounting firm for the year ended December 31, 2017 included an explanatory paragraph that described conditions that raised substantial doubt about our ability to continue as a going concern. In connection with the Fifth Amendment, we agreed to increase the Back End Financing Fee from 5.0% to 6.0% of the entire aggregate principal amount of borrowings outstanding under the Term Loan Agreement. As of June 30, 2018, we had accrued $5.0 million for the Back End Financing Fee.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20" w:firstLine="577"/>
        <w:spacing w:after="0" w:line="273" w:lineRule="auto"/>
        <w:rPr>
          <w:sz w:val="20"/>
          <w:szCs w:val="20"/>
          <w:color w:val="auto"/>
        </w:rPr>
      </w:pPr>
      <w:r>
        <w:rPr>
          <w:rFonts w:ascii="Arial" w:cs="Arial" w:eastAsia="Arial" w:hAnsi="Arial"/>
          <w:sz w:val="17"/>
          <w:szCs w:val="17"/>
          <w:color w:val="auto"/>
        </w:rPr>
        <w:t>Our discussion and analysis of our financial condition and results of operations are based on our financial statements, which have been prepared in accordance with U.S. GAAP. The preparation of these financial statements requires management to make estimates and judgments that affect the reported amounts of assets, liabilities, revenues and expenses and the disclosure of contingent assets and liabilities in our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w:t>
      </w:r>
    </w:p>
    <w:p>
      <w:pPr>
        <w:spacing w:after="0" w:line="178" w:lineRule="exact"/>
        <w:rPr>
          <w:sz w:val="20"/>
          <w:szCs w:val="20"/>
          <w:color w:val="auto"/>
        </w:rPr>
      </w:pPr>
    </w:p>
    <w:p>
      <w:pPr>
        <w:ind w:right="180" w:firstLine="577"/>
        <w:spacing w:after="0" w:line="259" w:lineRule="auto"/>
        <w:rPr>
          <w:sz w:val="20"/>
          <w:szCs w:val="20"/>
          <w:color w:val="auto"/>
        </w:rPr>
      </w:pPr>
      <w:r>
        <w:rPr>
          <w:rFonts w:ascii="Arial" w:cs="Arial" w:eastAsia="Arial" w:hAnsi="Arial"/>
          <w:sz w:val="18"/>
          <w:szCs w:val="18"/>
          <w:color w:val="auto"/>
        </w:rPr>
        <w:t>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the Annual Report other than adoption of the new revenue recognition standard (“Revenue from Contracts with Customers Standard”). Refer to the disclosures in the Notes to Unaudited Condensed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June 30, 2018, we did not have any off-balance sheet arrangements.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We invest our excess cash primarily in commercial paper, government-sponsored enterprise securities and U.S. government treasury securities. Some of the financial instruments in which we invest have market risk associated with them, in that a change in prevailing interest rates may cause the principal amount of the instrument to fluctuate. Other financial instruments in which we invest potentially subject us to credit risk, in that the value of the instrument may fluctuate based on the issuer’s ability to pay.</w:t>
      </w:r>
    </w:p>
    <w:p>
      <w:pPr>
        <w:spacing w:after="0" w:line="187" w:lineRule="exact"/>
        <w:rPr>
          <w:sz w:val="20"/>
          <w:szCs w:val="20"/>
          <w:color w:val="auto"/>
        </w:rPr>
      </w:pPr>
    </w:p>
    <w:p>
      <w:pPr>
        <w:ind w:right="20" w:firstLine="571"/>
        <w:spacing w:after="0" w:line="264" w:lineRule="auto"/>
        <w:rPr>
          <w:sz w:val="20"/>
          <w:szCs w:val="20"/>
          <w:color w:val="auto"/>
        </w:rPr>
      </w:pPr>
      <w:r>
        <w:rPr>
          <w:rFonts w:ascii="Arial" w:cs="Arial" w:eastAsia="Arial" w:hAnsi="Arial"/>
          <w:sz w:val="18"/>
          <w:szCs w:val="18"/>
          <w:color w:val="auto"/>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81" w:lineRule="exact"/>
        <w:rPr>
          <w:sz w:val="20"/>
          <w:szCs w:val="20"/>
          <w:color w:val="auto"/>
        </w:rPr>
      </w:pPr>
    </w:p>
    <w:p>
      <w:pPr>
        <w:ind w:right="40" w:firstLine="571"/>
        <w:spacing w:after="0" w:line="264" w:lineRule="auto"/>
        <w:rPr>
          <w:sz w:val="20"/>
          <w:szCs w:val="20"/>
          <w:color w:val="auto"/>
        </w:rPr>
      </w:pPr>
      <w:r>
        <w:rPr>
          <w:rFonts w:ascii="Arial" w:cs="Arial" w:eastAsia="Arial" w:hAnsi="Arial"/>
          <w:sz w:val="18"/>
          <w:szCs w:val="18"/>
          <w:color w:val="auto"/>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June 30, 2018, this change would not have had a material effect on the fair value of our investment portfolio as of that date.</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interest rate under the Term Loan Agreement is fixed and not subject to changes in market interest rates.</w:t>
      </w:r>
    </w:p>
    <w:p>
      <w:pPr>
        <w:spacing w:after="0" w:line="225" w:lineRule="exact"/>
        <w:rPr>
          <w:sz w:val="20"/>
          <w:szCs w:val="20"/>
          <w:color w:val="auto"/>
        </w:rPr>
      </w:pPr>
    </w:p>
    <w:p>
      <w:pPr>
        <w:ind w:right="20" w:firstLine="571"/>
        <w:spacing w:after="0" w:line="272" w:lineRule="auto"/>
        <w:rPr>
          <w:sz w:val="20"/>
          <w:szCs w:val="20"/>
          <w:color w:val="auto"/>
        </w:rPr>
      </w:pPr>
      <w:r>
        <w:rPr>
          <w:rFonts w:ascii="Arial" w:cs="Arial" w:eastAsia="Arial" w:hAnsi="Arial"/>
          <w:sz w:val="17"/>
          <w:szCs w:val="17"/>
          <w:color w:val="auto"/>
        </w:rPr>
        <w:t>Our operations are located in the United States, and nearly all of our sales since inception have been made in U.S. dollars. While we plan to begin commercialization of t:slim X2 in select geographies outside the U.S., we expect the significant majority of our sales will continue to be made in U.S. dollars for the foreseeable future. Accordingly, we do not currently have or expect to have any material exposure to foreign currency rate fluctuations. From time to time, we may have foreign currency exchange risk associated with currency exposure related to existing assets and liabilities, committed transactions and forecasted future cash flows. In certain circumstances, we may seek to manage such foreign exchange risk by using derivative instruments such as foreign exchange forward contracts to hedge our risks. In general, we may hedge material foreign exchange exposures up to 12 months in advance. However, we may choose not to hedge some exposures for a variety of reasons including prohibitive economic costs.</w:t>
      </w:r>
    </w:p>
    <w:p>
      <w:pPr>
        <w:spacing w:after="0" w:line="1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588"/>
        <w:spacing w:after="0" w:line="287"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and Exchange Act of 1934, as amended, or the Exchange Act, that are designed to ensure that information required to be disclosed in our periodic and current reports that we file with the Securities and Exchange Commission, or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Control systems can also be circumvented by the individual acts of some persons, by collusion of two or more people, or by management override of the control. Because of the inherent limitations in a cost-effective control system, misstatements due to error or fraud may occur and not be detected.</w:t>
      </w:r>
    </w:p>
    <w:p>
      <w:pPr>
        <w:spacing w:after="0" w:line="169" w:lineRule="exact"/>
        <w:rPr>
          <w:sz w:val="20"/>
          <w:szCs w:val="20"/>
          <w:color w:val="auto"/>
        </w:rPr>
      </w:pPr>
    </w:p>
    <w:p>
      <w:pPr>
        <w:ind w:right="440" w:firstLine="518"/>
        <w:spacing w:after="0" w:line="259" w:lineRule="auto"/>
        <w:rPr>
          <w:sz w:val="20"/>
          <w:szCs w:val="20"/>
          <w:color w:val="auto"/>
        </w:rPr>
      </w:pPr>
      <w:r>
        <w:rPr>
          <w:rFonts w:ascii="Arial" w:cs="Arial" w:eastAsia="Arial" w:hAnsi="Arial"/>
          <w:sz w:val="18"/>
          <w:szCs w:val="18"/>
          <w:color w:val="auto"/>
        </w:rPr>
        <w:t>As of June 30, 2018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the reasonable assurance level as of June 30,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We completed the implementation of a new enterprise resource and accounting system during the second quarter of 2018. During each phase of the implementation, an appropriate level of employee training, testing of the system and monitoring of the financial results recorded in the system was conducted. This migration to a new system represents a material change in internal control over financial reporting. Accordingly, our system of internal control over financial reporting has been updated.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8" w:name="page29"/>
    <w:bookmarkEnd w:id="28"/>
    <w:p>
      <w:pPr>
        <w:ind w:firstLine="571"/>
        <w:spacing w:after="0" w:line="264" w:lineRule="auto"/>
        <w:rPr>
          <w:sz w:val="20"/>
          <w:szCs w:val="20"/>
          <w:color w:val="auto"/>
        </w:rPr>
      </w:pPr>
      <w:r>
        <w:rPr>
          <w:rFonts w:ascii="Arial" w:cs="Arial" w:eastAsia="Arial" w:hAnsi="Arial"/>
          <w:sz w:val="18"/>
          <w:szCs w:val="18"/>
          <w:color w:val="auto"/>
        </w:rPr>
        <w:t>Other than the foregoing, there were no changes in our internal control over financial reporting (as defined in Rules 13a-15(f) and 15d-15(f) of the Exchange Act) during the quarter ended June 30, 2018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firstLine="571"/>
        <w:spacing w:after="0" w:line="297" w:lineRule="auto"/>
        <w:rPr>
          <w:sz w:val="20"/>
          <w:szCs w:val="20"/>
          <w:color w:val="auto"/>
        </w:rPr>
      </w:pPr>
      <w:r>
        <w:rPr>
          <w:rFonts w:ascii="Arial" w:cs="Arial" w:eastAsia="Arial" w:hAnsi="Arial"/>
          <w:sz w:val="16"/>
          <w:szCs w:val="16"/>
          <w:color w:val="auto"/>
        </w:rPr>
        <w:t>From time to time, we are involved in various legal proceedings, disputes and other claims arising in the ordinary course of our business, including actions with respect to intellectual property, employment, product liability and contractual matters. Although the results of legal proceedings and claims cannot be predicted with certainty, we currently believe that the final outcome of these ordinary course matters will not, individually or in the aggregate, have a material adverse effect on our business, financial position, results of operations, cash flows or future prospects. However, regardless of the outcome, legal proceedings and claims can have an adverse impact on us because of legal costs, diversion of management time and resources, and other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i w:val="1"/>
          <w:iCs w:val="1"/>
          <w:color w:val="auto"/>
        </w:rPr>
        <w:t>An investment in our common stock involves risks. You should consider carefully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 Certain statements below are forward-looking statements.</w:t>
      </w:r>
    </w:p>
    <w:p>
      <w:pPr>
        <w:spacing w:after="0" w:line="193"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i w:val="1"/>
          <w:iCs w:val="1"/>
          <w:color w:val="auto"/>
        </w:rPr>
        <w:t>The risk factors set forth below marked with an asterisk (*) next to the title contain changes to the description of the risk factors previously disclosed in Part I, Item 1A of the Annual Report.</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operating losses since inception and cannot assure you that we will achieve profitability.*</w:t>
      </w:r>
    </w:p>
    <w:p>
      <w:pPr>
        <w:spacing w:after="0" w:line="225" w:lineRule="exact"/>
        <w:rPr>
          <w:sz w:val="20"/>
          <w:szCs w:val="20"/>
          <w:color w:val="auto"/>
        </w:rPr>
      </w:pPr>
    </w:p>
    <w:p>
      <w:pPr>
        <w:ind w:right="180" w:firstLine="629"/>
        <w:spacing w:after="0" w:line="257" w:lineRule="auto"/>
        <w:rPr>
          <w:sz w:val="20"/>
          <w:szCs w:val="20"/>
          <w:color w:val="auto"/>
        </w:rPr>
      </w:pPr>
      <w:r>
        <w:rPr>
          <w:rFonts w:ascii="Arial" w:cs="Arial" w:eastAsia="Arial" w:hAnsi="Arial"/>
          <w:sz w:val="18"/>
          <w:szCs w:val="18"/>
          <w:color w:val="auto"/>
        </w:rPr>
        <w:t>Since our inception in January 2006, we have incurred a significant net loss. As of June 30, 2018, we had an accumulated deficit of $569.5 million. To date, we have financed our operations primarily through public and private sales of our equity securities, the Term Loan Agreement, and cash collected from sales of our products. We have devoted substantially all of our resources to the development and commercialization of our products, the scaling of our manufacturing operations and commercial organization, the research and development of our current products and products under development, and the assembly of a management team to manage our business.</w:t>
      </w:r>
    </w:p>
    <w:p>
      <w:pPr>
        <w:spacing w:after="0" w:line="188" w:lineRule="exact"/>
        <w:rPr>
          <w:sz w:val="20"/>
          <w:szCs w:val="20"/>
          <w:color w:val="auto"/>
        </w:rPr>
      </w:pPr>
    </w:p>
    <w:p>
      <w:pPr>
        <w:ind w:firstLine="629"/>
        <w:spacing w:after="0" w:line="255" w:lineRule="auto"/>
        <w:rPr>
          <w:sz w:val="20"/>
          <w:szCs w:val="20"/>
          <w:color w:val="auto"/>
        </w:rPr>
      </w:pPr>
      <w:r>
        <w:rPr>
          <w:rFonts w:ascii="Arial" w:cs="Arial" w:eastAsia="Arial" w:hAnsi="Arial"/>
          <w:sz w:val="18"/>
          <w:szCs w:val="18"/>
          <w:color w:val="auto"/>
        </w:rPr>
        <w:t>We began commercial sales of our first commercial product, the t:slim Insulin Delivery System, or t:slim, in the third quarter of 2012. In October 2016, we launched t:slim X2, our next-generation flagship pump, and in August 2017, we commenced commercial sales of t:slim X2 with G5 integration. The t:slim X2 hardware platform now represents nearly 100% of new pump shipments. In June 2018, we received FDA approval to sell our new t:slim X2 with Basal-IQ technology, which is integrated with Dexcom G6 CGM. We intend to commence sales and shipments of the t:slim X2 with Basal-IQ technology in the United States during the third quarter of 2018. In addition, during the second quarter of 2018, we received CE Mark approval for our t:slim X2 with G5 integration. We intend to commence sales and shipments of our t:slim X2 with G5 integration in select markets outside the United States during the second half of 2018.</w:t>
      </w:r>
    </w:p>
    <w:p>
      <w:pPr>
        <w:spacing w:after="0" w:line="189" w:lineRule="exact"/>
        <w:rPr>
          <w:sz w:val="20"/>
          <w:szCs w:val="20"/>
          <w:color w:val="auto"/>
        </w:rPr>
      </w:pPr>
    </w:p>
    <w:p>
      <w:pPr>
        <w:ind w:right="20" w:firstLine="629"/>
        <w:spacing w:after="0" w:line="259" w:lineRule="auto"/>
        <w:rPr>
          <w:sz w:val="20"/>
          <w:szCs w:val="20"/>
          <w:color w:val="auto"/>
        </w:rPr>
      </w:pPr>
      <w:r>
        <w:rPr>
          <w:rFonts w:ascii="Arial" w:cs="Arial" w:eastAsia="Arial" w:hAnsi="Arial"/>
          <w:sz w:val="18"/>
          <w:szCs w:val="18"/>
          <w:color w:val="auto"/>
        </w:rPr>
        <w:t>Since the first quarter of 2013, we have been able to manufacture and sell our insulin pump products at a cost and in volumes sufficient to allow us to achieve a positive overall gross margin. For the years ended December 31, 2017 and 2016, our gross profit was $44.1 million and $23.6 million, respectively. Although we have achieved a positive overall gross margin, we still operate at a significant net loss and expect that we will continue to do so for at least the next two years.</w:t>
      </w:r>
    </w:p>
    <w:p>
      <w:pPr>
        <w:spacing w:after="0" w:line="187" w:lineRule="exact"/>
        <w:rPr>
          <w:sz w:val="20"/>
          <w:szCs w:val="20"/>
          <w:color w:val="auto"/>
        </w:rPr>
      </w:pPr>
    </w:p>
    <w:p>
      <w:pPr>
        <w:ind w:right="340" w:firstLine="629"/>
        <w:spacing w:after="0" w:line="297" w:lineRule="auto"/>
        <w:rPr>
          <w:sz w:val="20"/>
          <w:szCs w:val="20"/>
          <w:color w:val="auto"/>
        </w:rPr>
      </w:pPr>
      <w:r>
        <w:rPr>
          <w:rFonts w:ascii="Arial" w:cs="Arial" w:eastAsia="Arial" w:hAnsi="Arial"/>
          <w:sz w:val="16"/>
          <w:szCs w:val="16"/>
          <w:color w:val="auto"/>
        </w:rPr>
        <w:t>To implement our business strategy and achieve profitability, we need to, among other things, increase sales of our products and the gross profit associated with those sales, maintain an appropriate customer service and support infrastructure, fund ongoing research and development activities, create additional efficiencies in our manufacturing processes, and obtain regulatory clearance or approval to commercialize our products currently under development both domestically and internationally. Our expenses may continue to increase as we pursue these objectives and make investments in our business. Additional increases in our expenses without commensurate increases in sales could significantly increase our operating losses.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 w:name="page31"/>
    <w:bookmarkEnd w:id="30"/>
    <w:p>
      <w:pPr>
        <w:ind w:right="100" w:firstLine="623"/>
        <w:spacing w:after="0" w:line="302" w:lineRule="auto"/>
        <w:rPr>
          <w:sz w:val="20"/>
          <w:szCs w:val="20"/>
          <w:color w:val="auto"/>
        </w:rPr>
      </w:pPr>
      <w:r>
        <w:rPr>
          <w:rFonts w:ascii="Arial" w:cs="Arial" w:eastAsia="Arial" w:hAnsi="Arial"/>
          <w:sz w:val="16"/>
          <w:szCs w:val="16"/>
          <w:color w:val="auto"/>
        </w:rPr>
        <w:t>The extent of our future operating losses and the timing of our profitability are highly uncertain in light of a number of factors, including the timing of the launch of new products and product features by us and our competitors, market acceptance of our products and competitive products by people with insulin-dependent diabetes, their caregivers and healthcare providers, and the timing of regulatory approval of new products. Any additional operating losses will have an adverse effect on our stockholders’ equity, and we cannot assure you that we will ever be able to achieve or sustain profitability.</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currently rely on sales of insulin pump products to generate a significant portion of our revenue, and any factors that negatively impact sales of these products may adversely affect our business, financial condition and operating results.*</w:t>
      </w:r>
    </w:p>
    <w:p>
      <w:pPr>
        <w:spacing w:after="0" w:line="170" w:lineRule="exact"/>
        <w:rPr>
          <w:sz w:val="20"/>
          <w:szCs w:val="20"/>
          <w:color w:val="auto"/>
        </w:rPr>
      </w:pPr>
    </w:p>
    <w:p>
      <w:pPr>
        <w:ind w:right="380" w:firstLine="623"/>
        <w:spacing w:after="0" w:line="277" w:lineRule="auto"/>
        <w:rPr>
          <w:sz w:val="20"/>
          <w:szCs w:val="20"/>
          <w:color w:val="auto"/>
        </w:rPr>
      </w:pPr>
      <w:r>
        <w:rPr>
          <w:rFonts w:ascii="Arial" w:cs="Arial" w:eastAsia="Arial" w:hAnsi="Arial"/>
          <w:sz w:val="18"/>
          <w:szCs w:val="18"/>
          <w:color w:val="auto"/>
        </w:rPr>
        <w:t>We generate nearly all of our revenue from the sale of t:slim X2 insulin pumps and the related insulin cartridges and infusion sets. Sales of these products may be negatively impacted by many factors, including:</w:t>
      </w:r>
    </w:p>
    <w:p>
      <w:pPr>
        <w:spacing w:after="0" w:line="76" w:lineRule="exact"/>
        <w:rPr>
          <w:sz w:val="20"/>
          <w:szCs w:val="20"/>
          <w:color w:val="auto"/>
        </w:rPr>
      </w:pPr>
    </w:p>
    <w:p>
      <w:pPr>
        <w:ind w:left="1340" w:hanging="387"/>
        <w:spacing w:after="0"/>
        <w:tabs>
          <w:tab w:leader="none" w:pos="1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market acceptance of the insulin pumps and related products manufactured and sold by our key competitors, including Medtronic;</w:t>
      </w:r>
    </w:p>
    <w:p>
      <w:pPr>
        <w:spacing w:after="0" w:line="236" w:lineRule="exact"/>
        <w:rPr>
          <w:rFonts w:ascii="Arial" w:cs="Arial" w:eastAsia="Arial" w:hAnsi="Arial"/>
          <w:sz w:val="17"/>
          <w:szCs w:val="17"/>
          <w:color w:val="auto"/>
        </w:rPr>
      </w:pPr>
    </w:p>
    <w:p>
      <w:pPr>
        <w:ind w:left="1340" w:right="460" w:hanging="387"/>
        <w:spacing w:after="0" w:line="277" w:lineRule="auto"/>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that breakthroughs for the monitoring, treatment or prevention of diabetes may render our insulin pumps obsolete or less desirable;</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insulin pump products or similar products or technologies;</w:t>
      </w:r>
    </w:p>
    <w:p>
      <w:pPr>
        <w:spacing w:after="0" w:line="225" w:lineRule="exact"/>
        <w:rPr>
          <w:rFonts w:ascii="Arial" w:cs="Arial" w:eastAsia="Arial" w:hAnsi="Arial"/>
          <w:sz w:val="18"/>
          <w:szCs w:val="18"/>
          <w:color w:val="auto"/>
        </w:rPr>
      </w:pPr>
    </w:p>
    <w:p>
      <w:pPr>
        <w:ind w:left="1340" w:right="700" w:hanging="387"/>
        <w:spacing w:after="0" w:line="277" w:lineRule="auto"/>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our Tandem Device Updater to accurately and timely provide customers with remote access to new product features and functionality as anticipated, or our failure to obtain regulatory approval for any such updates;</w:t>
      </w:r>
    </w:p>
    <w:p>
      <w:pPr>
        <w:spacing w:after="0" w:line="170" w:lineRule="exact"/>
        <w:rPr>
          <w:rFonts w:ascii="Arial" w:cs="Arial" w:eastAsia="Arial" w:hAnsi="Arial"/>
          <w:sz w:val="18"/>
          <w:szCs w:val="18"/>
          <w:color w:val="auto"/>
        </w:rPr>
      </w:pPr>
    </w:p>
    <w:p>
      <w:pPr>
        <w:ind w:left="1340" w:right="160" w:hanging="387"/>
        <w:spacing w:after="0" w:line="308" w:lineRule="auto"/>
        <w:tabs>
          <w:tab w:leader="none" w:pos="1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reimbursement rates or policies relating to insulin pumps or similar products or technologies by third-party payors, such as the decision by UnitedHealthcare during 2016 that restricted a majority of its members from accessing our pumps;</w:t>
      </w:r>
    </w:p>
    <w:p>
      <w:pPr>
        <w:spacing w:after="0" w:line="146" w:lineRule="exact"/>
        <w:rPr>
          <w:rFonts w:ascii="Arial" w:cs="Arial" w:eastAsia="Arial" w:hAnsi="Arial"/>
          <w:sz w:val="17"/>
          <w:szCs w:val="17"/>
          <w:color w:val="auto"/>
        </w:rPr>
      </w:pPr>
    </w:p>
    <w:p>
      <w:pPr>
        <w:ind w:left="1340" w:hanging="387"/>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enter into contracts with third-party payors on a timely basis and on acceptable terms;</w:t>
      </w:r>
    </w:p>
    <w:p>
      <w:pPr>
        <w:spacing w:after="0" w:line="225" w:lineRule="exact"/>
        <w:rPr>
          <w:rFonts w:ascii="Arial" w:cs="Arial" w:eastAsia="Arial" w:hAnsi="Arial"/>
          <w:sz w:val="18"/>
          <w:szCs w:val="18"/>
          <w:color w:val="auto"/>
        </w:rPr>
      </w:pPr>
    </w:p>
    <w:p>
      <w:pPr>
        <w:ind w:left="1340" w:right="200" w:hanging="387"/>
        <w:spacing w:after="0" w:line="277" w:lineRule="auto"/>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problems arising from the expansion of our manufacturing capabilities, or destruction, loss, or temporary shutdown of our manufacturing facilities; and</w:t>
      </w:r>
    </w:p>
    <w:p>
      <w:pPr>
        <w:spacing w:after="0" w:line="170" w:lineRule="exact"/>
        <w:rPr>
          <w:rFonts w:ascii="Arial" w:cs="Arial" w:eastAsia="Arial" w:hAnsi="Arial"/>
          <w:sz w:val="18"/>
          <w:szCs w:val="18"/>
          <w:color w:val="auto"/>
        </w:rPr>
      </w:pPr>
    </w:p>
    <w:p>
      <w:pPr>
        <w:ind w:left="1340" w:right="180" w:hanging="387"/>
        <w:spacing w:after="0" w:line="277" w:lineRule="auto"/>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claims that any of our insulin pump products, or any component thereof or related supplies, infringes on patent rights or other intellectual property rights of third parties.</w:t>
      </w:r>
    </w:p>
    <w:p>
      <w:pPr>
        <w:spacing w:after="0" w:line="170" w:lineRule="exact"/>
        <w:rPr>
          <w:sz w:val="20"/>
          <w:szCs w:val="20"/>
          <w:color w:val="auto"/>
        </w:rPr>
      </w:pPr>
    </w:p>
    <w:p>
      <w:pPr>
        <w:ind w:right="560" w:firstLine="629"/>
        <w:spacing w:after="0" w:line="342" w:lineRule="auto"/>
        <w:rPr>
          <w:sz w:val="20"/>
          <w:szCs w:val="20"/>
          <w:color w:val="auto"/>
        </w:rPr>
      </w:pPr>
      <w:r>
        <w:rPr>
          <w:rFonts w:ascii="Arial" w:cs="Arial" w:eastAsia="Arial" w:hAnsi="Arial"/>
          <w:sz w:val="16"/>
          <w:szCs w:val="16"/>
          <w:color w:val="auto"/>
        </w:rPr>
        <w:t>In addition, sales of any of our current or future insulin pump products with CGM integration are subject to the continuation of our applicable agreements with Dexcom, which under some circumstances are subject to termination by Dexcom, with or without cause, on relatively short notice.</w:t>
      </w:r>
    </w:p>
    <w:p>
      <w:pPr>
        <w:spacing w:after="0" w:line="124" w:lineRule="exact"/>
        <w:rPr>
          <w:sz w:val="20"/>
          <w:szCs w:val="20"/>
          <w:color w:val="auto"/>
        </w:rPr>
      </w:pPr>
    </w:p>
    <w:p>
      <w:pPr>
        <w:ind w:firstLine="629"/>
        <w:spacing w:after="0" w:line="291" w:lineRule="auto"/>
        <w:rPr>
          <w:sz w:val="20"/>
          <w:szCs w:val="20"/>
          <w:color w:val="auto"/>
        </w:rPr>
      </w:pPr>
      <w:r>
        <w:rPr>
          <w:rFonts w:ascii="Arial" w:cs="Arial" w:eastAsia="Arial" w:hAnsi="Arial"/>
          <w:sz w:val="16"/>
          <w:szCs w:val="16"/>
          <w:color w:val="auto"/>
        </w:rPr>
        <w:t>Furthermore, sales of our products may be adversely impacted by negative perceptions regarding our financial stability relative to that of our competitors, and our ability to sustain our business operations on a long-term basis. These perceptions may cause people with insulin-dependent diabetes, their caregivers and healthcare providers, as well as independent distributors and third-party payors, to question our ability to continue to sell our products, provide customer service, support our commercial organization, and fulfill our strategic objectives. These concerns may arise from a number of factors, including our recent and projected financial results, recent changes in and volatility of our stock price, perceptions about the dilutive impact of our financing transactions, our current level of indebtedness and debt service costs, the competitive environment in our industry, and uncertainties regarding the regulatory environment. Any such concerns, whether actual or perceived, could cause consumers to delay the purchase of our products or purchase competitive products.</w:t>
      </w:r>
    </w:p>
    <w:p>
      <w:pPr>
        <w:spacing w:after="0" w:line="16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Because we currently rely on sales of our t:slim X2 insulin pump and related products to generate a significant majority of our revenue, any factors that negatively impact sales of these products, or result in sales of these products increasing at a lower rate than expected, could adversely affect our business, financial condition and operating results.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Our ability to maintain and grow our revenue depends in part on retaining a high percentage of our customer base.*</w:t>
      </w:r>
    </w:p>
    <w:p>
      <w:pPr>
        <w:spacing w:after="0" w:line="225"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A key to maintaining and growing our revenue is the retention of a high percentage of our customers due to the potentially significant revenue generated from ongoing purchases of disposable insulin cartridges and other supplies. In addition, our pumps are designed and tested to remain effective for at least four years and a satisfied customer may consider purchasing another product from us when the time comes to replace the pump. We have developed retention programs aimed at our customers, their caregivers and healthcare providers, which include training specific to our products, ongoing support by sales and clinical employees, and 24/7 technical support and customer service. Demand for our products from our existing customers could decline, or could fail to increase in line with our projections, as a result of a number of factors, including the introduction of competitive products, breakthroughs for the monitoring, treatment or prevention of diabetes, changes in reimbursement rates or policies, manufacturing problems, perceived safety or reliability issues with our products or the products of our competitors, the failure to secure regulatory clearance or approvals in a timely manner or at all, or for other reasons. In addition, the retention of our customers may be impacted by negative perceptions regarding our financial stability relative to that of our competitors, and our ability to sustain our business operations on a long-term basis. The failure to retain a high percentage of our customers and increase sales to these customers consistent with our forecasts would have a material adverse effect on our business, financial condition and operating results.</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industry and if we fail to compete successfully against our existing or potential competitors, many of whom have greater resources than us, our sales and operating results may be negatively affected.*</w:t>
      </w:r>
    </w:p>
    <w:p>
      <w:pPr>
        <w:spacing w:after="0" w:line="170" w:lineRule="exact"/>
        <w:rPr>
          <w:sz w:val="20"/>
          <w:szCs w:val="20"/>
          <w:color w:val="auto"/>
        </w:rPr>
      </w:pPr>
    </w:p>
    <w:p>
      <w:pPr>
        <w:ind w:right="80" w:firstLine="571"/>
        <w:spacing w:after="0" w:line="286" w:lineRule="auto"/>
        <w:rPr>
          <w:sz w:val="20"/>
          <w:szCs w:val="20"/>
          <w:color w:val="auto"/>
        </w:rPr>
      </w:pPr>
      <w:r>
        <w:rPr>
          <w:rFonts w:ascii="Arial" w:cs="Arial" w:eastAsia="Arial" w:hAnsi="Arial"/>
          <w:sz w:val="17"/>
          <w:szCs w:val="17"/>
          <w:color w:val="auto"/>
        </w:rPr>
        <w:t>The medical device industry is intensely competitive, subject to rapid change and highly sensitive to the introduction of new products, treatment techniques or technologies, as well as other activities of industry participants. We believe our products compete, and will continue to compete, directly with a number of traditional insulin pumps as well as other methods for the treatment of diabetes, including multiple daily injection, or MDI, therapy.</w:t>
      </w:r>
    </w:p>
    <w:p>
      <w:pPr>
        <w:spacing w:after="0" w:line="166" w:lineRule="exact"/>
        <w:rPr>
          <w:sz w:val="20"/>
          <w:szCs w:val="20"/>
          <w:color w:val="auto"/>
        </w:rPr>
      </w:pPr>
    </w:p>
    <w:p>
      <w:pPr>
        <w:ind w:firstLine="571"/>
        <w:spacing w:after="0" w:line="270" w:lineRule="auto"/>
        <w:rPr>
          <w:sz w:val="20"/>
          <w:szCs w:val="20"/>
          <w:color w:val="auto"/>
        </w:rPr>
      </w:pPr>
      <w:r>
        <w:rPr>
          <w:rFonts w:ascii="Arial" w:cs="Arial" w:eastAsia="Arial" w:hAnsi="Arial"/>
          <w:sz w:val="17"/>
          <w:szCs w:val="17"/>
          <w:color w:val="auto"/>
        </w:rPr>
        <w:t>Our primary competitors are major medical device companies that are either publicly traded companies or divisions or subsidiaries of publicly traded companies. For instance, Medtronic MiniMed, a division of Medtronic, Inc., has been the market leader for many years and has the majority share of the traditional insulin pump market in the United States. However, the market for insulin pumps continues to experience significant changes. For instance, in October 2017, Johnson &amp; Johnson announced its plans to discontinue the operations of Animas and to exit the insulin pump business entirely. Animas designated Medtronic as a preferred partner to facilitate the transition of their respective insulin pump customers. In addition, in late 2017, Eli Lilly &amp; Co. announced that it is developing an insulin pump with AID technology that it intends to launch in the next two to three years. There are also a number of other companies developing and marketing their own insulin delivery systems, including insulin pumps and Bluetooth-enabled insulin pens to support MDI therapy. While these industry changes are significant, it is difficult to know how they will influence our business or the competitive landscape in which we operate. Our key competitors, most notably Medtronic, enjoy several competitive advantages over us, including:</w:t>
      </w:r>
    </w:p>
    <w:p>
      <w:pPr>
        <w:spacing w:after="0" w:line="182" w:lineRule="exact"/>
        <w:rPr>
          <w:sz w:val="20"/>
          <w:szCs w:val="20"/>
          <w:color w:val="auto"/>
        </w:rPr>
      </w:pPr>
    </w:p>
    <w:p>
      <w:pPr>
        <w:ind w:left="1340" w:hanging="38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financial and human resources for sales and marketing, product development, customer service and clinical resources;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ability to respond to competitive pressures and regulatory uncertainty;</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established relationships with healthcare providers, third-party payors and regulatory agencies;</w:t>
      </w:r>
    </w:p>
    <w:p>
      <w:pPr>
        <w:spacing w:after="0" w:line="225" w:lineRule="exact"/>
        <w:rPr>
          <w:rFonts w:ascii="Arial" w:cs="Arial" w:eastAsia="Arial" w:hAnsi="Arial"/>
          <w:sz w:val="18"/>
          <w:szCs w:val="18"/>
          <w:color w:val="auto"/>
        </w:rPr>
      </w:pPr>
    </w:p>
    <w:p>
      <w:pPr>
        <w:ind w:left="1340" w:right="280" w:hanging="387"/>
        <w:spacing w:after="0" w:line="277" w:lineRule="auto"/>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established reputation and name recognition among healthcare providers and other key opinion leaders in the medical industry generally and the diabetes industry in particular;</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market share and established base of customers;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products supported by long-term clinical data;</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larger and more established distribution networks;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ability to cross-sell products or provide incentives to healthcare providers to use their products;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more experience in conducting research and development, manufacturing, clinical trials, and obtaining regulatory approval or clearance.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ind w:firstLine="571"/>
        <w:spacing w:after="0" w:line="259" w:lineRule="auto"/>
        <w:rPr>
          <w:sz w:val="20"/>
          <w:szCs w:val="20"/>
          <w:color w:val="auto"/>
        </w:rPr>
      </w:pPr>
      <w:r>
        <w:rPr>
          <w:rFonts w:ascii="Arial" w:cs="Arial" w:eastAsia="Arial" w:hAnsi="Arial"/>
          <w:sz w:val="18"/>
          <w:szCs w:val="18"/>
          <w:color w:val="auto"/>
        </w:rPr>
        <w:t>In some instances, our competitors offer products that include features that we do not currently offer. For instance, Medtronic offers a traditional insulin pump with a hybrid closed-loop AID functionality and a new CGM system and Insulet offers an insulin pump with a tubeless delivery system that does not utilize an infusion set. These specific features may make the competitive products more desirable to customers and healthcare providers, which could negatively impact sales of our products.</w:t>
      </w:r>
    </w:p>
    <w:p>
      <w:pPr>
        <w:spacing w:after="0" w:line="187" w:lineRule="exact"/>
        <w:rPr>
          <w:sz w:val="20"/>
          <w:szCs w:val="20"/>
          <w:color w:val="auto"/>
        </w:rPr>
      </w:pPr>
    </w:p>
    <w:p>
      <w:pPr>
        <w:ind w:right="120" w:firstLine="571"/>
        <w:spacing w:after="0" w:line="293" w:lineRule="auto"/>
        <w:rPr>
          <w:sz w:val="20"/>
          <w:szCs w:val="20"/>
          <w:color w:val="auto"/>
        </w:rPr>
      </w:pPr>
      <w:r>
        <w:rPr>
          <w:rFonts w:ascii="Arial" w:cs="Arial" w:eastAsia="Arial" w:hAnsi="Arial"/>
          <w:sz w:val="16"/>
          <w:szCs w:val="16"/>
          <w:color w:val="auto"/>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non-exclusive licenses to integrate various generations of Dexcom CGM technology with our insulin pump products. Abbott Laboratories recently launched a new blood glucose monitoring system, which competes with the Dexcom technology and another CGM product has CE mark approval and was recently approved for sale in the United States. Competitive pressures within our industry could negatively impact the financial condition of our business partners, impact their ability to fulfill contractual obligations to us, and result in harm to our financial condition and operating results.</w:t>
      </w:r>
    </w:p>
    <w:p>
      <w:pPr>
        <w:spacing w:after="0" w:line="165" w:lineRule="exact"/>
        <w:rPr>
          <w:sz w:val="20"/>
          <w:szCs w:val="20"/>
          <w:color w:val="auto"/>
        </w:rPr>
      </w:pPr>
    </w:p>
    <w:p>
      <w:pPr>
        <w:ind w:right="200" w:firstLine="571"/>
        <w:spacing w:after="0" w:line="308" w:lineRule="auto"/>
        <w:rPr>
          <w:sz w:val="20"/>
          <w:szCs w:val="20"/>
          <w:color w:val="auto"/>
        </w:rPr>
      </w:pPr>
      <w:r>
        <w:rPr>
          <w:rFonts w:ascii="Arial" w:cs="Arial" w:eastAsia="Arial" w:hAnsi="Arial"/>
          <w:sz w:val="17"/>
          <w:szCs w:val="17"/>
          <w:color w:val="auto"/>
        </w:rPr>
        <w:t>For these and other reasons, we may not be able to compete successfully against our current or potential future competitors. As a result, our product sales may be negatively affected, which could have a material adverse impact on our financial condition and operating results.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Competitive products or other technological developments and breakthroughs for the monitoring, treatment or prevention of diabetes may render our products obsolete or less desirable.*</w:t>
      </w:r>
    </w:p>
    <w:p>
      <w:pPr>
        <w:spacing w:after="0" w:line="170"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Our ability to achieve our strategic objectives will depend, among other things, on our ability to develop and commercialize products for the treatment of diabetes that offer distinct features and functionality, are easy-to-use, receive adequate coverage and reimbursement from third-party payors, and are otherwise more appealing than available alternatives. Our primary competitors, as well as a number of other companies and medical researchers are pursuing new delivery devices, delivery technologies,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192"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Because the insulin-dependent diabetes market is large and growing, we anticipate companies will continue to dedicate significant resources to developing competitive products and technologies. The frequent introduction by competitors of products that are or claim to be superior to our products may create market confusion that may make it difficult to differentiate the benefits of our products over competitive products. In addition, some of our competitors employ aggressive pricing strategies, including the use of discounts, rebates, low 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spacing w:after="0" w:line="100" w:lineRule="exact"/>
        <w:rPr>
          <w:sz w:val="20"/>
          <w:szCs w:val="20"/>
          <w:color w:val="auto"/>
        </w:rPr>
      </w:pPr>
    </w:p>
    <w:p>
      <w:pPr>
        <w:ind w:right="380" w:firstLine="571"/>
        <w:spacing w:after="0" w:line="257" w:lineRule="auto"/>
        <w:rPr>
          <w:sz w:val="20"/>
          <w:szCs w:val="20"/>
          <w:color w:val="auto"/>
        </w:rPr>
      </w:pPr>
      <w:r>
        <w:rPr>
          <w:rFonts w:ascii="Arial" w:cs="Arial" w:eastAsia="Arial" w:hAnsi="Arial"/>
          <w:sz w:val="18"/>
          <w:szCs w:val="18"/>
          <w:color w:val="auto"/>
        </w:rPr>
        <w:t>Moreover, we have designed our products to resemble modern consumer electronic devices to address certain embarrassment and functionality concerns consumers have raised with respect to traditional pumps. The consumer electronics industry is itself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electronics technology, our products may become less desirable.</w:t>
      </w:r>
    </w:p>
    <w:p>
      <w:pPr>
        <w:spacing w:after="0" w:line="188" w:lineRule="exact"/>
        <w:rPr>
          <w:sz w:val="20"/>
          <w:szCs w:val="20"/>
          <w:color w:val="auto"/>
        </w:rPr>
      </w:pPr>
    </w:p>
    <w:p>
      <w:pPr>
        <w:ind w:right="940"/>
        <w:spacing w:after="0" w:line="342" w:lineRule="auto"/>
        <w:rPr>
          <w:sz w:val="20"/>
          <w:szCs w:val="20"/>
          <w:color w:val="auto"/>
        </w:rPr>
      </w:pPr>
      <w:r>
        <w:rPr>
          <w:rFonts w:ascii="Arial" w:cs="Arial" w:eastAsia="Arial" w:hAnsi="Arial"/>
          <w:sz w:val="16"/>
          <w:szCs w:val="16"/>
          <w:b w:val="1"/>
          <w:bCs w:val="1"/>
          <w:i w:val="1"/>
          <w:iCs w:val="1"/>
          <w:color w:val="auto"/>
        </w:rPr>
        <w:t>The failure of our insulin pump and related products to achieve and maintain market acceptance could result in us achieving sales below our expectations, which would cause our business, financial condition and operating results to be materially and adversely affected.*</w:t>
      </w:r>
    </w:p>
    <w:p>
      <w:pPr>
        <w:spacing w:after="0" w:line="124"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Our current business strategy is highly dependent on our insulin pump and related products achieving and maintaining market acceptance. In order for us to sell our products to people with insulin-dependent diabetes, we must convince them, their caregivers and healthcare providers that our products are an attractive alternative to competitive products for the treatment of diabetes, including traditional insulin pump products and MDI therapies, as well as alternative diabetes monitoring, treatment or prevention methodologies. Market acceptance and adoption of our products depends on educating people with diabetes, as well as their caregivers and healthcare providers, about the distinct features, ease-of-use, positive lifestyle impact, and other perceived benefits of our products as compared to competitive products. If we are not successful in convincing existing and potential customers of the benefits of our products, or if we are not able to achieve the support of caregivers and healthcare providers for our products, our sales may decline or we may achieve sales below our expectations.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3" w:name="page34"/>
    <w:bookmarkEnd w:id="33"/>
    <w:p>
      <w:pPr>
        <w:ind w:left="580"/>
        <w:spacing w:after="0"/>
        <w:rPr>
          <w:sz w:val="20"/>
          <w:szCs w:val="20"/>
          <w:color w:val="auto"/>
        </w:rPr>
      </w:pPr>
      <w:r>
        <w:rPr>
          <w:rFonts w:ascii="Arial" w:cs="Arial" w:eastAsia="Arial" w:hAnsi="Arial"/>
          <w:sz w:val="18"/>
          <w:szCs w:val="18"/>
          <w:color w:val="auto"/>
        </w:rPr>
        <w:t>Market acceptance of our products could be negatively impacted by many factors, including:</w:t>
      </w:r>
    </w:p>
    <w:p>
      <w:pPr>
        <w:spacing w:after="0" w:line="225" w:lineRule="exact"/>
        <w:rPr>
          <w:sz w:val="20"/>
          <w:szCs w:val="20"/>
          <w:color w:val="auto"/>
        </w:rPr>
      </w:pPr>
    </w:p>
    <w:p>
      <w:pPr>
        <w:ind w:left="1260" w:right="140" w:hanging="323"/>
        <w:spacing w:after="0" w:line="277" w:lineRule="auto"/>
        <w:rPr>
          <w:sz w:val="20"/>
          <w:szCs w:val="20"/>
          <w:color w:val="auto"/>
        </w:rPr>
      </w:pPr>
      <w:r>
        <w:rPr>
          <w:rFonts w:ascii="Arial" w:cs="Arial" w:eastAsia="Arial" w:hAnsi="Arial"/>
          <w:sz w:val="18"/>
          <w:szCs w:val="18"/>
          <w:color w:val="auto"/>
        </w:rPr>
        <w:t>•the failure of our products to achieve and maintain wide acceptance among people with insulin-dependent diabetes, their caregivers, healthcare providers, third-party payors and key opinion leaders in the diabetes treatment community;</w:t>
      </w:r>
    </w:p>
    <w:p>
      <w:pPr>
        <w:spacing w:after="0" w:line="170" w:lineRule="exact"/>
        <w:rPr>
          <w:sz w:val="20"/>
          <w:szCs w:val="20"/>
          <w:color w:val="auto"/>
        </w:rPr>
      </w:pPr>
    </w:p>
    <w:p>
      <w:pPr>
        <w:ind w:left="1260" w:right="160" w:hanging="323"/>
        <w:spacing w:after="0" w:line="264" w:lineRule="auto"/>
        <w:rPr>
          <w:sz w:val="20"/>
          <w:szCs w:val="20"/>
          <w:color w:val="auto"/>
        </w:rPr>
      </w:pPr>
      <w:r>
        <w:rPr>
          <w:rFonts w:ascii="Arial" w:cs="Arial" w:eastAsia="Arial" w:hAnsi="Arial"/>
          <w:sz w:val="18"/>
          <w:szCs w:val="18"/>
          <w:color w:val="auto"/>
        </w:rPr>
        <w:t>•the failure of our products to provide the features and functionality that people with insulin-dependent diabetes, their caregivers and healthcare providers are seeking in insulin pump products, and to incorporate those features into our products in a timely, cost-effective and user-friendly manner;</w:t>
      </w:r>
    </w:p>
    <w:p>
      <w:pPr>
        <w:spacing w:after="0" w:line="181" w:lineRule="exact"/>
        <w:rPr>
          <w:sz w:val="20"/>
          <w:szCs w:val="20"/>
          <w:color w:val="auto"/>
        </w:rPr>
      </w:pPr>
    </w:p>
    <w:p>
      <w:pPr>
        <w:ind w:left="1260" w:right="400" w:hanging="323"/>
        <w:spacing w:after="0" w:line="277" w:lineRule="auto"/>
        <w:rPr>
          <w:sz w:val="20"/>
          <w:szCs w:val="20"/>
          <w:color w:val="auto"/>
        </w:rPr>
      </w:pPr>
      <w:r>
        <w:rPr>
          <w:rFonts w:ascii="Arial" w:cs="Arial" w:eastAsia="Arial" w:hAnsi="Arial"/>
          <w:sz w:val="18"/>
          <w:szCs w:val="18"/>
          <w:color w:val="auto"/>
        </w:rPr>
        <w:t>•lack of evidence supporting the safety, ease-of-use or other perceived benefits of our products over competitive products or other currently-available insulin treatment methodologies;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•perceived risks or uncertainties associated with the use of our insulin pump products or similar products or technologies generally;</w:t>
      </w:r>
    </w:p>
    <w:p>
      <w:pPr>
        <w:spacing w:after="0" w:line="225" w:lineRule="exact"/>
        <w:rPr>
          <w:sz w:val="20"/>
          <w:szCs w:val="20"/>
          <w:color w:val="auto"/>
        </w:rPr>
      </w:pPr>
    </w:p>
    <w:p>
      <w:pPr>
        <w:ind w:left="1260" w:right="100" w:hanging="323"/>
        <w:spacing w:after="0" w:line="277" w:lineRule="auto"/>
        <w:rPr>
          <w:sz w:val="20"/>
          <w:szCs w:val="20"/>
          <w:color w:val="auto"/>
        </w:rPr>
      </w:pPr>
      <w:r>
        <w:rPr>
          <w:rFonts w:ascii="Arial" w:cs="Arial" w:eastAsia="Arial" w:hAnsi="Arial"/>
          <w:sz w:val="18"/>
          <w:szCs w:val="18"/>
          <w:color w:val="auto"/>
        </w:rPr>
        <w:t>•the introduction of competitive products, technologies or treatment techniques and the rate of their acceptance as compared to our insulin pump products;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•adverse regulatory or legal actions relating to our insulin pump products or similar products or technologies;</w:t>
      </w:r>
    </w:p>
    <w:p>
      <w:pPr>
        <w:spacing w:after="0" w:line="225" w:lineRule="exact"/>
        <w:rPr>
          <w:sz w:val="20"/>
          <w:szCs w:val="20"/>
          <w:color w:val="auto"/>
        </w:rPr>
      </w:pPr>
    </w:p>
    <w:p>
      <w:pPr>
        <w:ind w:left="1260" w:hanging="323"/>
        <w:spacing w:after="0" w:line="277" w:lineRule="auto"/>
        <w:rPr>
          <w:sz w:val="20"/>
          <w:szCs w:val="20"/>
          <w:color w:val="auto"/>
        </w:rPr>
      </w:pPr>
      <w:r>
        <w:rPr>
          <w:rFonts w:ascii="Arial" w:cs="Arial" w:eastAsia="Arial" w:hAnsi="Arial"/>
          <w:sz w:val="18"/>
          <w:szCs w:val="18"/>
          <w:color w:val="auto"/>
        </w:rPr>
        <w:t>•discounts, rebates and other financial incentives that our competitors may offer for competitive products that make them more attractive than our products; and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•results of clinical studies relating to our existing products or products under development or similar competitive products.</w:t>
      </w:r>
    </w:p>
    <w:p>
      <w:pPr>
        <w:spacing w:after="0" w:line="225"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In addition, even if we are able to convince people with insulin-dependent diabetes, their caregivers or healthcare providers that our products compare favorably to the products and treatment alternatives offered by our competitors, negative perceptions regarding our financial stability relative to that of our competitors, and our ability to sustain our business operations on a long-term basis, could cause consumers to delay the purchase of our products or to purchase competitive products.</w:t>
      </w:r>
    </w:p>
    <w:p>
      <w:pPr>
        <w:spacing w:after="0" w:line="187"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Furthermore, the rapid evolution of technology and treatment options within our industry may cause consumers to delay the purchase of our products in anticipation of advancements, or the perception that advancements could occur, in our products or the products offered by our competitors. It is also possible that consumers interested in purchasing any of our future products currently under development may delay the purchase of one of our current products.</w:t>
      </w:r>
    </w:p>
    <w:p>
      <w:pPr>
        <w:spacing w:after="0" w:line="187" w:lineRule="exact"/>
        <w:rPr>
          <w:sz w:val="20"/>
          <w:szCs w:val="20"/>
          <w:color w:val="auto"/>
        </w:rPr>
      </w:pPr>
    </w:p>
    <w:p>
      <w:pPr>
        <w:ind w:right="140" w:firstLine="571"/>
        <w:spacing w:after="0" w:line="277" w:lineRule="auto"/>
        <w:rPr>
          <w:sz w:val="20"/>
          <w:szCs w:val="20"/>
          <w:color w:val="auto"/>
        </w:rPr>
      </w:pPr>
      <w:r>
        <w:rPr>
          <w:rFonts w:ascii="Arial" w:cs="Arial" w:eastAsia="Arial" w:hAnsi="Arial"/>
          <w:sz w:val="18"/>
          <w:szCs w:val="18"/>
          <w:color w:val="auto"/>
        </w:rPr>
        <w:t>If our insulin pump products do not achieve and maintain widespread market acceptance, we may fail to achieve sales at or above our projections, in which case our business, financial condition and operating results could be materially and adversely affected.</w:t>
      </w:r>
    </w:p>
    <w:p>
      <w:pPr>
        <w:spacing w:after="0" w:line="170"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Our ability to achieve profitability will depend, in part, on our ability to reduce the per unit cost of our products by increasing production volume and manufacturing efficiency, including by reducing raw material, labor, product-training, expected warranty and manufacturing overhead costs per unit.*</w:t>
      </w:r>
    </w:p>
    <w:p>
      <w:pPr>
        <w:spacing w:after="0" w:line="101" w:lineRule="exact"/>
        <w:rPr>
          <w:sz w:val="20"/>
          <w:szCs w:val="20"/>
          <w:color w:val="auto"/>
        </w:rPr>
      </w:pPr>
    </w:p>
    <w:p>
      <w:pPr>
        <w:ind w:right="160" w:firstLine="571"/>
        <w:spacing w:after="0" w:line="273" w:lineRule="auto"/>
        <w:rPr>
          <w:sz w:val="20"/>
          <w:szCs w:val="20"/>
          <w:color w:val="auto"/>
        </w:rPr>
      </w:pPr>
      <w:r>
        <w:rPr>
          <w:rFonts w:ascii="Arial" w:cs="Arial" w:eastAsia="Arial" w:hAnsi="Arial"/>
          <w:sz w:val="17"/>
          <w:szCs w:val="17"/>
          <w:color w:val="auto"/>
        </w:rPr>
        <w:t>We believe our ability to reduce the per unit cost of our insulin pump products and related products will have a significant impact on our ability to achieve profitability. Our cost of sales includes raw material procurement costs, labor costs, product training expenses, warranty, scrap and inventory excess and obsolescence. It also includes manufacturing overhead costs, including expenses relating to quality assurance, inventory control, facilities, equipment, information technology and operations management. If we are unable to sustain or reduce our overall cost of sales, including through arrangements such as volume purchase discounts, negotiation of improved pricing, more efficient training programs for customers, and improved warranty performance, it will be difficult to reduce our per unit costs and our ability to achieve profitability will be constrained.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ind w:right="40" w:firstLine="571"/>
        <w:spacing w:after="0" w:line="290" w:lineRule="auto"/>
        <w:rPr>
          <w:sz w:val="20"/>
          <w:szCs w:val="20"/>
          <w:color w:val="auto"/>
        </w:rPr>
      </w:pPr>
      <w:r>
        <w:rPr>
          <w:rFonts w:ascii="Arial" w:cs="Arial" w:eastAsia="Arial" w:hAnsi="Arial"/>
          <w:sz w:val="16"/>
          <w:szCs w:val="16"/>
          <w:color w:val="auto"/>
        </w:rPr>
        <w:t>In addition, the per unit cost of our products is significantly impacted by our overall production volumes, and any factors that prevent our products from achieving market acceptance, cause our production volumes to decline, or result in our sales growing at a slower rate than we expect, would significantly impact our expected per unit costs, which would adversely impact our gross margins. In addition, we may not achieve anticipated improvements in manufacturing productivity following the relocation of our manufacturing operations to our Barnes Canyon facility. Furthermore, while we currently believe our proprietary technology platform will allow us to efficiently design and develop new products, changes in the market that require us to modify or replace our existing platform will reduce the efficiencies gained through our platform and could increase our per unit costs or prevent those costs from declining. If we are unable to effectively manage our overall costs while increasing our production volumes and lowering our per unit costs, we may not be able to achieve or sustain profitability, which would have an adverse impact on our business, financial condition and operating results.</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70" w:lineRule="exact"/>
        <w:rPr>
          <w:sz w:val="20"/>
          <w:szCs w:val="20"/>
          <w:color w:val="auto"/>
        </w:rPr>
      </w:pPr>
    </w:p>
    <w:p>
      <w:pPr>
        <w:ind w:firstLine="571"/>
        <w:spacing w:after="0" w:line="297" w:lineRule="auto"/>
        <w:rPr>
          <w:sz w:val="20"/>
          <w:szCs w:val="20"/>
          <w:color w:val="auto"/>
        </w:rPr>
      </w:pPr>
      <w:r>
        <w:rPr>
          <w:rFonts w:ascii="Arial" w:cs="Arial" w:eastAsia="Arial" w:hAnsi="Arial"/>
          <w:sz w:val="16"/>
          <w:szCs w:val="16"/>
          <w:color w:val="auto"/>
        </w:rPr>
        <w:t>We have derived nearly all of our revenue from sales of insulin pumps, and related insulin cartridges and infusion sets, and expect to continue to do so in the foreseeable future. 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both domestically and internationally, is essential to the acceptance of our products by customers.</w:t>
      </w:r>
    </w:p>
    <w:p>
      <w:pPr>
        <w:spacing w:after="0" w:line="158"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As guidelines in setting their coverage and reimbursement policies, many third-party payors in the United States use coverage decisions and payment amounts determined by the Centers for Medicare and Medicaid Services, or CMS, which administers the U.S. Medicare program. Medicare periodically reviews its reimbursement practices for diabetes-related products. Medicare previously implemented a competitive bidding process for blood glucose strip reimbursement, which resulted in a significant reduction in the reimbursement rate for those products. In 2017, Medicare announced, and then shortly thereafter suspended, a competitive bidding process for insulin pumps. As a result, there is uncertainty as to the future Medicare reimbursement rate for our products. In addition, those third-party payors that do not follow the CMS guidelines may adopt different coverage and reimbursement policies for our current and future products. It is possible that some third-party payors will not offer any coverage for our current or future products. For instance, effective July 1, 2016, UnitedHealthcare designated one of our competitors as their preferred, in-network durable medical equipment provider of insulin pumps for most customers over the age of 18. We expect this decision will prevent a majority of UnitedHealthcare members from purchasing an insulin pump from us for the foreseeable future. It is possible that other third-party payors may adopt similar policies in the future, which would adversely impact our ability to sell our products.</w:t>
      </w:r>
    </w:p>
    <w:p>
      <w:pPr>
        <w:spacing w:after="0" w:line="193" w:lineRule="exact"/>
        <w:rPr>
          <w:sz w:val="20"/>
          <w:szCs w:val="20"/>
          <w:color w:val="auto"/>
        </w:rPr>
      </w:pPr>
    </w:p>
    <w:p>
      <w:pPr>
        <w:ind w:firstLine="571"/>
        <w:spacing w:after="0" w:line="269" w:lineRule="auto"/>
        <w:rPr>
          <w:sz w:val="20"/>
          <w:szCs w:val="20"/>
          <w:color w:val="auto"/>
        </w:rPr>
      </w:pPr>
      <w:r>
        <w:rPr>
          <w:rFonts w:ascii="Arial" w:cs="Arial" w:eastAsia="Arial" w:hAnsi="Arial"/>
          <w:sz w:val="17"/>
          <w:szCs w:val="17"/>
          <w:color w:val="auto"/>
        </w:rPr>
        <w:t>We currently have contracts establishing reimbursement for our insulin pump products with approximately 176 national and regional third-party payors in the United States. While we may enter into additional contracts both domestically and internationally, with third-party payors and adding coverage for future products under our current agreements, we cannot guarantee that we will succeed in doing so or that the reimbursement contracts that we are able to negotiate will enable us to sell our products on a profitable basis. In particular, we do not have experience securing reimbursement in international markets. Also, any negative perceptions among third-party payors regarding our financial stability, including our ability to continue to sell and service our products, may make it more difficult to enter into or renew reimbursement contracts with third-party payors. In addition, existing contracts with third-party payors generally can be modified or terminated by the third-party payor without cause and with little or no notice to us. Moreover, compliance with the administrative procedures or requirements of third-party payors may result in delays in processing approvals by those third-party payors for customers to obtain coverage for our products.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83"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face unexpected challenges in marketing and selling our products, and training new customers on the use of our products, which could harm our ability to achieve our sales forecasts.*</w:t>
      </w:r>
    </w:p>
    <w:p>
      <w:pPr>
        <w:spacing w:after="0" w:line="170" w:lineRule="exact"/>
        <w:rPr>
          <w:sz w:val="20"/>
          <w:szCs w:val="20"/>
          <w:color w:val="auto"/>
        </w:rPr>
      </w:pPr>
    </w:p>
    <w:p>
      <w:pPr>
        <w:ind w:right="60" w:firstLine="571"/>
        <w:spacing w:after="0" w:line="279" w:lineRule="auto"/>
        <w:rPr>
          <w:sz w:val="20"/>
          <w:szCs w:val="20"/>
          <w:color w:val="auto"/>
        </w:rPr>
      </w:pPr>
      <w:r>
        <w:rPr>
          <w:rFonts w:ascii="Arial" w:cs="Arial" w:eastAsia="Arial" w:hAnsi="Arial"/>
          <w:sz w:val="17"/>
          <w:szCs w:val="17"/>
          <w:color w:val="auto"/>
        </w:rPr>
        <w:t>We have only limited experience marketing and selling our products as well as training new customers on their use. In addition, the vast majority of our existing customers are individuals with type 1 diabetes, and we have only limited experience marketing and selling our products to customers with type 2 diabetes. We anticipate that selling our products to customers with higher insulin requirements, including customers with type 2 diabetes, may be even more difficult following our decision to discontinue new sales of t:flex pumps in the third quarter of 2018.</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jc w:val="both"/>
        <w:ind w:right="60"/>
        <w:spacing w:after="0" w:line="276" w:lineRule="auto"/>
        <w:rPr>
          <w:sz w:val="20"/>
          <w:szCs w:val="20"/>
          <w:color w:val="auto"/>
        </w:rPr>
      </w:pPr>
      <w:r>
        <w:rPr>
          <w:rFonts w:ascii="Arial" w:cs="Arial" w:eastAsia="Arial" w:hAnsi="Arial"/>
          <w:sz w:val="17"/>
          <w:szCs w:val="17"/>
          <w:color w:val="auto"/>
        </w:rPr>
        <w:t>We expect to derive nearly all of our revenue from the sale of our t:slim X2 insulin pump, and the related insulin cartridges and infusion sets, unless and until we receive regulatory clearance or approval for other products currently under development. As a result, our financial condition and operating results are and will continue to be highly dependent on our ability to adequately promote, market and sell our t:slim X2 insulin pump and related products, and the ability of our diabetes educators to train new customers on the use of our products. If our sales and marketing representatives or diabetes educators fail to achieve their objectives, our sales could decrease or may not increase at levels that are in line with our forecasts.</w:t>
      </w:r>
    </w:p>
    <w:p>
      <w:pPr>
        <w:spacing w:after="0" w:line="1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existing sales, marketing, clinical and customer service infrastructure, we may fail to increase our sales to meet our forecasts.*</w:t>
      </w:r>
    </w:p>
    <w:p>
      <w:pPr>
        <w:spacing w:after="0" w:line="170"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A key element of our business strategy involves our sales, clinical, marketing and customer service personnel driving adoption of our products. We have rapidly increased the number of sales, marketing, clinical and customer service personnel employed by us since the initial commercial launch of t:slim in 2012. However, we have faced considerable challenges in growing and managing these resources, including with respect to recruiting, training and assimilation of new territories and accounts. We expect to continue to face significant challenges as we manage and grow our infrastructure in the future and work to motivate and retain the individuals who make up our existing infrastructure. These challenges may be even greater in connection with our commercial expansion outside the United States. Unexpected turnover among our sales, marketing, clinical and customer service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w:t>
      </w:r>
    </w:p>
    <w:p>
      <w:pPr>
        <w:spacing w:after="0" w:line="169"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We expect the management of our sales, marketing, clinical and customer service personnel will continue to place significant burdens on our management team. 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cause sales to decline.</w:t>
      </w:r>
    </w:p>
    <w:p>
      <w:pPr>
        <w:spacing w:after="0" w:line="18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47" w:lineRule="exact"/>
        <w:rPr>
          <w:sz w:val="20"/>
          <w:szCs w:val="20"/>
          <w:color w:val="auto"/>
        </w:rPr>
      </w:pPr>
    </w:p>
    <w:p>
      <w:pPr>
        <w:ind w:right="80" w:firstLine="577"/>
        <w:spacing w:after="0" w:line="268" w:lineRule="auto"/>
        <w:rPr>
          <w:sz w:val="20"/>
          <w:szCs w:val="20"/>
          <w:color w:val="auto"/>
        </w:rPr>
      </w:pPr>
      <w:r>
        <w:rPr>
          <w:rFonts w:ascii="Arial" w:cs="Arial" w:eastAsia="Arial" w:hAnsi="Arial"/>
          <w:sz w:val="17"/>
          <w:szCs w:val="17"/>
          <w:color w:val="auto"/>
        </w:rPr>
        <w:t>For the year ended December 31, 2017, sales to approximately 35 independent distributors represented approximately 75% of our sales. While our goal in the United States is to ultimately reduce the percentage of our sales to independent distributors over time as we enter into contracts with additional third-party payors, we believe a majority of our sales will continue to be to independent distributors for the foreseeable future, and it is possible that the percentage of our sales to independent distributors could even increase in the near term, particularly in light of our plans to primarily rely on independent distributors outside of the United States. For example, our dependence upon independent distributors could increase if third-party payors decide to contract with independent distributors directly in lieu of contracting with us to supply our products to their members directly. Our dependence upon independent distributors has also increased following our launch of the t:lock for our insulin cartridge, which may continue to result in greater sales of our infusion sets to distributors. Our dependence upon independent distributors could also increase if customers prefer to purchase all of their diabetes supplies through a single source, instead of purchasing pump-related products through us and other diabetes supplies through other suppliers. However, negative perceptions among independent distributors regarding our financial stability, and our ability to sustain our business operations on a long-term basis, may negatively impact the willingness of our distributors to continue to do business with us. None of our independent distributors in the United States has been required to sell our products exclusively and each of them may freely sell the products of our competitors. Our distributor agreements in the United States generally have one-year initial terms with automatic one-year renewal terms, and are terminable in connection with a party’s material breach. Our distributor agreements outside the United States generally have longer initial terms and, in addition to being terminable in connection with a party’s material breach, include provisions that allow us to terminate those agreements prior to their ordinary expiration. If we are unable to maintain or expand our network of independent distributors, our sales may be negatively affected.</w:t>
      </w:r>
    </w:p>
    <w:p>
      <w:pPr>
        <w:spacing w:after="0" w:line="181"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For the year ended December 31, 2017, our two largest independent distributors collectively comprised approximately 35.5% of our sales. 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or other arrangements pursuant to which independent distributors may purchase product from us, the terms of the arrangements could result in our product margins to be lower than if we directly marketed and sold our products.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ind w:right="160" w:firstLine="571"/>
        <w:spacing w:after="0" w:line="277" w:lineRule="auto"/>
        <w:rPr>
          <w:sz w:val="20"/>
          <w:szCs w:val="20"/>
          <w:color w:val="auto"/>
        </w:rPr>
      </w:pPr>
      <w:r>
        <w:rPr>
          <w:rFonts w:ascii="Arial" w:cs="Arial" w:eastAsia="Arial" w:hAnsi="Arial"/>
          <w:sz w:val="18"/>
          <w:szCs w:val="18"/>
          <w:color w:val="auto"/>
        </w:rPr>
        <w:t>We also intend to market our products internationally primarily through independent distributors and expect we will be similarly dependent on these distributors when we commence international sales.</w:t>
      </w:r>
    </w:p>
    <w:p>
      <w:pPr>
        <w:spacing w:after="0" w:line="3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w:t>
      </w:r>
    </w:p>
    <w:p>
      <w:pPr>
        <w:spacing w:after="0" w:line="170" w:lineRule="exact"/>
        <w:rPr>
          <w:sz w:val="20"/>
          <w:szCs w:val="20"/>
          <w:color w:val="auto"/>
        </w:rPr>
      </w:pPr>
    </w:p>
    <w:p>
      <w:pPr>
        <w:ind w:right="160" w:firstLine="571"/>
        <w:spacing w:after="0" w:line="269" w:lineRule="auto"/>
        <w:rPr>
          <w:sz w:val="20"/>
          <w:szCs w:val="20"/>
          <w:color w:val="auto"/>
        </w:rPr>
      </w:pPr>
      <w:r>
        <w:rPr>
          <w:rFonts w:ascii="Arial" w:cs="Arial" w:eastAsia="Arial" w:hAnsi="Arial"/>
          <w:sz w:val="17"/>
          <w:szCs w:val="17"/>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or these third parties do not successfully carry out their commitments or regulatory obligations or meet expected deadlines, or the quality or accuracy of the data they obtain is compromised due to the failure to adhere to agreed upon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 In particular, we currently expect to rely on data from the U.S. portion of the Clinical Acceptance of the Artificial Pancreas (DLP3) portion of the International Diabetes Closed Loop (IDCL) Trial, to support our development of t:slim X2 with Control IQ. The IDCL Trial is being conducted entirely by third parties over which we have little or no control or influence. In the event that the IDCL Trial is not performed on a timely basis, or if the quality or accuracy of the data obtained from the IDCL Trial is compromised due to the failure to adhere to clinical protocols or regulatory requirements or for other reasons, our development activities for t:slim X2 with Control IQ may be negatively impacted.</w:t>
      </w:r>
    </w:p>
    <w:p>
      <w:pPr>
        <w:spacing w:after="0" w:line="18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are increasingly dependent on clinical investigators and clinical sites to enroll patients in our current and anticipated clinical trials, and the failure to successfully complete the clinical trials could prevent us from obtaining regulatory approvals for or commercializing our products.</w:t>
      </w:r>
    </w:p>
    <w:p>
      <w:pPr>
        <w:spacing w:after="0" w:line="124"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As part of our product development efforts, we expect to increasingly rely on clinical investigators and clinical sites to enroll patients in our clinical trials and other third parties to manage such trials and to perform related data collection and analysis. However, we may not be able to control the amount and timing of resources that clinical sites may devote to our clinical trials, especially with respect to the IDCL Trial that we intend to rely upon for the development of t:slim X2 with Control IQ. If these clinical investigators and clinical sites fail to enroll a sufficient number of patients, fail to ensure compliance by patients with clinical protocols, or fail to comply with regulatory requirements, we may be unable to successfully complete our clinical trials, which could prevent us from obtaining regulatory approvals for our products and commercializing our products, which would have an adverse impact on our business.</w:t>
      </w:r>
    </w:p>
    <w:p>
      <w:pPr>
        <w:spacing w:after="0" w:line="189"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47" w:lineRule="exact"/>
        <w:rPr>
          <w:sz w:val="20"/>
          <w:szCs w:val="20"/>
          <w:color w:val="auto"/>
        </w:rPr>
      </w:pPr>
    </w:p>
    <w:p>
      <w:pPr>
        <w:ind w:firstLine="571"/>
        <w:spacing w:after="0" w:line="272" w:lineRule="auto"/>
        <w:rPr>
          <w:sz w:val="20"/>
          <w:szCs w:val="20"/>
          <w:color w:val="auto"/>
        </w:rPr>
      </w:pPr>
      <w:r>
        <w:rPr>
          <w:rFonts w:ascii="Arial" w:cs="Arial" w:eastAsia="Arial" w:hAnsi="Arial"/>
          <w:sz w:val="17"/>
          <w:szCs w:val="17"/>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178"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Another key element of our business strategy is utilizing market research to understand what people with diabetes are seeking to improve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that represent only a small percentage of the overall insulin-dependent diabetes market. As a result, the responses we received may not be reflective of the broader market and may not provide us accurate insight into the desires of people with insulin-dependent diabetes. In addition, understanding the meaning and significance of the responses received during our market research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ind w:right="100"/>
        <w:spacing w:after="0" w:line="277" w:lineRule="auto"/>
        <w:rPr>
          <w:sz w:val="20"/>
          <w:szCs w:val="20"/>
          <w:color w:val="auto"/>
        </w:rPr>
      </w:pPr>
      <w:r>
        <w:rPr>
          <w:rFonts w:ascii="Arial" w:cs="Arial" w:eastAsia="Arial" w:hAnsi="Arial"/>
          <w:sz w:val="18"/>
          <w:szCs w:val="18"/>
          <w:b w:val="1"/>
          <w:bCs w:val="1"/>
          <w:i w:val="1"/>
          <w:iCs w:val="1"/>
          <w:color w:val="auto"/>
        </w:rPr>
        <w:t>We expect to face complexities frequently encountered by companies in competitive and rapidly-evolving markets, which may make it difficult to evaluate our business and forecast our future sales and operating results.*</w:t>
      </w:r>
    </w:p>
    <w:p>
      <w:pPr>
        <w:spacing w:after="0" w:line="170"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We operate in a competitive and rapidly-evolving market. Important industry changes, such as the FDA approval and launch of new products by our competitors and the announcement by Johnson &amp; Johnson that it is discontinuing the operations of Animas and exiting the insulin pump business, as well changes specific to our business, such as the recent approval of t:slim X2 with Basal-IQ technology and our plans to commence commercial sales in international markets during the second half of 2018, combine to make it more difficult for us to predict our future sales and operating results, as well as our expected timeframe to achieve profitability. In assessing our business prospects, you should consider these factors as well as the various risks and difficulties frequently encountered by companies in competitive and rapidly evolving markets, particularly those facing emerging growth companies that manufacture and sell medical devices.</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risks include our ability to:</w:t>
      </w:r>
    </w:p>
    <w:p>
      <w:pPr>
        <w:spacing w:after="0" w:line="225" w:lineRule="exact"/>
        <w:rPr>
          <w:sz w:val="20"/>
          <w:szCs w:val="20"/>
          <w:color w:val="auto"/>
        </w:rPr>
      </w:pPr>
    </w:p>
    <w:p>
      <w:pPr>
        <w:ind w:left="1340" w:hanging="38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 and execute our business strategy;</w:t>
      </w:r>
    </w:p>
    <w:p>
      <w:pPr>
        <w:spacing w:after="0" w:line="225" w:lineRule="exact"/>
        <w:rPr>
          <w:rFonts w:ascii="Arial" w:cs="Arial" w:eastAsia="Arial" w:hAnsi="Arial"/>
          <w:sz w:val="18"/>
          <w:szCs w:val="18"/>
          <w:color w:val="auto"/>
        </w:rPr>
      </w:pPr>
    </w:p>
    <w:p>
      <w:pPr>
        <w:ind w:left="1340" w:right="160" w:hanging="387"/>
        <w:spacing w:after="0" w:line="277"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and improve the productivity of our sales, clinical and marketing and customer service to grow sales of our existing and proposed products, and enhance our ability to provide service and support to our customers;</w:t>
      </w:r>
    </w:p>
    <w:p>
      <w:pPr>
        <w:spacing w:after="0" w:line="170" w:lineRule="exact"/>
        <w:rPr>
          <w:rFonts w:ascii="Arial" w:cs="Arial" w:eastAsia="Arial" w:hAnsi="Arial"/>
          <w:sz w:val="18"/>
          <w:szCs w:val="18"/>
          <w:color w:val="auto"/>
        </w:rPr>
      </w:pPr>
    </w:p>
    <w:p>
      <w:pPr>
        <w:ind w:left="1340" w:right="620" w:hanging="387"/>
        <w:spacing w:after="0" w:line="277"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achieve and maintain market acceptance of our products and increase awareness of our brand among people with insulin-dependent diabetes, their caregivers and healthcare providers;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 with a broad range of regulatory requirements within a highly regulated industry;</w:t>
      </w:r>
    </w:p>
    <w:p>
      <w:pPr>
        <w:spacing w:after="0" w:line="225" w:lineRule="exact"/>
        <w:rPr>
          <w:rFonts w:ascii="Arial" w:cs="Arial" w:eastAsia="Arial" w:hAnsi="Arial"/>
          <w:sz w:val="18"/>
          <w:szCs w:val="18"/>
          <w:color w:val="auto"/>
        </w:rPr>
      </w:pPr>
    </w:p>
    <w:p>
      <w:pPr>
        <w:ind w:left="1340" w:right="420" w:hanging="387"/>
        <w:spacing w:after="0" w:line="277"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enhance our manufacturing capabilities, increase production of products efficiently while maintaining quality standards, and adapt our manufacturing facilities to the production of new products;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enhance our existing products and develop proposed products;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and maintain regulatory clearance or approval to enhance our existing products and commercialize proposed products;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 clinical trials with respect to our existing products and proposed products;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retain and motivate qualified personnel in various areas of our business.</w:t>
      </w:r>
    </w:p>
    <w:p>
      <w:pPr>
        <w:spacing w:after="0" w:line="13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As a result of these or other risks, we may not be able to execute key components of our business strategy, and our business, financial condition and operating results may suffer.</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Technology Upgrade Program resulted in accounting complexities that may lead to confusion when comparing our historical and future financial results.</w:t>
      </w:r>
    </w:p>
    <w:p>
      <w:pPr>
        <w:spacing w:after="0" w:line="170"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While our Technology Upgrade Program expired on September 30, 2017, it resulted in a number of accounting complexities that will continue to make comparisons of our historical and future financial results more difficult. In particular, during the term of the Technology Upgrade Program, U.S. GAAP prevented us from recognizing, at the time of sale, up to 100% of the sales and cost of sales associated with the sale of our insulin pumps to eligible customers. Instead, depending on the type of pump sold, we were required to defer some or all of the sales and cost of sales until a later date. In light of the expiration of the Program, we are no longer subject to these accounting deferrals. However, in evaluating our 2017 financial results through December 31, 2017, as a result of the Technology Upgrade Program we recorded incremental net sales of $5.0 million that were previously deferred, with a corresponding increase of $3.1 million in gross profit.</w:t>
      </w:r>
    </w:p>
    <w:p>
      <w:pPr>
        <w:spacing w:after="0" w:line="189" w:lineRule="exact"/>
        <w:rPr>
          <w:sz w:val="20"/>
          <w:szCs w:val="20"/>
          <w:color w:val="auto"/>
        </w:rPr>
      </w:pPr>
    </w:p>
    <w:p>
      <w:pPr>
        <w:ind w:firstLine="571"/>
        <w:spacing w:after="0" w:line="302" w:lineRule="auto"/>
        <w:rPr>
          <w:sz w:val="20"/>
          <w:szCs w:val="20"/>
          <w:color w:val="auto"/>
        </w:rPr>
      </w:pPr>
      <w:r>
        <w:rPr>
          <w:rFonts w:ascii="Arial" w:cs="Arial" w:eastAsia="Arial" w:hAnsi="Arial"/>
          <w:sz w:val="16"/>
          <w:szCs w:val="16"/>
          <w:color w:val="auto"/>
        </w:rPr>
        <w:t>Despite our efforts to explain the required accounting treatment for the Technology Upgrade Program, it is possible that there may be confusion when comparing our historical and future financial results, which may cause our stock price to decline. For example, any revenue growth in 2018 on a U.S. GAAP basis is expected to be lower than the rate of growth on a product volume basis. In addition, the complexities associated with the Program may cause investors to avoid investing in our common stock until our financial results and trends are more predictable, which may also adversely impact our stock price.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i w:val="1"/>
          <w:iCs w:val="1"/>
          <w:color w:val="auto"/>
        </w:rPr>
        <w:t>Manufacturing risks may adversely affect our ability to manufacture products, which could negatively impact our sales and operating margins.*</w:t>
      </w:r>
    </w:p>
    <w:p>
      <w:pPr>
        <w:spacing w:after="0" w:line="248" w:lineRule="exact"/>
        <w:rPr>
          <w:sz w:val="20"/>
          <w:szCs w:val="20"/>
          <w:color w:val="auto"/>
        </w:rPr>
      </w:pPr>
    </w:p>
    <w:p>
      <w:pPr>
        <w:ind w:right="200" w:firstLine="571"/>
        <w:spacing w:after="0" w:line="264" w:lineRule="auto"/>
        <w:rPr>
          <w:sz w:val="20"/>
          <w:szCs w:val="20"/>
          <w:color w:val="auto"/>
        </w:rPr>
      </w:pPr>
      <w:r>
        <w:rPr>
          <w:rFonts w:ascii="Arial" w:cs="Arial" w:eastAsia="Arial" w:hAnsi="Arial"/>
          <w:sz w:val="18"/>
          <w:szCs w:val="18"/>
          <w:color w:val="auto"/>
        </w:rPr>
        <w:t>Our business strategy depends on our ability to manufacture our current and proposed products in sufficient quantities and on a timely basis so as to meet consumer demand, while adhering to product quality standards, complying with regulatory requirements and managing manufacturing costs. We are subject to numerous risks related to our manufacturing capabilities, including:</w:t>
      </w:r>
    </w:p>
    <w:p>
      <w:pPr>
        <w:spacing w:after="0" w:line="181" w:lineRule="exact"/>
        <w:rPr>
          <w:sz w:val="20"/>
          <w:szCs w:val="20"/>
          <w:color w:val="auto"/>
        </w:rPr>
      </w:pPr>
    </w:p>
    <w:p>
      <w:pPr>
        <w:ind w:left="1340" w:hanging="387"/>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quality or reliability defects in product components that we source from third-party suppliers;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secure product components in a timely manner, in sufficient quantities and on commercially reasonable terms;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identifying and qualifying alternative suppliers for components in a timely manner;</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implementing and maintaining acceptable quality systems while experiencing rapid growth;</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failure to increase production of products to meet demand;</w:t>
      </w:r>
    </w:p>
    <w:p>
      <w:pPr>
        <w:spacing w:after="0" w:line="225" w:lineRule="exact"/>
        <w:rPr>
          <w:rFonts w:ascii="Arial" w:cs="Arial" w:eastAsia="Arial" w:hAnsi="Arial"/>
          <w:sz w:val="18"/>
          <w:szCs w:val="18"/>
          <w:color w:val="auto"/>
        </w:rPr>
      </w:pPr>
    </w:p>
    <w:p>
      <w:pPr>
        <w:ind w:left="1340" w:right="780" w:hanging="387"/>
        <w:spacing w:after="0" w:line="277"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modify production lines and expand manufacturing facilities to enable us to efficiently produce future products or implement changes in current products in response to consumer demand or regulatory requirements;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manufacture multiple products simultaneously while utilizing common manufacturing equipment;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damage to or destruction of our manufacturing equipment or manufacturing facility.</w:t>
      </w:r>
    </w:p>
    <w:p>
      <w:pPr>
        <w:spacing w:after="0" w:line="225" w:lineRule="exact"/>
        <w:rPr>
          <w:sz w:val="20"/>
          <w:szCs w:val="20"/>
          <w:color w:val="auto"/>
        </w:rPr>
      </w:pPr>
    </w:p>
    <w:p>
      <w:pPr>
        <w:ind w:firstLine="571"/>
        <w:spacing w:after="0" w:line="273" w:lineRule="auto"/>
        <w:rPr>
          <w:sz w:val="20"/>
          <w:szCs w:val="20"/>
          <w:color w:val="auto"/>
        </w:rPr>
      </w:pPr>
      <w:r>
        <w:rPr>
          <w:rFonts w:ascii="Arial" w:cs="Arial" w:eastAsia="Arial" w:hAnsi="Arial"/>
          <w:sz w:val="17"/>
          <w:szCs w:val="17"/>
          <w:color w:val="auto"/>
        </w:rPr>
        <w:t>As demand for our products increases, and as the number of our commercial products expands, we will have to invest additional resources to purchase components, hire and train employees, and enhance our manufacturing processes and quality systems. In addition, although we expect some of our products under development to share product features and components with our current products, manufacturing of these products may require modification of our production lines, hiring of specialized employees, identification of new suppliers for specific components, implementation of additional equipment and procedures, obtaining new regulatory approvals, or the development of new manufacturing technologies. Ultimately, it may not be possible for us to manufacture these products at a cost or in quantities sufficient to make these products commercially viable.</w:t>
      </w:r>
    </w:p>
    <w:p>
      <w:pPr>
        <w:spacing w:after="0" w:line="178" w:lineRule="exact"/>
        <w:rPr>
          <w:sz w:val="20"/>
          <w:szCs w:val="20"/>
          <w:color w:val="auto"/>
        </w:rPr>
      </w:pPr>
    </w:p>
    <w:p>
      <w:pPr>
        <w:jc w:val="both"/>
        <w:ind w:right="120" w:firstLine="571"/>
        <w:spacing w:after="0" w:line="264" w:lineRule="auto"/>
        <w:rPr>
          <w:sz w:val="20"/>
          <w:szCs w:val="20"/>
          <w:color w:val="auto"/>
        </w:rPr>
      </w:pPr>
      <w:r>
        <w:rPr>
          <w:rFonts w:ascii="Arial" w:cs="Arial" w:eastAsia="Arial" w:hAnsi="Arial"/>
          <w:sz w:val="18"/>
          <w:szCs w:val="18"/>
          <w:color w:val="auto"/>
        </w:rPr>
        <w:t>If we fail to increase our production capacity to meet consumer demand while also maintaining product quality standards, obtaining and maintaining regulatory approvals, and efficiently managing costs, our sales and operating margins could be negatively impacted, which would have an adverse impact on our financial condition and operating results.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third-party suppliers for certain product components, and the loss of any of these suppliers, or their inability to provide us with an adequate supply of components, could harm our business.</w:t>
      </w:r>
    </w:p>
    <w:p>
      <w:pPr>
        <w:spacing w:after="0" w:line="170" w:lineRule="exact"/>
        <w:rPr>
          <w:sz w:val="20"/>
          <w:szCs w:val="20"/>
          <w:color w:val="auto"/>
        </w:rPr>
      </w:pPr>
    </w:p>
    <w:p>
      <w:pPr>
        <w:ind w:right="20" w:firstLine="693"/>
        <w:spacing w:after="0" w:line="291" w:lineRule="auto"/>
        <w:rPr>
          <w:sz w:val="20"/>
          <w:szCs w:val="20"/>
          <w:color w:val="auto"/>
        </w:rPr>
      </w:pPr>
      <w:r>
        <w:rPr>
          <w:rFonts w:ascii="Arial" w:cs="Arial" w:eastAsia="Arial" w:hAnsi="Arial"/>
          <w:sz w:val="16"/>
          <w:szCs w:val="16"/>
          <w:color w:val="auto"/>
        </w:rPr>
        <w:t>We currently rely, and expect to continue to rely, on third-party suppliers to supply components of our current products and our potential future products, including our disposable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in sufficient quantities, in compliance with regulatory requirements and quality control standards, in accordance with agreed-upon specifications, at acceptable costs and on a timely basis. For example, we have implemented a business strategy intended to increase our future sales of infusion sets, and any increase in the sales of our infusion sets could strain the ability of our suppliers to deliver products in a manner that meets our various requirements.</w:t>
      </w:r>
    </w:p>
    <w:p>
      <w:pPr>
        <w:spacing w:after="0" w:line="167" w:lineRule="exact"/>
        <w:rPr>
          <w:sz w:val="20"/>
          <w:szCs w:val="20"/>
          <w:color w:val="auto"/>
        </w:rPr>
      </w:pPr>
    </w:p>
    <w:p>
      <w:pPr>
        <w:ind w:right="180" w:firstLine="693"/>
        <w:spacing w:after="0" w:line="291" w:lineRule="auto"/>
        <w:rPr>
          <w:sz w:val="20"/>
          <w:szCs w:val="20"/>
          <w:color w:val="auto"/>
        </w:rPr>
      </w:pPr>
      <w:r>
        <w:rPr>
          <w:rFonts w:ascii="Arial" w:cs="Arial" w:eastAsia="Arial" w:hAnsi="Arial"/>
          <w:sz w:val="16"/>
          <w:szCs w:val="16"/>
          <w:color w:val="auto"/>
        </w:rPr>
        <w:t>We do not have long-term supply agreements with many of our suppliers and, in many cases, we make our purchases on a purchase order basis. Under most of our supply agreements, we have no obligation to buy any given quantity of components or products until we place written orders, and our suppliers have no obligation to manufacture for us or sell to us any given quantity of components or products until they accept an order. As a result, our ability to purchase adequate quantities of our components or products may be limited. Additionally, our suppliers may encounter problems that limit their ability to manufacture components or products for us, including financial difficulties or damage to their manufacturing equipment or facilities. If we fail to obtain sufficient quantities of high quality components to meet demand on a timely basis, we could lose customer orders, our reputation may be harmed and our business could suffer. Furthermore, negative perceptions among our suppliers regarding our financial stability, and our ability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ind w:right="480"/>
        <w:spacing w:after="0" w:line="277" w:lineRule="auto"/>
        <w:rPr>
          <w:sz w:val="20"/>
          <w:szCs w:val="20"/>
          <w:color w:val="auto"/>
        </w:rPr>
      </w:pPr>
      <w:r>
        <w:rPr>
          <w:rFonts w:ascii="Arial" w:cs="Arial" w:eastAsia="Arial" w:hAnsi="Arial"/>
          <w:sz w:val="18"/>
          <w:szCs w:val="18"/>
          <w:color w:val="auto"/>
        </w:rPr>
        <w:t>to sustain our business operations on a long-term basis, may cause one or more of our suppliers to terminate their relationship with us, or claim that our financial condition causes them to demand different payment terms.</w:t>
      </w:r>
    </w:p>
    <w:p>
      <w:pPr>
        <w:spacing w:after="0" w:line="170" w:lineRule="exact"/>
        <w:rPr>
          <w:sz w:val="20"/>
          <w:szCs w:val="20"/>
          <w:color w:val="auto"/>
        </w:rPr>
      </w:pPr>
    </w:p>
    <w:p>
      <w:pPr>
        <w:ind w:right="80" w:firstLine="700"/>
        <w:spacing w:after="0" w:line="270" w:lineRule="auto"/>
        <w:rPr>
          <w:sz w:val="20"/>
          <w:szCs w:val="20"/>
          <w:color w:val="auto"/>
        </w:rPr>
      </w:pPr>
      <w:r>
        <w:rPr>
          <w:rFonts w:ascii="Arial" w:cs="Arial" w:eastAsia="Arial" w:hAnsi="Arial"/>
          <w:sz w:val="17"/>
          <w:szCs w:val="17"/>
          <w:color w:val="auto"/>
        </w:rPr>
        <w:t>We generally use a small number of suppliers for our components or products. Depending on a limited number of suppliers exposes us to risks, including limited control over pricing,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We have in the past been, and we may in the future be, required to make significant “last time” purchases of component inventory that is being discontinued by the manufacturer to ensure supply continuity. If any one or more of our suppliers cease to provide us with sufficient quantities of components in a timely manner or on terms acceptable to us, we would have to seek alternative sources of supply. Because of factors such as the proprietary nature of our products, our quality control standards and applicable regulatory requirements, we cannot quickly engage additional or replacement suppliers for some of our critical components. Failure of any of our suppliers to deliver products at the level our business requires would limit our ability to meet our sales commitments, which could harm our reputation and have a material adverse effect on our business.</w:t>
      </w:r>
    </w:p>
    <w:p>
      <w:pPr>
        <w:spacing w:after="0" w:line="178" w:lineRule="exact"/>
        <w:rPr>
          <w:sz w:val="20"/>
          <w:szCs w:val="20"/>
          <w:color w:val="auto"/>
        </w:rPr>
      </w:pPr>
    </w:p>
    <w:p>
      <w:pPr>
        <w:ind w:right="20" w:firstLine="693"/>
        <w:spacing w:after="0" w:line="255" w:lineRule="auto"/>
        <w:rPr>
          <w:sz w:val="20"/>
          <w:szCs w:val="20"/>
          <w:color w:val="auto"/>
        </w:rPr>
      </w:pPr>
      <w:r>
        <w:rPr>
          <w:rFonts w:ascii="Arial" w:cs="Arial" w:eastAsia="Arial" w:hAnsi="Arial"/>
          <w:sz w:val="18"/>
          <w:szCs w:val="18"/>
          <w:color w:val="auto"/>
        </w:rPr>
        <w:t>We may also have difficulty obtaining similar components from other suppliers that are acceptable to the FDA, or other regulatory agencies, and the failure of our suppliers to comply with regulatory requirements could expose us to regulatory action including warning letters, product recalls, termination of distribution, product seizures or civil penalties. Such a failure by our suppliers could also require us to cease using the components, seek alternative components or technologies, and modify our products to incorporate alternative components or technologies, which could necessitate additional regulatory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spacing w:after="0" w:line="18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we cannot reliably manufacture our new infusion set connector, or if it does not achieve market acceptance, we may not achieve our financial projections.</w:t>
      </w:r>
    </w:p>
    <w:p>
      <w:pPr>
        <w:spacing w:after="0" w:line="170" w:lineRule="exact"/>
        <w:rPr>
          <w:sz w:val="20"/>
          <w:szCs w:val="20"/>
          <w:color w:val="auto"/>
        </w:rPr>
      </w:pPr>
    </w:p>
    <w:p>
      <w:pPr>
        <w:ind w:right="280" w:firstLine="571"/>
        <w:spacing w:after="0" w:line="257" w:lineRule="auto"/>
        <w:rPr>
          <w:sz w:val="20"/>
          <w:szCs w:val="20"/>
          <w:color w:val="auto"/>
        </w:rPr>
      </w:pPr>
      <w:r>
        <w:rPr>
          <w:rFonts w:ascii="Arial" w:cs="Arial" w:eastAsia="Arial" w:hAnsi="Arial"/>
          <w:sz w:val="18"/>
          <w:szCs w:val="18"/>
          <w:color w:val="auto"/>
        </w:rPr>
        <w:t>In September 2017, we began commercial sales of products with t:lock, which replaced the standard Luer-lok connector that historically joined an infusion set to our proprietary disposable insulin cartridges. Concurrently, we began selling infusion sets that are compatible with t:lock. Our supplier of infusion sets must manufacture a variety of lengths and styles of infusion sets with t:lock that matches our cartridges. Failure to do so, or to do so at the necessary production volumes, may result in our inability to convert customers to t:lock when anticipated, which would negatively impact our ability to achieve our financial projections.</w:t>
      </w:r>
    </w:p>
    <w:p>
      <w:pPr>
        <w:spacing w:after="0" w:line="188"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In addition, our independent distributors mayneed to continue to purchase the compatible infusion sets from us to provide to their customers. We believethe transition period for our direct customers and distributors to utilize their inventory on hand before transitioning to t:lock is substantially complete; however, there may be circumstances that may require additional time for some direct customers and distributors to complete the transition. Accordingly, we may continue offering both styles of cartridges and infusion sets to facilitate the transition of customer supplies in 2018. Due to the variability in purchasing patterns, standard Luer-lok inventory may not be consumed at the predicted rates and we may be required to offer both styles of insulin cartridges and infusion sets for a longer period than anticipated or we may be left with excess quantities of standard Luer-lok inventorythat we cannot sell at standard prices or at all.</w:t>
      </w:r>
    </w:p>
    <w:p>
      <w:pPr>
        <w:spacing w:after="0" w:line="189" w:lineRule="exact"/>
        <w:rPr>
          <w:sz w:val="20"/>
          <w:szCs w:val="20"/>
          <w:color w:val="auto"/>
        </w:rPr>
      </w:pPr>
    </w:p>
    <w:p>
      <w:pPr>
        <w:ind w:firstLine="571"/>
        <w:spacing w:after="0" w:line="257" w:lineRule="auto"/>
        <w:rPr>
          <w:sz w:val="20"/>
          <w:szCs w:val="20"/>
          <w:color w:val="auto"/>
        </w:rPr>
      </w:pPr>
      <w:r>
        <w:rPr>
          <w:rFonts w:ascii="Arial" w:cs="Arial" w:eastAsia="Arial" w:hAnsi="Arial"/>
          <w:sz w:val="18"/>
          <w:szCs w:val="18"/>
          <w:color w:val="auto"/>
        </w:rPr>
        <w:t>While t:lock was designed based on customer feedback, and all standard Luer-lok infusion sets that we currently offer are also available with t:lock, it is possible that t:lock may not continue to gain market acceptance by current or potential customers, their caregivers, or healthcare providers. Any negative market response to t:lock may impact a current customer’s decision to purchase a new pump from us at the time of renewal. In addition, potential customers may decide not to purchase our insulin pumps if they do not prefer t:lock or t:lock compatible infusion sets, which could have a material, adverse impact on our business, financial condition and operating results.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0" w:name="page41"/>
    <w:bookmarkEnd w:id="40"/>
    <w:p>
      <w:pPr>
        <w:ind w:right="240"/>
        <w:spacing w:after="0" w:line="277" w:lineRule="auto"/>
        <w:rPr>
          <w:sz w:val="20"/>
          <w:szCs w:val="20"/>
          <w:color w:val="auto"/>
        </w:rPr>
      </w:pPr>
      <w:r>
        <w:rPr>
          <w:rFonts w:ascii="Arial" w:cs="Arial" w:eastAsia="Arial" w:hAnsi="Arial"/>
          <w:sz w:val="18"/>
          <w:szCs w:val="18"/>
          <w:b w:val="1"/>
          <w:bCs w:val="1"/>
          <w:i w:val="1"/>
          <w:iCs w:val="1"/>
          <w:color w:val="auto"/>
        </w:rPr>
        <w:t>We currently operate primarily at two locations in San Diego, California, and any disruption at these locations could adversely affect our business and operating results.*</w:t>
      </w:r>
    </w:p>
    <w:p>
      <w:pPr>
        <w:spacing w:after="0" w:line="170"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Substantially all of our operations are conducted at two locations in San Diego, California, including our manufacturing processes, research and development activities, customer and technical support, and management and administrative functions. In addition, substantially all of our inventory of component supplies and finished goods are held at these locations. We take precautions to safeguard our facilities, including by acquiring insurance, employing back-up generators, adopting health and safety protocols and utilizing off-site storage of computer data. However, vandalism, terrorism or a natural disaster, such as an earthquake, fire or flood, or another catastrophic event, could damage or destroy our manufacturing equipment or our inventory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repect to all or a portion of our claims. Regardless of the level of insurance coverage or other precautions taken, damage to our facilities may have a material adverse effect on our business, financial condition and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experience the anticipated operating efficiencies from the transition of our manufacturing operations to our new facility.*</w:t>
      </w:r>
    </w:p>
    <w:p>
      <w:pPr>
        <w:spacing w:after="0" w:line="237" w:lineRule="exact"/>
        <w:rPr>
          <w:sz w:val="20"/>
          <w:szCs w:val="20"/>
          <w:color w:val="auto"/>
        </w:rPr>
      </w:pPr>
    </w:p>
    <w:p>
      <w:pPr>
        <w:ind w:right="320" w:firstLine="693"/>
        <w:spacing w:after="0" w:line="302" w:lineRule="auto"/>
        <w:rPr>
          <w:sz w:val="20"/>
          <w:szCs w:val="20"/>
          <w:color w:val="auto"/>
        </w:rPr>
      </w:pPr>
      <w:r>
        <w:rPr>
          <w:rFonts w:ascii="Arial" w:cs="Arial" w:eastAsia="Arial" w:hAnsi="Arial"/>
          <w:sz w:val="16"/>
          <w:szCs w:val="16"/>
          <w:color w:val="auto"/>
        </w:rPr>
        <w:t>We recently completed the transition of our manufacturing operations to our Barnes Canyon facility that we expect will allow for future product manufacturing expansion. However, we may not experience the anticipated operating efficiencies as we commence manufacturing operations at the new facility, or we may experience efficiencies but to a lesser extent than projected. If we fail to achieve the operating efficiencies that we anticipate, our manufacturing and operating costs may be greater than expected, which would have a material adverse impact on our operating results.</w:t>
      </w:r>
    </w:p>
    <w:p>
      <w:pPr>
        <w:spacing w:after="0" w:line="154"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September 2017, following a site inspection of our Barnes Canyon facility, the FDA issued a Form 483, List of Inspectional Observations, containing two observations. Following our receipt of the Form 483, we began implementing corrective and preventive actions to fully address the FDA observations, and in October 2017, we provided a written response to the FDA. In December 2017, we received a letter from the FDA stating that our initial written response did not fully address the FDA observations, and that the FDA would address the observations during its next regularly scheduled inspection of our facilities. Following additional discussions with the FDA regarding the observations from our Barnes Canyon Facility inspection, in April 2018, we initiated a voluntary product recall involving a small subset of t:slim G4 Insulin Pumps shipped between December 16, 2016 and June 21, 2017. The total number of devices subject to the recall is 55. We have concluded that the pumps subject to this recall have a higher than acceptable risk of an inaccurate battery reading that could result in an unanticipated suspension of insulin delivery. It remains possible that the FDA will conclude that our corrective and preventive actions are inadequate. If the FDA is not satisfied, it may issue a warning letter to us or may take other actions, any of which could have a material adverse effect on our business.</w:t>
      </w:r>
    </w:p>
    <w:p>
      <w:pPr>
        <w:spacing w:after="0" w:line="178" w:lineRule="exact"/>
        <w:rPr>
          <w:sz w:val="20"/>
          <w:szCs w:val="20"/>
          <w:color w:val="auto"/>
        </w:rPr>
      </w:pPr>
    </w:p>
    <w:p>
      <w:pPr>
        <w:ind w:firstLine="571"/>
        <w:spacing w:after="0" w:line="312" w:lineRule="auto"/>
        <w:rPr>
          <w:sz w:val="20"/>
          <w:szCs w:val="20"/>
          <w:color w:val="auto"/>
        </w:rPr>
      </w:pPr>
      <w:r>
        <w:rPr>
          <w:rFonts w:ascii="Arial" w:cs="Arial" w:eastAsia="Arial" w:hAnsi="Arial"/>
          <w:sz w:val="16"/>
          <w:szCs w:val="16"/>
          <w:color w:val="auto"/>
        </w:rPr>
        <w:t>We expect that the management and support of our new manufacturing facility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from the new facility.</w:t>
      </w:r>
    </w:p>
    <w:p>
      <w:pPr>
        <w:spacing w:after="0" w:line="14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do not enhance our product offerings through our research and development efforts, we may fail to effectively compete, which may impede our ability to become profitable.</w:t>
      </w:r>
    </w:p>
    <w:p>
      <w:pPr>
        <w:spacing w:after="0" w:line="170" w:lineRule="exact"/>
        <w:rPr>
          <w:sz w:val="20"/>
          <w:szCs w:val="20"/>
          <w:color w:val="auto"/>
        </w:rPr>
      </w:pPr>
    </w:p>
    <w:p>
      <w:pPr>
        <w:ind w:right="160" w:firstLine="571"/>
        <w:spacing w:after="0" w:line="297" w:lineRule="auto"/>
        <w:rPr>
          <w:sz w:val="20"/>
          <w:szCs w:val="20"/>
          <w:color w:val="auto"/>
        </w:rPr>
      </w:pPr>
      <w:r>
        <w:rPr>
          <w:rFonts w:ascii="Arial" w:cs="Arial" w:eastAsia="Arial" w:hAnsi="Arial"/>
          <w:sz w:val="16"/>
          <w:szCs w:val="16"/>
          <w:color w:val="auto"/>
        </w:rPr>
        <w:t>In order to increase our sales and market share in the insulin-dependent diabetes market, we must enhance and broaden our product offerings in response to the evolving demands of people with insulin-dependent diabetes, their caregivers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people with insulin-dependent diabetes, their caregivers, healthcare providers or third-party payors. The success of any proposed product offerings will depend on numerous factors, including our ability to:</w:t>
      </w:r>
    </w:p>
    <w:p>
      <w:pPr>
        <w:spacing w:after="0" w:line="158" w:lineRule="exact"/>
        <w:rPr>
          <w:sz w:val="20"/>
          <w:szCs w:val="20"/>
          <w:color w:val="auto"/>
        </w:rPr>
      </w:pPr>
    </w:p>
    <w:p>
      <w:pPr>
        <w:ind w:left="1340" w:right="280" w:hanging="387"/>
        <w:spacing w:after="0" w:line="277" w:lineRule="auto"/>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 the product features and functionality that people with insulin-dependent diabetes, their caregivers and healthcare providers are seeking in an insulin pump, and successfully incorporate those features into our products;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and introduce products in sufficient quantities and in a timely manner;</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offer products at a price that is competitive with other products then available;</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 with third-party payors to obtain reimbursement for our products;</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1" w:name="page42"/>
    <w:bookmarkEnd w:id="41"/>
    <w:p>
      <w:pPr>
        <w:ind w:left="1340" w:hanging="387"/>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demonstrate the safety and efficacy of proposed products;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the necessary regulatory approvals for proposed products.</w:t>
      </w:r>
    </w:p>
    <w:p>
      <w:pPr>
        <w:spacing w:after="0" w:line="347"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If we fail to generate demand by continuing to develop products that incorporate features and functionality requested by people with insulin-dependent diabetes, their caregivers or healthcare providers, or if we do not obtain regulatory clearance or approval for proposed products in time to meet market demand, we may be unable to compete and may fail to generate sales sufficient to achieve or maintain profitability. We have in the past experienced, and may in the future experience, delays in various phases of product development and commercialization, including during research and development, manufacturing, limited release testing, marketing and customer education efforts.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 or alternative methods for the treatment of diabetes.</w:t>
      </w:r>
    </w:p>
    <w:p>
      <w:pPr>
        <w:spacing w:after="0" w:line="16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safety and efficacy of our products is not supported by long-term clinical data, which could limit sales, and our products could cause unforeseen negative effects.*</w:t>
      </w:r>
    </w:p>
    <w:p>
      <w:pPr>
        <w:spacing w:after="0" w:line="170" w:lineRule="exact"/>
        <w:rPr>
          <w:sz w:val="20"/>
          <w:szCs w:val="20"/>
          <w:color w:val="auto"/>
        </w:rPr>
      </w:pPr>
    </w:p>
    <w:p>
      <w:pPr>
        <w:ind w:firstLine="571"/>
        <w:spacing w:after="0" w:line="269" w:lineRule="auto"/>
        <w:rPr>
          <w:sz w:val="20"/>
          <w:szCs w:val="20"/>
          <w:color w:val="auto"/>
        </w:rPr>
      </w:pPr>
      <w:r>
        <w:rPr>
          <w:rFonts w:ascii="Arial" w:cs="Arial" w:eastAsia="Arial" w:hAnsi="Arial"/>
          <w:sz w:val="17"/>
          <w:szCs w:val="17"/>
          <w:color w:val="auto"/>
        </w:rPr>
        <w:t>t:slim X2 received pre-market clearance under Section 510(k) of the U.S. Federal Food, Drug, and Cosmetic Act, or FDCA. The 510(k) clearance process is shorter and typically requires the submission of less supporting documentation than other FDA approval processes and does not always require long-term clinical studies. t:slim X2 with G5 and t:slim X2 with Basal-IQ technology received FDA approval under a Premarket Approval, or PMA, application. However, currently there are no published studies to evaluate the safety or effectiveness of our PMA approved products in a controlled setting. As a result, we currently lack the breadth of published long-term clinical data supporting the safety and efficacy of our products and the benefits they offer. For these reasons, people with insulin-dependent diabetes and healthcare providers may be slower to adopt or recommend our products, we may not have comparative data that our competitors have or are generating, third-party payors may not be willing to provide coverage or reimbursement for our products and we may be subject to greater regulatory and product liability risks.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83" w:lineRule="exact"/>
        <w:rPr>
          <w:sz w:val="20"/>
          <w:szCs w:val="20"/>
          <w:color w:val="auto"/>
        </w:rPr>
      </w:pPr>
    </w:p>
    <w:p>
      <w:pPr>
        <w:ind w:right="240" w:firstLine="571"/>
        <w:spacing w:after="0" w:line="302" w:lineRule="auto"/>
        <w:rPr>
          <w:sz w:val="20"/>
          <w:szCs w:val="20"/>
          <w:color w:val="auto"/>
        </w:rPr>
      </w:pPr>
      <w:r>
        <w:rPr>
          <w:rFonts w:ascii="Arial" w:cs="Arial" w:eastAsia="Arial" w:hAnsi="Arial"/>
          <w:sz w:val="16"/>
          <w:szCs w:val="16"/>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FDA clearance or approval, which could result in significant legal liability, harm to our reputation, and a decline in our product sales.</w:t>
      </w:r>
    </w:p>
    <w:p>
      <w:pPr>
        <w:spacing w:after="0" w:line="154"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Any alleged illness or injury associated with any of our products or product recalls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caused illness, injury or death could adversely affect our reputation with customers, healthcare professionals, third-party payors, and existing and potential collaborators, and could adversely affect our operating results and cause a decline in our stock price.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ind w:right="26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 parties that may not result in the development of commercially viable products or the generation of significant future revenues.</w:t>
      </w:r>
    </w:p>
    <w:p>
      <w:pPr>
        <w:spacing w:after="0" w:line="170" w:lineRule="exact"/>
        <w:rPr>
          <w:sz w:val="20"/>
          <w:szCs w:val="20"/>
          <w:color w:val="auto"/>
        </w:rPr>
      </w:pPr>
    </w:p>
    <w:p>
      <w:pPr>
        <w:ind w:right="60" w:firstLine="571"/>
        <w:spacing w:after="0" w:line="271" w:lineRule="auto"/>
        <w:rPr>
          <w:sz w:val="20"/>
          <w:szCs w:val="20"/>
          <w:color w:val="auto"/>
        </w:rPr>
      </w:pPr>
      <w:r>
        <w:rPr>
          <w:rFonts w:ascii="Arial" w:cs="Arial" w:eastAsia="Arial" w:hAnsi="Arial"/>
          <w:sz w:val="17"/>
          <w:szCs w:val="17"/>
          <w:color w:val="auto"/>
        </w:rPr>
        <w:t>In the ordinary course of our business, we may enter into collaborations, in-licensing arrangements, joint ventures, strategic alliances or partnerships to develop proposed products and to pursue new markets, or we may amend or modify similar agreements that we already have in place.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We may not identify or complete any such transactions or arrangements in a timely manner, on a cost-effective basis, on acceptable terms or at all. In addition, we may not realize the anticipated benefits of any such transaction or arrangement that we do identify and complete. In particular, these collaborations may not result in the development of products that achieve commercial success or result in positive financial results and could be terminated prior to developing any products.</w:t>
      </w:r>
    </w:p>
    <w:p>
      <w:pPr>
        <w:spacing w:after="0" w:line="179" w:lineRule="exact"/>
        <w:rPr>
          <w:sz w:val="20"/>
          <w:szCs w:val="20"/>
          <w:color w:val="auto"/>
        </w:rPr>
      </w:pPr>
    </w:p>
    <w:p>
      <w:pPr>
        <w:ind w:firstLine="571"/>
        <w:spacing w:after="0" w:line="269" w:lineRule="auto"/>
        <w:rPr>
          <w:sz w:val="20"/>
          <w:szCs w:val="20"/>
          <w:color w:val="auto"/>
        </w:rPr>
      </w:pPr>
      <w:r>
        <w:rPr>
          <w:rFonts w:ascii="Arial" w:cs="Arial" w:eastAsia="Arial" w:hAnsi="Arial"/>
          <w:sz w:val="17"/>
          <w:szCs w:val="17"/>
          <w:color w:val="auto"/>
        </w:rPr>
        <w:t>Additionally,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termination rights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TypeZero, or any future collaborators devote to our arrangement with them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8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For example, we have entered into multiple development agreements with Dexcom, which provide us non-exclusive licenses to integrate various generations of Dexcom CGM technology with our insulin pump products. Our agreements with Dexcom currently run until June 2020 with automatic one-year renewals. Under certain circumstances, these agreements may be terminated by either party without cause or on short notice. Termination of any of our agreements with Dexcom could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w:t>
      </w:r>
    </w:p>
    <w:p>
      <w:pPr>
        <w:spacing w:after="0" w:line="13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operate our business in regions subject to natural disasters and other catastrophic events, and any disruption to our business resulting from natural disasters will adversely affect our revenue and results of operations.*</w:t>
      </w:r>
    </w:p>
    <w:p>
      <w:pPr>
        <w:spacing w:after="0" w:line="170" w:lineRule="exact"/>
        <w:rPr>
          <w:sz w:val="20"/>
          <w:szCs w:val="20"/>
          <w:color w:val="auto"/>
        </w:rPr>
      </w:pPr>
    </w:p>
    <w:p>
      <w:pPr>
        <w:ind w:right="60" w:firstLine="571"/>
        <w:spacing w:after="0" w:line="302" w:lineRule="auto"/>
        <w:rPr>
          <w:sz w:val="20"/>
          <w:szCs w:val="20"/>
          <w:color w:val="auto"/>
        </w:rPr>
      </w:pPr>
      <w:r>
        <w:rPr>
          <w:rFonts w:ascii="Arial" w:cs="Arial" w:eastAsia="Arial" w:hAnsi="Arial"/>
          <w:sz w:val="16"/>
          <w:szCs w:val="16"/>
          <w:color w:val="auto"/>
        </w:rPr>
        <w:t>We operate our business in regions subject to natural disasters, including earthquakes, hurricanes, floods, fires and other catastrophic events. Any natural disaster could adversely affect our ability to conduct business and provide products and services to our customers, and the insurance we maintain may not be adequate to cover our losses resulting from any business interruption resulting from a natural disaster or other catastrophic events. Any future disruptions to our operations could have a material adverse impact on our financial condition and results of operations in future periods.</w:t>
      </w:r>
    </w:p>
    <w:p>
      <w:pPr>
        <w:spacing w:after="0" w:line="1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Any significant disruptions to our information technology systems, or failures of our pumps’ software to perform as we anticipate, could have an adverse effect on our business, financial condition and operating results.</w:t>
      </w:r>
    </w:p>
    <w:p>
      <w:pPr>
        <w:spacing w:after="0" w:line="170" w:lineRule="exact"/>
        <w:rPr>
          <w:sz w:val="20"/>
          <w:szCs w:val="20"/>
          <w:color w:val="auto"/>
        </w:rPr>
      </w:pPr>
    </w:p>
    <w:p>
      <w:pPr>
        <w:ind w:right="20" w:firstLine="571"/>
        <w:spacing w:after="0" w:line="270" w:lineRule="auto"/>
        <w:rPr>
          <w:sz w:val="20"/>
          <w:szCs w:val="20"/>
          <w:color w:val="auto"/>
        </w:rPr>
      </w:pPr>
      <w:r>
        <w:rPr>
          <w:rFonts w:ascii="Arial" w:cs="Arial" w:eastAsia="Arial" w:hAnsi="Arial"/>
          <w:sz w:val="17"/>
          <w:szCs w:val="17"/>
          <w:color w:val="auto"/>
        </w:rPr>
        <w:t>The efficient operation of our business depends on our information technology systems. We rely on our information technology systems to effectively manage sales and marketing data, accounting and financial functions, manufacturing and quality records, inventory management, product development tasks, research and development data, customer service and technical support functions. Our information technology systems, including those that support t:connect, as well as those involved in the operation of our Tandem Device Updater, are vulnerable to damage or interruption from earthquakes, fires, floods and other natural disasters, terrorist attacks, attacks by computer viruses or hackers, power losses, and computer system or data network failures. In addition, our currently-marketed insulin pumps, and our products currently under development contain software which could be subject to computer virus, hacker attacks or other failures. These risks significantly increased after July 2016, when we received FDA clearance of our Tandem Device Updater, which enables customers to remotely update software on their insulin pumps. We may also face new risks relating to our information technology systems as we begin to commercialize our products outside the United States.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ind w:right="220" w:firstLine="571"/>
        <w:spacing w:after="0" w:line="291" w:lineRule="auto"/>
        <w:rPr>
          <w:sz w:val="20"/>
          <w:szCs w:val="20"/>
          <w:color w:val="auto"/>
        </w:rPr>
      </w:pPr>
      <w:r>
        <w:rPr>
          <w:rFonts w:ascii="Arial" w:cs="Arial" w:eastAsia="Arial" w:hAnsi="Arial"/>
          <w:sz w:val="16"/>
          <w:szCs w:val="16"/>
          <w:color w:val="auto"/>
        </w:rPr>
        <w:t>The failure of our or our service providers’ information technology systems or our pumps’ software to perform as we anticipate or our failure to effectively implement new information technology systems could disrupt our entire operation or adversely affect our software products. For example, we market our Tandem Device Updater as having the unique capability to deploy software updates to our pumps, which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all of which could have a material adverse effect on our business, financial condition and operating results.</w:t>
      </w:r>
    </w:p>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70" w:lineRule="exact"/>
        <w:rPr>
          <w:sz w:val="20"/>
          <w:szCs w:val="20"/>
          <w:color w:val="auto"/>
        </w:rPr>
      </w:pPr>
    </w:p>
    <w:p>
      <w:pPr>
        <w:ind w:firstLine="571"/>
        <w:spacing w:after="0" w:line="270" w:lineRule="auto"/>
        <w:rPr>
          <w:sz w:val="20"/>
          <w:szCs w:val="20"/>
          <w:color w:val="auto"/>
        </w:rPr>
      </w:pPr>
      <w:r>
        <w:rPr>
          <w:rFonts w:ascii="Arial" w:cs="Arial" w:eastAsia="Arial" w:hAnsi="Arial"/>
          <w:sz w:val="17"/>
          <w:szCs w:val="17"/>
          <w:color w:val="auto"/>
        </w:rPr>
        <w:t>We have benefited substantially from the leadership and performance of our senior management, as well as certain key employees. For example, key members of our management have experience successfully scaling an early 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This may be especially true during periods in which we face challenges such as financial difficulties or a reduced stock price. The loss of the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depend upon key employees in a competitive market, and if we are unable to provide meaningful equity incentives to retain key personnel, it could adversely affect our ability to execute our business strategy.*</w:t>
      </w:r>
    </w:p>
    <w:p>
      <w:pPr>
        <w:spacing w:after="0" w:line="170" w:lineRule="exact"/>
        <w:rPr>
          <w:sz w:val="20"/>
          <w:szCs w:val="20"/>
          <w:color w:val="auto"/>
        </w:rPr>
      </w:pPr>
    </w:p>
    <w:p>
      <w:pPr>
        <w:ind w:right="20" w:firstLine="571"/>
        <w:spacing w:after="0" w:line="271" w:lineRule="auto"/>
        <w:rPr>
          <w:sz w:val="20"/>
          <w:szCs w:val="20"/>
          <w:color w:val="auto"/>
        </w:rPr>
      </w:pPr>
      <w:r>
        <w:rPr>
          <w:rFonts w:ascii="Arial" w:cs="Arial" w:eastAsia="Arial" w:hAnsi="Arial"/>
          <w:sz w:val="17"/>
          <w:szCs w:val="17"/>
          <w:color w:val="auto"/>
        </w:rPr>
        <w:t>We are highly dependent upon the members of our management team, as well as other key employees. Many of these individuals have been employed by us for many years, have played integral roles in the growth of our business, and will continue to provide value to us. In our industry, it is common to attract and retain executive talent and other employees with compensation packages that include a significant equity component. At this time, a substantial number of our outstanding equity awards, which generally are issued in the form of stock options, are significantly out of the money and unlikely to be exercised in the future. We have issued, and may continue to issue, additional equity incentives that we believe will enhance our ability to retain our current key employees and attract the necessary additional executive talent. However, even if we issue significant additional equity incentives, there can be no assurance that we will be able to attract and retain key executive talent. A loss of any of our key personnel, or our inability to hire new personnel, may have a material adverse effect on our ability to execute our business strategy.</w:t>
      </w:r>
    </w:p>
    <w:p>
      <w:pPr>
        <w:spacing w:after="0" w:line="1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are found to have violated laws protecting the confidentiality of patient health information or other personal information, we could be subject to civil or criminal penalties, which could increase our liabilities and harm our reputation or our business.*</w:t>
      </w:r>
    </w:p>
    <w:p>
      <w:pPr>
        <w:spacing w:after="0" w:line="170" w:lineRule="exact"/>
        <w:rPr>
          <w:sz w:val="20"/>
          <w:szCs w:val="20"/>
          <w:color w:val="auto"/>
        </w:rPr>
      </w:pPr>
    </w:p>
    <w:p>
      <w:pPr>
        <w:ind w:right="100" w:firstLine="571"/>
        <w:spacing w:after="0" w:line="270" w:lineRule="auto"/>
        <w:rPr>
          <w:sz w:val="20"/>
          <w:szCs w:val="20"/>
          <w:color w:val="auto"/>
        </w:rPr>
      </w:pPr>
      <w:r>
        <w:rPr>
          <w:rFonts w:ascii="Arial" w:cs="Arial" w:eastAsia="Arial" w:hAnsi="Arial"/>
          <w:sz w:val="17"/>
          <w:szCs w:val="17"/>
          <w:color w:val="auto"/>
        </w:rPr>
        <w:t>There are a number of federal and state laws protecting the confidentiality and security of personal information, including certain patient health information, and restricting the use and disclosure of that protected information. In particular, the U.S. Department of Health and Human Services, or HHS, promulgated privacy and security rules under the Health Insurance Portability and Accountability Act of 1996, or HIPAA, as amended by the Health Information Technology for Economic and Clinical Health Act, or HITECH. The privacy rule protects medical records and other personal health information by limiting their use and disclosure, giving individuals the right to access, amend and seek accounting of their own health information and limiting most use and disclosures of health information to the minimum amount reasonably necessary to accomplish the intended purpose. The security rule protects protected health information, or PHI, stored electronically by requiring appropriate administrative, physical and technical safeguards to ensure the confidentiality, integrity and security of such PHI. If we, or any of our service providers, are found to be in violation of the promulgated privacy and security rules under HIPAA and HITECH, we could be subject to civil or criminal penalties, which could increase our liabilities, harm our reputation and have a material adverse effect on our business, financial condition and operating results.</w:t>
      </w:r>
    </w:p>
    <w:p>
      <w:pPr>
        <w:spacing w:after="0" w:line="178" w:lineRule="exact"/>
        <w:rPr>
          <w:sz w:val="20"/>
          <w:szCs w:val="20"/>
          <w:color w:val="auto"/>
        </w:rPr>
      </w:pPr>
    </w:p>
    <w:p>
      <w:pPr>
        <w:jc w:val="both"/>
        <w:ind w:right="100" w:firstLine="571"/>
        <w:spacing w:after="0" w:line="259" w:lineRule="auto"/>
        <w:rPr>
          <w:sz w:val="20"/>
          <w:szCs w:val="20"/>
          <w:color w:val="auto"/>
        </w:rPr>
      </w:pPr>
      <w:r>
        <w:rPr>
          <w:rFonts w:ascii="Arial" w:cs="Arial" w:eastAsia="Arial" w:hAnsi="Arial"/>
          <w:sz w:val="18"/>
          <w:szCs w:val="18"/>
          <w:color w:val="auto"/>
        </w:rPr>
        <w:t>We may also face new risks relating to security laws and privacy rights as individual states adopt new laws and regulations on these topics and as we begin to commercialize our products outside the United States. For example, in the European Union, the General Data Protection Regulation (GDPR), which came into force on May 25, 2018, introduces new data protection requirements in the European Union. As we expand internationally, our business will need to be adapted to meet these and other similar legal requirements.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ind w:right="200"/>
        <w:spacing w:after="0" w:line="277" w:lineRule="auto"/>
        <w:rPr>
          <w:sz w:val="20"/>
          <w:szCs w:val="20"/>
          <w:color w:val="auto"/>
        </w:rPr>
      </w:pPr>
      <w:r>
        <w:rPr>
          <w:rFonts w:ascii="Arial" w:cs="Arial" w:eastAsia="Arial" w:hAnsi="Arial"/>
          <w:sz w:val="18"/>
          <w:szCs w:val="18"/>
          <w:b w:val="1"/>
          <w:bCs w:val="1"/>
          <w:i w:val="1"/>
          <w:iCs w:val="1"/>
          <w:color w:val="auto"/>
        </w:rPr>
        <w:t>We are seeking approval to commercialize our products outside of the United States, which may result in a variety of risks associated with international operations that could materially adversely affect our business.*</w:t>
      </w:r>
    </w:p>
    <w:p>
      <w:pPr>
        <w:spacing w:after="0" w:line="170" w:lineRule="exact"/>
        <w:rPr>
          <w:sz w:val="20"/>
          <w:szCs w:val="20"/>
          <w:color w:val="auto"/>
        </w:rPr>
      </w:pPr>
    </w:p>
    <w:p>
      <w:pPr>
        <w:jc w:val="both"/>
        <w:ind w:right="420" w:firstLine="571"/>
        <w:spacing w:after="0" w:line="264" w:lineRule="auto"/>
        <w:rPr>
          <w:sz w:val="20"/>
          <w:szCs w:val="20"/>
          <w:color w:val="auto"/>
        </w:rPr>
      </w:pPr>
      <w:r>
        <w:rPr>
          <w:rFonts w:ascii="Arial" w:cs="Arial" w:eastAsia="Arial" w:hAnsi="Arial"/>
          <w:sz w:val="18"/>
          <w:szCs w:val="18"/>
          <w:color w:val="auto"/>
        </w:rPr>
        <w:t>We are planning to begin commercialization of the t:slim X2 insulin pump in select geographies outside of the United States, including Canada, during 2018. We do not have experience commercializing our products outside of the United States and expect that we will be subject to additional risks related to entering into international business markets, including:</w:t>
      </w:r>
    </w:p>
    <w:p>
      <w:pPr>
        <w:spacing w:after="0" w:line="181" w:lineRule="exact"/>
        <w:rPr>
          <w:sz w:val="20"/>
          <w:szCs w:val="20"/>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regulatory requirements for product approvals in foreign countries;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differing U.S. and foreign medical device import and export rules;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more restrictive privacy laws relating to personal information of end users and employees, including the GDPR;</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protection for our intellectual property rights in foreign countries;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reimbursement systems;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uto"/>
        </w:rPr>
      </w:pPr>
    </w:p>
    <w:p>
      <w:pPr>
        <w:ind w:left="1340" w:right="20" w:hanging="387"/>
        <w:spacing w:after="0" w:line="277" w:lineRule="auto"/>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or with U.S. regulations that would apply to activities in such foreign jurisdictions, such as the Foreign Corrupt Practices Act;</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1340" w:right="200" w:hanging="387"/>
        <w:spacing w:after="0" w:line="277" w:lineRule="auto"/>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 and</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131" w:lineRule="exact"/>
        <w:rPr>
          <w:sz w:val="20"/>
          <w:szCs w:val="20"/>
          <w:color w:val="auto"/>
        </w:rPr>
      </w:pPr>
    </w:p>
    <w:p>
      <w:pPr>
        <w:ind w:right="80" w:firstLine="571"/>
        <w:spacing w:after="0" w:line="257" w:lineRule="auto"/>
        <w:rPr>
          <w:sz w:val="20"/>
          <w:szCs w:val="20"/>
          <w:color w:val="auto"/>
        </w:rPr>
      </w:pPr>
      <w:r>
        <w:rPr>
          <w:rFonts w:ascii="Arial" w:cs="Arial" w:eastAsia="Arial" w:hAnsi="Arial"/>
          <w:sz w:val="18"/>
          <w:szCs w:val="18"/>
          <w:color w:val="auto"/>
        </w:rPr>
        <w:t>In addition, entry into international markets may require significant financial resources and could divert management’s attention from managing our core business. We have limited experience with regulatory environments and market practices internationally, and we may not be able to penetrate or successfully operate in new markets. Accordingly, if we are unable to expand internationally, manage the complexity of our global operations successfully or if we incur unanticipated expenses, we may not achieve the expected benefits of this expansion and our financial condition and results of operations could be materially and adversely impacted.</w:t>
      </w:r>
    </w:p>
    <w:p>
      <w:pPr>
        <w:spacing w:after="0" w:line="188"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We may seek to grow our business through acquisitions of complementary products or technologies, and the failure to successfully manage acquisitions, or the failure to integrate them with our existing business, could have a material adverse effect on our business, financial condition and operating results.</w:t>
      </w:r>
    </w:p>
    <w:p>
      <w:pPr>
        <w:spacing w:after="0" w:line="101" w:lineRule="exact"/>
        <w:rPr>
          <w:sz w:val="20"/>
          <w:szCs w:val="20"/>
          <w:color w:val="auto"/>
        </w:rPr>
      </w:pPr>
    </w:p>
    <w:p>
      <w:pPr>
        <w:ind w:right="300" w:firstLine="571"/>
        <w:spacing w:after="0" w:line="342" w:lineRule="auto"/>
        <w:rPr>
          <w:sz w:val="20"/>
          <w:szCs w:val="20"/>
          <w:color w:val="auto"/>
        </w:rPr>
      </w:pPr>
      <w:r>
        <w:rPr>
          <w:rFonts w:ascii="Arial" w:cs="Arial" w:eastAsia="Arial" w:hAnsi="Arial"/>
          <w:sz w:val="16"/>
          <w:szCs w:val="16"/>
          <w:color w:val="auto"/>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124" w:lineRule="exact"/>
        <w:rPr>
          <w:sz w:val="20"/>
          <w:szCs w:val="20"/>
          <w:color w:val="auto"/>
        </w:rPr>
      </w:pPr>
    </w:p>
    <w:p>
      <w:pPr>
        <w:ind w:left="1340" w:hanging="387"/>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5" w:name="page46"/>
    <w:bookmarkEnd w:id="45"/>
    <w:p>
      <w:pPr>
        <w:ind w:left="1340" w:hanging="38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to compliance with regulatory matters.</w:t>
      </w:r>
    </w:p>
    <w:p>
      <w:pPr>
        <w:spacing w:after="0" w:line="25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have no current commitments with respect to any acquisition. We do not know if we will be able to identify acquisitions we deem suitable, whether we will be able to successfully complete any such acquisitions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Financing</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need to raise additional funds in the future and if we are unable to raise additional funds when necessary, we may not be able to achieve our strategic objectives.*</w:t>
      </w:r>
    </w:p>
    <w:p>
      <w:pPr>
        <w:spacing w:after="0" w:line="170" w:lineRule="exact"/>
        <w:rPr>
          <w:sz w:val="20"/>
          <w:szCs w:val="20"/>
          <w:color w:val="auto"/>
        </w:rPr>
      </w:pPr>
    </w:p>
    <w:p>
      <w:pPr>
        <w:ind w:right="100" w:firstLine="571"/>
        <w:spacing w:after="0" w:line="276" w:lineRule="auto"/>
        <w:rPr>
          <w:sz w:val="20"/>
          <w:szCs w:val="20"/>
          <w:color w:val="auto"/>
        </w:rPr>
      </w:pPr>
      <w:r>
        <w:rPr>
          <w:rFonts w:ascii="Arial" w:cs="Arial" w:eastAsia="Arial" w:hAnsi="Arial"/>
          <w:sz w:val="17"/>
          <w:szCs w:val="17"/>
          <w:color w:val="auto"/>
        </w:rPr>
        <w:t>As of June 30, 2018, we had $96.5 million in cash, cash equivalents and short-term investments, which included $10.0 million of restricted cash. Our management expects the continued growth of our business, including the expansion of our customer service infrastructure to support our growing base of customers our plans to commence commercial sales of our products outside the United States and additional research and development activities, will continue to increase our expenses and capital needs. In addition, the amount of our future product sales is difficult to predict and actual sales may not be in line with our forecasts. Our future capital requirements will depend on many factors, including:</w:t>
      </w:r>
    </w:p>
    <w:p>
      <w:pPr>
        <w:spacing w:after="0" w:line="173" w:lineRule="exact"/>
        <w:rPr>
          <w:sz w:val="20"/>
          <w:szCs w:val="20"/>
          <w:color w:val="auto"/>
        </w:rPr>
      </w:pPr>
    </w:p>
    <w:p>
      <w:pPr>
        <w:ind w:left="1340" w:right="520" w:hanging="387"/>
        <w:spacing w:after="0" w:line="277"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revenue generated by sales of our insulin pump products, and the related insulin cartridges and infusion sets, and any other future products that we may develop and commercialize;</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gross profits and gross margin we realize from the sales we generate;</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associated with maintaining an appropriate sales, clinical and marketing infrastructure;</w:t>
      </w:r>
    </w:p>
    <w:p>
      <w:pPr>
        <w:spacing w:after="0" w:line="225" w:lineRule="exact"/>
        <w:rPr>
          <w:rFonts w:ascii="Arial" w:cs="Arial" w:eastAsia="Arial" w:hAnsi="Arial"/>
          <w:sz w:val="18"/>
          <w:szCs w:val="18"/>
          <w:color w:val="auto"/>
        </w:rPr>
      </w:pPr>
    </w:p>
    <w:p>
      <w:pPr>
        <w:ind w:left="1340" w:right="340" w:hanging="387"/>
        <w:spacing w:after="0" w:line="277"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expenses we incur in maintaining and enhancing our manufacturing operations, including purchasing manufacturing equipment and adding manufacturing capacity;</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expenses associated with developing and commercializing our proposed products or technologies;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associated with maintaining and expanding our customer service infrastructure;</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obtaining and maintaining regulatory clearance or approval for our products and our manufacturing facilities;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ongoing compliance with legal and regulatory requirements;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expenses we incur in connection with potential litigation or governmental investigations;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compliance with the covenants in the Term Loan Agreement;</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refinancing or repayment of amounts due under our Term Loan Agreement;</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anticipated or unanticipated capital expenditures;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general and administrative expenses.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ind w:right="160" w:firstLine="571"/>
        <w:spacing w:after="0" w:line="297" w:lineRule="auto"/>
        <w:rPr>
          <w:sz w:val="20"/>
          <w:szCs w:val="20"/>
          <w:color w:val="auto"/>
        </w:rPr>
      </w:pPr>
      <w:r>
        <w:rPr>
          <w:rFonts w:ascii="Arial" w:cs="Arial" w:eastAsia="Arial" w:hAnsi="Arial"/>
          <w:sz w:val="16"/>
          <w:szCs w:val="16"/>
          <w:color w:val="auto"/>
        </w:rPr>
        <w:t>As a result of these and other factors we may in the future seek additional capital from public or private offerings of our capital stock, or from other sources. If we issue equity or debt securities to raise additional funds, our existing stockholders may experience dilution, we may incur significant financing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58" w:lineRule="exact"/>
        <w:rPr>
          <w:sz w:val="20"/>
          <w:szCs w:val="20"/>
          <w:color w:val="auto"/>
        </w:rPr>
      </w:pPr>
    </w:p>
    <w:p>
      <w:pPr>
        <w:ind w:firstLine="571"/>
        <w:spacing w:after="0" w:line="302" w:lineRule="auto"/>
        <w:rPr>
          <w:sz w:val="20"/>
          <w:szCs w:val="20"/>
          <w:color w:val="auto"/>
        </w:rPr>
      </w:pPr>
      <w:r>
        <w:rPr>
          <w:rFonts w:ascii="Arial" w:cs="Arial" w:eastAsia="Arial" w:hAnsi="Arial"/>
          <w:sz w:val="16"/>
          <w:szCs w:val="16"/>
          <w:color w:val="auto"/>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or satisfy covenants in the Term Loan Agreement. Any of these events could adversely affect our ability to achieve our strategic objectives, which could have a material adverse effect on our business, financial condition and operating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from quarter to quarter.*</w:t>
      </w:r>
    </w:p>
    <w:p>
      <w:pPr>
        <w:spacing w:after="0" w:line="225" w:lineRule="exact"/>
        <w:rPr>
          <w:sz w:val="20"/>
          <w:szCs w:val="20"/>
          <w:color w:val="auto"/>
        </w:rPr>
      </w:pPr>
    </w:p>
    <w:p>
      <w:pPr>
        <w:ind w:right="140" w:firstLine="571"/>
        <w:spacing w:after="0" w:line="264" w:lineRule="auto"/>
        <w:rPr>
          <w:sz w:val="20"/>
          <w:szCs w:val="20"/>
          <w:color w:val="auto"/>
        </w:rPr>
      </w:pPr>
      <w:r>
        <w:rPr>
          <w:rFonts w:ascii="Arial" w:cs="Arial" w:eastAsia="Arial" w:hAnsi="Arial"/>
          <w:sz w:val="18"/>
          <w:szCs w:val="18"/>
          <w:color w:val="auto"/>
        </w:rPr>
        <w:t>There has been and may continue to be meaningful variability in our operating results from quarter to quarter, as well as within each quarter, especially around the time of anticipated new product launches or regulatory approvals by us or our competitors. Our operating results, and the variability of these operating results, will be affected by numerous factors, including:</w:t>
      </w:r>
    </w:p>
    <w:p>
      <w:pPr>
        <w:spacing w:after="0" w:line="181" w:lineRule="exact"/>
        <w:rPr>
          <w:sz w:val="20"/>
          <w:szCs w:val="20"/>
          <w:color w:val="auto"/>
        </w:rPr>
      </w:pPr>
    </w:p>
    <w:p>
      <w:pPr>
        <w:ind w:left="1340" w:right="160" w:hanging="387"/>
        <w:spacing w:after="0" w:line="277" w:lineRule="auto"/>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increase sales and gross profit from our insulin pump products, including the related insulin cartridges and infusion sets, and to commercialize and sell our future products;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and mix of our products sold in each quarter;</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acceptance of our products by people with insulin-dependent diabetes, their caregivers, healthcare providers and third-party payors;</w:t>
      </w:r>
    </w:p>
    <w:p>
      <w:pPr>
        <w:spacing w:after="0" w:line="236" w:lineRule="exact"/>
        <w:rPr>
          <w:rFonts w:ascii="Arial" w:cs="Arial" w:eastAsia="Arial" w:hAnsi="Arial"/>
          <w:sz w:val="17"/>
          <w:szCs w:val="17"/>
          <w:color w:val="auto"/>
        </w:rPr>
      </w:pPr>
    </w:p>
    <w:p>
      <w:pPr>
        <w:ind w:left="1340" w:right="500" w:hanging="387"/>
        <w:spacing w:after="0" w:line="277" w:lineRule="auto"/>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pricing of our products and competitive products, including the use of discounts, rebates or other financial incentives by us or our competitors;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third-party coverage and reimbursement policies;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our existing infrastructure;</w:t>
      </w:r>
    </w:p>
    <w:p>
      <w:pPr>
        <w:spacing w:after="0" w:line="225" w:lineRule="exact"/>
        <w:rPr>
          <w:rFonts w:ascii="Arial" w:cs="Arial" w:eastAsia="Arial" w:hAnsi="Arial"/>
          <w:sz w:val="18"/>
          <w:szCs w:val="18"/>
          <w:color w:val="auto"/>
        </w:rPr>
      </w:pPr>
    </w:p>
    <w:p>
      <w:pPr>
        <w:ind w:left="1340" w:right="40" w:hanging="387"/>
        <w:spacing w:after="0" w:line="277" w:lineRule="auto"/>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and the timing of the payment for, insurance deductibles required to be paid by our customers and potential customers under their existing insurance plans;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simultaneously manufacture multiple products that meet quality, reliability and regulatory requirements;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seasonality and other factors affecting the timing of purchases of our products;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and future products;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components that meet our requirements;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clearance or approvals affecting our products or those of our competitors;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revenue and expense recognition associated with our product sales pursuant to applicable accounting standards.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ind w:right="20" w:firstLine="571"/>
        <w:spacing w:after="0" w:line="276" w:lineRule="auto"/>
        <w:rPr>
          <w:sz w:val="20"/>
          <w:szCs w:val="20"/>
          <w:color w:val="auto"/>
        </w:rPr>
      </w:pPr>
      <w:r>
        <w:rPr>
          <w:rFonts w:ascii="Arial" w:cs="Arial" w:eastAsia="Arial" w:hAnsi="Arial"/>
          <w:sz w:val="17"/>
          <w:szCs w:val="17"/>
          <w:color w:val="auto"/>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our indebtedness, which currently consists of our Term Loan Agreement with Capital Royalty Partners.</w:t>
      </w:r>
    </w:p>
    <w:p>
      <w:pPr>
        <w:spacing w:after="0" w:line="170" w:lineRule="exact"/>
        <w:rPr>
          <w:sz w:val="20"/>
          <w:szCs w:val="20"/>
          <w:color w:val="auto"/>
        </w:rPr>
      </w:pPr>
    </w:p>
    <w:p>
      <w:pPr>
        <w:ind w:firstLine="571"/>
        <w:spacing w:after="0" w:line="273" w:lineRule="auto"/>
        <w:rPr>
          <w:sz w:val="20"/>
          <w:szCs w:val="20"/>
          <w:color w:val="auto"/>
        </w:rPr>
      </w:pPr>
      <w:r>
        <w:rPr>
          <w:rFonts w:ascii="Arial" w:cs="Arial" w:eastAsia="Arial" w:hAnsi="Arial"/>
          <w:sz w:val="17"/>
          <w:szCs w:val="17"/>
          <w:color w:val="auto"/>
        </w:rPr>
        <w:t>As of December 31, 2017, we had $82.7 million aggregate borrowings outstanding under the Term Loan Agreement with Capital Royalty Partners. Our ability to make scheduled payments or to restructure or refinance our debt obligations depends on numerous factors, including the amount of our cash reserves at the time a scheduled payment becomes due and our actual and projected financial and operating performance. The amount of our cash reserves and our financial and operating performance are subject to certain financial and business factors, as well as prevailing economic and competitive conditions, some of which may be beyond our control. We cannot assure you that we will maintain a level of cash reserves or cash flows from operating activities sufficient to permit us to pay the principal, premium, if any, or interest on our existing or future indebtedness.</w:t>
      </w:r>
    </w:p>
    <w:p>
      <w:pPr>
        <w:spacing w:after="0" w:line="178"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If our cash balances or cash flows from operations are insufficient to fund our debt service obligations, we may be forced to reduce or delay capital expenditures, sell or license our assets, reduce our operations, seek additional capital on unfavorable terms, or restructure or refinance our indebtedness. We cannot assure you that we would be able to take any of these actions, or that these actions would permit us to meet our scheduled debt service obligations. Our recent and projected financial results, the volatility in our stock price over the past two years, and general concerns among potential investors and creditors about our financial stability may make taking such actions on commercially reasonable terms especially difficult. If we are unable to generate sufficient cash flow or are otherwise unable to obtain the funds necessary to meet scheduled debt service obligations, we could be in default under the terms of the Term Loan Agreement.</w:t>
      </w:r>
    </w:p>
    <w:p>
      <w:pPr>
        <w:spacing w:after="0" w:line="13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Term Loan Agreement contains restrictive and financial covenants that may limit our operating flexibility, and our potential inability to comply with such covenants puts us at risk of triggering an event of default under the Term Loan Agreement.*</w:t>
      </w:r>
    </w:p>
    <w:p>
      <w:pPr>
        <w:spacing w:after="0" w:line="170" w:lineRule="exact"/>
        <w:rPr>
          <w:sz w:val="20"/>
          <w:szCs w:val="20"/>
          <w:color w:val="auto"/>
        </w:rPr>
      </w:pPr>
    </w:p>
    <w:p>
      <w:pPr>
        <w:ind w:right="320" w:firstLine="571"/>
        <w:spacing w:after="0" w:line="279" w:lineRule="auto"/>
        <w:rPr>
          <w:sz w:val="20"/>
          <w:szCs w:val="20"/>
          <w:color w:val="auto"/>
        </w:rPr>
      </w:pPr>
      <w:r>
        <w:rPr>
          <w:rFonts w:ascii="Arial" w:cs="Arial" w:eastAsia="Arial" w:hAnsi="Arial"/>
          <w:sz w:val="17"/>
          <w:szCs w:val="17"/>
          <w:color w:val="auto"/>
        </w:rPr>
        <w:t>The Term Loan Agreement contains certain restrictive covenants that limit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We may not be able to engage in any of the foregoing transactions unless we obtain the consent of Capital Royalty Partners or terminate the Term Loan Agreement.</w:t>
      </w:r>
    </w:p>
    <w:p>
      <w:pPr>
        <w:spacing w:after="0" w:line="171"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The Term Loan Agreement also contains certain financial covenants, including minimum revenue and cash balance requirements, and financial reporting requirements. There is no guarantee that we will be able to generate sufficient cash flow or sales to meet the financial covenants or pay the principal and interest under the Term Loan Agreement. Further, there is no guarantee that future working capital, borrowings or equity financing will be available to repay or refinance the amounts outstanding under the Term Loan Agreement.</w:t>
      </w:r>
    </w:p>
    <w:p>
      <w:pPr>
        <w:spacing w:after="0" w:line="187" w:lineRule="exact"/>
        <w:rPr>
          <w:sz w:val="20"/>
          <w:szCs w:val="20"/>
          <w:color w:val="auto"/>
        </w:rPr>
      </w:pPr>
    </w:p>
    <w:p>
      <w:pPr>
        <w:ind w:firstLine="571"/>
        <w:spacing w:after="0" w:line="264" w:lineRule="auto"/>
        <w:rPr>
          <w:sz w:val="20"/>
          <w:szCs w:val="20"/>
          <w:color w:val="auto"/>
        </w:rPr>
      </w:pPr>
      <w:r>
        <w:rPr>
          <w:rFonts w:ascii="Arial" w:cs="Arial" w:eastAsia="Arial" w:hAnsi="Arial"/>
          <w:sz w:val="18"/>
          <w:szCs w:val="18"/>
          <w:color w:val="auto"/>
        </w:rPr>
        <w:t>In the event of a future default triggered by any violations of the covenants in the Term Loan Agreement, we will need to obtain a waiver from Capital Royalty Partners to avoid being in default. If we are unable to obtain a waiver of any event of default, or an amendment to the Term Loan Agreement that would allow us to be in compliance with the terms of the agreement, an event of default would result.</w:t>
      </w:r>
    </w:p>
    <w:p>
      <w:pPr>
        <w:spacing w:after="0" w:line="181"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In the event of our default under of the Term Loan Agreement, we may be required to repay any outstanding amounts earlier than anticipated and our capital resources may not be sufficient to meet those obligations. Further, if we are unable to repay our indebtedness and Capital Royalty Partners institutes foreclosure proceedings against our assets, we could be forced into bankruptcy or liquidation, and in such a scenario, the values that we receive for our assets could be significantly lower than the values reflected in our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is uncertain.*</w:t>
      </w:r>
    </w:p>
    <w:p>
      <w:pPr>
        <w:spacing w:after="0" w:line="225"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We rely primarily on patent, trademark and trade secret laws, as well as confidentiality and non-disclosure agreements, to protect our proprietary technologies. As of June 30, 2018, our patent portfolio consisted of approximately 63 issued U.S. patents and 49 pending U.S. patent applications. Of these, our issued U.S. patents expire between approximately 2021 and 2036. We also have 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8" w:name="page49"/>
    <w:bookmarkEnd w:id="48"/>
    <w:p>
      <w:pPr>
        <w:ind w:right="220"/>
        <w:spacing w:after="0" w:line="277" w:lineRule="auto"/>
        <w:rPr>
          <w:sz w:val="20"/>
          <w:szCs w:val="20"/>
          <w:color w:val="auto"/>
        </w:rPr>
      </w:pPr>
      <w:r>
        <w:rPr>
          <w:rFonts w:ascii="Arial" w:cs="Arial" w:eastAsia="Arial" w:hAnsi="Arial"/>
          <w:sz w:val="18"/>
          <w:szCs w:val="18"/>
          <w:color w:val="auto"/>
        </w:rPr>
        <w:t>are seeking patent protection for our proprietary technologies in other countries throughout the world. In addition, we have 10 U.S. trademark registrations and 13 foreign trademark registrations.</w:t>
      </w:r>
    </w:p>
    <w:p>
      <w:pPr>
        <w:spacing w:after="0" w:line="170"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have applied for patent protection relating to certain existing and proposed products and processes. If we fail to file a patent application timely in any jurisdiction, we may be precluded from doing so at a later date. Further, we cannot assure you that any of our patent applications will be approved in a timely manner or at all. The rights granted to us under our patents, and the rights we are seeking to have granted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Third parties also may oppose our trademark applications, or otherwise challenge our use of the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193"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We have entered into confidentiality agreements and intellectual property assignment agreements with our officers, employees, temporary employees and consultants regarding our intellectual property and proprietary technology. In the event of unauthorized use or disclosure or other breaches of those agreements, we may not be provided with meaningful protection for our trade secrets or other proprietary information.</w:t>
      </w:r>
    </w:p>
    <w:p>
      <w:pPr>
        <w:spacing w:after="0" w:line="166"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If a competitor infringes upon one of our patents, trademarks or other intellectual property rights, enforcing those patents, trademarks and other rights may be difficult and time consuming. Patent law relating to the scope of claims in the industry in which we operate is subject to rapid change and constant evolution and, consequently, patent positions in our industry can be uncertain.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or incentive to defend our patents or trademarks against challenges or to enforce our intellectual property rights. Litigation also puts our patents at risk of being invalidated or interpreted narrowly and our patent applications at risk of not issuing. Additionally, pursuing litigation may provoke third parties to assert counterclaims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18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medical device industry is characterized by patent litigation, and from time to time, we may be subject to litigation that could be costly, result in the diversion of management’s time and efforts, or require us to pay damages.</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188" w:lineRule="exact"/>
        <w:rPr>
          <w:sz w:val="20"/>
          <w:szCs w:val="20"/>
          <w:color w:val="auto"/>
        </w:rPr>
      </w:pPr>
    </w:p>
    <w:p>
      <w:pPr>
        <w:ind w:right="60" w:firstLine="571"/>
        <w:spacing w:after="0" w:line="277" w:lineRule="auto"/>
        <w:rPr>
          <w:sz w:val="20"/>
          <w:szCs w:val="20"/>
          <w:color w:val="auto"/>
        </w:rPr>
      </w:pPr>
      <w:r>
        <w:rPr>
          <w:rFonts w:ascii="Arial" w:cs="Arial" w:eastAsia="Arial" w:hAnsi="Arial"/>
          <w:sz w:val="18"/>
          <w:szCs w:val="18"/>
          <w:color w:val="auto"/>
        </w:rPr>
        <w:t>From time to time, we may receive communications from third parties alleging our infringement of their intellectual property rights. Any intellectual property dispute or litigation could force us to do one or more of the following:</w:t>
      </w:r>
    </w:p>
    <w:p>
      <w:pPr>
        <w:spacing w:after="0" w:line="170" w:lineRule="exact"/>
        <w:rPr>
          <w:sz w:val="20"/>
          <w:szCs w:val="20"/>
          <w:color w:val="auto"/>
        </w:rPr>
      </w:pPr>
    </w:p>
    <w:p>
      <w:pPr>
        <w:ind w:left="1340" w:hanging="387"/>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stop selling our products or using technology that contains the allegedly infringing intellectual property;</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are allegedly infringing;</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 or</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attempt to obtain a license to the relevant intellectual property from third parties, which may not be available on reasonable terms or at all.</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9" w:name="page50"/>
    <w:bookmarkEnd w:id="49"/>
    <w:p>
      <w:pPr>
        <w:ind w:right="60" w:firstLine="518"/>
        <w:spacing w:after="0" w:line="264" w:lineRule="auto"/>
        <w:rPr>
          <w:sz w:val="20"/>
          <w:szCs w:val="20"/>
          <w:color w:val="auto"/>
        </w:rPr>
      </w:pPr>
      <w:r>
        <w:rPr>
          <w:rFonts w:ascii="Arial" w:cs="Arial" w:eastAsia="Arial" w:hAnsi="Arial"/>
          <w:sz w:val="18"/>
          <w:szCs w:val="18"/>
          <w:color w:val="auto"/>
        </w:rPr>
        <w:t>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diabetes market increases, the possibility of intellectual property infringement claims against us increases.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70"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Many of our employees were previously employed at other medical device companies, including those that are our direct competitors or could potentially become our direct competitors. In some cases, those employees joined our company recently. We may be subject to claims that we, or our employees, have inadvertently or otherwise used or disclosed trade secrets 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25"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Our business exposes us to potential product liability claims that are inherent in the design, manufacture, testing and sale of medical devices. We could become the subject of product liability lawsuits alleging that component failures, manufacturing flaws, design defects or inadequate disclosure of product-related risks or product-related information resulted in an unsafe condition, injury or death to customers. The risk of one or more product liability claims or lawsuits may be even greater following our January 2014 voluntary recall of cartridges used with t:slim. In addition, the misuse of our products or the failure of customers to adhere to operating guidelines could cause significant harm to customers, including death, which could result in product liability claims. We may also identify deficiencies in our products that we determine are immaterial and do not pose safety risks, and therefore decide not to initiate a voluntary recall. However, any such deficiency may be more significant than we expect and lead to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169"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Product liability claims in excess of applicable insurance coverage could have a material adverse effect on our business, financial condition and operating results. In addition, any product liability claim brought against us, with or without merit, could result in an increase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 potential product liability claims could prevent or limit our commercialization of current products or products currently under development.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17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governmental regulation, and failure to comply with applicable requirements could cause our business to suffer.*</w:t>
      </w:r>
    </w:p>
    <w:p>
      <w:pPr>
        <w:spacing w:after="0" w:line="170"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The medical device industry is regulated extensively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regulate numerous elements of our business, including:</w:t>
      </w:r>
    </w:p>
    <w:p>
      <w:pPr>
        <w:spacing w:after="0" w:line="187" w:lineRule="exact"/>
        <w:rPr>
          <w:sz w:val="20"/>
          <w:szCs w:val="20"/>
          <w:color w:val="auto"/>
        </w:rPr>
      </w:pPr>
    </w:p>
    <w:p>
      <w:pPr>
        <w:ind w:left="1340" w:hanging="387"/>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pre-clinical and clinical testing and trials;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50" w:name="page51"/>
    <w:bookmarkEnd w:id="50"/>
    <w:p>
      <w:pPr>
        <w:ind w:left="1340" w:hanging="387"/>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establishment registration and product listing;</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labeling and storage;</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marketing, manufacturing, sales and distribution;</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servicing and post-market surveillance;</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225"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Before we can market or sell a new regulated product or a significant modification to an existing product in the United States, we must obtain either clearance under Section 510(k) of the FDCA or approval of a PMA application from the FDA, unless an exemption from pre-market review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We received approval of our PMA for t:slim G4 in September 2015 and of our PMA supplement for t:slim X2 with G5 in August 2017. More recently, we received approval of our PMA for t:slim X2 with Basal-IQ technology in June 2018. Products that are approved through a PMA application generally need FDA approval before they can be modified. Similarly, some modifications made to products cleared through a 510(k) may require a new 510(k). The process of obtaining regulatory clearances or approvals to market a medical device can be costly and time-consuming, and we may not be able to obtain these clearances or approvals on a timely basis or at all for our proposed products.</w:t>
      </w:r>
    </w:p>
    <w:p>
      <w:pPr>
        <w:spacing w:after="0" w:line="17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may pursue 510(k) clearance for additional products or product modifications in the future. If the FDA requires us to go through a more rigorous examination for future products or modifications to existing products than we had expected, our product introductions or modifications could be delayed or canceled, which could cause our sales to decline or to not increase in line with our forecasts. We anticipate that our products currently under development will require the more costly, lengthy and uncertain PMA approval process.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FDA can delay, limit or deny clearance or approval of one of our devices for many reasons, including:</w:t>
      </w:r>
    </w:p>
    <w:p>
      <w:pPr>
        <w:spacing w:after="0" w:line="225" w:lineRule="exact"/>
        <w:rPr>
          <w:sz w:val="20"/>
          <w:szCs w:val="20"/>
          <w:color w:val="auto"/>
        </w:rPr>
      </w:pPr>
    </w:p>
    <w:p>
      <w:pPr>
        <w:ind w:left="1340" w:hanging="387"/>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demonstrate that our products are safe and effective for their intended users;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data from our clinical trials may be insufficient to support clearance or approval;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the manufacturing process or facilities we use to meet applicable requirements.</w:t>
      </w:r>
    </w:p>
    <w:p>
      <w:pPr>
        <w:spacing w:after="0" w:line="252"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w:t>
      </w:r>
    </w:p>
    <w:p>
      <w:pPr>
        <w:spacing w:after="0" w:line="181"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 Additionally, the FDA and other regulatory authorities have broad enforcement powers. Regulatory enforcement or inquiries, or other increased scrutiny on us, could dissuade some customers from using our products and adversely affect our reputation and the perceived safety and efficacy of our products.</w:t>
      </w:r>
    </w:p>
    <w:p>
      <w:pPr>
        <w:spacing w:after="0" w:line="187"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Failure to comply with applicable regulations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delays by the FDA or other regulators in granting clearances or approvals, and the suspension or withdrawal of existing approvals by the FDA or other regulators.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1" w:name="page52"/>
    <w:bookmarkEnd w:id="51"/>
    <w:p>
      <w:pPr>
        <w:ind w:right="160" w:firstLine="518"/>
        <w:spacing w:after="0" w:line="279" w:lineRule="auto"/>
        <w:rPr>
          <w:sz w:val="20"/>
          <w:szCs w:val="20"/>
          <w:color w:val="auto"/>
        </w:rPr>
      </w:pPr>
      <w:r>
        <w:rPr>
          <w:rFonts w:ascii="Arial" w:cs="Arial" w:eastAsia="Arial" w:hAnsi="Arial"/>
          <w:sz w:val="17"/>
          <w:szCs w:val="17"/>
          <w:color w:val="auto"/>
        </w:rPr>
        <w:t>Further, we intend to commence commercial sales of our products in select international markets during the second half of 2018. As we expand our operations outside of the United States, we will become subject to various additional regulatory and legal requirements under the applicable laws and regulations of the international markets we enter. These additional regulatory requirements may involve significant costs and expenditures and, if we are not able to comply with any such requirements, our international expansion and business could be significantly harmed.</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Modifications to our products may require new 510(k) clearances or PMAs, or may require us to cease marketing or recall the modified products until clearances are obtained.</w:t>
      </w:r>
    </w:p>
    <w:p>
      <w:pPr>
        <w:spacing w:after="0" w:line="170"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89"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or our third-party suppliers fail to comply with the FDA’s good manufacturing practice regulations, this could impair our ability to market our products in a cost-effective and timely manner.</w:t>
      </w:r>
    </w:p>
    <w:p>
      <w:pPr>
        <w:spacing w:after="0" w:line="170"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We and our third-party suppliers are required to comply with the FDA’s Quality System Regulation, or QSR, which covers the methods and documentation of the design, testing, production, control, quality assurance, labeling, packaging, sterilization, storage and shipping of our products. The FDA audits compliance with the QSR through periodic announced and unannounced inspections of manufacturing and other facilities. The FDA may impose inspections or audits at any time. If we or our suppliers have significant non-compliance issues or if any corrective action plan that we or our suppliers propose in response to observed deficiencies is not sufficient, the FDA could take enforcement action against us. Any of the foregoing actions could have a material adverse effect on our reputation, business, financial condition and operating results.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recall of our products, or the discovery of serious safety issues with our products, could have a significant negative impact on us.*</w:t>
      </w:r>
    </w:p>
    <w:p>
      <w:pPr>
        <w:spacing w:after="0" w:line="225"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The FDA has the authority to require the recall of commercialized products in the event of material deficiencies or defects in design or manufacture or in the event that a product poses an unacceptable risk to health. The FDA has broad discretion to require the recall of a product or to require that manufacturers alert customers of safety risks, and may do so even in circumstances where we do not believe our product poses an unacceptable risk to health. In addition, manufacturers may, under their own initiative, recall a product if any material deficiency in a product is found or alert customers of unanticipated safety risks. This is not uncommon in our industry and we currently have ongoing voluntary recalls of products that we initiated during 2018. A government-mandated or voluntary recall by us, one of our distributors or any of our other third-party suppliers could occur as a result of an unacceptable risk to health, component failures, manufacturing errors, design or labeling defects or other deficiencies and issues. Recalls or notices relating to any products that we distribute would divert managerial and financial resources, and have an adverse effect on our reputation, financial condition and operating results.</w:t>
      </w:r>
    </w:p>
    <w:p>
      <w:pPr>
        <w:spacing w:after="0" w:line="166"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Further, under the FDA’s Medical Device Reporting, or MDR, regulations, we are required to report to the FDA any incident in which our product may have caused or contributed to a death or serious injury or in which our product malfunctioned and, if the malfunction were to recur, would likely cause or contribute to death or serious injury. Repeated product malfunctions may result in a voluntary or involuntary product recall, which could divert managerial and financial resources, impair our ability to manufacture our products in a cost-effective and timely manner and have an adverse effect on our reputation, financial condition and operating results.</w:t>
      </w:r>
    </w:p>
    <w:p>
      <w:pPr>
        <w:spacing w:after="0" w:line="188"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Any adverse event involving any products that we distribute could result in future voluntary corrective actions, such as recalls or customer notifications, or regulatory agency action, which could include inspection, mandatory recall or other enforcement action. Any corrective action, whether voluntary or involuntary, will require the dedication of our time and capital, distract management from operating our business and may harm our reputation and financial results.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ind w:right="160"/>
        <w:spacing w:after="0" w:line="277" w:lineRule="auto"/>
        <w:rPr>
          <w:sz w:val="20"/>
          <w:szCs w:val="20"/>
          <w:color w:val="auto"/>
        </w:rPr>
      </w:pPr>
      <w:r>
        <w:rPr>
          <w:rFonts w:ascii="Arial" w:cs="Arial" w:eastAsia="Arial" w:hAnsi="Arial"/>
          <w:sz w:val="18"/>
          <w:szCs w:val="18"/>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There are numerous U.S. federal and state laws pertaining to healthcare fraud and abuse, including anti-kickback laws and physician self-referral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8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Healthcare fraud and abuse regulations are complex, and even minor irregularities can potentially give rise to claims that a statute or prohibition has been violated. The laws that may affect our ability to operate include:</w:t>
      </w:r>
    </w:p>
    <w:p>
      <w:pPr>
        <w:spacing w:after="0" w:line="170" w:lineRule="exact"/>
        <w:rPr>
          <w:sz w:val="20"/>
          <w:szCs w:val="20"/>
          <w:color w:val="auto"/>
        </w:rPr>
      </w:pPr>
    </w:p>
    <w:p>
      <w:pPr>
        <w:ind w:left="1280" w:right="160" w:hanging="381"/>
        <w:spacing w:after="0" w:line="259" w:lineRule="auto"/>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healthcare programs’ Anti-Kickback Statute, which prohibits, among other things, persons from knowingly and willfully soliciting, receiving, offering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186" w:lineRule="exact"/>
        <w:rPr>
          <w:rFonts w:ascii="Arial" w:cs="Arial" w:eastAsia="Arial" w:hAnsi="Arial"/>
          <w:sz w:val="18"/>
          <w:szCs w:val="18"/>
          <w:color w:val="auto"/>
        </w:rPr>
      </w:pPr>
    </w:p>
    <w:p>
      <w:pPr>
        <w:ind w:left="1280" w:right="120" w:hanging="381"/>
        <w:spacing w:after="0" w:line="277" w:lineRule="auto"/>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170" w:lineRule="exact"/>
        <w:rPr>
          <w:rFonts w:ascii="Arial" w:cs="Arial" w:eastAsia="Arial" w:hAnsi="Arial"/>
          <w:sz w:val="18"/>
          <w:szCs w:val="18"/>
          <w:color w:val="auto"/>
        </w:rPr>
      </w:pPr>
    </w:p>
    <w:p>
      <w:pPr>
        <w:ind w:left="1280" w:right="120" w:hanging="381"/>
        <w:spacing w:after="0" w:line="264" w:lineRule="auto"/>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and state physician referral laws, such as the federal “Stark Law,” that prohibit a physician from referring Medicare or Medicaid patients to an entity providing “designated health services,” including a company that furnishes durable medical equipment, with which the physician has a financial relationship;</w:t>
      </w:r>
    </w:p>
    <w:p>
      <w:pPr>
        <w:spacing w:after="0" w:line="181" w:lineRule="exact"/>
        <w:rPr>
          <w:rFonts w:ascii="Arial" w:cs="Arial" w:eastAsia="Arial" w:hAnsi="Arial"/>
          <w:sz w:val="18"/>
          <w:szCs w:val="18"/>
          <w:color w:val="auto"/>
        </w:rPr>
      </w:pPr>
    </w:p>
    <w:p>
      <w:pPr>
        <w:ind w:left="1280" w:right="120" w:hanging="381"/>
        <w:spacing w:after="0" w:line="277" w:lineRule="auto"/>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criminal laws enacted as part of HIPAA that prohibit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ind w:left="1280" w:right="520" w:hanging="381"/>
        <w:spacing w:after="0" w:line="342" w:lineRule="auto"/>
        <w:tabs>
          <w:tab w:leader="none" w:pos="12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federal disclosure laws, such as the Physician Payments Sunshine Act, which require certain manufacturers, including medical device manufacturers, to submit annual data pertaining to payments or other transfers of value to covered recipients, including physicians;</w:t>
      </w:r>
    </w:p>
    <w:p>
      <w:pPr>
        <w:spacing w:after="0" w:line="123" w:lineRule="exact"/>
        <w:rPr>
          <w:rFonts w:ascii="Arial" w:cs="Arial" w:eastAsia="Arial" w:hAnsi="Arial"/>
          <w:sz w:val="16"/>
          <w:szCs w:val="16"/>
          <w:color w:val="auto"/>
        </w:rPr>
      </w:pPr>
    </w:p>
    <w:p>
      <w:pPr>
        <w:ind w:left="1280" w:hanging="381"/>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Trade Commission Act and similar laws regulating advertisement and consumer protections;</w:t>
      </w:r>
    </w:p>
    <w:p>
      <w:pPr>
        <w:spacing w:after="0" w:line="225" w:lineRule="exact"/>
        <w:rPr>
          <w:rFonts w:ascii="Arial" w:cs="Arial" w:eastAsia="Arial" w:hAnsi="Arial"/>
          <w:sz w:val="18"/>
          <w:szCs w:val="18"/>
          <w:color w:val="auto"/>
        </w:rPr>
      </w:pPr>
    </w:p>
    <w:p>
      <w:pPr>
        <w:ind w:left="1280" w:right="300" w:hanging="381"/>
        <w:spacing w:after="0" w:line="277" w:lineRule="auto"/>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and U.S. state law equivalents of each of the above federal laws, such as anti-kickback and false claims laws which may apply to items or services reimbursed by any third-party payor, including commercial insurers; and</w:t>
      </w:r>
    </w:p>
    <w:p>
      <w:pPr>
        <w:spacing w:after="0" w:line="170" w:lineRule="exact"/>
        <w:rPr>
          <w:rFonts w:ascii="Arial" w:cs="Arial" w:eastAsia="Arial" w:hAnsi="Arial"/>
          <w:sz w:val="18"/>
          <w:szCs w:val="18"/>
          <w:color w:val="auto"/>
        </w:rPr>
      </w:pPr>
    </w:p>
    <w:p>
      <w:pPr>
        <w:ind w:left="1280" w:hanging="381"/>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and state laws governing the use, disclosure and security of protected health information, such as HIPAA and HITECH.</w:t>
      </w:r>
    </w:p>
    <w:p>
      <w:pPr>
        <w:spacing w:after="0" w:line="225"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Further, the Patient Protection and Affordable Care Act, as amended by the Healthcare and Education Affordability Reconciliation Act, or, collectively, the PPACA, among other things, amends the intent requirement of the federal anti-kickback and criminal healthcare fraud statutes. An individual or entity can now be found guilty under the PPACA without actual knowledge of the statute or specific intent to violate it. In addition, the PPACA provides that claims submitted in violation of the Anti-Kickback Statute automatically constitute false claims for purposes of the False Claims Act. Possible sanctions for violation of these laws include monetary fines, civil and criminal penalties, exclusion from Medicare, Medicaid and other federal healthcare programs, and forfeiture of amounts collected in violation of those prohibitions. Any violation of these laws, or any action against us for violation of these laws, even if we successfully defend against it, could result in a material adverse effect on our reputation, business, financial condition and operating results.</w:t>
      </w:r>
    </w:p>
    <w:p>
      <w:pPr>
        <w:spacing w:after="0" w:line="16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To enforce compliance with the federal laws, the U.S. Department of Justice, or DOJ, has recently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ind w:right="240" w:firstLine="518"/>
        <w:spacing w:after="0" w:line="279" w:lineRule="auto"/>
        <w:rPr>
          <w:sz w:val="20"/>
          <w:szCs w:val="20"/>
          <w:color w:val="auto"/>
        </w:rPr>
      </w:pPr>
      <w:r>
        <w:rPr>
          <w:rFonts w:ascii="Arial" w:cs="Arial" w:eastAsia="Arial" w:hAnsi="Arial"/>
          <w:sz w:val="17"/>
          <w:szCs w:val="17"/>
          <w:color w:val="auto"/>
        </w:rPr>
        <w:t>The scope and enforcement of these laws is uncertain and subject to rapid change in the current environment of healthcare reform. Federal or state regulatory authorities might challenge our current or future activities under these laws. Any of these challenges could have a material adverse effect on our reputation, business, financial condition and operating results. Any state or federal regulatory review of us, regardless of the outcome, would be costly and time-consuming. Additionally, we cannot predict the impact of any changes in these laws, whether or not retroactive.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if we engage in the promotion of the off-label use of our products.</w:t>
      </w:r>
    </w:p>
    <w:p>
      <w:pPr>
        <w:spacing w:after="0" w:line="225" w:lineRule="exact"/>
        <w:rPr>
          <w:sz w:val="20"/>
          <w:szCs w:val="20"/>
          <w:color w:val="auto"/>
        </w:rPr>
      </w:pPr>
    </w:p>
    <w:p>
      <w:pPr>
        <w:ind w:right="40" w:firstLine="571"/>
        <w:spacing w:after="0" w:line="288" w:lineRule="auto"/>
        <w:rPr>
          <w:sz w:val="20"/>
          <w:szCs w:val="20"/>
          <w:color w:val="auto"/>
        </w:rPr>
      </w:pPr>
      <w:r>
        <w:rPr>
          <w:rFonts w:ascii="Arial" w:cs="Arial" w:eastAsia="Arial" w:hAnsi="Arial"/>
          <w:sz w:val="16"/>
          <w:szCs w:val="16"/>
          <w:color w:val="auto"/>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agency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spacing w:after="0" w:line="169"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Legislative or regulatory healthcare reforms may result in downward pressure on the price of and decrease reimbursement for our products, and uncertainty regarding the healthcare regulatory environment could have a material adverse effect on our business.</w:t>
      </w:r>
    </w:p>
    <w:p>
      <w:pPr>
        <w:spacing w:after="0" w:line="14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w:t>
      </w:r>
    </w:p>
    <w:p>
      <w:pPr>
        <w:spacing w:after="0" w:line="189"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The PPACA substantially changed the way healthcare is financed by both governmental and private insurers, encourages improvements in the quality of healthcare items and services, and significantly impacts the medical device industry. However, a number of legislative changes have been proposed and adopted since the PPACA was enacted, and legislation has recently been proposed that could modify or repeal the PPACA. The uncertainties regarding the future of the PPACA, and other healthcare reform initiatives, may have an adverse effect on our customers’ purchasing decisions regarding our products.</w:t>
      </w:r>
    </w:p>
    <w:p>
      <w:pPr>
        <w:spacing w:after="0" w:line="154"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In the future,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225" w:lineRule="exact"/>
        <w:rPr>
          <w:sz w:val="20"/>
          <w:szCs w:val="20"/>
          <w:color w:val="auto"/>
        </w:rPr>
      </w:pPr>
    </w:p>
    <w:p>
      <w:pPr>
        <w:ind w:firstLine="577"/>
        <w:spacing w:after="0" w:line="271" w:lineRule="auto"/>
        <w:rPr>
          <w:sz w:val="20"/>
          <w:szCs w:val="20"/>
          <w:color w:val="auto"/>
        </w:rPr>
      </w:pPr>
      <w:r>
        <w:rPr>
          <w:rFonts w:ascii="Arial" w:cs="Arial" w:eastAsia="Arial" w:hAnsi="Arial"/>
          <w:sz w:val="17"/>
          <w:szCs w:val="17"/>
          <w:color w:val="auto"/>
        </w:rPr>
        <w:t>The PPACA imposes, among other things, an excise tax of 2.3% on any entity that manufactures or imports medical devices offered for sale in the United States, although this tax has been suspended for calendar years 2016, 2017, 2018 and 2019. It is unclear at this time if the moratorium will be further extended. We do not believe that our products are subject to this tax based on the retail exemption under applicable Treasury Regulations. However, the availability of this exemption is subject to interpretation by the IRS, and the IRS may disagree with our analysis. Absent further legislative action, the medical device excise tax applies to sales of taxable medical devices beginning on January 1, 2020, and future products that we manufacture, produce or import may be subject to this tax (unless the retail exemption or other applicable exemption applies). The financial impact this tax may have on our business is unclear and there can be no assurance that our business will not be materially adversely affected by it. Additionally, Congress could terminate the moratorium or further change the law related to the medical device tax in a manner that could adversely affect us.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continue to fluctuate significantly.</w:t>
      </w:r>
    </w:p>
    <w:p>
      <w:pPr>
        <w:spacing w:after="0" w:line="225" w:lineRule="exact"/>
        <w:rPr>
          <w:sz w:val="20"/>
          <w:szCs w:val="20"/>
          <w:color w:val="auto"/>
        </w:rPr>
      </w:pPr>
    </w:p>
    <w:p>
      <w:pPr>
        <w:ind w:right="300" w:firstLine="577"/>
        <w:spacing w:after="0" w:line="277" w:lineRule="auto"/>
        <w:rPr>
          <w:sz w:val="20"/>
          <w:szCs w:val="20"/>
          <w:color w:val="auto"/>
        </w:rPr>
      </w:pPr>
      <w:r>
        <w:rPr>
          <w:rFonts w:ascii="Arial" w:cs="Arial" w:eastAsia="Arial" w:hAnsi="Arial"/>
          <w:sz w:val="18"/>
          <w:szCs w:val="18"/>
          <w:color w:val="auto"/>
        </w:rPr>
        <w:t>The trading price of our common stock has been volatile over the past several years. We believe our stock price has been, and will continue to be, subject to wide fluctuations in response to a variety of factors, including the following:</w:t>
      </w:r>
    </w:p>
    <w:p>
      <w:pPr>
        <w:spacing w:after="0" w:line="170" w:lineRule="exact"/>
        <w:rPr>
          <w:sz w:val="20"/>
          <w:szCs w:val="20"/>
          <w:color w:val="auto"/>
        </w:rPr>
      </w:pPr>
    </w:p>
    <w:p>
      <w:pPr>
        <w:ind w:left="1140" w:hanging="376"/>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and operating results from period to period;</w:t>
      </w:r>
    </w:p>
    <w:p>
      <w:pPr>
        <w:spacing w:after="0" w:line="225" w:lineRule="exact"/>
        <w:rPr>
          <w:rFonts w:ascii="Arial" w:cs="Arial" w:eastAsia="Arial" w:hAnsi="Arial"/>
          <w:sz w:val="18"/>
          <w:szCs w:val="18"/>
          <w:color w:val="auto"/>
        </w:rPr>
      </w:pPr>
    </w:p>
    <w:p>
      <w:pPr>
        <w:ind w:left="1140" w:right="280" w:hanging="376"/>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actual or perceived need for additional capital to fund our operations, and perceptions about the dilutive impact of our recent financing transactions (including the exercise of outstanding warrants);</w:t>
      </w:r>
    </w:p>
    <w:p>
      <w:pPr>
        <w:spacing w:after="0" w:line="170" w:lineRule="exact"/>
        <w:rPr>
          <w:rFonts w:ascii="Arial" w:cs="Arial" w:eastAsia="Arial" w:hAnsi="Arial"/>
          <w:sz w:val="18"/>
          <w:szCs w:val="18"/>
          <w:color w:val="auto"/>
        </w:rPr>
      </w:pPr>
    </w:p>
    <w:p>
      <w:pPr>
        <w:ind w:left="1140" w:right="320" w:hanging="376"/>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perceptions about our financial stability generally, and relative to our competitors, including our ability to sustain our business operations, refinance our outstanding indebtedness, and achieve profitability;</w:t>
      </w:r>
    </w:p>
    <w:p>
      <w:pPr>
        <w:spacing w:after="0" w:line="170" w:lineRule="exact"/>
        <w:rPr>
          <w:rFonts w:ascii="Arial" w:cs="Arial" w:eastAsia="Arial" w:hAnsi="Arial"/>
          <w:sz w:val="18"/>
          <w:szCs w:val="18"/>
          <w:color w:val="auto"/>
        </w:rPr>
      </w:pPr>
    </w:p>
    <w:p>
      <w:pPr>
        <w:ind w:left="1140" w:hanging="376"/>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acceptance of our current products and products under development, and the recognition of our brand;</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introduction of proposed products, technologies or treatment techniques by us or our competitors;</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of significant contracts, acquisitions or divestitures by us or our competitors;</w:t>
      </w:r>
    </w:p>
    <w:p>
      <w:pPr>
        <w:spacing w:after="0" w:line="225" w:lineRule="exact"/>
        <w:rPr>
          <w:rFonts w:ascii="Arial" w:cs="Arial" w:eastAsia="Arial" w:hAnsi="Arial"/>
          <w:sz w:val="18"/>
          <w:szCs w:val="18"/>
          <w:color w:val="auto"/>
        </w:rPr>
      </w:pPr>
    </w:p>
    <w:p>
      <w:pPr>
        <w:ind w:left="1140" w:right="180" w:hanging="376"/>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approval of our products or the products of our competitors, or the failure to obtain such approvals on the projected timeline or at all;</w:t>
      </w:r>
    </w:p>
    <w:p>
      <w:pPr>
        <w:spacing w:after="0" w:line="170" w:lineRule="exact"/>
        <w:rPr>
          <w:rFonts w:ascii="Arial" w:cs="Arial" w:eastAsia="Arial" w:hAnsi="Arial"/>
          <w:sz w:val="18"/>
          <w:szCs w:val="18"/>
          <w:color w:val="auto"/>
        </w:rPr>
      </w:pPr>
    </w:p>
    <w:p>
      <w:pPr>
        <w:ind w:left="1140" w:hanging="376"/>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speculative trading practices of market participants;</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issuance of securities analysts’ reports or recommendations;</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shares of our common stock by our employees, directors or principal stockholders; and</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political or economic conditions.</w:t>
      </w:r>
    </w:p>
    <w:p>
      <w:pPr>
        <w:spacing w:after="0" w:line="225" w:lineRule="exact"/>
        <w:rPr>
          <w:sz w:val="20"/>
          <w:szCs w:val="20"/>
          <w:color w:val="auto"/>
        </w:rPr>
      </w:pPr>
    </w:p>
    <w:p>
      <w:pPr>
        <w:ind w:right="720" w:firstLine="761"/>
        <w:spacing w:after="0" w:line="277" w:lineRule="auto"/>
        <w:rPr>
          <w:sz w:val="20"/>
          <w:szCs w:val="20"/>
          <w:color w:val="auto"/>
        </w:rPr>
      </w:pPr>
      <w:r>
        <w:rPr>
          <w:rFonts w:ascii="Arial" w:cs="Arial" w:eastAsia="Arial" w:hAnsi="Arial"/>
          <w:sz w:val="18"/>
          <w:szCs w:val="18"/>
          <w:color w:val="auto"/>
        </w:rPr>
        <w:t>These and other factors might cause the market price of our common stock to fluctuate substantially. Fluctuations on our stock price may negatively affect the liquidity of our common stock, which could further impact our stock price.</w:t>
      </w:r>
    </w:p>
    <w:p>
      <w:pPr>
        <w:spacing w:after="0" w:line="170"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In recent years, the stock market has experienced significant price and volume fluctuations. This volatility has had a significant impact on the market price of securities issued by many companies across many industries. These changes may occur without regard to the financial condition or operating performance of the affected companies. Accordingly, the price of our common stock could fluctuate based upon factors that have little or nothing to do with our company, and these fluctuations could materially reduce the market price of our common stock.</w:t>
      </w:r>
    </w:p>
    <w:p>
      <w:pPr>
        <w:spacing w:after="0" w:line="187" w:lineRule="exact"/>
        <w:rPr>
          <w:sz w:val="20"/>
          <w:szCs w:val="20"/>
          <w:color w:val="auto"/>
        </w:rPr>
      </w:pPr>
    </w:p>
    <w:p>
      <w:pPr>
        <w:jc w:val="both"/>
        <w:ind w:right="40"/>
        <w:spacing w:after="0" w:line="381" w:lineRule="auto"/>
        <w:rPr>
          <w:sz w:val="20"/>
          <w:szCs w:val="20"/>
          <w:color w:val="auto"/>
        </w:rPr>
      </w:pPr>
      <w:r>
        <w:rPr>
          <w:rFonts w:ascii="Arial" w:cs="Arial" w:eastAsia="Arial" w:hAnsi="Arial"/>
          <w:sz w:val="15"/>
          <w:szCs w:val="15"/>
          <w:b w:val="1"/>
          <w:bCs w:val="1"/>
          <w:i w:val="1"/>
          <w:iCs w:val="1"/>
          <w:color w:val="auto"/>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101" w:lineRule="exact"/>
        <w:rPr>
          <w:sz w:val="20"/>
          <w:szCs w:val="20"/>
          <w:color w:val="auto"/>
        </w:rPr>
      </w:pPr>
    </w:p>
    <w:p>
      <w:pPr>
        <w:ind w:right="140" w:firstLine="571"/>
        <w:spacing w:after="0" w:line="277" w:lineRule="auto"/>
        <w:rPr>
          <w:sz w:val="20"/>
          <w:szCs w:val="20"/>
          <w:color w:val="auto"/>
        </w:rPr>
      </w:pPr>
      <w:r>
        <w:rPr>
          <w:rFonts w:ascii="Arial" w:cs="Arial" w:eastAsia="Arial" w:hAnsi="Arial"/>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70" w:lineRule="exact"/>
        <w:rPr>
          <w:sz w:val="20"/>
          <w:szCs w:val="20"/>
          <w:color w:val="auto"/>
        </w:rPr>
      </w:pPr>
    </w:p>
    <w:p>
      <w:pPr>
        <w:ind w:left="1340" w:hanging="387"/>
        <w:spacing w:after="0" w:line="277" w:lineRule="auto"/>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170" w:lineRule="exact"/>
        <w:rPr>
          <w:rFonts w:ascii="Arial" w:cs="Arial" w:eastAsia="Arial" w:hAnsi="Arial"/>
          <w:sz w:val="18"/>
          <w:szCs w:val="18"/>
          <w:color w:val="auto"/>
        </w:rPr>
      </w:pPr>
    </w:p>
    <w:p>
      <w:pPr>
        <w:ind w:left="1340" w:right="420" w:hanging="387"/>
        <w:spacing w:after="0" w:line="277" w:lineRule="auto"/>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for the adoption of a staggered board of directors whereby the board is divided into three classes each of which has a different three-year term;</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the number of directors shall be fixed by the board;</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5" w:name="page56"/>
    <w:bookmarkEnd w:id="55"/>
    <w:p>
      <w:pPr>
        <w:ind w:left="1340" w:hanging="387"/>
        <w:spacing w:after="0"/>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provide for the removal of a director only with cause and then by the affirmative vote of the holders of a majority of the outstanding shares;</w:t>
      </w:r>
    </w:p>
    <w:p>
      <w:pPr>
        <w:spacing w:after="0" w:line="248" w:lineRule="exact"/>
        <w:rPr>
          <w:rFonts w:ascii="Arial" w:cs="Arial" w:eastAsia="Arial" w:hAnsi="Arial"/>
          <w:sz w:val="16"/>
          <w:szCs w:val="16"/>
          <w:color w:val="auto"/>
        </w:rPr>
      </w:pPr>
    </w:p>
    <w:p>
      <w:pPr>
        <w:ind w:left="1340" w:hanging="387"/>
        <w:spacing w:after="0"/>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prohibit stockholders from calling special stockholder meetings;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prohibit stockholders from acting by written consent without holding a meeting of stockholders;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require the vote of at least two-thirds of the outstanding shares to approve amendments to the certificate of incorporation or bylaws; and</w:t>
      </w:r>
    </w:p>
    <w:p>
      <w:pPr>
        <w:spacing w:after="0" w:line="248" w:lineRule="exact"/>
        <w:rPr>
          <w:rFonts w:ascii="Arial" w:cs="Arial" w:eastAsia="Arial" w:hAnsi="Arial"/>
          <w:sz w:val="16"/>
          <w:szCs w:val="16"/>
          <w:color w:val="auto"/>
        </w:rPr>
      </w:pPr>
    </w:p>
    <w:p>
      <w:pPr>
        <w:ind w:left="1340" w:hanging="387"/>
        <w:spacing w:after="0"/>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w:t>
      </w:r>
    </w:p>
    <w:p>
      <w:pPr>
        <w:spacing w:after="0" w:line="225"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board of directors is authorized to issue and designate shares of our preferred stock in additional series without stockholder approval.</w:t>
      </w:r>
    </w:p>
    <w:p>
      <w:pPr>
        <w:spacing w:after="0" w:line="237"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Our amended and restated certificate of incorporation authorizes our board of directors, without the approval of our stockholders, to issue 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and the issuance of such shares in the future may reduce the value of our common stock.</w:t>
      </w:r>
    </w:p>
    <w:p>
      <w:pPr>
        <w:spacing w:after="0" w:line="19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U.S. federal income tax reform could adversely affect us and our stockholders.</w:t>
      </w:r>
    </w:p>
    <w:p>
      <w:pPr>
        <w:spacing w:after="0" w:line="225"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On December 22, 2017, President Trump signed into law the Tax Cuts and Jobs Act, or the TCJA, which significantly reforms the Internal Revenue Code of 1986, as amended, or the Code. The TCJA, among other things, includes changes to U.S. federal tax rates, imposes significant additional limitations on the deductibility of interest, allows for the expensing of capital expenditures, and puts into effect the migration from a “worldwide” system of taxation to a territorial system. We do not expect tax reform to have a material impact on our projection of minimal cash taxes. Our net deferred tax assets and liabilities were revalued at the newly-enacted U.S. corporate rate, and the impact was recognized in our tax expense, offset by a full valuation allowance, in the year of enactment. We continue to examine the impact that this tax reform legislation may have on our business. The impact of this tax reform on holders of our common stock is uncertain and could be adverse.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As of December 31, 2017, we had federal net operating loss, or NOL, carryforwards of approximately $335.3 million, not considering the limitation discussed below. The federal tax loss carryforwards begin to expire in 2026, unless previously utilized. In general, if there is an “ownership change” with respect to our company, as defined under Section 382 of the Internal Revenue Code of 1986, as amended, or the Code, the utilization of our NOL carryforwards may be subject to substantial limitations imposed by the Code, and similar state provisions. In general, an ownership change occurs whenever there is a shift in ownership of our company by more than 50% by one or more 5% stockholders over a specified time period.</w:t>
      </w:r>
    </w:p>
    <w:p>
      <w:pPr>
        <w:spacing w:after="0" w:line="17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Although we have not completed an update of our Section 382 analysis subsequent to December 31, 2017, the recent offerings of our securities, may have caused or could cause an ownership change or could increase the likelihood that we undergo an ownership change for purposes of Section 382 of the Code in the future. Limitations imposed on our ability to utilize NOL carryforwards could cause U.S. federal income taxes to be paid earlier than would be paid if such limitations were not in effect and could cause such NOL carryforwards to expire unused, in each case reducing or eliminating the benefit of such NOL carryforwards.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6" w:name="page57"/>
    <w:bookmarkEnd w:id="56"/>
    <w:p>
      <w:pPr>
        <w:ind w:right="20" w:firstLine="518"/>
        <w:spacing w:after="0" w:line="257" w:lineRule="auto"/>
        <w:rPr>
          <w:sz w:val="20"/>
          <w:szCs w:val="20"/>
          <w:color w:val="auto"/>
        </w:rPr>
      </w:pPr>
      <w:r>
        <w:rPr>
          <w:rFonts w:ascii="Arial" w:cs="Arial" w:eastAsia="Arial" w:hAnsi="Arial"/>
          <w:sz w:val="18"/>
          <w:szCs w:val="18"/>
          <w:color w:val="auto"/>
        </w:rPr>
        <w:t>With respect to our NOLs generated in 2018 and thereafter, the TCJA may reduce the tax benefit of our NOLs. Under the TCJA, our ability to carry back NOLs incurred after December 31, 2017 to previous tax years is eliminated. Under prior law, we could carry back NOLs for two years and carry forward NOLs for 20 years. Under the TCJA, NOL carryforwards may be carried forward indefinitely. However, for NOLs arising after December 31, 2017, NOL carryforwards will be limited to 80% of our taxable income. Our NOLs generated in 2017 and in prior years will not be subject to the limitations under the TCJA.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any future earnings for use in the operation and expansion of our business and do not anticipate paying any cash dividends in the foreseeable future. In addition, pursuant to our Term Loan Agreement with Capital Royalty Partners, we are precluded from paying any cash dividends. Accordingly, investors may have to sell some or all of their shares of our common stock in order to generate cash flow from their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requirements of being a public company have increased our costs and will continue to strain our resources and divert management’s attention.*</w:t>
      </w:r>
    </w:p>
    <w:p>
      <w:pPr>
        <w:spacing w:after="0" w:line="24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As a public company, we are subject to the reporting requirements of the Exchange Act, the Dodd-Frank Wall Street Reform and Consumer Protection Act, or the Dodd-Frank Act, the listing requirements of NASDAQ and other applicable securities rules and regulations. Compliance with these rules and regulations has increased our legal and financial compliance costs, made some activities more difficult, time-consuming or costly, and increased demand on our systems and resources.</w:t>
      </w:r>
    </w:p>
    <w:p>
      <w:pPr>
        <w:spacing w:after="0" w:line="187"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The Sarbanes-Oxley Act of 2002, or the Sarbanes-Oxley Act, requires, among other things, that we maintain effective disclosure controls and procedures and internal control over financial reporting. Recent legislation permits “emerging growth companies” to implement many of these requirements over a period of up to five years after becoming subject to the requirements. However, we expect we will cease to qualify as an “emerging growth company” on December 31, 2018, at which point we will become subject to the additional compliance and reporting requirements. In order to meet these additional requirements, significant resources and management oversight may be required. As a result, management’s attention may be diverted from other business concerns, which could harm our business and operating results. Although we have hired additional employees to help us comply with these requirements, in the future we may need to hire more employees or utilize external consultants in order to further support our efforts, which will increase our expenses.</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170"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The SEC adopted a rule requiring disclosures by public companies of specified minerals, known as conflict minerals, that are necessary to the functionality or production of products manufactured or contracted to be manufactured. The rule requires companies to perform due diligence, disclose and annually report to the SEC whether or not such minerals originate from the Democratic Republic of Congo or an adjoining country. The rule could affect sourcing at competitive prices and availability in sufficient quantities of certain minerals used in the manufacture of our products, which could increase our expenses. In addition, there may be material costs associated with complying with the disclosure requirements, such as costs related to determining the source of certain minerals used in our products, as well as costs of possible changes to products, processes, or sources of supply as a consequence of such verification activities.</w:t>
      </w:r>
    </w:p>
    <w:p>
      <w:pPr>
        <w:spacing w:after="0" w:line="18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we do not know whether the reduced disclosure requirements and relief from certain other significant obligations that are applicable to emerging growth companies will make our common stock less attractive to investors.*</w:t>
      </w:r>
    </w:p>
    <w:p>
      <w:pPr>
        <w:spacing w:after="0" w:line="124" w:lineRule="exact"/>
        <w:rPr>
          <w:sz w:val="20"/>
          <w:szCs w:val="20"/>
          <w:color w:val="auto"/>
        </w:rPr>
      </w:pPr>
    </w:p>
    <w:p>
      <w:pPr>
        <w:ind w:right="200" w:firstLine="571"/>
        <w:spacing w:after="0" w:line="26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we have taken advantage of, and intend to continue to take advantage of certain exemptions from various reporting and compliance requirements that apply to other public companies that are not “emerging growth companies.” These exemptions include the following:</w:t>
      </w:r>
    </w:p>
    <w:p>
      <w:pPr>
        <w:spacing w:after="0" w:line="181" w:lineRule="exact"/>
        <w:rPr>
          <w:sz w:val="20"/>
          <w:szCs w:val="20"/>
          <w:color w:val="auto"/>
        </w:rPr>
      </w:pPr>
    </w:p>
    <w:p>
      <w:pPr>
        <w:ind w:left="1340" w:hanging="387"/>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404(b) of the Sarbanes-Oxley Act;</w:t>
      </w:r>
    </w:p>
    <w:p>
      <w:pPr>
        <w:spacing w:after="0" w:line="225" w:lineRule="exact"/>
        <w:rPr>
          <w:rFonts w:ascii="Arial" w:cs="Arial" w:eastAsia="Arial" w:hAnsi="Arial"/>
          <w:sz w:val="18"/>
          <w:szCs w:val="18"/>
          <w:color w:val="auto"/>
        </w:rPr>
      </w:pPr>
    </w:p>
    <w:p>
      <w:pPr>
        <w:ind w:left="1340" w:right="820" w:hanging="387"/>
        <w:spacing w:after="0" w:line="277" w:lineRule="auto"/>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less extensive disclosure obligations regarding executive compensation in our registration statements, periodic reports and proxy statements; and</w:t>
      </w:r>
    </w:p>
    <w:p>
      <w:pPr>
        <w:spacing w:after="0" w:line="170" w:lineRule="exact"/>
        <w:rPr>
          <w:rFonts w:ascii="Arial" w:cs="Arial" w:eastAsia="Arial" w:hAnsi="Arial"/>
          <w:sz w:val="18"/>
          <w:szCs w:val="18"/>
          <w:color w:val="auto"/>
        </w:rPr>
      </w:pPr>
    </w:p>
    <w:p>
      <w:pPr>
        <w:ind w:left="1340" w:right="160" w:hanging="387"/>
        <w:spacing w:after="0" w:line="277" w:lineRule="auto"/>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exemptions from the requirements to hold a nonbinding advisory vote on executive compensation and stockholder approval of any golden parachute payments not previously approved.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ind w:right="100" w:firstLine="518"/>
        <w:spacing w:after="0" w:line="312" w:lineRule="auto"/>
        <w:rPr>
          <w:sz w:val="20"/>
          <w:szCs w:val="20"/>
          <w:color w:val="auto"/>
        </w:rPr>
      </w:pPr>
      <w:r>
        <w:rPr>
          <w:rFonts w:ascii="Arial" w:cs="Arial" w:eastAsia="Arial" w:hAnsi="Arial"/>
          <w:sz w:val="16"/>
          <w:szCs w:val="16"/>
          <w:color w:val="auto"/>
        </w:rPr>
        <w:t>We cannot predict if investors will find our common stock less attractive because of our reliance on these exemptions. If some investors find our common stock less attractive as a result, there may be a less active trading market for our common stock, which could result in a reduction in the price of our common stock or cause our stock price to be more volatile. We expect we will cease to qualify as an “emerging growth company” on December 31, 2018.</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as a result of the reduced disclosure and governance requirements applicable to smaller reporting companies, our common stock may be less attractive to investors.*</w:t>
      </w:r>
    </w:p>
    <w:p>
      <w:pPr>
        <w:spacing w:after="0" w:line="170"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We are a “smaller reporting company” under applicable SEC rules and regulations. Similar to an “emerging growth company”, a “smaller reporting company” is subject to scaled reporting and compliance obligations as compared to other public companies. Specifically, “smaller reporting companies” are able to provide simplified executive compensation disclosures in their filings, are exempt from the auditor attestation requirements of Section 404(b) of the Sarbanes-Oxley Act, and have certain other reduced disclosure obligations in their SEC filings. Reduced disclosures in our SEC filings due to our status as a “smaller reporting company” may make it harder for investors to analyze our financial condition, operating results and prospects. If investors find our common stock less attractive as a result of our reduced disclosures, there may be a less active trading market for our common stock and our stock price may decline or be more volatile. In light of the increase in our stock price during 2018, we may cease to qualify as a “smaller reporting company” once our status is reassessed under applicable SEC rules.</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1" w:lineRule="exact"/>
        <w:rPr>
          <w:sz w:val="20"/>
          <w:szCs w:val="20"/>
          <w:color w:val="auto"/>
        </w:rPr>
      </w:pPr>
    </w:p>
    <w:p>
      <w:pPr>
        <w:ind w:right="100" w:firstLine="571"/>
        <w:spacing w:after="0" w:line="271"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the subsequent testing by our independent registered public accounting firm conducted in connection with Section 404(b) of the Sarbanes-Oxley Act after we no longer qualify as an “emerging growth company” or a “smaller reporting company,”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79"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We are required to disclose changes made to our internal control procedures on a quarterly basis and our management is required to assess the effectiveness of these controls annually. However, for as long as we are an “emerging growth company” or a “smaller reporting company” under applicable SEC rules and regulations, our independent registered public accounting firm will not be required to attest to the effectiveness of our internal control over financial reporting pursuant to Section 404.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increased risk of securities class action litigation.*</w:t>
      </w:r>
    </w:p>
    <w:p>
      <w:pPr>
        <w:spacing w:after="0" w:line="225"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In the past, securities class action litigation has been instituted against companies following periods of volatility in the overall market and in the price of a company’s securities. We believe this risk may be particularly relevant to us as we have recently and in past years experienced significant stock price volatility. If we face such litigation, it could result in substantial costs and a diversion of management’s attention and resources, which could harm our business, financial condition and results of operations.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forecasts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18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4060" w:type="dxa"/>
            <w:vAlign w:val="bottom"/>
            <w:gridSpan w:val="17"/>
          </w:tcPr>
          <w:p>
            <w:pPr>
              <w:ind w:left="16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432"/>
        </w:trPr>
        <w:tc>
          <w:tcPr>
            <w:tcW w:w="1000" w:type="dxa"/>
            <w:vAlign w:val="bottom"/>
          </w:tcPr>
          <w:p>
            <w:pPr>
              <w:ind w:left="520"/>
              <w:spacing w:after="0"/>
              <w:rPr>
                <w:sz w:val="20"/>
                <w:szCs w:val="20"/>
                <w:color w:val="auto"/>
              </w:rPr>
            </w:pPr>
            <w:r>
              <w:rPr>
                <w:rFonts w:ascii="Arial" w:cs="Arial" w:eastAsia="Arial" w:hAnsi="Arial"/>
                <w:sz w:val="18"/>
                <w:szCs w:val="18"/>
                <w:color w:val="auto"/>
                <w:w w:val="95"/>
              </w:rPr>
              <w:t>None.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060" w:type="dxa"/>
            <w:vAlign w:val="bottom"/>
            <w:gridSpan w:val="17"/>
          </w:tcPr>
          <w:p>
            <w:pPr>
              <w:ind w:left="1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887"/>
        </w:trPr>
        <w:tc>
          <w:tcPr>
            <w:tcW w:w="10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06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126"/>
        </w:trPr>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rPr>
              <w:t>Number</w:t>
            </w:r>
          </w:p>
        </w:tc>
        <w:tc>
          <w:tcPr>
            <w:tcW w:w="4060" w:type="dxa"/>
            <w:vAlign w:val="bottom"/>
            <w:gridSpan w:val="1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00" w:type="dxa"/>
            <w:vAlign w:val="bottom"/>
            <w:vMerge w:val="continue"/>
          </w:tcPr>
          <w:p>
            <w:pPr>
              <w:spacing w:after="0"/>
              <w:rPr>
                <w:sz w:val="9"/>
                <w:szCs w:val="9"/>
                <w:color w:val="auto"/>
              </w:rPr>
            </w:pPr>
          </w:p>
        </w:tc>
        <w:tc>
          <w:tcPr>
            <w:tcW w:w="3920" w:type="dxa"/>
            <w:vAlign w:val="bottom"/>
            <w:gridSpan w:val="15"/>
            <w:vMerge w:val="restart"/>
          </w:tcPr>
          <w:p>
            <w:pPr>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Amended and Restated Certificate of Incorporation as</w:t>
              </w:r>
            </w:hyperlink>
          </w:p>
        </w:tc>
        <w:tc>
          <w:tcPr>
            <w:tcW w:w="14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000" w:type="dxa"/>
            <w:vAlign w:val="bottom"/>
            <w:vMerge w:val="restart"/>
          </w:tcPr>
          <w:p>
            <w:pPr>
              <w:jc w:val="center"/>
              <w:ind w:right="10"/>
              <w:spacing w:after="0"/>
              <w:rPr>
                <w:sz w:val="20"/>
                <w:szCs w:val="20"/>
                <w:color w:val="auto"/>
              </w:rPr>
            </w:pPr>
            <w:r>
              <w:rPr>
                <w:rFonts w:ascii="Arial" w:cs="Arial" w:eastAsia="Arial" w:hAnsi="Arial"/>
                <w:sz w:val="18"/>
                <w:szCs w:val="18"/>
                <w:color w:val="auto"/>
                <w:w w:val="87"/>
              </w:rPr>
              <w:t>3.1</w:t>
            </w:r>
          </w:p>
        </w:tc>
        <w:tc>
          <w:tcPr>
            <w:tcW w:w="3920" w:type="dxa"/>
            <w:vAlign w:val="bottom"/>
            <w:tcBorders>
              <w:bottom w:val="single" w:sz="8" w:color="0000EE"/>
            </w:tcBorders>
            <w:gridSpan w:val="15"/>
            <w:vMerge w:val="continue"/>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000" w:type="dxa"/>
            <w:vAlign w:val="bottom"/>
            <w:vMerge w:val="continue"/>
          </w:tcPr>
          <w:p>
            <w:pPr>
              <w:spacing w:after="0"/>
              <w:rPr>
                <w:sz w:val="11"/>
                <w:szCs w:val="11"/>
                <w:color w:val="auto"/>
              </w:rPr>
            </w:pPr>
          </w:p>
        </w:tc>
        <w:tc>
          <w:tcPr>
            <w:tcW w:w="1340" w:type="dxa"/>
            <w:vAlign w:val="bottom"/>
            <w:gridSpan w:val="4"/>
            <w:vMerge w:val="restart"/>
          </w:tcPr>
          <w:p>
            <w:pPr>
              <w:spacing w:after="0" w:line="196" w:lineRule="exact"/>
              <w:rPr>
                <w:rFonts w:ascii="Arial" w:cs="Arial" w:eastAsia="Arial" w:hAnsi="Arial"/>
                <w:sz w:val="18"/>
                <w:szCs w:val="18"/>
                <w:color w:val="0000EE"/>
                <w:w w:val="92"/>
              </w:rPr>
            </w:pPr>
            <w:hyperlink r:id="rId79">
              <w:r>
                <w:rPr>
                  <w:rFonts w:ascii="Arial" w:cs="Arial" w:eastAsia="Arial" w:hAnsi="Arial"/>
                  <w:sz w:val="18"/>
                  <w:szCs w:val="18"/>
                  <w:color w:val="0000EE"/>
                  <w:w w:val="92"/>
                </w:rPr>
                <w:t>currently in effect.</w:t>
              </w:r>
            </w:hyperlink>
          </w:p>
        </w:tc>
        <w:tc>
          <w:tcPr>
            <w:tcW w:w="2720" w:type="dxa"/>
            <w:vAlign w:val="bottom"/>
            <w:gridSpan w:val="1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00" w:type="dxa"/>
            <w:vAlign w:val="bottom"/>
          </w:tcPr>
          <w:p>
            <w:pPr>
              <w:spacing w:after="0"/>
              <w:rPr>
                <w:sz w:val="5"/>
                <w:szCs w:val="5"/>
                <w:color w:val="auto"/>
              </w:rPr>
            </w:pPr>
          </w:p>
        </w:tc>
        <w:tc>
          <w:tcPr>
            <w:tcW w:w="1340" w:type="dxa"/>
            <w:vAlign w:val="bottom"/>
            <w:tcBorders>
              <w:bottom w:val="single" w:sz="8" w:color="0000EE"/>
            </w:tcBorders>
            <w:gridSpan w:val="4"/>
            <w:vMerge w:val="continue"/>
          </w:tcPr>
          <w:p>
            <w:pPr>
              <w:spacing w:after="0"/>
              <w:rPr>
                <w:sz w:val="5"/>
                <w:szCs w:val="5"/>
                <w:color w:val="auto"/>
              </w:rPr>
            </w:pPr>
          </w:p>
        </w:tc>
        <w:tc>
          <w:tcPr>
            <w:tcW w:w="2720" w:type="dxa"/>
            <w:vAlign w:val="bottom"/>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000" w:type="dxa"/>
            <w:vAlign w:val="bottom"/>
            <w:vMerge w:val="restart"/>
          </w:tcPr>
          <w:p>
            <w:pPr>
              <w:jc w:val="center"/>
              <w:ind w:right="10"/>
              <w:spacing w:after="0"/>
              <w:rPr>
                <w:sz w:val="20"/>
                <w:szCs w:val="20"/>
                <w:color w:val="auto"/>
              </w:rPr>
            </w:pPr>
            <w:r>
              <w:rPr>
                <w:rFonts w:ascii="Arial" w:cs="Arial" w:eastAsia="Arial" w:hAnsi="Arial"/>
                <w:sz w:val="18"/>
                <w:szCs w:val="18"/>
                <w:color w:val="auto"/>
                <w:w w:val="87"/>
              </w:rPr>
              <w:t>3.2</w:t>
            </w:r>
          </w:p>
        </w:tc>
        <w:tc>
          <w:tcPr>
            <w:tcW w:w="4060" w:type="dxa"/>
            <w:vAlign w:val="bottom"/>
            <w:gridSpan w:val="17"/>
          </w:tcPr>
          <w:p>
            <w:pPr>
              <w:spacing w:after="0"/>
              <w:rPr>
                <w:rFonts w:ascii="Arial" w:cs="Arial" w:eastAsia="Arial" w:hAnsi="Arial"/>
                <w:sz w:val="18"/>
                <w:szCs w:val="18"/>
                <w:color w:val="0000EE"/>
                <w:w w:val="96"/>
              </w:rPr>
            </w:pPr>
            <w:hyperlink r:id="rId80">
              <w:r>
                <w:rPr>
                  <w:rFonts w:ascii="Arial" w:cs="Arial" w:eastAsia="Arial" w:hAnsi="Arial"/>
                  <w:sz w:val="18"/>
                  <w:szCs w:val="18"/>
                  <w:color w:val="0000EE"/>
                  <w:w w:val="96"/>
                </w:rPr>
                <w:t>Tandem Diabetes Care, Inc. Amended and Restated</w:t>
              </w:r>
            </w:hyperlink>
          </w:p>
        </w:tc>
        <w:tc>
          <w:tcPr>
            <w:tcW w:w="0" w:type="dxa"/>
            <w:vAlign w:val="bottom"/>
          </w:tcPr>
          <w:p>
            <w:pPr>
              <w:spacing w:after="0"/>
              <w:rPr>
                <w:sz w:val="1"/>
                <w:szCs w:val="1"/>
                <w:color w:val="auto"/>
              </w:rPr>
            </w:pPr>
          </w:p>
        </w:tc>
      </w:tr>
      <w:tr>
        <w:trPr>
          <w:trHeight w:val="129"/>
        </w:trPr>
        <w:tc>
          <w:tcPr>
            <w:tcW w:w="1000" w:type="dxa"/>
            <w:vAlign w:val="bottom"/>
            <w:vMerge w:val="continue"/>
          </w:tcPr>
          <w:p>
            <w:pPr>
              <w:spacing w:after="0"/>
              <w:rPr>
                <w:sz w:val="11"/>
                <w:szCs w:val="11"/>
                <w:color w:val="auto"/>
              </w:rPr>
            </w:pPr>
          </w:p>
        </w:tc>
        <w:tc>
          <w:tcPr>
            <w:tcW w:w="2120" w:type="dxa"/>
            <w:vAlign w:val="bottom"/>
            <w:tcBorders>
              <w:top w:val="single" w:sz="8" w:color="0000EE"/>
            </w:tcBorders>
            <w:gridSpan w:val="7"/>
            <w:vMerge w:val="restart"/>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Bylaws as currently in effect.</w:t>
              </w:r>
            </w:hyperlink>
          </w:p>
        </w:tc>
        <w:tc>
          <w:tcPr>
            <w:tcW w:w="1660" w:type="dxa"/>
            <w:vAlign w:val="bottom"/>
            <w:tcBorders>
              <w:top w:val="single" w:sz="8" w:color="0000EE"/>
            </w:tcBorders>
            <w:gridSpan w:val="4"/>
            <w:vMerge w:val="restart"/>
          </w:tcPr>
          <w:p>
            <w:pPr>
              <w:spacing w:after="0"/>
              <w:rPr>
                <w:sz w:val="11"/>
                <w:szCs w:val="11"/>
                <w:color w:val="auto"/>
              </w:rPr>
            </w:pPr>
          </w:p>
        </w:tc>
        <w:tc>
          <w:tcPr>
            <w:tcW w:w="280" w:type="dxa"/>
            <w:vAlign w:val="bottom"/>
            <w:gridSpan w:val="6"/>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00" w:type="dxa"/>
            <w:vAlign w:val="bottom"/>
          </w:tcPr>
          <w:p>
            <w:pPr>
              <w:spacing w:after="0"/>
              <w:rPr>
                <w:sz w:val="5"/>
                <w:szCs w:val="5"/>
                <w:color w:val="auto"/>
              </w:rPr>
            </w:pPr>
          </w:p>
        </w:tc>
        <w:tc>
          <w:tcPr>
            <w:tcW w:w="2120" w:type="dxa"/>
            <w:vAlign w:val="bottom"/>
            <w:tcBorders>
              <w:bottom w:val="single" w:sz="8" w:color="0000EE"/>
            </w:tcBorders>
            <w:gridSpan w:val="7"/>
            <w:vMerge w:val="continue"/>
          </w:tcPr>
          <w:p>
            <w:pPr>
              <w:spacing w:after="0"/>
              <w:rPr>
                <w:sz w:val="5"/>
                <w:szCs w:val="5"/>
                <w:color w:val="auto"/>
              </w:rPr>
            </w:pPr>
          </w:p>
        </w:tc>
        <w:tc>
          <w:tcPr>
            <w:tcW w:w="1660" w:type="dxa"/>
            <w:vAlign w:val="bottom"/>
            <w:gridSpan w:val="4"/>
            <w:vMerge w:val="continue"/>
          </w:tcPr>
          <w:p>
            <w:pPr>
              <w:spacing w:after="0"/>
              <w:rPr>
                <w:sz w:val="5"/>
                <w:szCs w:val="5"/>
                <w:color w:val="auto"/>
              </w:rPr>
            </w:pPr>
          </w:p>
        </w:tc>
        <w:tc>
          <w:tcPr>
            <w:tcW w:w="2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000" w:type="dxa"/>
            <w:vAlign w:val="bottom"/>
            <w:vMerge w:val="restart"/>
          </w:tcPr>
          <w:p>
            <w:pPr>
              <w:jc w:val="center"/>
              <w:ind w:right="10"/>
              <w:spacing w:after="0"/>
              <w:rPr>
                <w:sz w:val="20"/>
                <w:szCs w:val="20"/>
                <w:color w:val="auto"/>
              </w:rPr>
            </w:pPr>
            <w:r>
              <w:rPr>
                <w:rFonts w:ascii="Arial" w:cs="Arial" w:eastAsia="Arial" w:hAnsi="Arial"/>
                <w:sz w:val="18"/>
                <w:szCs w:val="18"/>
                <w:color w:val="auto"/>
                <w:w w:val="92"/>
              </w:rPr>
              <w:t>10.1+</w:t>
            </w:r>
          </w:p>
        </w:tc>
        <w:tc>
          <w:tcPr>
            <w:tcW w:w="3780" w:type="dxa"/>
            <w:vAlign w:val="bottom"/>
            <w:tcBorders>
              <w:bottom w:val="single" w:sz="8" w:color="0000EE"/>
            </w:tcBorders>
            <w:gridSpan w:val="11"/>
          </w:tcPr>
          <w:p>
            <w:pPr>
              <w:spacing w:after="0"/>
              <w:rPr>
                <w:rFonts w:ascii="Arial" w:cs="Arial" w:eastAsia="Arial" w:hAnsi="Arial"/>
                <w:sz w:val="18"/>
                <w:szCs w:val="18"/>
                <w:color w:val="0000EE"/>
                <w:w w:val="88"/>
              </w:rPr>
            </w:pPr>
            <w:hyperlink r:id="rId81">
              <w:r>
                <w:rPr>
                  <w:rFonts w:ascii="Arial" w:cs="Arial" w:eastAsia="Arial" w:hAnsi="Arial"/>
                  <w:sz w:val="18"/>
                  <w:szCs w:val="18"/>
                  <w:color w:val="0000EE"/>
                  <w:w w:val="88"/>
                </w:rPr>
                <w:t>Tandem Diabetes Care, Inc. Amended And Restated</w:t>
              </w:r>
            </w:hyperlink>
          </w:p>
        </w:tc>
        <w:tc>
          <w:tcPr>
            <w:tcW w:w="28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000" w:type="dxa"/>
            <w:vAlign w:val="bottom"/>
            <w:vMerge w:val="continue"/>
          </w:tcPr>
          <w:p>
            <w:pPr>
              <w:spacing w:after="0"/>
              <w:rPr>
                <w:sz w:val="11"/>
                <w:szCs w:val="11"/>
                <w:color w:val="auto"/>
              </w:rPr>
            </w:pPr>
          </w:p>
        </w:tc>
        <w:tc>
          <w:tcPr>
            <w:tcW w:w="4060" w:type="dxa"/>
            <w:vAlign w:val="bottom"/>
            <w:gridSpan w:val="17"/>
            <w:vMerge w:val="restart"/>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2013 Stock Incentive Plan</w:t>
              </w:r>
            </w:hyperlink>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406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vMerge w:val="restart"/>
          </w:tcPr>
          <w:p>
            <w:pPr>
              <w:jc w:val="center"/>
              <w:ind w:right="10"/>
              <w:spacing w:after="0"/>
              <w:rPr>
                <w:sz w:val="20"/>
                <w:szCs w:val="20"/>
                <w:color w:val="auto"/>
              </w:rPr>
            </w:pPr>
            <w:r>
              <w:rPr>
                <w:rFonts w:ascii="Arial" w:cs="Arial" w:eastAsia="Arial" w:hAnsi="Arial"/>
                <w:sz w:val="18"/>
                <w:szCs w:val="18"/>
                <w:color w:val="auto"/>
                <w:w w:val="92"/>
              </w:rPr>
              <w:t>10.2+</w:t>
            </w:r>
          </w:p>
        </w:tc>
        <w:tc>
          <w:tcPr>
            <w:tcW w:w="4060" w:type="dxa"/>
            <w:vAlign w:val="bottom"/>
            <w:tcBorders>
              <w:bottom w:val="single" w:sz="8" w:color="0000EE"/>
            </w:tcBorders>
            <w:gridSpan w:val="17"/>
          </w:tcPr>
          <w:p>
            <w:pPr>
              <w:spacing w:after="0"/>
              <w:rPr>
                <w:rFonts w:ascii="Arial" w:cs="Arial" w:eastAsia="Arial" w:hAnsi="Arial"/>
                <w:sz w:val="18"/>
                <w:szCs w:val="18"/>
                <w:color w:val="0000EE"/>
                <w:w w:val="89"/>
              </w:rPr>
            </w:pPr>
            <w:hyperlink r:id="rId82">
              <w:r>
                <w:rPr>
                  <w:rFonts w:ascii="Arial" w:cs="Arial" w:eastAsia="Arial" w:hAnsi="Arial"/>
                  <w:sz w:val="18"/>
                  <w:szCs w:val="18"/>
                  <w:color w:val="0000EE"/>
                  <w:w w:val="89"/>
                </w:rPr>
                <w:t>Amended And Restated 2013 Employee Stock Purchase</w:t>
              </w:r>
            </w:hyperlink>
          </w:p>
        </w:tc>
        <w:tc>
          <w:tcPr>
            <w:tcW w:w="0" w:type="dxa"/>
            <w:vAlign w:val="bottom"/>
          </w:tcPr>
          <w:p>
            <w:pPr>
              <w:spacing w:after="0"/>
              <w:rPr>
                <w:sz w:val="1"/>
                <w:szCs w:val="1"/>
                <w:color w:val="auto"/>
              </w:rPr>
            </w:pPr>
          </w:p>
        </w:tc>
      </w:tr>
      <w:tr>
        <w:trPr>
          <w:trHeight w:val="129"/>
        </w:trPr>
        <w:tc>
          <w:tcPr>
            <w:tcW w:w="1000" w:type="dxa"/>
            <w:vAlign w:val="bottom"/>
            <w:vMerge w:val="continue"/>
          </w:tcPr>
          <w:p>
            <w:pPr>
              <w:spacing w:after="0"/>
              <w:rPr>
                <w:sz w:val="11"/>
                <w:szCs w:val="11"/>
                <w:color w:val="auto"/>
              </w:rPr>
            </w:pPr>
          </w:p>
        </w:tc>
        <w:tc>
          <w:tcPr>
            <w:tcW w:w="4060" w:type="dxa"/>
            <w:vAlign w:val="bottom"/>
            <w:gridSpan w:val="17"/>
            <w:vMerge w:val="restart"/>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Plan</w:t>
              </w:r>
            </w:hyperlink>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406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vMerge w:val="restart"/>
          </w:tcPr>
          <w:p>
            <w:pPr>
              <w:jc w:val="center"/>
              <w:ind w:right="10"/>
              <w:spacing w:after="0"/>
              <w:rPr>
                <w:sz w:val="20"/>
                <w:szCs w:val="20"/>
                <w:color w:val="auto"/>
              </w:rPr>
            </w:pPr>
            <w:r>
              <w:rPr>
                <w:rFonts w:ascii="Arial" w:cs="Arial" w:eastAsia="Arial" w:hAnsi="Arial"/>
                <w:sz w:val="18"/>
                <w:szCs w:val="18"/>
                <w:color w:val="auto"/>
                <w:w w:val="92"/>
              </w:rPr>
              <w:t>10.3+</w:t>
            </w:r>
          </w:p>
        </w:tc>
        <w:tc>
          <w:tcPr>
            <w:tcW w:w="4060" w:type="dxa"/>
            <w:vAlign w:val="bottom"/>
            <w:gridSpan w:val="1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Kim Blickenstaff Letter Agreement regarding</w:t>
              </w:r>
            </w:hyperlink>
          </w:p>
        </w:tc>
        <w:tc>
          <w:tcPr>
            <w:tcW w:w="0" w:type="dxa"/>
            <w:vAlign w:val="bottom"/>
          </w:tcPr>
          <w:p>
            <w:pPr>
              <w:spacing w:after="0"/>
              <w:rPr>
                <w:sz w:val="1"/>
                <w:szCs w:val="1"/>
                <w:color w:val="auto"/>
              </w:rPr>
            </w:pPr>
          </w:p>
        </w:tc>
      </w:tr>
      <w:tr>
        <w:trPr>
          <w:trHeight w:val="129"/>
        </w:trPr>
        <w:tc>
          <w:tcPr>
            <w:tcW w:w="1000" w:type="dxa"/>
            <w:vAlign w:val="bottom"/>
            <w:vMerge w:val="continue"/>
          </w:tcPr>
          <w:p>
            <w:pPr>
              <w:spacing w:after="0"/>
              <w:rPr>
                <w:sz w:val="11"/>
                <w:szCs w:val="11"/>
                <w:color w:val="auto"/>
              </w:rPr>
            </w:pPr>
          </w:p>
        </w:tc>
        <w:tc>
          <w:tcPr>
            <w:tcW w:w="1360" w:type="dxa"/>
            <w:vAlign w:val="bottom"/>
            <w:tcBorders>
              <w:top w:val="single" w:sz="8" w:color="0000EE"/>
            </w:tcBorders>
            <w:gridSpan w:val="5"/>
            <w:vMerge w:val="restart"/>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employment terms</w:t>
              </w:r>
            </w:hyperlink>
          </w:p>
        </w:tc>
        <w:tc>
          <w:tcPr>
            <w:tcW w:w="1940" w:type="dxa"/>
            <w:vAlign w:val="bottom"/>
            <w:tcBorders>
              <w:top w:val="single" w:sz="8" w:color="0000EE"/>
            </w:tcBorders>
            <w:gridSpan w:val="4"/>
            <w:vMerge w:val="restart"/>
          </w:tcPr>
          <w:p>
            <w:pPr>
              <w:spacing w:after="0"/>
              <w:rPr>
                <w:sz w:val="11"/>
                <w:szCs w:val="11"/>
                <w:color w:val="auto"/>
              </w:rPr>
            </w:pPr>
          </w:p>
        </w:tc>
        <w:tc>
          <w:tcPr>
            <w:tcW w:w="760" w:type="dxa"/>
            <w:vAlign w:val="bottom"/>
            <w:gridSpan w:val="8"/>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00" w:type="dxa"/>
            <w:vAlign w:val="bottom"/>
          </w:tcPr>
          <w:p>
            <w:pPr>
              <w:spacing w:after="0"/>
              <w:rPr>
                <w:sz w:val="5"/>
                <w:szCs w:val="5"/>
                <w:color w:val="auto"/>
              </w:rPr>
            </w:pPr>
          </w:p>
        </w:tc>
        <w:tc>
          <w:tcPr>
            <w:tcW w:w="1360" w:type="dxa"/>
            <w:vAlign w:val="bottom"/>
            <w:tcBorders>
              <w:bottom w:val="single" w:sz="8" w:color="0000EE"/>
            </w:tcBorders>
            <w:gridSpan w:val="5"/>
            <w:vMerge w:val="continue"/>
          </w:tcPr>
          <w:p>
            <w:pPr>
              <w:spacing w:after="0"/>
              <w:rPr>
                <w:sz w:val="5"/>
                <w:szCs w:val="5"/>
                <w:color w:val="auto"/>
              </w:rPr>
            </w:pPr>
          </w:p>
        </w:tc>
        <w:tc>
          <w:tcPr>
            <w:tcW w:w="1940" w:type="dxa"/>
            <w:vAlign w:val="bottom"/>
            <w:gridSpan w:val="4"/>
            <w:vMerge w:val="continue"/>
          </w:tcPr>
          <w:p>
            <w:pPr>
              <w:spacing w:after="0"/>
              <w:rPr>
                <w:sz w:val="5"/>
                <w:szCs w:val="5"/>
                <w:color w:val="auto"/>
              </w:rPr>
            </w:pPr>
          </w:p>
        </w:tc>
        <w:tc>
          <w:tcPr>
            <w:tcW w:w="76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000" w:type="dxa"/>
            <w:vAlign w:val="bottom"/>
          </w:tcPr>
          <w:p>
            <w:pPr>
              <w:jc w:val="center"/>
              <w:ind w:right="10"/>
              <w:spacing w:after="0"/>
              <w:rPr>
                <w:sz w:val="20"/>
                <w:szCs w:val="20"/>
                <w:color w:val="auto"/>
              </w:rPr>
            </w:pPr>
            <w:r>
              <w:rPr>
                <w:rFonts w:ascii="Arial" w:cs="Arial" w:eastAsia="Arial" w:hAnsi="Arial"/>
                <w:sz w:val="18"/>
                <w:szCs w:val="18"/>
                <w:color w:val="auto"/>
                <w:w w:val="92"/>
              </w:rPr>
              <w:t>10.4+</w:t>
            </w:r>
          </w:p>
        </w:tc>
        <w:tc>
          <w:tcPr>
            <w:tcW w:w="27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2018 Cash Bonus Plan for Executives</w:t>
              </w:r>
            </w:hyperlink>
          </w:p>
        </w:tc>
        <w:tc>
          <w:tcPr>
            <w:tcW w:w="132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90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68">
              <w:r>
                <w:rPr>
                  <w:rFonts w:ascii="Arial" w:cs="Arial" w:eastAsia="Arial" w:hAnsi="Arial"/>
                  <w:sz w:val="18"/>
                  <w:szCs w:val="18"/>
                  <w:color w:val="0000EE"/>
                  <w:w w:val="95"/>
                </w:rPr>
                <w:t>Certification of Kim D. Blickenstaff, Chief Executive</w:t>
              </w:r>
            </w:hyperlink>
          </w:p>
        </w:tc>
        <w:tc>
          <w:tcPr>
            <w:tcW w:w="1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30"/>
              <w:spacing w:after="0" w:line="196" w:lineRule="exact"/>
              <w:rPr>
                <w:sz w:val="20"/>
                <w:szCs w:val="20"/>
                <w:color w:val="auto"/>
              </w:rPr>
            </w:pPr>
            <w:r>
              <w:rPr>
                <w:rFonts w:ascii="Arial" w:cs="Arial" w:eastAsia="Arial" w:hAnsi="Arial"/>
                <w:sz w:val="18"/>
                <w:szCs w:val="18"/>
                <w:color w:val="auto"/>
                <w:w w:val="91"/>
              </w:rPr>
              <w:t>31.1</w:t>
            </w:r>
          </w:p>
        </w:tc>
        <w:tc>
          <w:tcPr>
            <w:tcW w:w="4060" w:type="dxa"/>
            <w:vAlign w:val="bottom"/>
            <w:gridSpan w:val="17"/>
          </w:tcPr>
          <w:p>
            <w:pPr>
              <w:spacing w:after="0" w:line="19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Officer, pursuant to Section 302 of the Sarbanes-Oxley</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Act of 2002.</w:t>
              </w:r>
            </w:hyperlink>
          </w:p>
        </w:tc>
        <w:tc>
          <w:tcPr>
            <w:tcW w:w="3040" w:type="dxa"/>
            <w:vAlign w:val="bottom"/>
            <w:tcBorders>
              <w:top w:val="single" w:sz="8" w:color="0000EE"/>
            </w:tcBorders>
            <w:gridSpan w:val="13"/>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70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69">
              <w:r>
                <w:rPr>
                  <w:rFonts w:ascii="Arial" w:cs="Arial" w:eastAsia="Arial" w:hAnsi="Arial"/>
                  <w:sz w:val="18"/>
                  <w:szCs w:val="18"/>
                  <w:color w:val="0000EE"/>
                  <w:w w:val="93"/>
                </w:rPr>
                <w:t>Certification of Leigh A. Vosseller, Chief Financial</w:t>
              </w:r>
            </w:hyperlink>
          </w:p>
        </w:tc>
        <w:tc>
          <w:tcPr>
            <w:tcW w:w="36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30"/>
              <w:spacing w:after="0" w:line="196" w:lineRule="exact"/>
              <w:rPr>
                <w:sz w:val="20"/>
                <w:szCs w:val="20"/>
                <w:color w:val="auto"/>
              </w:rPr>
            </w:pPr>
            <w:r>
              <w:rPr>
                <w:rFonts w:ascii="Arial" w:cs="Arial" w:eastAsia="Arial" w:hAnsi="Arial"/>
                <w:sz w:val="18"/>
                <w:szCs w:val="18"/>
                <w:color w:val="auto"/>
                <w:w w:val="91"/>
              </w:rPr>
              <w:t>31.2</w:t>
            </w:r>
          </w:p>
        </w:tc>
        <w:tc>
          <w:tcPr>
            <w:tcW w:w="4060" w:type="dxa"/>
            <w:vAlign w:val="bottom"/>
            <w:gridSpan w:val="17"/>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Officer, pursuant to Section 302 of the Sarbanes-Oxley</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69">
              <w:r>
                <w:rPr>
                  <w:rFonts w:ascii="Arial" w:cs="Arial" w:eastAsia="Arial" w:hAnsi="Arial"/>
                  <w:sz w:val="18"/>
                  <w:szCs w:val="18"/>
                  <w:color w:val="0000EE"/>
                  <w:w w:val="93"/>
                </w:rPr>
                <w:t>Act of 2002.</w:t>
              </w:r>
            </w:hyperlink>
          </w:p>
        </w:tc>
        <w:tc>
          <w:tcPr>
            <w:tcW w:w="3040" w:type="dxa"/>
            <w:vAlign w:val="bottom"/>
            <w:tcBorders>
              <w:top w:val="single" w:sz="8" w:color="0000EE"/>
            </w:tcBorders>
            <w:gridSpan w:val="13"/>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88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70">
              <w:r>
                <w:rPr>
                  <w:rFonts w:ascii="Arial" w:cs="Arial" w:eastAsia="Arial" w:hAnsi="Arial"/>
                  <w:sz w:val="18"/>
                  <w:szCs w:val="18"/>
                  <w:color w:val="0000EE"/>
                  <w:w w:val="95"/>
                </w:rPr>
                <w:t>Certification of Kim D. Blickenstaff, Chief Executive</w:t>
              </w:r>
            </w:hyperlink>
          </w:p>
        </w:tc>
        <w:tc>
          <w:tcPr>
            <w:tcW w:w="1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32.1*</w:t>
            </w:r>
          </w:p>
        </w:tc>
        <w:tc>
          <w:tcPr>
            <w:tcW w:w="4060" w:type="dxa"/>
            <w:vAlign w:val="bottom"/>
            <w:gridSpan w:val="17"/>
          </w:tcPr>
          <w:p>
            <w:pPr>
              <w:spacing w:after="0" w:line="196" w:lineRule="exact"/>
              <w:rPr>
                <w:rFonts w:ascii="Arial" w:cs="Arial" w:eastAsia="Arial" w:hAnsi="Arial"/>
                <w:sz w:val="18"/>
                <w:szCs w:val="18"/>
                <w:color w:val="0000EE"/>
                <w:w w:val="96"/>
              </w:rPr>
            </w:pPr>
            <w:hyperlink w:anchor="page70">
              <w:r>
                <w:rPr>
                  <w:rFonts w:ascii="Arial" w:cs="Arial" w:eastAsia="Arial" w:hAnsi="Arial"/>
                  <w:sz w:val="18"/>
                  <w:szCs w:val="18"/>
                  <w:color w:val="0000EE"/>
                  <w:w w:val="96"/>
                </w:rPr>
                <w:t>Officer, pursuant to U.S.C. Section 1350, as adopted</w:t>
              </w:r>
            </w:hyperlink>
          </w:p>
        </w:tc>
        <w:tc>
          <w:tcPr>
            <w:tcW w:w="0" w:type="dxa"/>
            <w:vAlign w:val="bottom"/>
          </w:tcPr>
          <w:p>
            <w:pPr>
              <w:spacing w:after="0"/>
              <w:rPr>
                <w:sz w:val="1"/>
                <w:szCs w:val="1"/>
                <w:color w:val="auto"/>
              </w:rPr>
            </w:pPr>
          </w:p>
        </w:tc>
      </w:tr>
      <w:tr>
        <w:trPr>
          <w:trHeight w:val="20"/>
        </w:trPr>
        <w:tc>
          <w:tcPr>
            <w:tcW w:w="1000" w:type="dxa"/>
            <w:vAlign w:val="bottom"/>
            <w:vMerge w:val="continu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0" w:type="dxa"/>
            <w:vAlign w:val="bottom"/>
            <w:vMerge w:val="continue"/>
          </w:tcPr>
          <w:p>
            <w:pPr>
              <w:spacing w:after="0"/>
              <w:rPr>
                <w:sz w:val="11"/>
                <w:szCs w:val="11"/>
                <w:color w:val="auto"/>
              </w:rPr>
            </w:pPr>
          </w:p>
        </w:tc>
        <w:tc>
          <w:tcPr>
            <w:tcW w:w="4060" w:type="dxa"/>
            <w:vAlign w:val="bottom"/>
            <w:gridSpan w:val="17"/>
            <w:vMerge w:val="restart"/>
          </w:tcPr>
          <w:p>
            <w:pPr>
              <w:spacing w:after="0" w:line="196" w:lineRule="exact"/>
              <w:rPr>
                <w:rFonts w:ascii="Arial" w:cs="Arial" w:eastAsia="Arial" w:hAnsi="Arial"/>
                <w:sz w:val="18"/>
                <w:szCs w:val="18"/>
                <w:color w:val="0000EE"/>
                <w:w w:val="94"/>
              </w:rPr>
            </w:pPr>
            <w:hyperlink w:anchor="page70">
              <w:r>
                <w:rPr>
                  <w:rFonts w:ascii="Arial" w:cs="Arial" w:eastAsia="Arial" w:hAnsi="Arial"/>
                  <w:sz w:val="18"/>
                  <w:szCs w:val="18"/>
                  <w:color w:val="0000EE"/>
                  <w:w w:val="94"/>
                </w:rPr>
                <w:t>pursuant to Section 906 of the Sarbanes-Oxley Act of</w:t>
              </w:r>
            </w:hyperlink>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406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2002.</w:t>
              </w:r>
            </w:hyperlink>
          </w:p>
        </w:tc>
        <w:tc>
          <w:tcPr>
            <w:tcW w:w="5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70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71">
              <w:r>
                <w:rPr>
                  <w:rFonts w:ascii="Arial" w:cs="Arial" w:eastAsia="Arial" w:hAnsi="Arial"/>
                  <w:sz w:val="18"/>
                  <w:szCs w:val="18"/>
                  <w:color w:val="0000EE"/>
                  <w:w w:val="93"/>
                </w:rPr>
                <w:t>Certification of Leigh A. Vosseller, Chief Financial</w:t>
              </w:r>
            </w:hyperlink>
          </w:p>
        </w:tc>
        <w:tc>
          <w:tcPr>
            <w:tcW w:w="36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32.2*</w:t>
            </w:r>
          </w:p>
        </w:tc>
        <w:tc>
          <w:tcPr>
            <w:tcW w:w="4060" w:type="dxa"/>
            <w:vAlign w:val="bottom"/>
            <w:gridSpan w:val="17"/>
          </w:tcPr>
          <w:p>
            <w:pPr>
              <w:spacing w:after="0" w:line="196" w:lineRule="exact"/>
              <w:rPr>
                <w:rFonts w:ascii="Arial" w:cs="Arial" w:eastAsia="Arial" w:hAnsi="Arial"/>
                <w:sz w:val="18"/>
                <w:szCs w:val="18"/>
                <w:color w:val="0000EE"/>
                <w:w w:val="96"/>
              </w:rPr>
            </w:pPr>
            <w:hyperlink w:anchor="page71">
              <w:r>
                <w:rPr>
                  <w:rFonts w:ascii="Arial" w:cs="Arial" w:eastAsia="Arial" w:hAnsi="Arial"/>
                  <w:sz w:val="18"/>
                  <w:szCs w:val="18"/>
                  <w:color w:val="0000EE"/>
                  <w:w w:val="96"/>
                </w:rPr>
                <w:t>Officer, pursuant to U.S.C. Section 1350, as adopted</w:t>
              </w:r>
            </w:hyperlink>
          </w:p>
        </w:tc>
        <w:tc>
          <w:tcPr>
            <w:tcW w:w="0" w:type="dxa"/>
            <w:vAlign w:val="bottom"/>
          </w:tcPr>
          <w:p>
            <w:pPr>
              <w:spacing w:after="0"/>
              <w:rPr>
                <w:sz w:val="1"/>
                <w:szCs w:val="1"/>
                <w:color w:val="auto"/>
              </w:rPr>
            </w:pPr>
          </w:p>
        </w:tc>
      </w:tr>
      <w:tr>
        <w:trPr>
          <w:trHeight w:val="20"/>
        </w:trPr>
        <w:tc>
          <w:tcPr>
            <w:tcW w:w="1000" w:type="dxa"/>
            <w:vAlign w:val="bottom"/>
            <w:vMerge w:val="continu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0" w:type="dxa"/>
            <w:vAlign w:val="bottom"/>
            <w:vMerge w:val="continue"/>
          </w:tcPr>
          <w:p>
            <w:pPr>
              <w:spacing w:after="0"/>
              <w:rPr>
                <w:sz w:val="11"/>
                <w:szCs w:val="11"/>
                <w:color w:val="auto"/>
              </w:rPr>
            </w:pPr>
          </w:p>
        </w:tc>
        <w:tc>
          <w:tcPr>
            <w:tcW w:w="4060" w:type="dxa"/>
            <w:vAlign w:val="bottom"/>
            <w:gridSpan w:val="17"/>
            <w:vMerge w:val="restart"/>
          </w:tcPr>
          <w:p>
            <w:pPr>
              <w:spacing w:after="0" w:line="196" w:lineRule="exact"/>
              <w:rPr>
                <w:rFonts w:ascii="Arial" w:cs="Arial" w:eastAsia="Arial" w:hAnsi="Arial"/>
                <w:sz w:val="18"/>
                <w:szCs w:val="18"/>
                <w:color w:val="0000EE"/>
                <w:w w:val="94"/>
              </w:rPr>
            </w:pPr>
            <w:hyperlink w:anchor="page71">
              <w:r>
                <w:rPr>
                  <w:rFonts w:ascii="Arial" w:cs="Arial" w:eastAsia="Arial" w:hAnsi="Arial"/>
                  <w:sz w:val="18"/>
                  <w:szCs w:val="18"/>
                  <w:color w:val="0000EE"/>
                  <w:w w:val="94"/>
                </w:rPr>
                <w:t>pursuant to Section 906 of the Sarbanes-Oxley Act of</w:t>
              </w:r>
            </w:hyperlink>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406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2002.</w:t>
              </w:r>
            </w:hyperlink>
          </w:p>
        </w:tc>
        <w:tc>
          <w:tcPr>
            <w:tcW w:w="5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101.INS</w:t>
            </w:r>
          </w:p>
        </w:tc>
        <w:tc>
          <w:tcPr>
            <w:tcW w:w="4060" w:type="dxa"/>
            <w:vAlign w:val="bottom"/>
            <w:gridSpan w:val="17"/>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30"/>
        </w:trPr>
        <w:tc>
          <w:tcPr>
            <w:tcW w:w="1000" w:type="dxa"/>
            <w:vAlign w:val="bottom"/>
          </w:tcPr>
          <w:p>
            <w:pPr>
              <w:jc w:val="center"/>
              <w:ind w:right="10"/>
              <w:spacing w:after="0"/>
              <w:rPr>
                <w:sz w:val="20"/>
                <w:szCs w:val="20"/>
                <w:color w:val="auto"/>
              </w:rPr>
            </w:pPr>
            <w:r>
              <w:rPr>
                <w:rFonts w:ascii="Arial" w:cs="Arial" w:eastAsia="Arial" w:hAnsi="Arial"/>
                <w:sz w:val="18"/>
                <w:szCs w:val="18"/>
                <w:color w:val="auto"/>
                <w:w w:val="90"/>
              </w:rPr>
              <w:t>101.SCH</w:t>
            </w:r>
          </w:p>
        </w:tc>
        <w:tc>
          <w:tcPr>
            <w:tcW w:w="406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101.CAL</w:t>
            </w:r>
          </w:p>
        </w:tc>
        <w:tc>
          <w:tcPr>
            <w:tcW w:w="4060" w:type="dxa"/>
            <w:vAlign w:val="bottom"/>
            <w:gridSpan w:val="17"/>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4060" w:type="dxa"/>
            <w:vAlign w:val="bottom"/>
            <w:gridSpan w:val="17"/>
            <w:vMerge w:val="restart"/>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4060" w:type="dxa"/>
            <w:vAlign w:val="bottom"/>
            <w:gridSpan w:val="1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00" w:type="dxa"/>
            <w:vAlign w:val="bottom"/>
            <w:vMerge w:val="restart"/>
          </w:tcPr>
          <w:p>
            <w:pPr>
              <w:jc w:val="center"/>
              <w:ind w:right="10"/>
              <w:spacing w:after="0"/>
              <w:rPr>
                <w:sz w:val="20"/>
                <w:szCs w:val="20"/>
                <w:color w:val="auto"/>
              </w:rPr>
            </w:pPr>
            <w:r>
              <w:rPr>
                <w:rFonts w:ascii="Arial" w:cs="Arial" w:eastAsia="Arial" w:hAnsi="Arial"/>
                <w:sz w:val="18"/>
                <w:szCs w:val="18"/>
                <w:color w:val="auto"/>
                <w:w w:val="92"/>
              </w:rPr>
              <w:t>101.DEF</w:t>
            </w:r>
          </w:p>
        </w:tc>
        <w:tc>
          <w:tcPr>
            <w:tcW w:w="4060" w:type="dxa"/>
            <w:vAlign w:val="bottom"/>
            <w:gridSpan w:val="17"/>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4060" w:type="dxa"/>
            <w:vAlign w:val="bottom"/>
            <w:gridSpan w:val="17"/>
            <w:vMerge w:val="restart"/>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4060" w:type="dxa"/>
            <w:vAlign w:val="bottom"/>
            <w:gridSpan w:val="1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98"/>
              </w:rPr>
              <w:t>101.LAB</w:t>
            </w:r>
          </w:p>
        </w:tc>
        <w:tc>
          <w:tcPr>
            <w:tcW w:w="4060" w:type="dxa"/>
            <w:vAlign w:val="bottom"/>
            <w:gridSpan w:val="17"/>
          </w:tcPr>
          <w:p>
            <w:pPr>
              <w:spacing w:after="0"/>
              <w:rPr>
                <w:sz w:val="20"/>
                <w:szCs w:val="20"/>
                <w:color w:val="auto"/>
              </w:rPr>
            </w:pPr>
            <w:r>
              <w:rPr>
                <w:rFonts w:ascii="Arial" w:cs="Arial" w:eastAsia="Arial" w:hAnsi="Arial"/>
                <w:sz w:val="18"/>
                <w:szCs w:val="18"/>
                <w:color w:val="auto"/>
                <w:w w:val="92"/>
              </w:rPr>
              <w:t>XBRL Taxonomy Extension Label Linkbase Document.</w:t>
            </w:r>
          </w:p>
        </w:tc>
        <w:tc>
          <w:tcPr>
            <w:tcW w:w="0" w:type="dxa"/>
            <w:vAlign w:val="bottom"/>
          </w:tcPr>
          <w:p>
            <w:pPr>
              <w:spacing w:after="0"/>
              <w:rPr>
                <w:sz w:val="1"/>
                <w:szCs w:val="1"/>
                <w:color w:val="auto"/>
              </w:rPr>
            </w:pPr>
          </w:p>
        </w:tc>
      </w:tr>
      <w:tr>
        <w:trPr>
          <w:trHeight w:val="216"/>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88"/>
              </w:rPr>
              <w:t>101.PRE</w:t>
            </w:r>
          </w:p>
        </w:tc>
        <w:tc>
          <w:tcPr>
            <w:tcW w:w="406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4060" w:type="dxa"/>
            <w:vAlign w:val="bottom"/>
            <w:gridSpan w:val="17"/>
            <w:vMerge w:val="restart"/>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4060" w:type="dxa"/>
            <w:vAlign w:val="bottom"/>
            <w:gridSpan w:val="17"/>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by Reference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Date of First</w:t>
            </w:r>
          </w:p>
        </w:tc>
      </w:tr>
      <w:tr>
        <w:trPr>
          <w:trHeight w:val="234"/>
        </w:trPr>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1320" w:type="dxa"/>
            <w:vAlign w:val="bottom"/>
          </w:tcPr>
          <w:p>
            <w:pPr>
              <w:ind w:left="380"/>
              <w:spacing w:after="0"/>
              <w:rPr>
                <w:sz w:val="20"/>
                <w:szCs w:val="20"/>
                <w:color w:val="auto"/>
              </w:rPr>
            </w:pPr>
            <w:r>
              <w:rPr>
                <w:rFonts w:ascii="Arial" w:cs="Arial" w:eastAsia="Arial" w:hAnsi="Arial"/>
                <w:sz w:val="18"/>
                <w:szCs w:val="18"/>
                <w:b w:val="1"/>
                <w:bCs w:val="1"/>
                <w:color w:val="auto"/>
              </w:rPr>
              <w:t>File No.</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Filing</w:t>
            </w:r>
          </w:p>
        </w:tc>
      </w:tr>
      <w:tr>
        <w:trPr>
          <w:trHeight w:val="338"/>
        </w:trPr>
        <w:tc>
          <w:tcPr>
            <w:tcW w:w="114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1-Nov-13</w:t>
            </w:r>
          </w:p>
        </w:tc>
      </w:tr>
      <w:tr>
        <w:trPr>
          <w:trHeight w:val="446"/>
        </w:trPr>
        <w:tc>
          <w:tcPr>
            <w:tcW w:w="114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1-Nov-13</w:t>
            </w:r>
          </w:p>
        </w:tc>
      </w:tr>
      <w:tr>
        <w:trPr>
          <w:trHeight w:val="44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DEF 14A</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26-Apr-18</w:t>
            </w:r>
          </w:p>
        </w:tc>
      </w:tr>
      <w:tr>
        <w:trPr>
          <w:trHeight w:val="44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DEF 14A</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26-Apr-18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20"/>
        <w:spacing w:after="0"/>
        <w:rPr>
          <w:sz w:val="20"/>
          <w:szCs w:val="20"/>
          <w:color w:val="auto"/>
        </w:rPr>
      </w:pPr>
      <w:r>
        <w:rPr>
          <w:rFonts w:ascii="Arial" w:cs="Arial" w:eastAsia="Arial" w:hAnsi="Arial"/>
          <w:sz w:val="16"/>
          <w:szCs w:val="16"/>
          <w:b w:val="1"/>
          <w:bCs w:val="1"/>
          <w:color w:val="auto"/>
        </w:rPr>
        <w:t>Provided</w:t>
      </w:r>
    </w:p>
    <w:p>
      <w:pPr>
        <w:spacing w:after="0" w:line="50" w:lineRule="exact"/>
        <w:rPr>
          <w:sz w:val="20"/>
          <w:szCs w:val="20"/>
          <w:color w:val="auto"/>
        </w:rPr>
      </w:pPr>
    </w:p>
    <w:p>
      <w:pPr>
        <w:jc w:val="right"/>
        <w:ind w:right="160"/>
        <w:spacing w:after="0"/>
        <w:rPr>
          <w:sz w:val="20"/>
          <w:szCs w:val="20"/>
          <w:color w:val="auto"/>
        </w:rPr>
      </w:pPr>
      <w:r>
        <w:rPr>
          <w:rFonts w:ascii="Arial" w:cs="Arial" w:eastAsia="Arial" w:hAnsi="Arial"/>
          <w:sz w:val="18"/>
          <w:szCs w:val="18"/>
          <w:b w:val="1"/>
          <w:bCs w:val="1"/>
          <w:color w:val="auto"/>
        </w:rPr>
        <w:t>Herewith</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-130810</wp:posOffset>
            </wp:positionV>
            <wp:extent cx="8661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Number</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3.4</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Appendix</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Appendix</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w:t>
      </w:r>
    </w:p>
    <w:p>
      <w:pPr>
        <w:spacing w:after="0" w:line="22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w:t>
      </w:r>
    </w:p>
    <w:p>
      <w:pPr>
        <w:spacing w:after="0" w:line="23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w:t>
      </w:r>
    </w:p>
    <w:p>
      <w:pPr>
        <w:spacing w:after="0" w:line="13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w:t>
      </w:r>
    </w:p>
    <w:p>
      <w:pPr>
        <w:spacing w:after="0" w:line="23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w:t>
      </w:r>
    </w:p>
    <w:p>
      <w:pPr>
        <w:spacing w:after="0" w:line="331" w:lineRule="exact"/>
        <w:rPr>
          <w:sz w:val="20"/>
          <w:szCs w:val="20"/>
          <w:color w:val="auto"/>
        </w:rPr>
      </w:pPr>
    </w:p>
    <w:p>
      <w:pPr>
        <w:sectPr>
          <w:pgSz w:w="11900" w:h="16838" w:orient="portrait"/>
          <w:cols w:equalWidth="0" w:num="3">
            <w:col w:w="5060" w:space="140"/>
            <w:col w:w="3800" w:space="160"/>
            <w:col w:w="2080"/>
          </w:cols>
          <w:pgMar w:left="240" w:top="121" w:right="419" w:bottom="1440" w:gutter="0" w:footer="0" w:header="0"/>
        </w:sectPr>
      </w:pPr>
    </w:p>
    <w:p>
      <w:pPr>
        <w:spacing w:after="0" w:line="245"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520" w:hanging="512"/>
        <w:spacing w:after="0" w:line="255"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ectPr>
          <w:pgSz w:w="11900" w:h="16838" w:orient="portrait"/>
          <w:cols w:equalWidth="0" w:num="1">
            <w:col w:w="11240"/>
          </w:cols>
          <w:pgMar w:left="240" w:top="121" w:right="419" w:bottom="1440" w:gutter="0" w:footer="0" w:header="0"/>
          <w:type w:val="continuous"/>
        </w:sectPr>
      </w:pP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7580" w:type="dxa"/>
            <w:vAlign w:val="bottom"/>
            <w:gridSpan w:val="2"/>
          </w:tcPr>
          <w:p>
            <w:pPr>
              <w:ind w:left="2320"/>
              <w:spacing w:after="0"/>
              <w:rPr>
                <w:sz w:val="20"/>
                <w:szCs w:val="20"/>
                <w:color w:val="auto"/>
              </w:rPr>
            </w:pPr>
            <w:r>
              <w:rPr>
                <w:rFonts w:ascii="Arial" w:cs="Arial" w:eastAsia="Arial" w:hAnsi="Arial"/>
                <w:sz w:val="18"/>
                <w:szCs w:val="18"/>
                <w:color w:val="auto"/>
              </w:rPr>
              <w:t>Tandem Diabetes Care, Inc.</w:t>
            </w:r>
          </w:p>
        </w:tc>
      </w:tr>
      <w:tr>
        <w:trPr>
          <w:trHeight w:val="459"/>
        </w:trPr>
        <w:tc>
          <w:tcPr>
            <w:tcW w:w="3840" w:type="dxa"/>
            <w:vAlign w:val="bottom"/>
          </w:tcPr>
          <w:p>
            <w:pPr>
              <w:spacing w:after="0"/>
              <w:rPr>
                <w:sz w:val="20"/>
                <w:szCs w:val="20"/>
                <w:color w:val="auto"/>
              </w:rPr>
            </w:pPr>
            <w:r>
              <w:rPr>
                <w:rFonts w:ascii="Arial" w:cs="Arial" w:eastAsia="Arial" w:hAnsi="Arial"/>
                <w:sz w:val="18"/>
                <w:szCs w:val="18"/>
                <w:color w:val="auto"/>
              </w:rPr>
              <w:t>Dated: July 30, 2018</w:t>
            </w:r>
          </w:p>
        </w:tc>
        <w:tc>
          <w:tcPr>
            <w:tcW w:w="2780" w:type="dxa"/>
            <w:vAlign w:val="bottom"/>
          </w:tcPr>
          <w:p>
            <w:pPr>
              <w:ind w:left="232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Kim D. Blickenstaff</w:t>
            </w:r>
          </w:p>
        </w:tc>
      </w:tr>
      <w:tr>
        <w:trPr>
          <w:trHeight w:val="195"/>
        </w:trPr>
        <w:tc>
          <w:tcPr>
            <w:tcW w:w="38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Kim D. Blickenstaff</w:t>
            </w:r>
          </w:p>
        </w:tc>
      </w:tr>
      <w:tr>
        <w:trPr>
          <w:trHeight w:val="216"/>
        </w:trPr>
        <w:tc>
          <w:tcPr>
            <w:tcW w:w="3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(on behalf of the registrant and as the registrant’s</w:t>
            </w:r>
          </w:p>
        </w:tc>
      </w:tr>
      <w:tr>
        <w:trPr>
          <w:trHeight w:val="230"/>
        </w:trPr>
        <w:tc>
          <w:tcPr>
            <w:tcW w:w="38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73"/>
        </w:trPr>
        <w:tc>
          <w:tcPr>
            <w:tcW w:w="3840" w:type="dxa"/>
            <w:vAlign w:val="bottom"/>
          </w:tcPr>
          <w:p>
            <w:pPr>
              <w:spacing w:after="0"/>
              <w:rPr>
                <w:sz w:val="24"/>
                <w:szCs w:val="24"/>
                <w:color w:val="auto"/>
              </w:rPr>
            </w:pPr>
          </w:p>
        </w:tc>
        <w:tc>
          <w:tcPr>
            <w:tcW w:w="2780" w:type="dxa"/>
            <w:vAlign w:val="bottom"/>
          </w:tcPr>
          <w:p>
            <w:pPr>
              <w:ind w:left="232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Leigh A. Vosseller</w:t>
            </w:r>
          </w:p>
        </w:tc>
      </w:tr>
      <w:tr>
        <w:trPr>
          <w:trHeight w:val="195"/>
        </w:trPr>
        <w:tc>
          <w:tcPr>
            <w:tcW w:w="38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Leigh A. Vosseller</w:t>
            </w:r>
          </w:p>
        </w:tc>
      </w:tr>
      <w:tr>
        <w:trPr>
          <w:trHeight w:val="216"/>
        </w:trPr>
        <w:tc>
          <w:tcPr>
            <w:tcW w:w="3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w w:val="94"/>
              </w:rPr>
              <w:t>Executive Vice President, Chief Financial Officer and Treasurer</w:t>
            </w:r>
          </w:p>
        </w:tc>
      </w:tr>
      <w:tr>
        <w:trPr>
          <w:trHeight w:val="216"/>
        </w:trPr>
        <w:tc>
          <w:tcPr>
            <w:tcW w:w="3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(on behalf of the registrant and as the registrant’s</w:t>
            </w:r>
          </w:p>
        </w:tc>
      </w:tr>
      <w:tr>
        <w:trPr>
          <w:trHeight w:val="230"/>
        </w:trPr>
        <w:tc>
          <w:tcPr>
            <w:tcW w:w="38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color w:val="auto"/>
        </w:rPr>
        <w:t>Exhibit 10.3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COMPENSATION AGREEMENT</w:t>
      </w:r>
    </w:p>
    <w:p>
      <w:pPr>
        <w:spacing w:after="0" w:line="215" w:lineRule="exact"/>
        <w:rPr>
          <w:sz w:val="20"/>
          <w:szCs w:val="20"/>
          <w:color w:val="auto"/>
        </w:rPr>
      </w:pPr>
    </w:p>
    <w:p>
      <w:pPr>
        <w:ind w:right="260" w:firstLine="877"/>
        <w:spacing w:after="0"/>
        <w:rPr>
          <w:sz w:val="20"/>
          <w:szCs w:val="20"/>
          <w:color w:val="auto"/>
        </w:rPr>
      </w:pPr>
      <w:r>
        <w:rPr>
          <w:rFonts w:ascii="Arial" w:cs="Arial" w:eastAsia="Arial" w:hAnsi="Arial"/>
          <w:sz w:val="22"/>
          <w:szCs w:val="22"/>
          <w:color w:val="auto"/>
        </w:rPr>
        <w:t>This 2018 Compensation Agreement (“</w:t>
      </w:r>
      <w:r>
        <w:rPr>
          <w:rFonts w:ascii="Arial" w:cs="Arial" w:eastAsia="Arial" w:hAnsi="Arial"/>
          <w:sz w:val="22"/>
          <w:szCs w:val="22"/>
          <w:b w:val="1"/>
          <w:bCs w:val="1"/>
          <w:i w:val="1"/>
          <w:iCs w:val="1"/>
          <w:color w:val="auto"/>
        </w:rPr>
        <w:t>Compensation Agreement</w:t>
      </w:r>
      <w:r>
        <w:rPr>
          <w:rFonts w:ascii="Arial" w:cs="Arial" w:eastAsia="Arial" w:hAnsi="Arial"/>
          <w:sz w:val="22"/>
          <w:szCs w:val="22"/>
          <w:color w:val="auto"/>
        </w:rPr>
        <w:t>”) is made and entered into effective as of January 5, 2018 by and between Tandem Diabetes Care,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Kim Blickenstaff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 with reference to the following facts and intentions:</w:t>
      </w:r>
    </w:p>
    <w:p>
      <w:pPr>
        <w:spacing w:after="0" w:line="186" w:lineRule="exact"/>
        <w:rPr>
          <w:sz w:val="20"/>
          <w:szCs w:val="20"/>
          <w:color w:val="auto"/>
        </w:rPr>
      </w:pPr>
    </w:p>
    <w:p>
      <w:pPr>
        <w:ind w:left="1740" w:hanging="855"/>
        <w:spacing w:after="0"/>
        <w:tabs>
          <w:tab w:leader="none" w:pos="17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Executive is the President and Chief Executive Officer of the Company;</w:t>
      </w:r>
    </w:p>
    <w:p>
      <w:pPr>
        <w:spacing w:after="0" w:line="206" w:lineRule="exact"/>
        <w:rPr>
          <w:rFonts w:ascii="Arial" w:cs="Arial" w:eastAsia="Arial" w:hAnsi="Arial"/>
          <w:sz w:val="22"/>
          <w:szCs w:val="22"/>
          <w:color w:val="auto"/>
        </w:rPr>
      </w:pPr>
    </w:p>
    <w:p>
      <w:pPr>
        <w:jc w:val="both"/>
        <w:ind w:right="260" w:firstLine="885"/>
        <w:spacing w:after="0" w:line="297" w:lineRule="auto"/>
        <w:tabs>
          <w:tab w:leader="none" w:pos="1724" w:val="left"/>
        </w:tabs>
        <w:numPr>
          <w:ilvl w:val="0"/>
          <w:numId w:val="37"/>
        </w:numPr>
        <w:rPr>
          <w:rFonts w:ascii="Arial" w:cs="Arial" w:eastAsia="Arial" w:hAnsi="Arial"/>
          <w:sz w:val="19"/>
          <w:szCs w:val="19"/>
          <w:color w:val="auto"/>
        </w:rPr>
      </w:pPr>
      <w:r>
        <w:rPr>
          <w:rFonts w:ascii="Arial" w:cs="Arial" w:eastAsia="Arial" w:hAnsi="Arial"/>
          <w:sz w:val="19"/>
          <w:szCs w:val="19"/>
          <w:color w:val="auto"/>
        </w:rPr>
        <w:t>At Executive’s request, on January 5, 2018 the Board of Directors of the Company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approved a reduction in Executive’s annual base salary from his 2017 annual base salary of $583,495 (the “</w:t>
      </w:r>
      <w:r>
        <w:rPr>
          <w:rFonts w:ascii="Arial" w:cs="Arial" w:eastAsia="Arial" w:hAnsi="Arial"/>
          <w:sz w:val="19"/>
          <w:szCs w:val="19"/>
          <w:b w:val="1"/>
          <w:bCs w:val="1"/>
          <w:i w:val="1"/>
          <w:iCs w:val="1"/>
          <w:color w:val="auto"/>
        </w:rPr>
        <w:t>Prior Base Salary</w:t>
      </w:r>
      <w:r>
        <w:rPr>
          <w:rFonts w:ascii="Arial" w:cs="Arial" w:eastAsia="Arial" w:hAnsi="Arial"/>
          <w:sz w:val="19"/>
          <w:szCs w:val="19"/>
          <w:color w:val="auto"/>
        </w:rPr>
        <w:t>”), to $1.00 for 2018. Executive also declined consideration of a discretionary cash bonus payment for performance in 2017.</w:t>
      </w:r>
    </w:p>
    <w:p>
      <w:pPr>
        <w:spacing w:after="0" w:line="134" w:lineRule="exact"/>
        <w:rPr>
          <w:rFonts w:ascii="Arial" w:cs="Arial" w:eastAsia="Arial" w:hAnsi="Arial"/>
          <w:sz w:val="19"/>
          <w:szCs w:val="19"/>
          <w:color w:val="auto"/>
        </w:rPr>
      </w:pPr>
    </w:p>
    <w:p>
      <w:pPr>
        <w:jc w:val="both"/>
        <w:ind w:right="60" w:firstLine="885"/>
        <w:spacing w:after="0" w:line="287" w:lineRule="auto"/>
        <w:tabs>
          <w:tab w:leader="none" w:pos="1724" w:val="left"/>
        </w:tabs>
        <w:numPr>
          <w:ilvl w:val="0"/>
          <w:numId w:val="37"/>
        </w:numPr>
        <w:rPr>
          <w:rFonts w:ascii="Arial" w:cs="Arial" w:eastAsia="Arial" w:hAnsi="Arial"/>
          <w:sz w:val="19"/>
          <w:szCs w:val="19"/>
          <w:color w:val="auto"/>
        </w:rPr>
      </w:pPr>
      <w:r>
        <w:rPr>
          <w:rFonts w:ascii="Arial" w:cs="Arial" w:eastAsia="Arial" w:hAnsi="Arial"/>
          <w:sz w:val="19"/>
          <w:szCs w:val="19"/>
          <w:color w:val="auto"/>
        </w:rPr>
        <w:t>In connection with the reduction in Executive’s base salary, the Board approved the adoption of a cash bonus arrangement that will be utilized to calculate the cash bonus, if any, that may become payable to Executive with respect to fiscal year 2018 (the “</w:t>
      </w:r>
      <w:r>
        <w:rPr>
          <w:rFonts w:ascii="Arial" w:cs="Arial" w:eastAsia="Arial" w:hAnsi="Arial"/>
          <w:sz w:val="19"/>
          <w:szCs w:val="19"/>
          <w:b w:val="1"/>
          <w:bCs w:val="1"/>
          <w:i w:val="1"/>
          <w:iCs w:val="1"/>
          <w:color w:val="auto"/>
        </w:rPr>
        <w:t>2018 Cash Bonus</w:t>
      </w:r>
      <w:r>
        <w:rPr>
          <w:rFonts w:ascii="Arial" w:cs="Arial" w:eastAsia="Arial" w:hAnsi="Arial"/>
          <w:sz w:val="19"/>
          <w:szCs w:val="19"/>
          <w:color w:val="auto"/>
        </w:rPr>
        <w:t>”). The 2018 Cash Bonus is designed to align Executive’s interests with the Company’s business goals and strategies, and to further the objectives of the Company’s executive compensation program.</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WHEREFORE </w:t>
      </w:r>
      <w:r>
        <w:rPr>
          <w:rFonts w:ascii="Arial" w:cs="Arial" w:eastAsia="Arial" w:hAnsi="Arial"/>
          <w:sz w:val="22"/>
          <w:szCs w:val="22"/>
          <w:color w:val="auto"/>
        </w:rPr>
        <w:t>based on these facts and intention, the Company and Executive agree as follows:</w:t>
      </w:r>
    </w:p>
    <w:p>
      <w:pPr>
        <w:spacing w:after="0" w:line="239" w:lineRule="exact"/>
        <w:rPr>
          <w:sz w:val="20"/>
          <w:szCs w:val="20"/>
          <w:color w:val="auto"/>
        </w:rPr>
      </w:pPr>
    </w:p>
    <w:p>
      <w:pPr>
        <w:ind w:left="1700" w:hanging="815"/>
        <w:spacing w:after="0"/>
        <w:tabs>
          <w:tab w:leader="none" w:pos="17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For calendar year 2018, effective January 1, 2018 Executive will receive a base salary of $1.00.</w:t>
      </w:r>
    </w:p>
    <w:p>
      <w:pPr>
        <w:spacing w:after="0" w:line="233" w:lineRule="exact"/>
        <w:rPr>
          <w:rFonts w:ascii="Arial" w:cs="Arial" w:eastAsia="Arial" w:hAnsi="Arial"/>
          <w:sz w:val="22"/>
          <w:szCs w:val="22"/>
          <w:color w:val="auto"/>
        </w:rPr>
      </w:pPr>
    </w:p>
    <w:p>
      <w:pPr>
        <w:ind w:right="320" w:firstLine="885"/>
        <w:spacing w:after="0" w:line="328" w:lineRule="auto"/>
        <w:tabs>
          <w:tab w:leader="none" w:pos="1688" w:val="left"/>
        </w:tabs>
        <w:numPr>
          <w:ilvl w:val="0"/>
          <w:numId w:val="38"/>
        </w:numPr>
        <w:rPr>
          <w:rFonts w:ascii="Arial" w:cs="Arial" w:eastAsia="Arial" w:hAnsi="Arial"/>
          <w:sz w:val="19"/>
          <w:szCs w:val="19"/>
          <w:color w:val="auto"/>
        </w:rPr>
      </w:pPr>
      <w:r>
        <w:rPr>
          <w:rFonts w:ascii="Arial" w:cs="Arial" w:eastAsia="Arial" w:hAnsi="Arial"/>
          <w:sz w:val="19"/>
          <w:szCs w:val="19"/>
          <w:color w:val="auto"/>
        </w:rPr>
        <w:t>With respect to calendar year 2018, Executive will also be eligible for the 2018 Cash Bonus in the amount of $583,495, less required payroll deductions (</w:t>
      </w:r>
      <w:r>
        <w:rPr>
          <w:rFonts w:ascii="Arial" w:cs="Arial" w:eastAsia="Arial" w:hAnsi="Arial"/>
          <w:sz w:val="19"/>
          <w:szCs w:val="19"/>
          <w:b w:val="1"/>
          <w:bCs w:val="1"/>
          <w:i w:val="1"/>
          <w:iCs w:val="1"/>
          <w:color w:val="auto"/>
        </w:rPr>
        <w:t>“Prior Base Salary”</w:t>
      </w:r>
      <w:r>
        <w:rPr>
          <w:rFonts w:ascii="Arial" w:cs="Arial" w:eastAsia="Arial" w:hAnsi="Arial"/>
          <w:sz w:val="19"/>
          <w:szCs w:val="19"/>
          <w:color w:val="auto"/>
        </w:rPr>
        <w:t>), pursuant to the following terms and conditions:</w:t>
      </w:r>
    </w:p>
    <w:p>
      <w:pPr>
        <w:spacing w:after="0" w:line="132" w:lineRule="exact"/>
        <w:rPr>
          <w:sz w:val="20"/>
          <w:szCs w:val="20"/>
          <w:color w:val="auto"/>
        </w:rPr>
      </w:pPr>
    </w:p>
    <w:p>
      <w:pPr>
        <w:ind w:right="740" w:firstLine="885"/>
        <w:spacing w:after="0" w:line="251" w:lineRule="auto"/>
        <w:tabs>
          <w:tab w:leader="none" w:pos="1676"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2018 Cash Bonus will be earned in full only upon the achievement of all of the following Company financial performance objectives as determined by the Board:</w:t>
      </w:r>
    </w:p>
    <w:p>
      <w:pPr>
        <w:spacing w:after="0" w:line="200" w:lineRule="exact"/>
        <w:rPr>
          <w:rFonts w:ascii="Arial" w:cs="Arial" w:eastAsia="Arial" w:hAnsi="Arial"/>
          <w:sz w:val="22"/>
          <w:szCs w:val="22"/>
          <w:color w:val="auto"/>
        </w:rPr>
      </w:pPr>
    </w:p>
    <w:p>
      <w:pPr>
        <w:ind w:left="2620" w:right="140" w:hanging="208"/>
        <w:spacing w:after="0" w:line="251" w:lineRule="auto"/>
        <w:tabs>
          <w:tab w:leader="none" w:pos="2620"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Company’s actual revenue for fiscal year 2018 must be at least equal to the 2018 revenue target established by the Board during the first quarter of 2018.</w:t>
      </w:r>
    </w:p>
    <w:p>
      <w:pPr>
        <w:spacing w:after="0" w:line="200" w:lineRule="exact"/>
        <w:rPr>
          <w:rFonts w:ascii="Arial" w:cs="Arial" w:eastAsia="Arial" w:hAnsi="Arial"/>
          <w:sz w:val="22"/>
          <w:szCs w:val="22"/>
          <w:color w:val="auto"/>
        </w:rPr>
      </w:pPr>
    </w:p>
    <w:p>
      <w:pPr>
        <w:ind w:left="2620" w:right="680" w:hanging="208"/>
        <w:spacing w:after="0" w:line="328" w:lineRule="auto"/>
        <w:tabs>
          <w:tab w:leader="none" w:pos="2620"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Company’s actual operating margin for fiscal year 2018 must be no greater than the 2018 operating margin target established by the Board during the first quarter of 2018.</w:t>
      </w:r>
    </w:p>
    <w:p>
      <w:pPr>
        <w:spacing w:after="0" w:line="132" w:lineRule="exact"/>
        <w:rPr>
          <w:sz w:val="20"/>
          <w:szCs w:val="20"/>
          <w:color w:val="auto"/>
        </w:rPr>
      </w:pPr>
    </w:p>
    <w:p>
      <w:pPr>
        <w:ind w:left="2660" w:right="60" w:hanging="242"/>
        <w:spacing w:after="0"/>
        <w:rPr>
          <w:sz w:val="20"/>
          <w:szCs w:val="20"/>
          <w:color w:val="auto"/>
        </w:rPr>
      </w:pPr>
      <w:r>
        <w:rPr>
          <w:rFonts w:ascii="Arial" w:cs="Arial" w:eastAsia="Arial" w:hAnsi="Arial"/>
          <w:sz w:val="22"/>
          <w:szCs w:val="22"/>
          <w:color w:val="auto"/>
        </w:rPr>
        <w:t>iii.The Company’s Earnings before Interest, Taxes, Depreciation and Amortization (excluding stock-based compensation and any payment of the 2018 Cash Bonus to Executive) must be positive for the fourth fiscal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20"/>
          <w:szCs w:val="20"/>
          <w:color w:val="auto"/>
        </w:rPr>
        <w:t>Exhibit 10.3</w:t>
      </w:r>
    </w:p>
    <w:p>
      <w:pPr>
        <w:spacing w:after="0" w:line="14" w:lineRule="exact"/>
        <w:rPr>
          <w:sz w:val="20"/>
          <w:szCs w:val="20"/>
          <w:color w:val="auto"/>
        </w:rPr>
      </w:pPr>
    </w:p>
    <w:p>
      <w:pPr>
        <w:ind w:right="60" w:firstLine="885"/>
        <w:spacing w:after="0" w:line="237" w:lineRule="auto"/>
        <w:tabs>
          <w:tab w:leader="none" w:pos="1688" w:val="left"/>
        </w:tabs>
        <w:numPr>
          <w:ilvl w:val="0"/>
          <w:numId w:val="40"/>
        </w:numPr>
        <w:rPr>
          <w:rFonts w:ascii="Arial" w:cs="Arial" w:eastAsia="Arial" w:hAnsi="Arial"/>
          <w:sz w:val="22"/>
          <w:szCs w:val="22"/>
          <w:color w:val="auto"/>
        </w:rPr>
      </w:pPr>
      <w:r>
        <w:rPr>
          <w:rFonts w:ascii="Arial" w:cs="Arial" w:eastAsia="Arial" w:hAnsi="Arial"/>
          <w:sz w:val="22"/>
          <w:szCs w:val="22"/>
          <w:color w:val="auto"/>
        </w:rPr>
        <w:t>If the Company does not achieve all of the above financial performance objectives, as determined by the Board, no 2018 Cash Bonus will be payable to Executive.</w:t>
      </w:r>
    </w:p>
    <w:p>
      <w:pPr>
        <w:spacing w:after="0" w:line="211" w:lineRule="exact"/>
        <w:rPr>
          <w:rFonts w:ascii="Arial" w:cs="Arial" w:eastAsia="Arial" w:hAnsi="Arial"/>
          <w:sz w:val="22"/>
          <w:szCs w:val="22"/>
          <w:color w:val="auto"/>
        </w:rPr>
      </w:pPr>
    </w:p>
    <w:p>
      <w:pPr>
        <w:ind w:right="140" w:firstLine="885"/>
        <w:spacing w:after="0" w:line="238" w:lineRule="auto"/>
        <w:tabs>
          <w:tab w:leader="none" w:pos="1676" w:val="left"/>
        </w:tabs>
        <w:numPr>
          <w:ilvl w:val="0"/>
          <w:numId w:val="40"/>
        </w:numPr>
        <w:rPr>
          <w:rFonts w:ascii="Arial" w:cs="Arial" w:eastAsia="Arial" w:hAnsi="Arial"/>
          <w:sz w:val="22"/>
          <w:szCs w:val="22"/>
          <w:color w:val="auto"/>
        </w:rPr>
      </w:pPr>
      <w:r>
        <w:rPr>
          <w:rFonts w:ascii="Arial" w:cs="Arial" w:eastAsia="Arial" w:hAnsi="Arial"/>
          <w:sz w:val="22"/>
          <w:szCs w:val="22"/>
          <w:color w:val="auto"/>
        </w:rPr>
        <w:t>If the Company achieves all of the above financial performance objectives, as determined by the Board, the 2018 Cash Bonus, less required payroll deductions, will be paid to Executive in full by no later than March 15, 2019 subject to the express condition that Executive is employed continuously as the President and Chief Executive Officer of the Company for the full year ending December 31, 2018.</w:t>
      </w:r>
    </w:p>
    <w:p>
      <w:pPr>
        <w:spacing w:after="0" w:line="212" w:lineRule="exact"/>
        <w:rPr>
          <w:sz w:val="20"/>
          <w:szCs w:val="20"/>
          <w:color w:val="auto"/>
        </w:rPr>
      </w:pPr>
    </w:p>
    <w:p>
      <w:pPr>
        <w:ind w:firstLine="885"/>
        <w:spacing w:after="0" w:line="233" w:lineRule="auto"/>
        <w:tabs>
          <w:tab w:leader="none" w:pos="1688"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In the event the Company terminates Executive’s employment, or Executive voluntarily resigns, or his service ends due to disability or death, at any time during 2018, Executive will be entitled to receive payment of the pro-rata portion of the Prior Base Salary based on the number of days elapsed in 2018 through the date of termination, less required payroll deductions. In addition, with respect to the Amended and Restated Employment Severance Agreement dated November 4, 2013 by and between the Company and Executive (the </w:t>
      </w:r>
      <w:r>
        <w:rPr>
          <w:rFonts w:ascii="Arial" w:cs="Arial" w:eastAsia="Arial" w:hAnsi="Arial"/>
          <w:sz w:val="22"/>
          <w:szCs w:val="22"/>
          <w:b w:val="1"/>
          <w:bCs w:val="1"/>
          <w:i w:val="1"/>
          <w:iCs w:val="1"/>
          <w:color w:val="auto"/>
        </w:rPr>
        <w:t>“Severance Agreement”</w:t>
      </w:r>
      <w:r>
        <w:rPr>
          <w:rFonts w:ascii="Arial" w:cs="Arial" w:eastAsia="Arial" w:hAnsi="Arial"/>
          <w:sz w:val="22"/>
          <w:szCs w:val="22"/>
          <w:color w:val="auto"/>
        </w:rPr>
        <w:t>), Section 4(a) of the Severance Agreement is amended to read in its entirety as follows:</w:t>
      </w:r>
    </w:p>
    <w:p>
      <w:pPr>
        <w:spacing w:after="0" w:line="3" w:lineRule="exact"/>
        <w:rPr>
          <w:rFonts w:ascii="Arial" w:cs="Arial" w:eastAsia="Arial" w:hAnsi="Arial"/>
          <w:sz w:val="22"/>
          <w:szCs w:val="22"/>
          <w:color w:val="auto"/>
        </w:rPr>
      </w:pPr>
    </w:p>
    <w:p>
      <w:pPr>
        <w:ind w:left="880" w:right="880" w:firstLine="743"/>
        <w:spacing w:after="0" w:line="244" w:lineRule="auto"/>
        <w:rPr>
          <w:rFonts w:ascii="Arial" w:cs="Arial" w:eastAsia="Arial" w:hAnsi="Arial"/>
          <w:sz w:val="22"/>
          <w:szCs w:val="22"/>
          <w:color w:val="auto"/>
        </w:rPr>
      </w:pPr>
      <w:r>
        <w:rPr>
          <w:rFonts w:ascii="Arial" w:cs="Arial" w:eastAsia="Arial" w:hAnsi="Arial"/>
          <w:sz w:val="21"/>
          <w:szCs w:val="21"/>
          <w:color w:val="auto"/>
        </w:rPr>
        <w:t>“Base Compensation” means the Employee’s (i) annual base salary paid by the Company for services performed as in effect on the Termination Date; and (ii) target cash bonus and/or other forms of cash incentive compensation for the fiscal year in which the Change of Control is effective. Notwithstanding the foregoing, in the event of a Change of Control resulting in Executive’s Involuntary Termination or Resignation for Good Reason during calendar year 2018 “Base Compensation” will mean: (i) Executive’s 2017 base compensation of $583,495 and (ii) his target cash bonus for the 2017 calendar year (without consideration of Executive’s election to decline a cash bonus for such period). , .</w:t>
      </w:r>
    </w:p>
    <w:p>
      <w:pPr>
        <w:spacing w:after="0" w:line="208" w:lineRule="exact"/>
        <w:rPr>
          <w:rFonts w:ascii="Arial" w:cs="Arial" w:eastAsia="Arial" w:hAnsi="Arial"/>
          <w:sz w:val="22"/>
          <w:szCs w:val="22"/>
          <w:color w:val="auto"/>
        </w:rPr>
      </w:pPr>
    </w:p>
    <w:p>
      <w:pPr>
        <w:ind w:right="40" w:firstLine="885"/>
        <w:spacing w:after="0" w:line="238" w:lineRule="auto"/>
        <w:tabs>
          <w:tab w:leader="none" w:pos="1688" w:val="left"/>
        </w:tabs>
        <w:numPr>
          <w:ilvl w:val="0"/>
          <w:numId w:val="41"/>
        </w:numPr>
        <w:rPr>
          <w:rFonts w:ascii="Arial" w:cs="Arial" w:eastAsia="Arial" w:hAnsi="Arial"/>
          <w:sz w:val="22"/>
          <w:szCs w:val="22"/>
          <w:color w:val="auto"/>
        </w:rPr>
      </w:pPr>
      <w:r>
        <w:rPr>
          <w:rFonts w:ascii="Arial" w:cs="Arial" w:eastAsia="Arial" w:hAnsi="Arial"/>
          <w:sz w:val="22"/>
          <w:szCs w:val="22"/>
          <w:color w:val="auto"/>
        </w:rPr>
        <w:t>Executive will not be eligible for any additional cash incentive compensation for his service during 2018 except as expressly set forth in this Compensation Agreement or as otherwise subsequently determined by the Board. Further, this Compensation Agreement applies for 2018 only and the Board reserves the right to determine Executive’s compensation for future periods.</w:t>
      </w:r>
    </w:p>
    <w:p>
      <w:pPr>
        <w:spacing w:after="0" w:line="212" w:lineRule="exact"/>
        <w:rPr>
          <w:rFonts w:ascii="Arial" w:cs="Arial" w:eastAsia="Arial" w:hAnsi="Arial"/>
          <w:sz w:val="22"/>
          <w:szCs w:val="22"/>
          <w:color w:val="auto"/>
        </w:rPr>
      </w:pPr>
    </w:p>
    <w:p>
      <w:pPr>
        <w:ind w:right="240" w:firstLine="885"/>
        <w:spacing w:after="0"/>
        <w:tabs>
          <w:tab w:leader="none" w:pos="1688" w:val="left"/>
        </w:tabs>
        <w:numPr>
          <w:ilvl w:val="0"/>
          <w:numId w:val="41"/>
        </w:numPr>
        <w:rPr>
          <w:rFonts w:ascii="Arial" w:cs="Arial" w:eastAsia="Arial" w:hAnsi="Arial"/>
          <w:sz w:val="22"/>
          <w:szCs w:val="22"/>
          <w:color w:val="auto"/>
        </w:rPr>
      </w:pPr>
      <w:r>
        <w:rPr>
          <w:rFonts w:ascii="Arial" w:cs="Arial" w:eastAsia="Arial" w:hAnsi="Arial"/>
          <w:sz w:val="22"/>
          <w:szCs w:val="22"/>
          <w:color w:val="auto"/>
        </w:rPr>
        <w:t>No waiver of a provision of this Compensation Agreement shall constitute a waiver of any other provision, whether or not similar. No waiver shall constitute a continuing waiver. No waiver shall be binding unless executed in writing by the party making the waiver.</w:t>
      </w:r>
    </w:p>
    <w:p>
      <w:pPr>
        <w:spacing w:after="0" w:line="213" w:lineRule="exact"/>
        <w:rPr>
          <w:rFonts w:ascii="Arial" w:cs="Arial" w:eastAsia="Arial" w:hAnsi="Arial"/>
          <w:sz w:val="22"/>
          <w:szCs w:val="22"/>
          <w:color w:val="auto"/>
        </w:rPr>
      </w:pPr>
    </w:p>
    <w:p>
      <w:pPr>
        <w:jc w:val="both"/>
        <w:ind w:right="220" w:firstLine="885"/>
        <w:spacing w:after="0" w:line="287" w:lineRule="auto"/>
        <w:tabs>
          <w:tab w:leader="none" w:pos="1688" w:val="left"/>
        </w:tabs>
        <w:numPr>
          <w:ilvl w:val="0"/>
          <w:numId w:val="41"/>
        </w:numPr>
        <w:rPr>
          <w:rFonts w:ascii="Arial" w:cs="Arial" w:eastAsia="Arial" w:hAnsi="Arial"/>
          <w:sz w:val="19"/>
          <w:szCs w:val="19"/>
          <w:color w:val="auto"/>
        </w:rPr>
      </w:pPr>
      <w:r>
        <w:rPr>
          <w:rFonts w:ascii="Arial" w:cs="Arial" w:eastAsia="Arial" w:hAnsi="Arial"/>
          <w:sz w:val="19"/>
          <w:szCs w:val="19"/>
          <w:color w:val="auto"/>
        </w:rPr>
        <w:t>All parts of this Compensation Agreement shall in all cases be construed according to their plain meaning and shall not be construed in favor or against either of the parties. If any term, provision, covenant or condition of this Compensation Agreement is held by a court of competent jurisdiction to be invalid, void or unenforceable, in whole or in part, the remainder of this Compensation Agreement shall remain in full force and effect and shall not be affected, impaired or invalidated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color w:val="auto"/>
        </w:rPr>
        <w:t>Exhibit 10.3</w:t>
      </w:r>
    </w:p>
    <w:p>
      <w:pPr>
        <w:spacing w:after="0" w:line="14" w:lineRule="exact"/>
        <w:rPr>
          <w:sz w:val="20"/>
          <w:szCs w:val="20"/>
          <w:color w:val="auto"/>
        </w:rPr>
      </w:pPr>
    </w:p>
    <w:p>
      <w:pPr>
        <w:ind w:right="380" w:firstLine="885"/>
        <w:spacing w:after="0" w:line="275" w:lineRule="auto"/>
        <w:tabs>
          <w:tab w:leader="none" w:pos="1688"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This Compensation Agreement, the Severance Agreement (as amended hereby) and the employment letter agreement dated September 1, 2007, as applicable, constitutes the entire agreement between the parties pertaining to the compensation of Executive by the Company for calendar year 2018, and supersedes all prior and contemporaneous agreements, representations, promises and understandings of the parties, whether oral or in writing. No supplement, modification or amendment of this Compensation Agreement shall be binding unless executed in writing by all parties and this Compensation Agreement may not be altered, amended, or modified by any other means.</w:t>
      </w:r>
    </w:p>
    <w:p>
      <w:pPr>
        <w:spacing w:after="0" w:line="182" w:lineRule="exact"/>
        <w:rPr>
          <w:sz w:val="20"/>
          <w:szCs w:val="20"/>
          <w:color w:val="auto"/>
        </w:rPr>
      </w:pPr>
    </w:p>
    <w:p>
      <w:pPr>
        <w:ind w:right="120" w:firstLine="995"/>
        <w:spacing w:after="0" w:line="251" w:lineRule="auto"/>
        <w:rPr>
          <w:sz w:val="20"/>
          <w:szCs w:val="20"/>
          <w:color w:val="auto"/>
        </w:rPr>
      </w:pPr>
      <w:r>
        <w:rPr>
          <w:rFonts w:ascii="Arial" w:cs="Arial" w:eastAsia="Arial" w:hAnsi="Arial"/>
          <w:sz w:val="22"/>
          <w:szCs w:val="22"/>
          <w:color w:val="auto"/>
        </w:rPr>
        <w:t>IN WITNESS WHEREOF, each of the parties has executed this Compensation Agreement, in the case of the Company by a duly authorized officer, as of the day and year set forth below its signature below.</w:t>
      </w:r>
    </w:p>
    <w:p>
      <w:pPr>
        <w:spacing w:after="0" w:line="200" w:lineRule="exact"/>
        <w:rPr>
          <w:sz w:val="20"/>
          <w:szCs w:val="20"/>
          <w:color w:val="auto"/>
        </w:rPr>
      </w:pPr>
    </w:p>
    <w:p>
      <w:pPr>
        <w:ind w:left="1000"/>
        <w:spacing w:after="0"/>
        <w:tabs>
          <w:tab w:leader="none" w:pos="2740" w:val="left"/>
        </w:tabs>
        <w:rPr>
          <w:sz w:val="20"/>
          <w:szCs w:val="20"/>
          <w:color w:val="auto"/>
        </w:rPr>
      </w:pPr>
      <w:r>
        <w:rPr>
          <w:rFonts w:ascii="Arial" w:cs="Arial" w:eastAsia="Arial" w:hAnsi="Arial"/>
          <w:sz w:val="22"/>
          <w:szCs w:val="22"/>
          <w:color w:val="auto"/>
        </w:rPr>
        <w:t>COMPANY:</w:t>
      </w:r>
      <w:r>
        <w:rPr>
          <w:sz w:val="20"/>
          <w:szCs w:val="20"/>
          <w:color w:val="auto"/>
        </w:rPr>
        <w:tab/>
      </w:r>
      <w:r>
        <w:rPr>
          <w:rFonts w:ascii="Arial" w:cs="Arial" w:eastAsia="Arial" w:hAnsi="Arial"/>
          <w:sz w:val="22"/>
          <w:szCs w:val="22"/>
          <w:color w:val="auto"/>
        </w:rPr>
        <w:t>TANDEM DIABETES CARE, INC.</w:t>
      </w:r>
    </w:p>
    <w:p>
      <w:pPr>
        <w:spacing w:after="0" w:line="200" w:lineRule="exact"/>
        <w:rPr>
          <w:sz w:val="20"/>
          <w:szCs w:val="20"/>
          <w:color w:val="auto"/>
        </w:rPr>
      </w:pPr>
    </w:p>
    <w:p>
      <w:pPr>
        <w:spacing w:after="0" w:line="276"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Susan M. Morrison</w:t>
      </w:r>
    </w:p>
    <w:p>
      <w:pPr>
        <w:ind w:left="1540"/>
        <w:spacing w:after="0" w:line="238" w:lineRule="auto"/>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Susan M. Morrison</w:t>
      </w:r>
    </w:p>
    <w:p>
      <w:pPr>
        <w:ind w:left="5260"/>
        <w:spacing w:after="0" w:line="230" w:lineRule="auto"/>
        <w:rPr>
          <w:sz w:val="20"/>
          <w:szCs w:val="20"/>
          <w:color w:val="auto"/>
        </w:rPr>
      </w:pPr>
      <w:r>
        <w:rPr>
          <w:rFonts w:ascii="Arial" w:cs="Arial" w:eastAsia="Arial" w:hAnsi="Arial"/>
          <w:sz w:val="22"/>
          <w:szCs w:val="22"/>
          <w:color w:val="auto"/>
        </w:rPr>
        <w:t>Title: Executive Vice President, Chief Administrative Officer</w:t>
      </w:r>
    </w:p>
    <w:p>
      <w:pPr>
        <w:spacing w:after="0" w:line="1"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Date: July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00"/>
        <w:spacing w:after="0"/>
        <w:tabs>
          <w:tab w:leader="none" w:pos="2780" w:val="left"/>
        </w:tabs>
        <w:rPr>
          <w:sz w:val="20"/>
          <w:szCs w:val="20"/>
          <w:color w:val="auto"/>
        </w:rPr>
      </w:pPr>
      <w:r>
        <w:rPr>
          <w:rFonts w:ascii="Arial" w:cs="Arial" w:eastAsia="Arial" w:hAnsi="Arial"/>
          <w:sz w:val="22"/>
          <w:szCs w:val="22"/>
          <w:color w:val="auto"/>
        </w:rPr>
        <w:t>EMPLOYEE</w:t>
      </w:r>
      <w:r>
        <w:rPr>
          <w:sz w:val="20"/>
          <w:szCs w:val="20"/>
          <w:color w:val="auto"/>
        </w:rPr>
        <w:tab/>
      </w:r>
      <w:r>
        <w:rPr>
          <w:rFonts w:ascii="Arial" w:cs="Arial" w:eastAsia="Arial" w:hAnsi="Arial"/>
          <w:sz w:val="22"/>
          <w:szCs w:val="22"/>
          <w:u w:val="single" w:color="auto"/>
          <w:color w:val="auto"/>
        </w:rPr>
        <w:t>/s/ Kim D. Blickenstaff</w:t>
      </w:r>
    </w:p>
    <w:p>
      <w:pPr>
        <w:ind w:left="1540"/>
        <w:spacing w:after="0" w:line="238" w:lineRule="auto"/>
        <w:rPr>
          <w:sz w:val="20"/>
          <w:szCs w:val="20"/>
          <w:color w:val="auto"/>
        </w:rPr>
      </w:pPr>
      <w:r>
        <w:rPr>
          <w:rFonts w:ascii="Arial" w:cs="Arial" w:eastAsia="Arial" w:hAnsi="Arial"/>
          <w:sz w:val="22"/>
          <w:szCs w:val="22"/>
          <w:color w:val="auto"/>
        </w:rPr>
        <w:t>Kim D. Blickenstaff</w:t>
      </w:r>
    </w:p>
    <w:p>
      <w:pPr>
        <w:ind w:left="1540"/>
        <w:spacing w:after="0"/>
        <w:rPr>
          <w:sz w:val="20"/>
          <w:szCs w:val="20"/>
          <w:color w:val="auto"/>
        </w:rPr>
      </w:pPr>
      <w:r>
        <w:rPr>
          <w:rFonts w:ascii="Arial" w:cs="Arial" w:eastAsia="Arial" w:hAnsi="Arial"/>
          <w:sz w:val="22"/>
          <w:szCs w:val="22"/>
          <w:color w:val="auto"/>
        </w:rPr>
        <w:t>Date: July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3" w:name="page64"/>
    <w:bookmarkEnd w:id="63"/>
    <w:p>
      <w:pPr>
        <w:ind w:left="9240"/>
        <w:spacing w:after="0"/>
        <w:rPr>
          <w:sz w:val="20"/>
          <w:szCs w:val="20"/>
          <w:color w:val="auto"/>
        </w:rPr>
      </w:pPr>
      <w:r>
        <w:rPr>
          <w:rFonts w:ascii="Arial" w:cs="Arial" w:eastAsia="Arial" w:hAnsi="Arial"/>
          <w:sz w:val="18"/>
          <w:szCs w:val="18"/>
          <w:color w:val="auto"/>
        </w:rPr>
        <w:t>Exhibit 10.3</w:t>
      </w:r>
    </w:p>
    <w:p>
      <w:pPr>
        <w:sectPr>
          <w:pgSz w:w="11900" w:h="16838" w:orient="portrait"/>
          <w:cols w:equalWidth="0" w:num="1">
            <w:col w:w="10220"/>
          </w:cols>
          <w:pgMar w:left="1440" w:top="122"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4573905</wp:posOffset>
            </wp:positionH>
            <wp:positionV relativeFrom="page">
              <wp:posOffset>88900</wp:posOffset>
            </wp:positionV>
            <wp:extent cx="1826895" cy="3860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826895" cy="386080"/>
                    </a:xfrm>
                    <a:prstGeom prst="rect">
                      <a:avLst/>
                    </a:prstGeom>
                    <a:noFill/>
                  </pic:spPr>
                </pic:pic>
              </a:graphicData>
            </a:graphic>
          </wp:anchor>
        </w:drawing>
        <w:t>Exhibit 10.4</w:t>
      </w:r>
    </w:p>
    <w:p>
      <w:pPr>
        <w:spacing w:after="0" w:line="234"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Tandem Diabetes Care, Inc.</w:t>
      </w:r>
    </w:p>
    <w:p>
      <w:pPr>
        <w:spacing w:after="0" w:line="22" w:lineRule="exact"/>
        <w:rPr>
          <w:sz w:val="20"/>
          <w:szCs w:val="20"/>
          <w:color w:val="auto"/>
        </w:rPr>
      </w:pPr>
    </w:p>
    <w:p>
      <w:pPr>
        <w:ind w:left="4060"/>
        <w:spacing w:after="0"/>
        <w:rPr>
          <w:sz w:val="20"/>
          <w:szCs w:val="20"/>
          <w:color w:val="auto"/>
        </w:rPr>
      </w:pPr>
      <w:r>
        <w:rPr>
          <w:rFonts w:ascii="Arial" w:cs="Arial" w:eastAsia="Arial" w:hAnsi="Arial"/>
          <w:sz w:val="20"/>
          <w:szCs w:val="20"/>
          <w:b w:val="1"/>
          <w:bCs w:val="1"/>
          <w:color w:val="auto"/>
        </w:rPr>
        <w:t>2018 Sr. Management Cash Bonus Plan</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Tandem Diabetes Care, Inc. 2018 Sr. Management Cash Bonus Plan (the “</w:t>
      </w:r>
      <w:r>
        <w:rPr>
          <w:rFonts w:ascii="Arial" w:cs="Arial" w:eastAsia="Arial" w:hAnsi="Arial"/>
          <w:sz w:val="17"/>
          <w:szCs w:val="17"/>
          <w:b w:val="1"/>
          <w:bCs w:val="1"/>
          <w:i w:val="1"/>
          <w:iCs w:val="1"/>
          <w:color w:val="auto"/>
        </w:rPr>
        <w:t>Bonus Plan</w:t>
      </w:r>
      <w:r>
        <w:rPr>
          <w:rFonts w:ascii="Arial" w:cs="Arial" w:eastAsia="Arial" w:hAnsi="Arial"/>
          <w:sz w:val="17"/>
          <w:szCs w:val="17"/>
          <w:color w:val="auto"/>
        </w:rPr>
        <w:t>”) has been designed to align plan participants with the business goals and strategies of Tandem Diabetes Care, Inc. (“</w:t>
      </w:r>
      <w:r>
        <w:rPr>
          <w:rFonts w:ascii="Arial" w:cs="Arial" w:eastAsia="Arial" w:hAnsi="Arial"/>
          <w:sz w:val="17"/>
          <w:szCs w:val="17"/>
          <w:b w:val="1"/>
          <w:bCs w:val="1"/>
          <w:i w:val="1"/>
          <w:iCs w:val="1"/>
          <w:color w:val="auto"/>
        </w:rPr>
        <w:t>Tandem</w:t>
      </w:r>
      <w:r>
        <w:rPr>
          <w:rFonts w:ascii="Arial" w:cs="Arial" w:eastAsia="Arial" w:hAnsi="Arial"/>
          <w:sz w:val="17"/>
          <w:szCs w:val="17"/>
          <w:color w:val="auto"/>
        </w:rPr>
        <w:t>” or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to further the objectives of the Company’s executive compensation program. This Bonus Plan is an important part of the Company’s commitment to recognizing key employees who contribute to the achievement of important Company performance goals. Specifically, the objectives of the Bonus Plan are as follows:</w:t>
      </w:r>
    </w:p>
    <w:p>
      <w:pPr>
        <w:spacing w:after="0" w:line="171" w:lineRule="exact"/>
        <w:rPr>
          <w:sz w:val="20"/>
          <w:szCs w:val="20"/>
          <w:color w:val="auto"/>
        </w:rPr>
      </w:pPr>
    </w:p>
    <w:p>
      <w:pPr>
        <w:ind w:left="1760" w:right="40" w:hanging="442"/>
        <w:spacing w:after="0" w:line="238" w:lineRule="auto"/>
        <w:tabs>
          <w:tab w:leader="none" w:pos="1760" w:val="left"/>
        </w:tabs>
        <w:numPr>
          <w:ilvl w:val="0"/>
          <w:numId w:val="43"/>
        </w:numPr>
        <w:rPr>
          <w:rFonts w:ascii="Arial" w:cs="Arial" w:eastAsia="Arial" w:hAnsi="Arial"/>
          <w:sz w:val="22"/>
          <w:szCs w:val="22"/>
          <w:color w:val="auto"/>
        </w:rPr>
      </w:pPr>
      <w:r>
        <w:rPr>
          <w:rFonts w:ascii="Arial" w:cs="Arial" w:eastAsia="Arial" w:hAnsi="Arial"/>
          <w:sz w:val="18"/>
          <w:szCs w:val="18"/>
          <w:color w:val="auto"/>
        </w:rPr>
        <w:t>Attract, retain and reward highly skilled individuals, including executive officers, with the background and experience required for the Company’s future growth and success by providing meaningful cash incentive payments to plan participants who are in a position to contribute significantly to Company success.</w:t>
      </w:r>
    </w:p>
    <w:p>
      <w:pPr>
        <w:spacing w:after="0" w:line="1" w:lineRule="exact"/>
        <w:rPr>
          <w:rFonts w:ascii="Arial" w:cs="Arial" w:eastAsia="Arial" w:hAnsi="Arial"/>
          <w:sz w:val="22"/>
          <w:szCs w:val="22"/>
          <w:color w:val="auto"/>
        </w:rPr>
      </w:pPr>
    </w:p>
    <w:p>
      <w:pPr>
        <w:ind w:left="1760" w:right="640" w:hanging="442"/>
        <w:spacing w:after="0" w:line="257" w:lineRule="auto"/>
        <w:tabs>
          <w:tab w:leader="none" w:pos="1760" w:val="left"/>
        </w:tabs>
        <w:numPr>
          <w:ilvl w:val="0"/>
          <w:numId w:val="43"/>
        </w:numPr>
        <w:rPr>
          <w:rFonts w:ascii="Arial" w:cs="Arial" w:eastAsia="Arial" w:hAnsi="Arial"/>
          <w:sz w:val="19"/>
          <w:szCs w:val="19"/>
          <w:color w:val="auto"/>
        </w:rPr>
      </w:pPr>
      <w:r>
        <w:rPr>
          <w:rFonts w:ascii="Arial" w:cs="Arial" w:eastAsia="Arial" w:hAnsi="Arial"/>
          <w:sz w:val="16"/>
          <w:szCs w:val="16"/>
          <w:color w:val="auto"/>
        </w:rPr>
        <w:t>Align the interests of plan participants with those of the Company’s stockholders by tying a meaningful portion of their total compensation opportunity to the achievement of specific Company performance objectives, such as an annual revenue target.</w:t>
      </w:r>
    </w:p>
    <w:p>
      <w:pPr>
        <w:spacing w:after="0" w:line="1" w:lineRule="exact"/>
        <w:rPr>
          <w:rFonts w:ascii="Arial" w:cs="Arial" w:eastAsia="Arial" w:hAnsi="Arial"/>
          <w:sz w:val="19"/>
          <w:szCs w:val="19"/>
          <w:color w:val="auto"/>
        </w:rPr>
      </w:pPr>
    </w:p>
    <w:p>
      <w:pPr>
        <w:ind w:left="1760" w:right="140" w:hanging="442"/>
        <w:spacing w:after="0" w:line="261" w:lineRule="auto"/>
        <w:tabs>
          <w:tab w:leader="none" w:pos="1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Together with base salary, long-term equity incentives and other components of compensation, create an appropriate balance of cash versus non-cash, and guaranteed versus at risk compensation opportunities.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Period</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Bonus Plan is primarily intended to reward plan participants for their individual contributions to the Company’s achievement with respect to Company performance objectives for the 2018 fiscal year. However, the Company’s Board of Directors or the Compensation Committee of the Board of Directors (the “</w:t>
      </w:r>
      <w:r>
        <w:rPr>
          <w:rFonts w:ascii="Arial" w:cs="Arial" w:eastAsia="Arial" w:hAnsi="Arial"/>
          <w:sz w:val="16"/>
          <w:szCs w:val="16"/>
          <w:b w:val="1"/>
          <w:bCs w:val="1"/>
          <w:i w:val="1"/>
          <w:iCs w:val="1"/>
          <w:color w:val="auto"/>
        </w:rPr>
        <w:t>Compensation Committee</w:t>
      </w:r>
      <w:r>
        <w:rPr>
          <w:rFonts w:ascii="Arial" w:cs="Arial" w:eastAsia="Arial" w:hAnsi="Arial"/>
          <w:sz w:val="16"/>
          <w:szCs w:val="16"/>
          <w:color w:val="auto"/>
        </w:rPr>
        <w:t>”) also has the discretion to consider individual or Company performance after December 31, 2018 and until the date of any actual bonus determination under the Bonus Plan in measuring performance and determining the amount of an award, if any, under the Bonus Plan.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Employees of the Company eligible for an award under this Bonus Plan will be limited to individuals serving as a Vice President or more senior management role within the Company, as determined by the Board of Directors or the Compensation Committee. If, following January 1, 2018, an individual is promoted or hired and becomes an eligible participant under the Bonus Plan at any time during the 2018 calendar year, then the individual will be eligible to participate under the Bonus Plan on a pro-rata basis, calculated in the reasonable discretion of the Compensation Committee, unless otherwise specifically provided by the Board of Directors or the Compensation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Opportunity</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target cash incentive amount (a “</w:t>
      </w:r>
      <w:r>
        <w:rPr>
          <w:rFonts w:ascii="Arial" w:cs="Arial" w:eastAsia="Arial" w:hAnsi="Arial"/>
          <w:sz w:val="18"/>
          <w:szCs w:val="18"/>
          <w:b w:val="1"/>
          <w:bCs w:val="1"/>
          <w:i w:val="1"/>
          <w:iCs w:val="1"/>
          <w:color w:val="auto"/>
        </w:rPr>
        <w:t>Target Bonus Amount</w:t>
      </w:r>
      <w:r>
        <w:rPr>
          <w:rFonts w:ascii="Arial" w:cs="Arial" w:eastAsia="Arial" w:hAnsi="Arial"/>
          <w:sz w:val="18"/>
          <w:szCs w:val="18"/>
          <w:color w:val="auto"/>
        </w:rPr>
        <w:t>”) for each eligible plan participant will be set as a percentage of the participant’s base salary. Cash incentives may be earned under the Bonus Plan based on the achievement of both financial performance objectives and product development objectives. The financial performance objectives are comprised of two parts and will collectively represent 80% of the overall Target Bonus Amount and the product development objectives will collectively represent 20% of the overall Target Bonus Amount.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65" w:name="page66"/>
    <w:bookmarkEnd w:id="65"/>
    <w:p>
      <w:pPr>
        <w:ind w:left="880"/>
        <w:spacing w:after="0"/>
        <w:rPr>
          <w:sz w:val="20"/>
          <w:szCs w:val="20"/>
          <w:color w:val="auto"/>
        </w:rPr>
      </w:pPr>
      <w:r>
        <w:rPr>
          <w:rFonts w:ascii="Arial" w:cs="Arial" w:eastAsia="Arial" w:hAnsi="Arial"/>
          <w:sz w:val="18"/>
          <w:szCs w:val="18"/>
          <w:i w:val="1"/>
          <w:iCs w:val="1"/>
          <w:color w:val="auto"/>
        </w:rPr>
        <w:t>Financial Performance Objectives</w:t>
      </w:r>
    </w:p>
    <w:p>
      <w:pPr>
        <w:spacing w:after="0" w:line="185"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The portion of the cash bonuses that relate to the Company financial objectives may be earned based on the Company’s actual revenue for fiscal year 2018 as compared to a pre-established 2018 revenue target (the “</w:t>
      </w:r>
      <w:r>
        <w:rPr>
          <w:rFonts w:ascii="Arial" w:cs="Arial" w:eastAsia="Arial" w:hAnsi="Arial"/>
          <w:sz w:val="18"/>
          <w:szCs w:val="18"/>
          <w:b w:val="1"/>
          <w:bCs w:val="1"/>
          <w:i w:val="1"/>
          <w:iCs w:val="1"/>
          <w:color w:val="auto"/>
        </w:rPr>
        <w:t>Revenue Target</w:t>
      </w:r>
      <w:r>
        <w:rPr>
          <w:rFonts w:ascii="Arial" w:cs="Arial" w:eastAsia="Arial" w:hAnsi="Arial"/>
          <w:sz w:val="18"/>
          <w:szCs w:val="18"/>
          <w:color w:val="auto"/>
        </w:rPr>
        <w:t>”), provided the Company also achieves at least a minimum operating margin percentage (the “</w:t>
      </w:r>
      <w:r>
        <w:rPr>
          <w:rFonts w:ascii="Arial" w:cs="Arial" w:eastAsia="Arial" w:hAnsi="Arial"/>
          <w:sz w:val="18"/>
          <w:szCs w:val="18"/>
          <w:b w:val="1"/>
          <w:bCs w:val="1"/>
          <w:i w:val="1"/>
          <w:iCs w:val="1"/>
          <w:color w:val="auto"/>
        </w:rPr>
        <w:t>Minimum Operating Percentage Target</w:t>
      </w:r>
      <w:r>
        <w:rPr>
          <w:rFonts w:ascii="Arial" w:cs="Arial" w:eastAsia="Arial" w:hAnsi="Arial"/>
          <w:sz w:val="18"/>
          <w:szCs w:val="18"/>
          <w:color w:val="auto"/>
        </w:rPr>
        <w:t>”). Subject to the foregoing, the Company financial objective portion of the cash bonuses may be earned under the Bonus Plan as follows:</w:t>
      </w:r>
    </w:p>
    <w:p>
      <w:pPr>
        <w:spacing w:after="0" w:line="187" w:lineRule="exact"/>
        <w:rPr>
          <w:sz w:val="20"/>
          <w:szCs w:val="20"/>
          <w:color w:val="auto"/>
        </w:rPr>
      </w:pPr>
    </w:p>
    <w:p>
      <w:pPr>
        <w:jc w:val="both"/>
        <w:ind w:left="1740" w:right="20" w:hanging="868"/>
        <w:spacing w:after="0" w:line="264" w:lineRule="auto"/>
        <w:tabs>
          <w:tab w:leader="none" w:pos="1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 minimum percentage growth rate over the Company’s actual 2017 revenue, which places the Company’s revenue for 2018 at 75% of the Revenue Target (the </w:t>
      </w:r>
      <w:r>
        <w:rPr>
          <w:rFonts w:ascii="Arial" w:cs="Arial" w:eastAsia="Arial" w:hAnsi="Arial"/>
          <w:sz w:val="18"/>
          <w:szCs w:val="18"/>
          <w:b w:val="1"/>
          <w:bCs w:val="1"/>
          <w:i w:val="1"/>
          <w:iCs w:val="1"/>
          <w:color w:val="auto"/>
        </w:rPr>
        <w:t>“Minimum Revenue Target”</w:t>
      </w:r>
      <w:r>
        <w:rPr>
          <w:rFonts w:ascii="Arial" w:cs="Arial" w:eastAsia="Arial" w:hAnsi="Arial"/>
          <w:sz w:val="18"/>
          <w:szCs w:val="18"/>
          <w:color w:val="auto"/>
        </w:rPr>
        <w:t>), must be achieved for any bonus to be earned under the financial performance objectives portion of the 2018 Cash Bonus Plan.</w:t>
      </w:r>
    </w:p>
    <w:p>
      <w:pPr>
        <w:spacing w:after="0" w:line="181" w:lineRule="exact"/>
        <w:rPr>
          <w:rFonts w:ascii="Arial" w:cs="Arial" w:eastAsia="Arial" w:hAnsi="Arial"/>
          <w:sz w:val="18"/>
          <w:szCs w:val="18"/>
          <w:color w:val="auto"/>
        </w:rPr>
      </w:pPr>
    </w:p>
    <w:p>
      <w:pPr>
        <w:jc w:val="both"/>
        <w:ind w:left="1740" w:hanging="868"/>
        <w:spacing w:after="0" w:line="259" w:lineRule="auto"/>
        <w:tabs>
          <w:tab w:leader="none" w:pos="1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Company’s actual revenues are between this Minimum Revenue Target and the Revenue Target, the goal achievement for the financial performance objectives will be calculated proportionately in a straight-line from 0% to 100%. If the Company’s actual revenues exceed the Revenue Target, the goal achievement for the financial performance objectives will be calculated proportionately as a percentage of the Revenue Target.</w:t>
      </w:r>
    </w:p>
    <w:p>
      <w:pPr>
        <w:spacing w:after="0" w:line="186" w:lineRule="exact"/>
        <w:rPr>
          <w:rFonts w:ascii="Arial" w:cs="Arial" w:eastAsia="Arial" w:hAnsi="Arial"/>
          <w:sz w:val="18"/>
          <w:szCs w:val="18"/>
          <w:color w:val="auto"/>
        </w:rPr>
      </w:pPr>
    </w:p>
    <w:p>
      <w:pPr>
        <w:jc w:val="both"/>
        <w:ind w:left="1740" w:hanging="868"/>
        <w:spacing w:after="0" w:line="259" w:lineRule="auto"/>
        <w:tabs>
          <w:tab w:leader="none" w:pos="1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more than 90% payout can be earned under the financial objectives portion of the Bonus Plan unless the Company’s actual quarterly Earnings before Interest, Taxes, Depreciation and Amortization (and further excluding non-cash stock based compensation expense and any payment of the 2018 Cash Bonus payable to the Company’s Chief Executive Officer) (“EBITDA”) for fiscal year 2018 is positive (the “EBITDA Goal”).</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Potential Incremental Bonus</w:t>
      </w:r>
    </w:p>
    <w:p>
      <w:pPr>
        <w:spacing w:after="0" w:line="225"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If the Company’s actual revenues are above 105% of the Revenue Target, and provided that the Company also achieves both the EBITDA Goal and a secondary minimum operating margin percentage target that reflects more favorable performance as compared to the Minimum Operating Percentage Target, then the 2018 Cash Bonus Plan has two levels of potential incremental overall goal achievement:</w:t>
      </w:r>
    </w:p>
    <w:p>
      <w:pPr>
        <w:spacing w:after="0" w:line="181" w:lineRule="exact"/>
        <w:rPr>
          <w:sz w:val="20"/>
          <w:szCs w:val="20"/>
          <w:color w:val="auto"/>
        </w:rPr>
      </w:pPr>
    </w:p>
    <w:p>
      <w:pPr>
        <w:jc w:val="both"/>
        <w:ind w:left="1740" w:hanging="868"/>
        <w:spacing w:after="0" w:line="257" w:lineRule="auto"/>
        <w:tabs>
          <w:tab w:leader="none" w:pos="1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Company’s actual revenues are above 105% of the Revenue Target and up to 115% of the Revenue Target, the percentage of overall goal achievement with respect to the Company financial objectives under the Bonus Plan will first be calculated as described above, and then for each percent of revenue achievement above 105% of the Revenue Target and up to 115% of the Revenue Target, an additional 1.0% will be added to the overall goal achievement under the 2018 Cash Bonus Plan, and the cash bonus will be calculated based on this modified level of goal achievement; or</w:t>
      </w:r>
    </w:p>
    <w:p>
      <w:pPr>
        <w:spacing w:after="0" w:line="188" w:lineRule="exact"/>
        <w:rPr>
          <w:rFonts w:ascii="Arial" w:cs="Arial" w:eastAsia="Arial" w:hAnsi="Arial"/>
          <w:sz w:val="18"/>
          <w:szCs w:val="18"/>
          <w:color w:val="auto"/>
        </w:rPr>
      </w:pPr>
    </w:p>
    <w:p>
      <w:pPr>
        <w:jc w:val="both"/>
        <w:ind w:left="1740" w:hanging="868"/>
        <w:spacing w:after="0" w:line="257" w:lineRule="auto"/>
        <w:tabs>
          <w:tab w:leader="none" w:pos="1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Company’s actual revenues are above 115% of the Revenue Target of the Revenue Target, the percentage of overall goal achievement with respect to the Company financial objectives under the Bonus Plan will first be calculated as described above, and then for each percent of revenue achievement above 105% of the Revenue Target, an additional 2.0% will be added to the overall goal achievement under the 2018 Cash Bonus Plan, and the cash bonus will be calculated based on this modified level of goal achievement.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ind w:left="880"/>
        <w:spacing w:after="0"/>
        <w:rPr>
          <w:sz w:val="20"/>
          <w:szCs w:val="20"/>
          <w:color w:val="auto"/>
        </w:rPr>
      </w:pPr>
      <w:r>
        <w:rPr>
          <w:rFonts w:ascii="Arial" w:cs="Arial" w:eastAsia="Arial" w:hAnsi="Arial"/>
          <w:sz w:val="18"/>
          <w:szCs w:val="18"/>
          <w:i w:val="1"/>
          <w:iCs w:val="1"/>
          <w:color w:val="auto"/>
        </w:rPr>
        <w:t>Company Product Development Milestones</w:t>
      </w:r>
    </w:p>
    <w:p>
      <w:pPr>
        <w:spacing w:after="0" w:line="185"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auto"/>
        </w:rPr>
        <w:t>The portion of the cash bonuses that relates to the Company product development milestones generally require the Company to submit regulatory filings or obtain regulatory clearance and commercially launch certain products under development. Subject to the Committee’s final discretion, an individual product development milestone must be achieved within a required time period for the applicable portion of the 2018 Cash Bonus Plan to be achieved. Overall goal achievement of the Company’s product development milestones will be based on the portion of the product development milestones that the Company actually achieves during fiscal year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Determination</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Bonus payments under the Bonus Plan, if any, will be made at the discretion of the Board or the Committee. The financial performance components and product development components of the Bonus Plan may be earned independent of one another. If the Company does not achieve any portion of any of the financial performance components or the product development components of the Bonus Plan, no payouts will be made unless the Board or the Committee, in their sole discretion, determines that there are other factors that merit consideration in the determination of bonus awards, which may be determined on an individual basis. All determinations and decisions made by the Compensation Committee and the Board of Directors pursuant to the provisions of the Bonus Plan shall be final, conclusive and binding on all persons, and shall be given the maximum deference permitted by law.</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Payout and Administration</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Payment of bonuses will be made as soon as practical after the end of the plan year, but not later than March 15, 2019. Participants must be actively employed at the time of payout to be eligible for any bonus payment. Only the Board of Directors may approve a payment under this Bonus Plan to the Company’s Chief Executive Officer. The Board of Directors or the Compensation Committee may approve payments to any other eligible plan participant. The Board of Directors or the Compensation Committee can modify the Bonus Plan, including timing and form of payments, at any time in their sole discretion. Amounts payable under the Bonus Plan are intended to comply with the “short-term deferral” rule set forth in Section 1.409A-1(b)(4) of the Treasury Regulations and thus be exempt from the provisions of Section 409A of the Internal Revenue Code of 1986, as amended. The Board of Directors and the Compensation Committee intend to administer the Bonus Plan in a manner consistent with this rule. Any amounts paid hereunder shall be subject to recoupment in accordance with The Dodd-Frank Wall Street Reform and Consumer Protection Act and any implementing regulations thereunder, any clawback policy adopted by the Company or as is otherwise required by applicable law.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125"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Kim D. Blickenstaff, certify that:</w:t>
      </w:r>
    </w:p>
    <w:p>
      <w:pPr>
        <w:spacing w:after="0" w:line="225" w:lineRule="exact"/>
        <w:rPr>
          <w:sz w:val="20"/>
          <w:szCs w:val="20"/>
          <w:color w:val="auto"/>
        </w:rPr>
      </w:pPr>
    </w:p>
    <w:p>
      <w:pPr>
        <w:ind w:left="380" w:hanging="372"/>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140" w:hanging="372"/>
        <w:spacing w:after="0" w:line="264"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40" w:right="60" w:hanging="376"/>
        <w:spacing w:after="0" w:line="264" w:lineRule="auto"/>
        <w:tabs>
          <w:tab w:leader="none" w:pos="11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376"/>
        <w:spacing w:after="0" w:line="264" w:lineRule="auto"/>
        <w:tabs>
          <w:tab w:leader="none" w:pos="11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376"/>
        <w:spacing w:after="0" w:line="342" w:lineRule="auto"/>
        <w:tabs>
          <w:tab w:leader="none" w:pos="11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376"/>
        <w:spacing w:after="0" w:line="264" w:lineRule="auto"/>
        <w:tabs>
          <w:tab w:leader="none" w:pos="11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260" w:hanging="372"/>
        <w:spacing w:after="0" w:line="308" w:lineRule="auto"/>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right="800" w:hanging="376"/>
        <w:spacing w:after="0" w:line="342" w:lineRule="auto"/>
        <w:tabs>
          <w:tab w:leader="none" w:pos="11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376"/>
        <w:spacing w:after="0" w:line="277" w:lineRule="auto"/>
        <w:tabs>
          <w:tab w:leader="none" w:pos="11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Tandem Diabetes Care,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Kim D. Blickenstaff</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Kim D. Blickenstaff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5812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President, 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30, 2018</w:t>
      </w:r>
    </w:p>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Leigh A. Vosseller, certify that:</w:t>
      </w:r>
    </w:p>
    <w:p>
      <w:pPr>
        <w:spacing w:after="0" w:line="225"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140" w:hanging="372"/>
        <w:spacing w:after="0" w:line="264"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40" w:right="60" w:hanging="376"/>
        <w:spacing w:after="0" w:line="264" w:lineRule="auto"/>
        <w:tabs>
          <w:tab w:leader="none" w:pos="11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376"/>
        <w:spacing w:after="0" w:line="264" w:lineRule="auto"/>
        <w:tabs>
          <w:tab w:leader="none" w:pos="11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376"/>
        <w:spacing w:after="0" w:line="342" w:lineRule="auto"/>
        <w:tabs>
          <w:tab w:leader="none" w:pos="114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376"/>
        <w:spacing w:after="0" w:line="264" w:lineRule="auto"/>
        <w:tabs>
          <w:tab w:leader="none" w:pos="11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260" w:hanging="372"/>
        <w:spacing w:after="0" w:line="308" w:lineRule="auto"/>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right="800" w:hanging="376"/>
        <w:spacing w:after="0" w:line="342" w:lineRule="auto"/>
        <w:tabs>
          <w:tab w:leader="none" w:pos="114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376"/>
        <w:spacing w:after="0" w:line="277" w:lineRule="auto"/>
        <w:tabs>
          <w:tab w:leader="none" w:pos="11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Tandem Diabetes Care,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Leigh A. Vosseller</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5812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7"/>
          <w:szCs w:val="17"/>
          <w:color w:val="auto"/>
        </w:rPr>
        <w:t>Executive Vice President, Chief Financial Officer and</w:t>
      </w:r>
    </w:p>
    <w:p>
      <w:pPr>
        <w:spacing w:after="0" w:line="2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30, 2018</w:t>
      </w:r>
    </w:p>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In connection with the Quarterly Report on Form 10-Q of Tandem Diabetes Care, Inc. (the “Company”) for the period ended June 30, 2018, as filed with the Securities and Exchange Commission on the date hereof (the “Report”), I, Kim D. Blickenstaff, President and Chief Executive Officer of the Company, certify, pursuant to 18 U.S.C. Section 1350, as adopted pursuant to Section 906 of the Sarbanes-Oxley Act of 2002, that to my knowledge:</w:t>
      </w:r>
    </w:p>
    <w:p>
      <w:pPr>
        <w:spacing w:after="0" w:line="147" w:lineRule="exact"/>
        <w:rPr>
          <w:sz w:val="20"/>
          <w:szCs w:val="20"/>
          <w:color w:val="auto"/>
        </w:rPr>
      </w:pPr>
    </w:p>
    <w:p>
      <w:pPr>
        <w:ind w:left="700" w:hanging="174"/>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100" w:firstLine="526"/>
        <w:spacing w:after="0" w:line="277" w:lineRule="auto"/>
        <w:tabs>
          <w:tab w:leader="none" w:pos="69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200" w:lineRule="exact"/>
        <w:rPr>
          <w:sz w:val="20"/>
          <w:szCs w:val="20"/>
          <w:color w:val="auto"/>
        </w:rPr>
      </w:pPr>
    </w:p>
    <w:p>
      <w:pPr>
        <w:spacing w:after="0" w:line="214"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July 30, 2018</w:t>
      </w:r>
      <w:r>
        <w:rPr>
          <w:sz w:val="20"/>
          <w:szCs w:val="20"/>
          <w:color w:val="auto"/>
        </w:rPr>
        <w:tab/>
      </w:r>
      <w:r>
        <w:rPr>
          <w:rFonts w:ascii="Arial" w:cs="Arial" w:eastAsia="Arial" w:hAnsi="Arial"/>
          <w:sz w:val="17"/>
          <w:szCs w:val="17"/>
          <w:color w:val="auto"/>
        </w:rPr>
        <w:t>/s/ Kim D. Blickenstaff</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Kim D. Blickenstaff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54" w:lineRule="exact"/>
        <w:rPr>
          <w:sz w:val="20"/>
          <w:szCs w:val="20"/>
          <w:color w:val="auto"/>
        </w:rPr>
      </w:pPr>
    </w:p>
    <w:p>
      <w:pPr>
        <w:ind w:right="160" w:firstLine="588"/>
        <w:spacing w:after="0" w:line="279" w:lineRule="auto"/>
        <w:rPr>
          <w:sz w:val="20"/>
          <w:szCs w:val="20"/>
          <w:color w:val="auto"/>
        </w:rPr>
      </w:pPr>
      <w:r>
        <w:rPr>
          <w:rFonts w:ascii="Arial" w:cs="Arial" w:eastAsia="Arial" w:hAnsi="Arial"/>
          <w:sz w:val="17"/>
          <w:szCs w:val="17"/>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connection with the Quarterly Report on Form 10-Q of Tandem Diabetes Care, Inc. (the “Company”) for the period ended June 30, 2018, as filed with the Securities and Exchange Commission on the date hereof (the “Report”), I, Leigh A. Vosseller, Executive Vice President, Chief Financial Officer and Treasurer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700" w:hanging="174"/>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100" w:firstLine="526"/>
        <w:spacing w:after="0" w:line="277" w:lineRule="auto"/>
        <w:tabs>
          <w:tab w:leader="none" w:pos="69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200" w:lineRule="exact"/>
        <w:rPr>
          <w:sz w:val="20"/>
          <w:szCs w:val="20"/>
          <w:color w:val="auto"/>
        </w:rPr>
      </w:pPr>
    </w:p>
    <w:p>
      <w:pPr>
        <w:spacing w:after="0" w:line="214"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July 30, 2018</w:t>
      </w:r>
      <w:r>
        <w:rPr>
          <w:sz w:val="20"/>
          <w:szCs w:val="20"/>
          <w:color w:val="auto"/>
        </w:rPr>
        <w:tab/>
      </w:r>
      <w:r>
        <w:rPr>
          <w:rFonts w:ascii="Arial" w:cs="Arial" w:eastAsia="Arial" w:hAnsi="Arial"/>
          <w:sz w:val="16"/>
          <w:szCs w:val="16"/>
          <w:color w:val="auto"/>
        </w:rPr>
        <w:t>/s/ Leigh A. Vosseller</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8" w:lineRule="exact"/>
        <w:rPr>
          <w:sz w:val="20"/>
          <w:szCs w:val="20"/>
          <w:color w:val="auto"/>
        </w:rPr>
      </w:pPr>
    </w:p>
    <w:p>
      <w:pPr>
        <w:ind w:right="160" w:firstLine="588"/>
        <w:spacing w:after="0" w:line="279" w:lineRule="auto"/>
        <w:rPr>
          <w:sz w:val="20"/>
          <w:szCs w:val="20"/>
          <w:color w:val="auto"/>
        </w:rPr>
      </w:pPr>
      <w:r>
        <w:rPr>
          <w:rFonts w:ascii="Arial" w:cs="Arial" w:eastAsia="Arial" w:hAnsi="Arial"/>
          <w:sz w:val="17"/>
          <w:szCs w:val="17"/>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71" w:name="page72"/>
    <w:bookmarkEnd w:id="7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1."/>
      <w:numFmt w:val="upperLetter"/>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lowerLetter"/>
      <w:start w:val="1"/>
    </w:lvl>
    <w:lvl w:ilvl="1">
      <w:lvlJc w:val="left"/>
      <w:lvlText w:val="%2."/>
      <w:numFmt w:val="lowerRoman"/>
      <w:start w:val="1"/>
    </w:lvl>
  </w:abstractNum>
  <w:abstractNum w:abstractNumId="39">
    <w:nsid w:val="2CD89A32"/>
    <w:multiLevelType w:val="hybridMultilevel"/>
    <w:lvl w:ilvl="0">
      <w:lvlJc w:val="left"/>
      <w:lvlText w:val="%1."/>
      <w:numFmt w:val="lowerLetter"/>
      <w:start w:val="2"/>
    </w:lvl>
  </w:abstractNum>
  <w:abstractNum w:abstractNumId="40">
    <w:nsid w:val="57E4CCAF"/>
    <w:multiLevelType w:val="hybridMultilevel"/>
    <w:lvl w:ilvl="0">
      <w:lvlJc w:val="left"/>
      <w:lvlText w:val="%1."/>
      <w:numFmt w:val="decimal"/>
      <w:start w:val="3"/>
    </w:lvl>
  </w:abstractNum>
  <w:abstractNum w:abstractNumId="41">
    <w:nsid w:val="7A6D8D3C"/>
    <w:multiLevelType w:val="hybridMultilevel"/>
    <w:lvl w:ilvl="0">
      <w:lvlJc w:val="left"/>
      <w:lvlText w:val="%1."/>
      <w:numFmt w:val="decimal"/>
      <w:start w:val="7"/>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jpe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79" Type="http://schemas.openxmlformats.org/officeDocument/2006/relationships/hyperlink" Target="http://www.sec.gov/Archives/edgar/data/1438133/000119312513423605/d576419dex34.htm" TargetMode="External"/><Relationship Id="rId80" Type="http://schemas.openxmlformats.org/officeDocument/2006/relationships/hyperlink" Target="http://www.sec.gov/Archives/edgar/data/1438133/000119312513423605/d576419dex35.htm" TargetMode="External"/><Relationship Id="rId81" Type="http://schemas.openxmlformats.org/officeDocument/2006/relationships/hyperlink" Target="http://www.sec.gov/Archives/edgar/data/1438133/000156459018009319/tndm-def14a_20180614.htm#APPENDIX_B" TargetMode="External"/><Relationship Id="rId82" Type="http://schemas.openxmlformats.org/officeDocument/2006/relationships/hyperlink" Target="http://www.sec.gov/Archives/edgar/data/1438133/000156459018009319/tndm-def14a_20180614.htm#APPENDIX_C"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2019-12-28T21:08:01Z</dcterms:created>
  <dcterms:modified xsi:type="dcterms:W3CDTF">2019-12-28T21:08:01Z</dcterms:modified>
</cp:coreProperties>
</file>