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808990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9"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w:t>
      </w:r>
    </w:p>
    <w:p>
      <w:pPr>
        <w:spacing w:after="0" w:line="128" w:lineRule="exact"/>
        <w:rPr>
          <w:sz w:val="24"/>
          <w:szCs w:val="24"/>
          <w:color w:val="auto"/>
        </w:rPr>
      </w:pPr>
    </w:p>
    <w:p>
      <w:pPr>
        <w:ind w:left="600" w:hanging="457"/>
        <w:spacing w:after="0"/>
        <w:tabs>
          <w:tab w:leader="none" w:pos="6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2" w:lineRule="exact"/>
        <w:rPr>
          <w:rFonts w:ascii="MS PGothic" w:cs="MS PGothic" w:eastAsia="MS PGothic" w:hAnsi="MS PGothic"/>
          <w:sz w:val="21"/>
          <w:szCs w:val="21"/>
          <w:color w:val="auto"/>
        </w:rPr>
      </w:pPr>
    </w:p>
    <w:p>
      <w:pPr>
        <w:ind w:left="5620"/>
        <w:spacing w:after="0"/>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1934</w:t>
      </w:r>
    </w:p>
    <w:p>
      <w:pPr>
        <w:spacing w:after="0" w:line="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80" w:hanging="437"/>
        <w:spacing w:after="0"/>
        <w:tabs>
          <w:tab w:leader="none" w:pos="5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2" w:lineRule="exact"/>
        <w:rPr>
          <w:rFonts w:ascii="MS PGothic" w:cs="MS PGothic" w:eastAsia="MS PGothic" w:hAnsi="MS PGothic"/>
          <w:sz w:val="21"/>
          <w:szCs w:val="21"/>
          <w:color w:val="auto"/>
        </w:rPr>
      </w:pPr>
    </w:p>
    <w:p>
      <w:pPr>
        <w:ind w:left="5620"/>
        <w:spacing w:after="0"/>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ind w:left="366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001-36189</w:t>
      </w:r>
    </w:p>
    <w:p>
      <w:pPr>
        <w:spacing w:after="0" w:line="83"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Tandem Diabetes Care,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3"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w:t>
      </w:r>
    </w:p>
    <w:p>
      <w:pPr>
        <w:spacing w:after="0" w:line="123" w:lineRule="exact"/>
        <w:rPr>
          <w:sz w:val="24"/>
          <w:szCs w:val="24"/>
          <w:color w:val="auto"/>
        </w:rPr>
      </w:pPr>
    </w:p>
    <w:tbl>
      <w:tblPr>
        <w:tblLayout w:type="fixed"/>
        <w:tblInd w:w="1840" w:type="dxa"/>
        <w:tblCellMar>
          <w:top w:w="0" w:type="dxa"/>
          <w:left w:w="0" w:type="dxa"/>
          <w:bottom w:w="0" w:type="dxa"/>
          <w:right w:w="0" w:type="dxa"/>
        </w:tblCellMar>
      </w:tblPr>
      <w:tr>
        <w:trPr>
          <w:trHeight w:val="227"/>
        </w:trPr>
        <w:tc>
          <w:tcPr>
            <w:tcW w:w="6040" w:type="dxa"/>
            <w:vAlign w:val="bottom"/>
          </w:tcPr>
          <w:p>
            <w:pPr>
              <w:jc w:val="center"/>
              <w:ind w:right="35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20-4327508</w:t>
            </w:r>
          </w:p>
        </w:tc>
      </w:tr>
      <w:tr>
        <w:trPr>
          <w:trHeight w:val="148"/>
        </w:trPr>
        <w:tc>
          <w:tcPr>
            <w:tcW w:w="6040" w:type="dxa"/>
            <w:vAlign w:val="bottom"/>
          </w:tcPr>
          <w:p>
            <w:pPr>
              <w:jc w:val="center"/>
              <w:ind w:right="35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60" w:type="dxa"/>
            <w:vAlign w:val="bottom"/>
          </w:tcPr>
          <w:p>
            <w:pPr>
              <w:jc w:val="center"/>
              <w:ind w:left="5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40" w:type="dxa"/>
            <w:vAlign w:val="bottom"/>
          </w:tcPr>
          <w:p>
            <w:pPr>
              <w:jc w:val="center"/>
              <w:ind w:right="35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60" w:type="dxa"/>
            <w:vAlign w:val="bottom"/>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8"/>
        </w:trPr>
        <w:tc>
          <w:tcPr>
            <w:tcW w:w="6040" w:type="dxa"/>
            <w:vAlign w:val="bottom"/>
          </w:tcPr>
          <w:p>
            <w:pPr>
              <w:jc w:val="center"/>
              <w:ind w:right="3579"/>
              <w:spacing w:after="0"/>
              <w:rPr>
                <w:sz w:val="20"/>
                <w:szCs w:val="20"/>
                <w:color w:val="auto"/>
              </w:rPr>
            </w:pPr>
            <w:r>
              <w:rPr>
                <w:rFonts w:ascii="Times New Roman" w:cs="Times New Roman" w:eastAsia="Times New Roman" w:hAnsi="Times New Roman"/>
                <w:sz w:val="18"/>
                <w:szCs w:val="18"/>
                <w:b w:val="1"/>
                <w:bCs w:val="1"/>
                <w:color w:val="auto"/>
                <w:w w:val="99"/>
              </w:rPr>
              <w:t>12400 High Bluff Drive</w:t>
            </w:r>
          </w:p>
        </w:tc>
        <w:tc>
          <w:tcPr>
            <w:tcW w:w="17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92130</w:t>
            </w:r>
          </w:p>
        </w:tc>
      </w:tr>
      <w:tr>
        <w:trPr>
          <w:trHeight w:val="230"/>
        </w:trPr>
        <w:tc>
          <w:tcPr>
            <w:tcW w:w="60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1760" w:type="dxa"/>
            <w:vAlign w:val="bottom"/>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6040" w:type="dxa"/>
            <w:vAlign w:val="bottom"/>
          </w:tcPr>
          <w:p>
            <w:pPr>
              <w:jc w:val="center"/>
              <w:ind w:right="35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60" w:type="dxa"/>
            <w:vAlign w:val="bottom"/>
          </w:tcPr>
          <w:p>
            <w:pPr>
              <w:spacing w:after="0"/>
              <w:rPr>
                <w:sz w:val="16"/>
                <w:szCs w:val="16"/>
                <w:color w:val="auto"/>
              </w:rPr>
            </w:pPr>
          </w:p>
        </w:tc>
      </w:tr>
      <w:tr>
        <w:trPr>
          <w:trHeight w:val="309"/>
        </w:trPr>
        <w:tc>
          <w:tcPr>
            <w:tcW w:w="6040" w:type="dxa"/>
            <w:vAlign w:val="bottom"/>
          </w:tcPr>
          <w:p>
            <w:pPr>
              <w:jc w:val="right"/>
              <w:ind w:right="1619"/>
              <w:spacing w:after="0"/>
              <w:rPr>
                <w:sz w:val="20"/>
                <w:szCs w:val="20"/>
                <w:color w:val="auto"/>
              </w:rPr>
            </w:pPr>
            <w:r>
              <w:rPr>
                <w:rFonts w:ascii="Times New Roman" w:cs="Times New Roman" w:eastAsia="Times New Roman" w:hAnsi="Times New Roman"/>
                <w:sz w:val="18"/>
                <w:szCs w:val="18"/>
                <w:b w:val="1"/>
                <w:bCs w:val="1"/>
                <w:color w:val="auto"/>
              </w:rPr>
              <w:t>(858) 366-6900</w:t>
            </w:r>
          </w:p>
        </w:tc>
        <w:tc>
          <w:tcPr>
            <w:tcW w:w="1760" w:type="dxa"/>
            <w:vAlign w:val="bottom"/>
          </w:tcPr>
          <w:p>
            <w:pPr>
              <w:spacing w:after="0"/>
              <w:rPr>
                <w:sz w:val="24"/>
                <w:szCs w:val="24"/>
                <w:color w:val="auto"/>
              </w:rPr>
            </w:pPr>
          </w:p>
        </w:tc>
      </w:tr>
      <w:tr>
        <w:trPr>
          <w:trHeight w:val="190"/>
        </w:trPr>
        <w:tc>
          <w:tcPr>
            <w:tcW w:w="6040" w:type="dxa"/>
            <w:vAlign w:val="bottom"/>
          </w:tcPr>
          <w:p>
            <w:pPr>
              <w:jc w:val="center"/>
              <w:ind w:left="14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60" w:type="dxa"/>
            <w:vAlign w:val="bottom"/>
          </w:tcPr>
          <w:p>
            <w:pPr>
              <w:spacing w:after="0"/>
              <w:rPr>
                <w:sz w:val="16"/>
                <w:szCs w:val="16"/>
                <w:color w:val="auto"/>
              </w:rPr>
            </w:pPr>
          </w:p>
        </w:tc>
      </w:tr>
    </w:tbl>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0" w:lineRule="exact"/>
        <w:rPr>
          <w:sz w:val="24"/>
          <w:szCs w:val="24"/>
          <w:color w:val="auto"/>
        </w:rPr>
      </w:pPr>
    </w:p>
    <w:tbl>
      <w:tblPr>
        <w:tblLayout w:type="fixed"/>
        <w:tblInd w:w="54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6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280" w:type="dxa"/>
            <w:vAlign w:val="bottom"/>
            <w:gridSpan w:val="2"/>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264"/>
        </w:trPr>
        <w:tc>
          <w:tcPr>
            <w:tcW w:w="37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420" w:type="dxa"/>
            <w:vAlign w:val="bottom"/>
          </w:tcPr>
          <w:p>
            <w:pPr>
              <w:spacing w:after="0"/>
              <w:rPr>
                <w:sz w:val="22"/>
                <w:szCs w:val="22"/>
                <w:color w:val="auto"/>
              </w:rPr>
            </w:pPr>
          </w:p>
        </w:tc>
        <w:tc>
          <w:tcPr>
            <w:tcW w:w="196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TNDM</w:t>
            </w:r>
          </w:p>
        </w:tc>
        <w:tc>
          <w:tcPr>
            <w:tcW w:w="800" w:type="dxa"/>
            <w:vAlign w:val="bottom"/>
          </w:tcPr>
          <w:p>
            <w:pPr>
              <w:spacing w:after="0"/>
              <w:rPr>
                <w:sz w:val="22"/>
                <w:szCs w:val="22"/>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7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w:t>
      </w:r>
    </w:p>
    <w:p>
      <w:pPr>
        <w:spacing w:after="0" w:line="4" w:lineRule="exact"/>
        <w:rPr>
          <w:sz w:val="24"/>
          <w:szCs w:val="24"/>
          <w:color w:val="auto"/>
        </w:rPr>
      </w:pPr>
    </w:p>
    <w:p>
      <w:pPr>
        <w:ind w:right="2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20" w:type="dxa"/>
            <w:vAlign w:val="bottom"/>
          </w:tcPr>
          <w:p>
            <w:pPr>
              <w:ind w:left="1340"/>
              <w:spacing w:after="0"/>
              <w:rPr>
                <w:sz w:val="20"/>
                <w:szCs w:val="20"/>
                <w:color w:val="auto"/>
              </w:rPr>
            </w:pPr>
            <w:r>
              <w:rPr>
                <w:rFonts w:ascii="Wingdings" w:cs="Wingdings" w:eastAsia="Wingdings" w:hAnsi="Wingdings"/>
                <w:sz w:val="14"/>
                <w:szCs w:val="14"/>
                <w:b w:val="1"/>
                <w:bCs w:val="1"/>
                <w:color w:val="auto"/>
              </w:rPr>
              <w:t>x</w:t>
            </w:r>
          </w:p>
        </w:tc>
        <w:tc>
          <w:tcPr>
            <w:tcW w:w="400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Accelerated filer</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20" w:type="dxa"/>
            <w:vAlign w:val="bottom"/>
          </w:tcPr>
          <w:p>
            <w:pPr>
              <w:ind w:left="134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6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00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6" w:lineRule="exact"/>
        <w:rPr>
          <w:sz w:val="24"/>
          <w:szCs w:val="24"/>
          <w:color w:val="auto"/>
        </w:rPr>
      </w:pPr>
    </w:p>
    <w:p>
      <w:pPr>
        <w:jc w:val="both"/>
        <w:ind w:right="54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4"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86"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4"/>
          <w:szCs w:val="14"/>
          <w:color w:val="auto"/>
        </w:rPr>
        <w:t>As of April 26, 2024, there were 64,589,518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739775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100965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126365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012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22"/>
        </w:trPr>
        <w:tc>
          <w:tcPr>
            <w:tcW w:w="760" w:type="dxa"/>
            <w:vAlign w:val="bottom"/>
          </w:tcPr>
          <w:p>
            <w:pPr>
              <w:spacing w:after="0"/>
              <w:rPr>
                <w:sz w:val="10"/>
                <w:szCs w:val="10"/>
                <w:color w:val="auto"/>
              </w:rPr>
            </w:pPr>
          </w:p>
        </w:tc>
        <w:tc>
          <w:tcPr>
            <w:tcW w:w="10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89"/>
        </w:trPr>
        <w:tc>
          <w:tcPr>
            <w:tcW w:w="7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w:t>
            </w:r>
          </w:p>
        </w:tc>
        <w:tc>
          <w:tcPr>
            <w:tcW w:w="101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Financial Information</w:t>
            </w:r>
          </w:p>
        </w:tc>
        <w:tc>
          <w:tcPr>
            <w:tcW w:w="18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180" w:type="dxa"/>
            <w:vAlign w:val="bottom"/>
            <w:shd w:val="clear" w:color="auto" w:fill="CCEEFF"/>
          </w:tcPr>
          <w:p>
            <w:pPr>
              <w:spacing w:after="0"/>
              <w:rPr>
                <w:sz w:val="16"/>
                <w:szCs w:val="16"/>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0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10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Financial Statements</w:t>
            </w:r>
          </w:p>
        </w:tc>
        <w:tc>
          <w:tcPr>
            <w:tcW w:w="18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180" w:type="dxa"/>
            <w:vAlign w:val="bottom"/>
          </w:tcPr>
          <w:p>
            <w:pPr>
              <w:spacing w:after="0"/>
              <w:rPr>
                <w:sz w:val="16"/>
                <w:szCs w:val="16"/>
                <w:color w:val="auto"/>
              </w:rPr>
            </w:pPr>
          </w:p>
        </w:tc>
      </w:tr>
      <w:tr>
        <w:trPr>
          <w:trHeight w:val="21"/>
        </w:trPr>
        <w:tc>
          <w:tcPr>
            <w:tcW w:w="76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760" w:type="dxa"/>
            <w:vAlign w:val="bottom"/>
            <w:shd w:val="clear" w:color="auto" w:fill="CCEEFF"/>
          </w:tcPr>
          <w:p>
            <w:pPr>
              <w:spacing w:after="0"/>
              <w:rPr>
                <w:sz w:val="18"/>
                <w:szCs w:val="18"/>
                <w:color w:val="auto"/>
              </w:rPr>
            </w:pPr>
          </w:p>
        </w:tc>
        <w:tc>
          <w:tcPr>
            <w:tcW w:w="101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Balance Sheets at March 31, 2024 (Unaudited) and December 31, 2023</w:t>
            </w:r>
          </w:p>
        </w:tc>
        <w:tc>
          <w:tcPr>
            <w:tcW w:w="18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180" w:type="dxa"/>
            <w:vAlign w:val="bottom"/>
            <w:shd w:val="clear" w:color="auto" w:fill="CCEEFF"/>
          </w:tcPr>
          <w:p>
            <w:pPr>
              <w:spacing w:after="0"/>
              <w:rPr>
                <w:sz w:val="18"/>
                <w:szCs w:val="18"/>
                <w:color w:val="auto"/>
              </w:rPr>
            </w:pPr>
          </w:p>
        </w:tc>
      </w:tr>
      <w:tr>
        <w:trPr>
          <w:trHeight w:val="176"/>
        </w:trPr>
        <w:tc>
          <w:tcPr>
            <w:tcW w:w="760" w:type="dxa"/>
            <w:vAlign w:val="bottom"/>
            <w:tcBorders>
              <w:top w:val="single" w:sz="8" w:color="CCEEFF"/>
            </w:tcBorders>
          </w:tcPr>
          <w:p>
            <w:pPr>
              <w:spacing w:after="0"/>
              <w:rPr>
                <w:sz w:val="15"/>
                <w:szCs w:val="15"/>
                <w:color w:val="auto"/>
              </w:rPr>
            </w:pPr>
          </w:p>
        </w:tc>
        <w:tc>
          <w:tcPr>
            <w:tcW w:w="10120" w:type="dxa"/>
            <w:vAlign w:val="bottom"/>
            <w:tcBorders>
              <w:top w:val="single" w:sz="8" w:color="CCEEFF"/>
            </w:tcBorders>
          </w:tcPr>
          <w:p>
            <w:pPr>
              <w:ind w:left="140"/>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Loss for the Three Months Ended March 31, 2024 and 2023</w:t>
            </w:r>
          </w:p>
        </w:tc>
        <w:tc>
          <w:tcPr>
            <w:tcW w:w="40" w:type="dxa"/>
            <w:vAlign w:val="bottom"/>
            <w:tcBorders>
              <w:top w:val="single" w:sz="8" w:color="CCEE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r>
      <w:tr>
        <w:trPr>
          <w:trHeight w:val="203"/>
        </w:trPr>
        <w:tc>
          <w:tcPr>
            <w:tcW w:w="760" w:type="dxa"/>
            <w:vAlign w:val="bottom"/>
          </w:tcPr>
          <w:p>
            <w:pPr>
              <w:spacing w:after="0"/>
              <w:rPr>
                <w:sz w:val="17"/>
                <w:szCs w:val="17"/>
                <w:color w:val="auto"/>
              </w:rPr>
            </w:pPr>
          </w:p>
        </w:tc>
        <w:tc>
          <w:tcPr>
            <w:tcW w:w="101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(Unaudited)</w:t>
            </w:r>
          </w:p>
        </w:tc>
        <w:tc>
          <w:tcPr>
            <w:tcW w:w="180" w:type="dxa"/>
            <w:vAlign w:val="bottom"/>
            <w:gridSpan w:val="3"/>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88"/>
              </w:rPr>
              <w:t>2</w:t>
            </w:r>
          </w:p>
        </w:tc>
        <w:tc>
          <w:tcPr>
            <w:tcW w:w="18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101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Stockholders’ Equity for the Three Months Ended March 31, 2024 and 2023 (Unaudited)</w:t>
            </w:r>
          </w:p>
        </w:tc>
        <w:tc>
          <w:tcPr>
            <w:tcW w:w="18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180" w:type="dxa"/>
            <w:vAlign w:val="bottom"/>
            <w:shd w:val="clear" w:color="auto" w:fill="CCEEFF"/>
          </w:tcPr>
          <w:p>
            <w:pPr>
              <w:spacing w:after="0"/>
              <w:rPr>
                <w:sz w:val="16"/>
                <w:szCs w:val="16"/>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0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60" w:type="dxa"/>
            <w:vAlign w:val="bottom"/>
          </w:tcPr>
          <w:p>
            <w:pPr>
              <w:spacing w:after="0"/>
              <w:rPr>
                <w:sz w:val="16"/>
                <w:szCs w:val="16"/>
                <w:color w:val="auto"/>
              </w:rPr>
            </w:pPr>
          </w:p>
        </w:tc>
        <w:tc>
          <w:tcPr>
            <w:tcW w:w="10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 March 31, 2024 and 2023 (Unaudited)</w:t>
            </w:r>
          </w:p>
        </w:tc>
        <w:tc>
          <w:tcPr>
            <w:tcW w:w="18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180" w:type="dxa"/>
            <w:vAlign w:val="bottom"/>
          </w:tcPr>
          <w:p>
            <w:pPr>
              <w:spacing w:after="0"/>
              <w:rPr>
                <w:sz w:val="16"/>
                <w:szCs w:val="16"/>
                <w:color w:val="auto"/>
              </w:rPr>
            </w:pPr>
          </w:p>
        </w:tc>
      </w:tr>
      <w:tr>
        <w:trPr>
          <w:trHeight w:val="21"/>
        </w:trPr>
        <w:tc>
          <w:tcPr>
            <w:tcW w:w="76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101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18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180" w:type="dxa"/>
            <w:vAlign w:val="bottom"/>
            <w:shd w:val="clear" w:color="auto" w:fill="CCEEFF"/>
          </w:tcPr>
          <w:p>
            <w:pPr>
              <w:spacing w:after="0"/>
              <w:rPr>
                <w:sz w:val="16"/>
                <w:szCs w:val="16"/>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0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10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360" w:type="dxa"/>
            <w:vAlign w:val="bottom"/>
            <w:gridSpan w:val="4"/>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0000FF"/>
                <w:w w:val="99"/>
              </w:rPr>
              <w:t>22</w:t>
            </w:r>
          </w:p>
        </w:tc>
      </w:tr>
      <w:tr>
        <w:trPr>
          <w:trHeight w:val="21"/>
        </w:trPr>
        <w:tc>
          <w:tcPr>
            <w:tcW w:w="76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7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10120" w:type="dxa"/>
            <w:vAlign w:val="bottom"/>
            <w:tcBorders>
              <w:bottom w:val="single" w:sz="8" w:color="CCEEFF"/>
            </w:tcBorders>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32</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189"/>
        </w:trPr>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10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360" w:type="dxa"/>
            <w:vAlign w:val="bottom"/>
            <w:gridSpan w:val="4"/>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0000FF"/>
                <w:w w:val="99"/>
              </w:rPr>
              <w:t>32</w:t>
            </w:r>
          </w:p>
        </w:tc>
      </w:tr>
      <w:tr>
        <w:trPr>
          <w:trHeight w:val="20"/>
        </w:trPr>
        <w:tc>
          <w:tcPr>
            <w:tcW w:w="76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10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189"/>
        </w:trPr>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0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360" w:type="dxa"/>
            <w:vAlign w:val="bottom"/>
            <w:gridSpan w:val="4"/>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1"/>
        </w:trPr>
        <w:tc>
          <w:tcPr>
            <w:tcW w:w="76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7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10120" w:type="dxa"/>
            <w:vAlign w:val="bottom"/>
            <w:tcBorders>
              <w:bottom w:val="single" w:sz="8" w:color="CCEEFF"/>
            </w:tcBorders>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189"/>
        </w:trPr>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10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360" w:type="dxa"/>
            <w:vAlign w:val="bottom"/>
            <w:gridSpan w:val="4"/>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1"/>
        </w:trPr>
        <w:tc>
          <w:tcPr>
            <w:tcW w:w="76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7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10120" w:type="dxa"/>
            <w:vAlign w:val="bottom"/>
            <w:tcBorders>
              <w:bottom w:val="single" w:sz="8" w:color="CCEEFF"/>
            </w:tcBorders>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189"/>
        </w:trPr>
        <w:tc>
          <w:tcPr>
            <w:tcW w:w="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10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360" w:type="dxa"/>
            <w:vAlign w:val="bottom"/>
            <w:gridSpan w:val="4"/>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0000FF"/>
                <w:w w:val="99"/>
              </w:rPr>
              <w:t>72</w:t>
            </w:r>
          </w:p>
        </w:tc>
      </w:tr>
      <w:tr>
        <w:trPr>
          <w:trHeight w:val="20"/>
        </w:trPr>
        <w:tc>
          <w:tcPr>
            <w:tcW w:w="76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7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101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Exhibits</w:t>
            </w:r>
          </w:p>
        </w:tc>
        <w:tc>
          <w:tcPr>
            <w:tcW w:w="360" w:type="dxa"/>
            <w:vAlign w:val="bottom"/>
            <w:gridSpan w:val="4"/>
            <w:shd w:val="clear" w:color="auto" w:fill="CCEEFF"/>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0000FF"/>
                <w:w w:val="99"/>
              </w:rPr>
              <w:t>73</w:t>
            </w:r>
          </w:p>
        </w:tc>
      </w:tr>
      <w:tr>
        <w:trPr>
          <w:trHeight w:val="1451"/>
        </w:trPr>
        <w:tc>
          <w:tcPr>
            <w:tcW w:w="760" w:type="dxa"/>
            <w:vAlign w:val="bottom"/>
            <w:tcBorders>
              <w:top w:val="single" w:sz="8" w:color="CCEEFF"/>
              <w:bottom w:val="single" w:sz="8" w:color="9A9A9A"/>
            </w:tcBorders>
          </w:tcPr>
          <w:p>
            <w:pPr>
              <w:spacing w:after="0"/>
              <w:rPr>
                <w:sz w:val="24"/>
                <w:szCs w:val="24"/>
                <w:color w:val="auto"/>
              </w:rPr>
            </w:pPr>
          </w:p>
        </w:tc>
        <w:tc>
          <w:tcPr>
            <w:tcW w:w="101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3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8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(Note 1)</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58,868</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409,044</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105,555</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157,937</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16,585</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747,989</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76,542</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87,791</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40,336</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941,045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952,658</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8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49,586</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12,726</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43,430</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17,060</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43,994</w:t>
            </w:r>
          </w:p>
        </w:tc>
      </w:tr>
      <w:tr>
        <w:trPr>
          <w:trHeight w:val="230"/>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28,462</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195,258</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net - long-term</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285,035</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113,572</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long-term</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13,331</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31,830</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639,026</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75"/>
        </w:trPr>
        <w:tc>
          <w:tcPr>
            <w:tcW w:w="8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 200,000 shares authorized, 64,563 and 65,552 shares issued and outstanding</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March 31, 2024 and December 31, 2023, respectively.</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1,238,449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1,263,997</w:t>
            </w:r>
          </w:p>
        </w:tc>
      </w:tr>
      <w:tr>
        <w:trPr>
          <w:trHeight w:val="23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29"/>
        </w:trPr>
        <w:tc>
          <w:tcPr>
            <w:tcW w:w="8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(994,515)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(951,800)</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313,632</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941,045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952,658</w:t>
            </w:r>
          </w:p>
        </w:tc>
      </w:tr>
      <w:tr>
        <w:trPr>
          <w:trHeight w:val="21"/>
        </w:trPr>
        <w:tc>
          <w:tcPr>
            <w:tcW w:w="8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79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169,383</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97,002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86,476</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82,907</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89,814</w:t>
            </w:r>
          </w:p>
        </w:tc>
        <w:tc>
          <w:tcPr>
            <w:tcW w:w="0" w:type="dxa"/>
            <w:vAlign w:val="bottom"/>
          </w:tcPr>
          <w:p>
            <w:pPr>
              <w:spacing w:after="0"/>
              <w:rPr>
                <w:sz w:val="1"/>
                <w:szCs w:val="1"/>
                <w:color w:val="auto"/>
              </w:rPr>
            </w:pPr>
          </w:p>
        </w:tc>
      </w:tr>
      <w:tr>
        <w:trPr>
          <w:trHeight w:val="229"/>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in-process research and development expenses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78,750</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136,350</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210,724</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(127,817)</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0" w:type="dxa"/>
            <w:vAlign w:val="bottom"/>
          </w:tcPr>
          <w:p>
            <w:pPr>
              <w:spacing w:after="0"/>
              <w:rPr>
                <w:sz w:val="1"/>
                <w:szCs w:val="1"/>
                <w:color w:val="auto"/>
              </w:rPr>
            </w:pPr>
          </w:p>
        </w:tc>
      </w:tr>
      <w:tr>
        <w:trPr>
          <w:trHeight w:val="229"/>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(123,586)</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short-term investments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4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32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(0.65)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shares used to compute basic and diluted net loss per share</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65,326</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64,549</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 w:name="page5"/>
    <w:bookmarkEnd w:id="4"/>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March 31,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82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5"/>
                <w:szCs w:val="5"/>
                <w:color w:val="auto"/>
              </w:rPr>
            </w:pPr>
          </w:p>
        </w:tc>
        <w:tc>
          <w:tcPr>
            <w:tcW w:w="138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18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5"/>
                <w:szCs w:val="5"/>
                <w:color w:val="auto"/>
              </w:rPr>
            </w:pPr>
          </w:p>
        </w:tc>
        <w:tc>
          <w:tcPr>
            <w:tcW w:w="1160" w:type="dxa"/>
            <w:vAlign w:val="bottom"/>
            <w:vMerge w:val="restart"/>
          </w:tcPr>
          <w:p>
            <w:pPr>
              <w:jc w:val="center"/>
              <w:ind w:right="128"/>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1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38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65,552</w:t>
            </w:r>
          </w:p>
        </w:tc>
        <w:tc>
          <w:tcPr>
            <w:tcW w:w="1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1,263,997</w:t>
            </w: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(951,800)</w:t>
            </w: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313,632</w:t>
            </w:r>
          </w:p>
        </w:tc>
        <w:tc>
          <w:tcPr>
            <w:tcW w:w="0" w:type="dxa"/>
            <w:vAlign w:val="bottom"/>
          </w:tcPr>
          <w:p>
            <w:pPr>
              <w:spacing w:after="0"/>
              <w:rPr>
                <w:sz w:val="1"/>
                <w:szCs w:val="1"/>
                <w:color w:val="auto"/>
              </w:rPr>
            </w:pPr>
          </w:p>
        </w:tc>
      </w:tr>
      <w:tr>
        <w:trPr>
          <w:trHeight w:val="195"/>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repurchase and retirement of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35"/>
        </w:trPr>
        <w:tc>
          <w:tcPr>
            <w:tcW w:w="382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Vesting of restricted stock units, net of shares withheld for</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0" w:type="dxa"/>
            <w:vAlign w:val="bottom"/>
          </w:tcPr>
          <w:p>
            <w:pPr>
              <w:spacing w:after="0"/>
              <w:rPr>
                <w:sz w:val="1"/>
                <w:szCs w:val="1"/>
                <w:color w:val="auto"/>
              </w:rPr>
            </w:pPr>
          </w:p>
        </w:tc>
      </w:tr>
      <w:tr>
        <w:trPr>
          <w:trHeight w:val="195"/>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21,591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21,591</w:t>
            </w:r>
          </w:p>
        </w:tc>
        <w:tc>
          <w:tcPr>
            <w:tcW w:w="0" w:type="dxa"/>
            <w:vAlign w:val="bottom"/>
          </w:tcPr>
          <w:p>
            <w:pPr>
              <w:spacing w:after="0"/>
              <w:rPr>
                <w:sz w:val="1"/>
                <w:szCs w:val="1"/>
                <w:color w:val="auto"/>
              </w:rPr>
            </w:pPr>
          </w:p>
        </w:tc>
      </w:tr>
      <w:tr>
        <w:trPr>
          <w:trHeight w:val="135"/>
        </w:trPr>
        <w:tc>
          <w:tcPr>
            <w:tcW w:w="382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Purchase of capped call options related to convertible notes</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1"/>
                <w:szCs w:val="11"/>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(15,813)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(15,813)</w:t>
            </w:r>
          </w:p>
        </w:tc>
        <w:tc>
          <w:tcPr>
            <w:tcW w:w="0" w:type="dxa"/>
            <w:vAlign w:val="bottom"/>
          </w:tcPr>
          <w:p>
            <w:pPr>
              <w:spacing w:after="0"/>
              <w:rPr>
                <w:sz w:val="1"/>
                <w:szCs w:val="1"/>
                <w:color w:val="auto"/>
              </w:rPr>
            </w:pPr>
          </w:p>
        </w:tc>
      </w:tr>
      <w:tr>
        <w:trPr>
          <w:trHeight w:val="195"/>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due 2029</w:t>
            </w:r>
          </w:p>
        </w:tc>
        <w:tc>
          <w:tcPr>
            <w:tcW w:w="108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820" w:type="dxa"/>
            <w:vAlign w:val="bottom"/>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Unwind of capped call options related to convertible notes due</w:t>
            </w:r>
          </w:p>
        </w:tc>
        <w:tc>
          <w:tcPr>
            <w:tcW w:w="10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spacing w:after="0"/>
              <w:rPr>
                <w:sz w:val="12"/>
                <w:szCs w:val="12"/>
                <w:color w:val="auto"/>
              </w:rPr>
            </w:pPr>
          </w:p>
        </w:tc>
        <w:tc>
          <w:tcPr>
            <w:tcW w:w="34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203"/>
        </w:trPr>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1080" w:type="dxa"/>
            <w:vAlign w:val="bottom"/>
            <w:gridSpan w:val="2"/>
            <w:vMerge w:val="continue"/>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4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losses</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0" w:type="dxa"/>
            <w:vAlign w:val="bottom"/>
          </w:tcPr>
          <w:p>
            <w:pPr>
              <w:spacing w:after="0"/>
              <w:rPr>
                <w:sz w:val="1"/>
                <w:szCs w:val="1"/>
                <w:color w:val="auto"/>
              </w:rPr>
            </w:pPr>
          </w:p>
        </w:tc>
      </w:tr>
      <w:tr>
        <w:trPr>
          <w:trHeight w:val="196"/>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(42,715)</w:t>
            </w:r>
          </w:p>
        </w:tc>
        <w:tc>
          <w:tcPr>
            <w:tcW w:w="0" w:type="dxa"/>
            <w:vAlign w:val="bottom"/>
          </w:tcPr>
          <w:p>
            <w:pPr>
              <w:spacing w:after="0"/>
              <w:rPr>
                <w:sz w:val="1"/>
                <w:szCs w:val="1"/>
                <w:color w:val="auto"/>
              </w:rPr>
            </w:pPr>
          </w:p>
        </w:tc>
      </w:tr>
      <w:tr>
        <w:trPr>
          <w:trHeight w:val="228"/>
        </w:trPr>
        <w:tc>
          <w:tcPr>
            <w:tcW w:w="38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1,238,449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(994,515)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243,064</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March 31, 2023</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82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3"/>
                <w:szCs w:val="3"/>
                <w:color w:val="auto"/>
              </w:rPr>
            </w:pPr>
          </w:p>
        </w:tc>
        <w:tc>
          <w:tcPr>
            <w:tcW w:w="13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3"/>
                <w:szCs w:val="3"/>
                <w:color w:val="auto"/>
              </w:rPr>
            </w:pPr>
          </w:p>
        </w:tc>
        <w:tc>
          <w:tcPr>
            <w:tcW w:w="118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3"/>
                <w:szCs w:val="3"/>
                <w:color w:val="auto"/>
              </w:rPr>
            </w:pPr>
          </w:p>
        </w:tc>
        <w:tc>
          <w:tcPr>
            <w:tcW w:w="1160" w:type="dxa"/>
            <w:vAlign w:val="bottom"/>
            <w:vMerge w:val="restart"/>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88"/>
        </w:trPr>
        <w:tc>
          <w:tcPr>
            <w:tcW w:w="3820" w:type="dxa"/>
            <w:vAlign w:val="bottom"/>
          </w:tcPr>
          <w:p>
            <w:pPr>
              <w:spacing w:after="0"/>
              <w:rPr>
                <w:sz w:val="7"/>
                <w:szCs w:val="7"/>
                <w:color w:val="auto"/>
              </w:rPr>
            </w:pPr>
          </w:p>
        </w:tc>
        <w:tc>
          <w:tcPr>
            <w:tcW w:w="1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64,513</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65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1,170,888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(729,189)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439,947</w:t>
            </w:r>
          </w:p>
        </w:tc>
        <w:tc>
          <w:tcPr>
            <w:tcW w:w="0" w:type="dxa"/>
            <w:vAlign w:val="bottom"/>
          </w:tcPr>
          <w:p>
            <w:pPr>
              <w:spacing w:after="0"/>
              <w:rPr>
                <w:sz w:val="1"/>
                <w:szCs w:val="1"/>
                <w:color w:val="auto"/>
              </w:rPr>
            </w:pPr>
          </w:p>
        </w:tc>
      </w:tr>
      <w:tr>
        <w:trPr>
          <w:trHeight w:val="195"/>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0" w:type="dxa"/>
            <w:vAlign w:val="bottom"/>
          </w:tcPr>
          <w:p>
            <w:pPr>
              <w:spacing w:after="0"/>
              <w:rPr>
                <w:sz w:val="1"/>
                <w:szCs w:val="1"/>
                <w:color w:val="auto"/>
              </w:rPr>
            </w:pPr>
          </w:p>
        </w:tc>
      </w:tr>
      <w:tr>
        <w:trPr>
          <w:trHeight w:val="142"/>
        </w:trPr>
        <w:tc>
          <w:tcPr>
            <w:tcW w:w="382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Vesting of restricted stock units, net of shares withheld for</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21,496</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gain on short-term investments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0" w:type="dxa"/>
            <w:vAlign w:val="bottom"/>
          </w:tcPr>
          <w:p>
            <w:pPr>
              <w:spacing w:after="0"/>
              <w:rPr>
                <w:sz w:val="1"/>
                <w:szCs w:val="1"/>
                <w:color w:val="auto"/>
              </w:rPr>
            </w:pPr>
          </w:p>
        </w:tc>
      </w:tr>
      <w:tr>
        <w:trPr>
          <w:trHeight w:val="195"/>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losses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(123,873)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(123,873)</w:t>
            </w:r>
          </w:p>
        </w:tc>
        <w:tc>
          <w:tcPr>
            <w:tcW w:w="0" w:type="dxa"/>
            <w:vAlign w:val="bottom"/>
          </w:tcPr>
          <w:p>
            <w:pPr>
              <w:spacing w:after="0"/>
              <w:rPr>
                <w:sz w:val="1"/>
                <w:szCs w:val="1"/>
                <w:color w:val="auto"/>
              </w:rPr>
            </w:pPr>
          </w:p>
        </w:tc>
      </w:tr>
      <w:tr>
        <w:trPr>
          <w:trHeight w:val="203"/>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64,609</w:t>
            </w: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65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1,191,843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(853,062)</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338,753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4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(42,715)</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(123,873)</w:t>
            </w: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193"/>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expected credit losses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Accretion (amortization) of discount or premium on short-term investments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93"/>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21,194</w:t>
            </w: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Acquired in-process research and development expenses</w:t>
            </w:r>
          </w:p>
        </w:tc>
        <w:tc>
          <w:tcPr>
            <w:tcW w:w="2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78,750</w:t>
            </w: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93"/>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22,845</w:t>
            </w:r>
          </w:p>
        </w:tc>
        <w:tc>
          <w:tcPr>
            <w:tcW w:w="0" w:type="dxa"/>
            <w:vAlign w:val="bottom"/>
          </w:tcPr>
          <w:p>
            <w:pPr>
              <w:spacing w:after="0"/>
              <w:rPr>
                <w:sz w:val="1"/>
                <w:szCs w:val="1"/>
                <w:color w:val="auto"/>
              </w:rPr>
            </w:pPr>
          </w:p>
        </w:tc>
      </w:tr>
      <w:tr>
        <w:trPr>
          <w:trHeight w:val="193"/>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(19,916)</w:t>
            </w: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0" w:type="dxa"/>
            <w:vAlign w:val="bottom"/>
          </w:tcPr>
          <w:p>
            <w:pPr>
              <w:spacing w:after="0"/>
              <w:rPr>
                <w:sz w:val="1"/>
                <w:szCs w:val="1"/>
                <w:color w:val="auto"/>
              </w:rPr>
            </w:pPr>
          </w:p>
        </w:tc>
      </w:tr>
      <w:tr>
        <w:trPr>
          <w:trHeight w:val="193"/>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long-term assets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193"/>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Employee-related liabilities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193"/>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Operating leases and other current liabilities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8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(7,996)</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(18,326)</w:t>
            </w: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(84,249)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(109,115)</w:t>
            </w: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maturities and redemptions of short-term investments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83,650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163,110</w:t>
            </w:r>
          </w:p>
        </w:tc>
        <w:tc>
          <w:tcPr>
            <w:tcW w:w="0" w:type="dxa"/>
            <w:vAlign w:val="bottom"/>
          </w:tcPr>
          <w:p>
            <w:pPr>
              <w:spacing w:after="0"/>
              <w:rPr>
                <w:sz w:val="1"/>
                <w:szCs w:val="1"/>
                <w:color w:val="auto"/>
              </w:rPr>
            </w:pP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(8,828)</w:t>
            </w: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Acquisitions, including in-process research and development, net of cash acquired</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(69,496)</w:t>
            </w:r>
          </w:p>
        </w:tc>
        <w:tc>
          <w:tcPr>
            <w:tcW w:w="0" w:type="dxa"/>
            <w:vAlign w:val="bottom"/>
          </w:tcPr>
          <w:p>
            <w:pPr>
              <w:spacing w:after="0"/>
              <w:rPr>
                <w:sz w:val="1"/>
                <w:szCs w:val="1"/>
                <w:color w:val="auto"/>
              </w:rPr>
            </w:pP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intangible assets and strategic investments</w:t>
            </w:r>
          </w:p>
        </w:tc>
        <w:tc>
          <w:tcPr>
            <w:tcW w:w="2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37"/>
        </w:trPr>
        <w:tc>
          <w:tcPr>
            <w:tcW w:w="84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(26,329)</w:t>
            </w:r>
          </w:p>
        </w:tc>
        <w:tc>
          <w:tcPr>
            <w:tcW w:w="0" w:type="dxa"/>
            <w:vAlign w:val="bottom"/>
          </w:tcPr>
          <w:p>
            <w:pPr>
              <w:spacing w:after="0"/>
              <w:rPr>
                <w:sz w:val="1"/>
                <w:szCs w:val="1"/>
                <w:color w:val="auto"/>
              </w:rPr>
            </w:pP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convertible senior notes due 2029, net of $9,400 debt issuance costs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306,850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$246,740 principal amount of convertible senior notes due 2025</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for capped call transactions related to convertible senior notes due 2029</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Company stock plans, net of cash used to settle withholding taxes on vested restricted stock</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0" w:type="dxa"/>
            <w:vAlign w:val="bottom"/>
          </w:tcPr>
          <w:p>
            <w:pPr>
              <w:spacing w:after="0"/>
              <w:rPr>
                <w:sz w:val="1"/>
                <w:szCs w:val="1"/>
                <w:color w:val="auto"/>
              </w:rPr>
            </w:pP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4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0" w:type="dxa"/>
            <w:vAlign w:val="bottom"/>
          </w:tcPr>
          <w:p>
            <w:pPr>
              <w:spacing w:after="0"/>
              <w:rPr>
                <w:sz w:val="1"/>
                <w:szCs w:val="1"/>
                <w:color w:val="auto"/>
              </w:rPr>
            </w:pP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37"/>
        </w:trPr>
        <w:tc>
          <w:tcPr>
            <w:tcW w:w="84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(44,755)</w:t>
            </w:r>
          </w:p>
        </w:tc>
        <w:tc>
          <w:tcPr>
            <w:tcW w:w="0" w:type="dxa"/>
            <w:vAlign w:val="bottom"/>
          </w:tcPr>
          <w:p>
            <w:pPr>
              <w:spacing w:after="0"/>
              <w:rPr>
                <w:sz w:val="1"/>
                <w:szCs w:val="1"/>
                <w:color w:val="auto"/>
              </w:rPr>
            </w:pP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58,868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172,517</w:t>
            </w:r>
          </w:p>
        </w:tc>
        <w:tc>
          <w:tcPr>
            <w:tcW w:w="0" w:type="dxa"/>
            <w:vAlign w:val="bottom"/>
          </w:tcPr>
          <w:p>
            <w:pPr>
              <w:spacing w:after="0"/>
              <w:rPr>
                <w:sz w:val="1"/>
                <w:szCs w:val="1"/>
                <w:color w:val="auto"/>
              </w:rPr>
            </w:pPr>
          </w:p>
        </w:tc>
      </w:tr>
      <w:tr>
        <w:trPr>
          <w:trHeight w:val="37"/>
        </w:trPr>
        <w:tc>
          <w:tcPr>
            <w:tcW w:w="84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127,762</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schedule of non-cash investing and financing activities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operating lease obligations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400" w:type="dxa"/>
            <w:vAlign w:val="bottom"/>
            <w:vMerge w:val="continue"/>
          </w:tcPr>
          <w:p>
            <w:pPr>
              <w:spacing w:after="0"/>
              <w:rPr>
                <w:sz w:val="14"/>
                <w:szCs w:val="14"/>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12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4,071</w:t>
            </w:r>
          </w:p>
        </w:tc>
        <w:tc>
          <w:tcPr>
            <w:tcW w:w="0" w:type="dxa"/>
            <w:vAlign w:val="bottom"/>
          </w:tcPr>
          <w:p>
            <w:pPr>
              <w:spacing w:after="0"/>
              <w:rPr>
                <w:sz w:val="1"/>
                <w:szCs w:val="1"/>
                <w:color w:val="auto"/>
              </w:rPr>
            </w:pPr>
          </w:p>
        </w:tc>
      </w:tr>
      <w:tr>
        <w:trPr>
          <w:trHeight w:val="37"/>
        </w:trPr>
        <w:tc>
          <w:tcPr>
            <w:tcW w:w="84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costs in accounts payable</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6" w:name="page7"/>
    <w:bookmarkEnd w:id="6"/>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Tandem Diabetes Care, Inc. is a medical device company focused on the design, development and commercialization of technology solutions for people living with diabetes. Tandem Diabetes Care, Inc. is incorporated in the state of Delaware. Unless the context requires otherwise, the terms the “Company” or “Tandem” refer to Tandem Diabetes Care, Inc., together with its wholly-owned subsidiaries.</w:t>
      </w:r>
    </w:p>
    <w:p>
      <w:pPr>
        <w:spacing w:after="0" w:line="13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manufactures, sells, and supports insulin pump products that are designed to address the evolving needs and preferences of differentiated segments of the insulin-dependent diabetes market. The Company’s manufacturing, sales and support activities have been principally focused on the t:slim X2 Insulin Delivery System (t:slim X2), which has been the Company’s flagship pump platform and which has an advanced algorithm for managing insulin delivery, and is designed to display continuous glucose monitoring (CGM) sensor information directly on the pump home screen. In February 2024, the Company expanded its pump portfolio with the U.S. launch of Tandem Mobi. The Company’s insulin pump products are compatible with other complementary digital health offerings, such as the mobile application, cloud-based diabetes management applications and the Tandem Device Updater, a Mac- and PC-compatible tool that offers and supports remote updates of the Company’s insulin pump software from a personal computer. The Company’s insulin pump products are generally considered durable medical equipment and have an expected lifespan of at least four years. In addition to insulin pumps, the Company sells single-use products that are used together with the pumps and are replaced every few days, including cartridges for storing and delivering insulin, and infusion sets that connect the insulin pump to a user’s body.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8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and considered necessary for a fair presentation of the financial information contained herein, have been included.</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2023 (Annual Report), from which the balance sheet information herein was derived. The condensed consolidated financial statements include the accounts of Tandem Diabetes Care, Inc. and its wholly-owned subsidiaries. All significant intercompany balances and transactions have been eliminated in consolidation.</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their respective local currency. The Company translates the financial statements of its foreign subsidiaries into U.S. dollars using period-end exchange rates for assets and liabilities and average exchange rates for each period for revenue, costs and expenses. Translation related adjustments are included in other comprehensive income (loss) in the condensed consolidated statements of operations, and in accumulated other comprehensive income (loss) in the stockholders’ equity section of the Company’s condensed consolidated balance sheets. Foreign exchange gains or losses resulting from balances denominated in a currency other than the functional currency are recognized in interest income and other, net in the Company’s condensed consolidated statements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during the three months ended March 31, 2024, as compared to those disclosed in the Company’s 2023 Annual Report.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judgments that affect the reported amounts of assets, liabilities, revenues and expenses and the disclosure of contingent assets and liabilities in the Company’s condensed consolidated financial statements and accompanying notes as of the date of the condensed consolidated financial statements. Some of those judgments can be subjective and complex, and therefore, actual results could differ materially from those estimates under different assumptions or conditions.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grants credit to various customers in the ordinary course of business and is paid directly by customers who use its products, distributors and third-party insurance payors. The Company maintains an allowance for its current estimate of expected credit losses. Provisions for expected credit losses are estimated based on historical experience, assessment of specific customer-related risks, review of outstanding invoices, forecasts about the future, and various other assumptions and estimates that are believed to be reasonable under the circumstances, including changes to credit risks as a result of recessionary concerns, changes in discretionary spending, increased interest rates, and other macroeconomic factors. Uncollectible accounts are written off against the allowance after appropriate collection efforts have been exhausted and when it is deemed that a balance is uncollectible.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Right-of-Use Assets and Liabilities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Operating 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(Commencement Date) based on the present value of lease payments over the lease term. For lease agreements that contain lease and non-lease components, the Company accounts for both of those components as a single lease component.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condensed consolidated balance sheets. Landlord improvement allowances and other similar lease incentives are recorded as a reduction of the right-of-use leased assets, and are amortized on a straight-line basis as a reduction to operating lease costs.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Subject to Amortization</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Finite-lived intangible assets are recorded at cost, net of accumulated amortization and, if applicable, impairment charges. Amortization of finite-lived intangible assets is recognized over their estimated useful lives on a straight-line basis. The Company did not recognize any intangible asset impairment losses during the three months ended March 31, 2024 and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held equity investments totaling $10.1 million in two separate private companies at each of March 31, 2024 and December 31, 2023, each of which represented less than 5% of the outstanding equity of the respective company as of the date of investment. The investments are carried at cost minus impairment, if any, adjusted for changes in observable prices. The Company monitors these investments to evaluate whether any increase or decline in its value has occurred, based on the implied value of recent company financings, public market prices of comparable companies and general market conditions. The investments were included as a component of other long-term assets on the condensed consolidated balance sheets at March 31, 2024 and December 31, 2023.</w:t>
      </w:r>
    </w:p>
    <w:p>
      <w:pPr>
        <w:spacing w:after="0" w:line="1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also held a $22.3 million investment in subordinated convertible notes of one of its private investee companies. The subordinated notes are convertible into equity of the private company upon certain qualifying events, including at their final maturity in 2024. The subordinated convertible notes are non-interest bearing, and are only repayable before conversion into equity upon a change in control of the private company. At March 31, 2024, the $22.3 million subordinated convertible notes investment was included as a component of other long-term assets on the condensed consolidated balance sheet.</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78"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Revenue is generated primarily from sales of insulin pumps, single-use insulin cartridges and infusion sets to individual customers with third-party insurance coverage and through a network of distributors that resell the products to insulin-dependent diabetes customers. The Company recognizes revenue when it transfers control of the promised goods or services to customers in an amount that reflects the consideration to which the Company expects to be entitled in exchange for those goods or services, net of estimated rebates and returns.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Recognition for Arrangements with Multiple Performance Obligations</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considers the individual deliverables in its product offerings to be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typically is upon shipment for our distributor arrangements and upon receipt for sales directly to individual customers. Complementary products, such as t:connect, Tandem Source and the Tandem Device Updater, are considered distinct performance obligations that are satisfied over time, as access and support for these products is provided throughout the typical four-year warranty period of the insulin pumps. Accordingly, revenue related to the complementary products is deferred and recognized over a four-year period. Where there is no standalone value for the complementary product, the Company determines its value by applying the expected cost plus a margin approach and then allocates the residual to the insulin pumps.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Recognition for Tandem Choice Program</w:t>
      </w:r>
    </w:p>
    <w:p>
      <w:pPr>
        <w:spacing w:after="0" w:line="187"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In September 2022, the Company launched a new technology access program referred to as Tandem Choice, that provides eligible, in-warranty t:slim X2 customers in the United States with the flexibility to obtain the newest hardware platform, Tandem Mobi, when it becomes commercially available. Participating customers have the right to purchase the alternative Tandem pump for a fee, referred to as Choice Right. The program was determined to create a material right for which a portion of each t:slim X2 pump transaction price was allocated and deferred.</w:t>
      </w:r>
    </w:p>
    <w:p>
      <w:pPr>
        <w:spacing w:after="0" w:line="13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determined that the ability for a customer to upgrade to a new technology represents a material right because the pricing inherent in such option provides the customer with a discount that is incremental to the range of discounts that would otherwise be granted for the related goods and services to comparable customers. The standalone selling price for the Choice Right was estimated based on the adjusted market assessment approach and contemplated the likelihood that the respective option will be exercised.</w:t>
      </w:r>
    </w:p>
    <w:p>
      <w:pPr>
        <w:spacing w:after="0" w:line="15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From July 1, 2023 to December 31, 2023, the Company reduced the fee for the Tandem Choice program. The change in the program resulted in an increase to the amount of the transaction price allocated to the material right during the limited-time offer period as the Company expected more customers to exercise the right with the lower program fee. The Company began selling Tandem Mobi insulin pumps in the first quarter of 2024 and eligibility for the Tandem Choice program ended in February 2024. Consequently, the Company ceased to allocate and defer a portion of the transaction price for the material right for pumps sold after that date. Eligible customers who purchased a t:slim X2 insulin pump during the program period will have until December 31, 2024 to exercise the option to switch to the Tandem Mobi for a stated fee.</w:t>
      </w:r>
    </w:p>
    <w:p>
      <w:pPr>
        <w:spacing w:after="0" w:line="147"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At March 31, 2024 and December 31, 2023, $31.5 million and $30.6 million, respectively, were allocated to the material right provided to customers who purchased a pump during the Tandem Choice program period. The Company recorded the amounts in current deferred revenue on the condensed consolidated balance sheets.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Rebates</w:t>
      </w:r>
    </w:p>
    <w:p>
      <w:pPr>
        <w:spacing w:after="0" w:line="20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certain rebates on pricing programs with managed care organizations, such as governmental and third-party commercial payors. The Company estimates provisions for rebates based on contractual arrangements, estimates of products sold subject to rebate, known events or trends and channel inventory data. Estimated sales rebates included in other long-term liabilities have an estimated payment due date beyond twelve months from the balance sheet date. Accordingly, actual rebates paid may differ from estimated amounts recorded in the accompanying condensed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9" w:name="page10"/>
    <w:bookmarkEnd w:id="9"/>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total estimated sales rebates were included in the following condensed consolidated balance sheet accounts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700" w:type="dxa"/>
            <w:vAlign w:val="bottom"/>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7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8,260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8,042</w:t>
            </w:r>
          </w:p>
        </w:tc>
      </w:tr>
      <w:tr>
        <w:trPr>
          <w:trHeight w:val="248"/>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sales rebate</w:t>
            </w:r>
          </w:p>
        </w:tc>
        <w:tc>
          <w:tcPr>
            <w:tcW w:w="1700" w:type="dxa"/>
            <w:vAlign w:val="bottom"/>
            <w:tcBorders>
              <w:bottom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8,753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Reserve</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generally provides a four-year warranty on its insulin pumps to end-user customers and may replace any pumps that do not function as intended in accordance with the product specifications within the warranty period. Additionally, the Company offers a six-month warranty on single-use insulin cartridges and infusion sets. Estimated warranty costs are recorded at the time of shipment, and the Company reevaluates the estimate of the warranty reserve obligation at each reporting period. Warranty costs are estimated primarily based on the current expected product replacement cost and expected replacement rates using historical experience. Insulin pumps returned to the Company may be refurbished and redeployed. Experience has shown that initial data for any given pump version or pump platform may be insufficient; therefore, the Company’s process relies on long-term historical averages of existing platforms until sufficient data are available. As actual experience becomes available, the Company uses the data to update the historical averages. The Company may make further adjustments to the warranty reserve when deemed appropriate, giving additional consideration to revised future expectations of performance based on enhanced hardware components, or new features and capabilities that may become available through Tandem Device Updater. Warranty expense is recorded as a component of cost of sales in the condensed consolidated statements of operations.</w:t>
      </w:r>
    </w:p>
    <w:p>
      <w:pPr>
        <w:spacing w:after="0" w:line="15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changes in product warranty liabilities for the three months ended March 31, 2024 and 2023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372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40" w:type="dxa"/>
            <w:vAlign w:val="bottom"/>
            <w:tcBorders>
              <w:bottom w:val="single" w:sz="8" w:color="auto"/>
            </w:tcBorders>
          </w:tcPr>
          <w:p>
            <w:pPr>
              <w:spacing w:after="0"/>
              <w:rPr>
                <w:sz w:val="18"/>
                <w:szCs w:val="18"/>
                <w:color w:val="auto"/>
              </w:rPr>
            </w:pPr>
          </w:p>
        </w:tc>
      </w:tr>
      <w:tr>
        <w:trPr>
          <w:trHeight w:val="211"/>
        </w:trPr>
        <w:tc>
          <w:tcPr>
            <w:tcW w:w="67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Borders>
              <w:bottom w:val="single" w:sz="8" w:color="auto"/>
            </w:tcBorders>
          </w:tcPr>
          <w:p>
            <w:pPr>
              <w:spacing w:after="0"/>
              <w:rPr>
                <w:sz w:val="18"/>
                <w:szCs w:val="18"/>
                <w:color w:val="auto"/>
              </w:rPr>
            </w:pPr>
          </w:p>
        </w:tc>
      </w:tr>
      <w:tr>
        <w:trPr>
          <w:trHeight w:val="225"/>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420" w:type="dxa"/>
            <w:vAlign w:val="bottom"/>
            <w:shd w:val="clear" w:color="auto" w:fill="CCEEFF"/>
          </w:tcPr>
          <w:p>
            <w:pPr>
              <w:jc w:val="right"/>
              <w:ind w:right="123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36,537</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warranties issued during the period</w:t>
            </w:r>
          </w:p>
        </w:tc>
        <w:tc>
          <w:tcPr>
            <w:tcW w:w="1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Decreases in warranty estimates</w:t>
            </w:r>
          </w:p>
        </w:tc>
        <w:tc>
          <w:tcPr>
            <w:tcW w:w="1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8"/>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420" w:type="dxa"/>
            <w:vAlign w:val="bottom"/>
            <w:tcBorders>
              <w:bottom w:val="single" w:sz="8" w:color="auto"/>
            </w:tcBorders>
            <w:shd w:val="clear" w:color="auto" w:fill="CCEEFF"/>
          </w:tcPr>
          <w:p>
            <w:pPr>
              <w:jc w:val="right"/>
              <w:ind w:right="123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total product warranty reserves were included in the following condensed consolidated balance sheet accounts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Pr>
          <w:p>
            <w:pPr>
              <w:spacing w:after="0"/>
              <w:rPr>
                <w:sz w:val="18"/>
                <w:szCs w:val="18"/>
                <w:color w:val="auto"/>
              </w:rPr>
            </w:pPr>
          </w:p>
        </w:tc>
        <w:tc>
          <w:tcPr>
            <w:tcW w:w="19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19,038</w:t>
            </w:r>
          </w:p>
        </w:tc>
      </w:tr>
      <w:tr>
        <w:trPr>
          <w:trHeight w:val="248"/>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warranty reserve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stock incentive plans, and the fair value of the employees’ purchase rights under the Company’s Employee Stock Purchase Plan (ESPP) using the Black-Scholes option pricing model on the date of grant. The Black-Scholes option pricing model requires the use of assumptions about a number of variables, including stock price volatility, expected term, dividend yield and risk-free interest rate (see Note 8, “Stockholders’ Equity”). The fair value of restricted stock unit (RSU) awards issued under the Company’s stock incentive plans that vest solely based on service, is estimated based on the fair market value of the underlying stock on the date of grant. The fair value of RSU awards that vest based upon the Company’s actual performance relative to predefined performance metrics and the awardee’s continuing service through the measurement date is generally estimated based on the fair market value of the underlying stock on the date of grant and the probability that the specified performance criteria will be met. At each reporting period, the Company reassesses the probability of the achievement of such performance metrics. Any expense change resulting from an adjustment in the estimated shares to be released is recorded in the period of adjustment.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income or loss by the weighted average number of common shares outstanding for the period, without consideration for common stock equivalents. Diluted net income (loss) per share reflects the potential dilution that would occur if securities exercisable for or convertible into common stock were exercised for or converted into common stock. Dilutive common share equivalents are comprised of stock options and unvested RSUs outstanding under the Company’s stock incentive plans, potential awards to be granted pursuant to the ESPP, and common stock warrants, each calculated using the treasury stock method, and shares issuable upon conversion of the convertible senior notes calculated using the if-converted method.</w:t>
      </w:r>
    </w:p>
    <w:p>
      <w:pPr>
        <w:spacing w:after="0" w:line="16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there was no difference in the weighted average number of shares used to calculate basic and diluted net loss per share due to the Company’s net loss position for each of the periods presented.</w:t>
      </w:r>
    </w:p>
    <w:p>
      <w:pPr>
        <w:spacing w:after="0" w:line="121"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Potentially dilutive securities outstanding and not included in the calculation of diluted net loss per share (because inclusion would be anti-dilutive) are as follows (in thousands, in common stock equivalent shares):</w:t>
      </w:r>
    </w:p>
    <w:p>
      <w:pPr>
        <w:spacing w:after="0" w:line="8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67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80" w:type="dxa"/>
            <w:vAlign w:val="bottom"/>
            <w:tcBorders>
              <w:bottom w:val="single" w:sz="8" w:color="CCEEFF"/>
            </w:tcBorders>
          </w:tcPr>
          <w:p>
            <w:pPr>
              <w:spacing w:after="0"/>
              <w:rPr>
                <w:sz w:val="18"/>
                <w:szCs w:val="18"/>
                <w:color w:val="auto"/>
              </w:rPr>
            </w:pPr>
          </w:p>
        </w:tc>
        <w:tc>
          <w:tcPr>
            <w:tcW w:w="2180" w:type="dxa"/>
            <w:vAlign w:val="bottom"/>
            <w:tcBorders>
              <w:top w:val="single" w:sz="8" w:color="auto"/>
              <w:bottom w:val="single" w:sz="8" w:color="auto"/>
            </w:tcBorders>
          </w:tcPr>
          <w:p>
            <w:pPr>
              <w:jc w:val="right"/>
              <w:ind w:right="8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180" w:type="dxa"/>
            <w:vAlign w:val="bottom"/>
            <w:tcBorders>
              <w:top w:val="single" w:sz="8" w:color="auto"/>
              <w:bottom w:val="single" w:sz="8" w:color="auto"/>
            </w:tcBorders>
          </w:tcPr>
          <w:p>
            <w:pPr>
              <w:jc w:val="right"/>
              <w:ind w:right="8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granted under the ESPP</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(if-converted)</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23"/>
        </w:trPr>
        <w:tc>
          <w:tcPr>
            <w:tcW w:w="678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5,449</w:t>
            </w:r>
          </w:p>
        </w:tc>
      </w:tr>
      <w:tr>
        <w:trPr>
          <w:trHeight w:val="20"/>
        </w:trPr>
        <w:tc>
          <w:tcPr>
            <w:tcW w:w="67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Short-Term Investments</w:t>
      </w:r>
    </w:p>
    <w:p>
      <w:pPr>
        <w:spacing w:after="0" w:line="20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invests in marketable securities primarily consisting of debt instruments of the U.S. Government, U.S. Government-sponsored enterprises, and financial institutions and corporations with strong credit ratings. The following represents a summary of the estimated fair value of short-term investments at March 31, 2024 and December 31, 2023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At March 31, 2024</w:t>
            </w:r>
          </w:p>
        </w:tc>
        <w:tc>
          <w:tcPr>
            <w:tcW w:w="26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26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5"/>
                <w:szCs w:val="15"/>
                <w:color w:val="auto"/>
              </w:rPr>
            </w:pPr>
          </w:p>
        </w:tc>
        <w:tc>
          <w:tcPr>
            <w:tcW w:w="152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Gain</w:t>
            </w:r>
          </w:p>
        </w:tc>
        <w:tc>
          <w:tcPr>
            <w:tcW w:w="160" w:type="dxa"/>
            <w:vAlign w:val="bottom"/>
          </w:tcPr>
          <w:p>
            <w:pPr>
              <w:spacing w:after="0"/>
              <w:rPr>
                <w:sz w:val="15"/>
                <w:szCs w:val="15"/>
                <w:color w:val="auto"/>
              </w:rPr>
            </w:pPr>
          </w:p>
        </w:tc>
        <w:tc>
          <w:tcPr>
            <w:tcW w:w="154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Loss</w:t>
            </w:r>
          </w:p>
        </w:tc>
        <w:tc>
          <w:tcPr>
            <w:tcW w:w="260" w:type="dxa"/>
            <w:vAlign w:val="bottom"/>
          </w:tcPr>
          <w:p>
            <w:pPr>
              <w:spacing w:after="0"/>
              <w:rPr>
                <w:sz w:val="15"/>
                <w:szCs w:val="15"/>
                <w:color w:val="auto"/>
              </w:rPr>
            </w:pPr>
          </w:p>
        </w:tc>
        <w:tc>
          <w:tcPr>
            <w:tcW w:w="130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U.S. Government-sponsored enterprises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181,208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409,378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At December 31, 2023</w:t>
            </w:r>
          </w:p>
        </w:tc>
        <w:tc>
          <w:tcPr>
            <w:tcW w:w="26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4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24"/>
                <w:szCs w:val="24"/>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260" w:type="dxa"/>
            <w:vAlign w:val="bottom"/>
          </w:tcPr>
          <w:p>
            <w:pPr>
              <w:spacing w:after="0"/>
              <w:rPr>
                <w:sz w:val="24"/>
                <w:szCs w:val="24"/>
                <w:color w:val="auto"/>
              </w:rPr>
            </w:pPr>
          </w:p>
        </w:tc>
        <w:tc>
          <w:tcPr>
            <w:tcW w:w="13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5"/>
                <w:szCs w:val="15"/>
                <w:color w:val="auto"/>
              </w:rPr>
            </w:pPr>
          </w:p>
        </w:tc>
        <w:tc>
          <w:tcPr>
            <w:tcW w:w="152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Gain</w:t>
            </w:r>
          </w:p>
        </w:tc>
        <w:tc>
          <w:tcPr>
            <w:tcW w:w="160" w:type="dxa"/>
            <w:vAlign w:val="bottom"/>
          </w:tcPr>
          <w:p>
            <w:pPr>
              <w:spacing w:after="0"/>
              <w:rPr>
                <w:sz w:val="15"/>
                <w:szCs w:val="15"/>
                <w:color w:val="auto"/>
              </w:rPr>
            </w:pPr>
          </w:p>
        </w:tc>
        <w:tc>
          <w:tcPr>
            <w:tcW w:w="154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Loss</w:t>
            </w:r>
          </w:p>
        </w:tc>
        <w:tc>
          <w:tcPr>
            <w:tcW w:w="260" w:type="dxa"/>
            <w:vAlign w:val="bottom"/>
          </w:tcPr>
          <w:p>
            <w:pPr>
              <w:spacing w:after="0"/>
              <w:rPr>
                <w:sz w:val="15"/>
                <w:szCs w:val="15"/>
                <w:color w:val="auto"/>
              </w:rPr>
            </w:pPr>
          </w:p>
        </w:tc>
        <w:tc>
          <w:tcPr>
            <w:tcW w:w="130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U.S. Government-sponsored enterprises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181,851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408,295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contractual maturities of available-for-sale debt securities as of March 31, 2024, were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Years to Maturity</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46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At March 31, 2024</w:t>
            </w:r>
          </w:p>
        </w:tc>
        <w:tc>
          <w:tcPr>
            <w:tcW w:w="160" w:type="dxa"/>
            <w:vAlign w:val="bottom"/>
          </w:tcPr>
          <w:p>
            <w:pPr>
              <w:spacing w:after="0"/>
              <w:rPr>
                <w:sz w:val="15"/>
                <w:szCs w:val="15"/>
                <w:color w:val="auto"/>
              </w:rPr>
            </w:pPr>
          </w:p>
        </w:tc>
        <w:tc>
          <w:tcPr>
            <w:tcW w:w="150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Within One Year</w:t>
            </w:r>
          </w:p>
        </w:tc>
        <w:tc>
          <w:tcPr>
            <w:tcW w:w="140" w:type="dxa"/>
            <w:vAlign w:val="bottom"/>
          </w:tcPr>
          <w:p>
            <w:pPr>
              <w:spacing w:after="0"/>
              <w:rPr>
                <w:sz w:val="15"/>
                <w:szCs w:val="15"/>
                <w:color w:val="auto"/>
              </w:rPr>
            </w:pPr>
          </w:p>
        </w:tc>
        <w:tc>
          <w:tcPr>
            <w:tcW w:w="15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One to Two Years</w:t>
            </w:r>
          </w:p>
        </w:tc>
        <w:tc>
          <w:tcPr>
            <w:tcW w:w="100" w:type="dxa"/>
            <w:vAlign w:val="bottom"/>
          </w:tcPr>
          <w:p>
            <w:pPr>
              <w:spacing w:after="0"/>
              <w:rPr>
                <w:sz w:val="15"/>
                <w:szCs w:val="15"/>
                <w:color w:val="auto"/>
              </w:rPr>
            </w:pPr>
          </w:p>
        </w:tc>
        <w:tc>
          <w:tcPr>
            <w:tcW w:w="1460" w:type="dxa"/>
            <w:vAlign w:val="bottom"/>
          </w:tcPr>
          <w:p>
            <w:pPr>
              <w:jc w:val="right"/>
              <w:ind w:right="12"/>
              <w:spacing w:after="0" w:line="175" w:lineRule="exact"/>
              <w:rPr>
                <w:sz w:val="20"/>
                <w:szCs w:val="20"/>
                <w:color w:val="auto"/>
              </w:rPr>
            </w:pPr>
            <w:r>
              <w:rPr>
                <w:rFonts w:ascii="Times New Roman" w:cs="Times New Roman" w:eastAsia="Times New Roman" w:hAnsi="Times New Roman"/>
                <w:sz w:val="16"/>
                <w:szCs w:val="16"/>
                <w:b w:val="1"/>
                <w:bCs w:val="1"/>
                <w:color w:val="auto"/>
                <w:w w:val="98"/>
              </w:rPr>
              <w:t>Two to Three Years</w:t>
            </w:r>
          </w:p>
        </w:tc>
        <w:tc>
          <w:tcPr>
            <w:tcW w:w="100" w:type="dxa"/>
            <w:vAlign w:val="bottom"/>
          </w:tcPr>
          <w:p>
            <w:pPr>
              <w:spacing w:after="0"/>
              <w:rPr>
                <w:sz w:val="15"/>
                <w:szCs w:val="15"/>
                <w:color w:val="auto"/>
              </w:rPr>
            </w:pPr>
          </w:p>
        </w:tc>
        <w:tc>
          <w:tcPr>
            <w:tcW w:w="158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Estimated 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Government-sponsored enterprises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180,700</w:t>
            </w:r>
          </w:p>
        </w:tc>
      </w:tr>
      <w:tr>
        <w:trPr>
          <w:trHeight w:val="230"/>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111,236</w:t>
            </w:r>
          </w:p>
        </w:tc>
      </w:tr>
      <w:tr>
        <w:trPr>
          <w:trHeight w:val="230"/>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63,778</w:t>
            </w:r>
          </w:p>
        </w:tc>
      </w:tr>
      <w:tr>
        <w:trPr>
          <w:trHeight w:val="229"/>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53,117</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 has classified all marketable securities, regardless of maturity, as short-term investments based upon the Company’s ability and intent to use any of those marketable securities to satisfy the Company’s liquidity requirements.</w:t>
      </w:r>
    </w:p>
    <w:p>
      <w:pPr>
        <w:spacing w:after="0" w:line="135" w:lineRule="exact"/>
        <w:rPr>
          <w:sz w:val="20"/>
          <w:szCs w:val="20"/>
          <w:color w:val="auto"/>
        </w:rPr>
      </w:pPr>
    </w:p>
    <w:p>
      <w:pPr>
        <w:ind w:right="60" w:firstLine="648"/>
        <w:spacing w:after="0" w:line="273" w:lineRule="auto"/>
        <w:rPr>
          <w:sz w:val="20"/>
          <w:szCs w:val="20"/>
          <w:color w:val="auto"/>
        </w:rPr>
      </w:pPr>
      <w:r>
        <w:rPr>
          <w:rFonts w:ascii="Times New Roman" w:cs="Times New Roman" w:eastAsia="Times New Roman" w:hAnsi="Times New Roman"/>
          <w:sz w:val="17"/>
          <w:szCs w:val="17"/>
          <w:color w:val="auto"/>
        </w:rPr>
        <w:t>The Company reviews the portfolio of available-for-sale debt securities quarterly to determine if any investment is impaired due to changes in credit risk or other potential valuation concerns. Unrealized losses on available-for-sale debt securities at March 31, 2024 were primarily due to an increase in market interest rates after certain debt securities were purchased.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 Based on the credit quality of the available-for-sale debt securities in an unrealized loss position, and the Company’s estimates of future cash flows to be collected from those securities, the Company believes the unrealized losses are not credit losses. Accordingly, the Company did not record an allowance for credit losses related to its available-for-sale debt securities at March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4. Composition of Certain Financial Statement Items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receivable, net consisted of the following at March 31, 2024 and December 31, 2023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9"/>
        </w:trPr>
        <w:tc>
          <w:tcPr>
            <w:tcW w:w="67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520" w:type="dxa"/>
            <w:vAlign w:val="bottom"/>
            <w:shd w:val="clear" w:color="auto" w:fill="CCEEFF"/>
          </w:tcPr>
          <w:p>
            <w:pPr>
              <w:jc w:val="right"/>
              <w:ind w:right="133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97,888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110,453</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w:t>
            </w:r>
          </w:p>
        </w:tc>
      </w:tr>
      <w:tr>
        <w:trPr>
          <w:trHeight w:val="248"/>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520" w:type="dxa"/>
            <w:vAlign w:val="bottom"/>
            <w:tcBorders>
              <w:bottom w:val="single" w:sz="8" w:color="auto"/>
            </w:tcBorders>
            <w:shd w:val="clear" w:color="auto" w:fill="CCEEFF"/>
          </w:tcPr>
          <w:p>
            <w:pPr>
              <w:jc w:val="right"/>
              <w:ind w:right="133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92,965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8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changes in the allowance for estimated accounts receivable credit losses for the three months ended March 31, 2024 and 2023 (in thousands):</w:t>
      </w:r>
    </w:p>
    <w:p>
      <w:pPr>
        <w:spacing w:after="0" w:line="81"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66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8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gridSpan w:val="2"/>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560" w:type="dxa"/>
            <w:vAlign w:val="bottom"/>
            <w:gridSpan w:val="2"/>
            <w:shd w:val="clear" w:color="auto" w:fill="CCEEFF"/>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and adjustments, net of recoveries</w:t>
            </w:r>
          </w:p>
        </w:tc>
        <w:tc>
          <w:tcPr>
            <w:tcW w:w="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23"/>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560" w:type="dxa"/>
            <w:vAlign w:val="bottom"/>
            <w:tcBorders>
              <w:bottom w:val="single" w:sz="8" w:color="auto"/>
            </w:tcBorders>
            <w:gridSpan w:val="2"/>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0" w:type="dxa"/>
            <w:vAlign w:val="bottom"/>
          </w:tcPr>
          <w:p>
            <w:pPr>
              <w:spacing w:after="0"/>
              <w:rPr>
                <w:sz w:val="1"/>
                <w:szCs w:val="1"/>
                <w:color w:val="auto"/>
              </w:rPr>
            </w:pPr>
          </w:p>
        </w:tc>
      </w:tr>
      <w:tr>
        <w:trPr>
          <w:trHeight w:val="21"/>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6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Inventories consisted of the following at March 31, 2024 and December 31, 2023 (in thousands):</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66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42,783</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44,026</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71,128</w:t>
            </w:r>
          </w:p>
        </w:tc>
        <w:tc>
          <w:tcPr>
            <w:tcW w:w="0" w:type="dxa"/>
            <w:vAlign w:val="bottom"/>
          </w:tcPr>
          <w:p>
            <w:pPr>
              <w:spacing w:after="0"/>
              <w:rPr>
                <w:sz w:val="1"/>
                <w:szCs w:val="1"/>
                <w:color w:val="auto"/>
              </w:rPr>
            </w:pPr>
          </w:p>
        </w:tc>
      </w:tr>
      <w:tr>
        <w:trPr>
          <w:trHeight w:val="223"/>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ind w:right="12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153,893</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157,937</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as</w:t>
      </w:r>
    </w:p>
    <w:p>
      <w:pPr>
        <w:spacing w:after="0" w:line="16"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of March 31, 2024 and December 31, 2023, and indicates the fair value hierarchy of the valuation techniques used by the Company to determine such fair value (in thousands):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4"/>
        </w:trPr>
        <w:tc>
          <w:tcPr>
            <w:tcW w:w="4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left="653"/>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52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Pr>
          <w:p>
            <w:pPr>
              <w:spacing w:after="0"/>
              <w:rPr>
                <w:sz w:val="18"/>
                <w:szCs w:val="18"/>
                <w:color w:val="auto"/>
              </w:rPr>
            </w:pPr>
          </w:p>
        </w:tc>
        <w:tc>
          <w:tcPr>
            <w:tcW w:w="12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37,375</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Government-sponsored enterprises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554"/>
        </w:trPr>
        <w:tc>
          <w:tcPr>
            <w:tcW w:w="4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4"/>
        </w:trPr>
        <w:tc>
          <w:tcPr>
            <w:tcW w:w="4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52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Pr>
          <w:p>
            <w:pPr>
              <w:spacing w:after="0"/>
              <w:rPr>
                <w:sz w:val="18"/>
                <w:szCs w:val="18"/>
                <w:color w:val="auto"/>
              </w:rPr>
            </w:pPr>
          </w:p>
        </w:tc>
        <w:tc>
          <w:tcPr>
            <w:tcW w:w="12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48,033</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Government-sponsored enterprises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Supranational bonds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457,077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163,037</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294,040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Generally, cash equivalents include money market funds and investments with a maturity of three months or less from the date of purchase.</w:t>
      </w:r>
    </w:p>
    <w:p>
      <w:pPr>
        <w:spacing w:after="0" w:line="217"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Company’s Level 1 financial instruments, which are in active markets, are valued using unadjusted quoted market prices for identical instruments.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into or out of Level 3 assets during the three months ended March 31, 2024 and 2023, respectively.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w:t>
      </w:r>
    </w:p>
    <w:p>
      <w:pPr>
        <w:spacing w:after="0" w:line="12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Company’s convertible senior notes are carried at amortized cost on the condensed consolidated balance sheets (see Note 7, “Debt”). The Company estimated the fair value of its convertible senior notes based on Level 2 quoted market prices as follows (in thousands):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4"/>
          </w:tcPr>
          <w:p>
            <w:pPr>
              <w:jc w:val="right"/>
              <w:ind w:right="1072"/>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r>
      <w:tr>
        <w:trPr>
          <w:trHeight w:val="211"/>
        </w:trPr>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Pr>
          <w:p>
            <w:pPr>
              <w:spacing w:after="0"/>
              <w:rPr>
                <w:sz w:val="18"/>
                <w:szCs w:val="18"/>
                <w:color w:val="auto"/>
              </w:rPr>
            </w:pPr>
          </w:p>
        </w:tc>
        <w:tc>
          <w:tcPr>
            <w:tcW w:w="18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2025</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271,688</w:t>
            </w:r>
          </w:p>
        </w:tc>
      </w:tr>
      <w:tr>
        <w:trPr>
          <w:trHeight w:val="229"/>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2029</w:t>
            </w:r>
          </w:p>
        </w:tc>
        <w:tc>
          <w:tcPr>
            <w:tcW w:w="3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397,292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outstanding convertible senior notes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436,422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271,688</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Not applicable as no notes were outstanding at this date.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March 2024, the Company repurchased $246.7 million of principal of the Company’s Convertible Senior Notes due 2025 (see Note 7, “Debt”).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0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Company's leases consist of operating leases for general office space, research and development, manufacturing and warehouse facilities, and equipment. These noncancellable operating leases have initial lease terms from two years to thirteen years. Certain leases include an option to renew, with renewal terms that can extend the lease term for additional periods at the Company’s sole discretion. The Company includes the renewal option period in the lease term for those leases reasonably expected to be extended at the time of lease commencement.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Lease Disclosure Information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lease costs recorded in the condensed consolidated statements of operations were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376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00" w:type="dxa"/>
            <w:vAlign w:val="bottom"/>
            <w:tcBorders>
              <w:bottom w:val="single" w:sz="8" w:color="auto"/>
            </w:tcBorders>
          </w:tcPr>
          <w:p>
            <w:pPr>
              <w:spacing w:after="0"/>
              <w:rPr>
                <w:sz w:val="18"/>
                <w:szCs w:val="18"/>
                <w:color w:val="auto"/>
              </w:rPr>
            </w:pPr>
          </w:p>
        </w:tc>
      </w:tr>
      <w:tr>
        <w:trPr>
          <w:trHeight w:val="211"/>
        </w:trPr>
        <w:tc>
          <w:tcPr>
            <w:tcW w:w="67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18"/>
                <w:szCs w:val="18"/>
                <w:color w:val="auto"/>
              </w:rPr>
            </w:pPr>
          </w:p>
        </w:tc>
      </w:tr>
      <w:tr>
        <w:trPr>
          <w:trHeight w:val="225"/>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480" w:type="dxa"/>
            <w:vAlign w:val="bottom"/>
            <w:shd w:val="clear" w:color="auto" w:fill="CCEEFF"/>
          </w:tcPr>
          <w:p>
            <w:pPr>
              <w:jc w:val="right"/>
              <w:ind w:right="129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9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8"/>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1480" w:type="dxa"/>
            <w:vAlign w:val="bottom"/>
            <w:tcBorders>
              <w:bottom w:val="single" w:sz="8" w:color="auto"/>
            </w:tcBorders>
            <w:shd w:val="clear" w:color="auto" w:fill="CCEEFF"/>
          </w:tcPr>
          <w:p>
            <w:pPr>
              <w:jc w:val="right"/>
              <w:ind w:right="129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29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operating lease liabilities at March 31, 2024 were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4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44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17,623</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17,506</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17,771</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7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90,004</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4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170,125</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7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(40,073)</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4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130,052</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47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4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jc w:val="right"/>
              <w:ind w:right="3450"/>
              <w:spacing w:after="0"/>
              <w:rPr>
                <w:sz w:val="20"/>
                <w:szCs w:val="20"/>
                <w:color w:val="auto"/>
              </w:rPr>
            </w:pPr>
            <w:r>
              <w:rPr>
                <w:rFonts w:ascii="Times New Roman" w:cs="Times New Roman" w:eastAsia="Times New Roman" w:hAnsi="Times New Roman"/>
                <w:sz w:val="18"/>
                <w:szCs w:val="18"/>
                <w:color w:val="auto"/>
              </w:rPr>
              <w:t>13</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54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5"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212529"/>
        </w:rPr>
        <w:t>The weighted-average remaining lease term and weighted-average discount rate for operating leases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used to determine operating lease liabilities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5.3 %</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bl>
    <w:p>
      <w:pPr>
        <w:spacing w:after="0" w:line="24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Cash amounts paid included in the measurement of lease liabilities, representing operating cash flows, were $4.7 million and $1.8 million for the three months ended March 31, 2024 and 2023, respectively.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2029</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On March 8, 2024, the Company completed an offering of $316.3 million aggregate principal amount of 1.50% Convertible Senior Notes due 2029 (the 2029 Notes). The proceeds from the issuance of the 2029 Notes were $306.8 million, net of debt issuance costs.</w:t>
      </w:r>
    </w:p>
    <w:p>
      <w:pPr>
        <w:spacing w:after="0" w:line="13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Company used approximately $246.1 million of the net proceeds to repurchase approximately $246.7 million in aggregate principal amount of its Convertible Senior Notes Due 2025 (the 2025 Notes) concurrently with the pricing of the 2029 Notes in privately negotiated transactions.</w:t>
      </w:r>
    </w:p>
    <w:p>
      <w:pPr>
        <w:spacing w:after="0" w:line="121"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Concurrently, the Company also paid $1.3 million of accrued interest due at time of the note repurchase. As a result of the repurchase, the Company recognized a $1.3 million loss on extinguishment of debt in the condensed consolidated statement of operations for the three months ended March 31, 2024. The loss on extinguishment of debt included the unamortized debt issuance costs related to the portion of the 2025 Notes repurchased.</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used $30.0 million of the net proceeds to repurchase shares of the Company’s common stock from certain purchasers of the 2029 Notes at a purchase price equal to the last reported sale price per share of the Company’s common stock on March 5, 2024, which was $27.105 per share. In addition, the Company used $15.8 million of the net proceeds to pay the cost of the capped call transactions (2029 Capped Call Transactions) discussed below.</w:t>
      </w:r>
    </w:p>
    <w:p>
      <w:pPr>
        <w:spacing w:after="0" w:line="15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intends to use the remainder of the net proceeds for general corporate purposes, which may include additional repurchases of the 2025 Notes from time to time, or the repayment at maturity, of the 2025 Notes.</w:t>
      </w:r>
    </w:p>
    <w:p>
      <w:pPr>
        <w:spacing w:after="0" w:line="12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2029 Notes are the Company’s senior unsecured obligations. Interest is payable in cash semi-annually in arrears on March 15 and September 15 of each year beginning on September 15, 2024, at a rate of 1.50% per year. The 2029 Notes mature on March 15, 2029 unless repurchased, redeemed, or converted in accordance with their terms prior to the maturity date.</w:t>
      </w:r>
    </w:p>
    <w:p>
      <w:pPr>
        <w:spacing w:after="0" w:line="135"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The initial conversion rate for the 2029 Notes is 28.9361 shares of common stock per $1,000 principal amount of the 2029 Notes, which is equivalent to an initial conversion price of approximately $34.56 per share of the Company’s common stock (2029 Notes Conversion Price). The conversion rate is subject to customary adjustments for certain events as described in the indenture governing the 2029 Notes.</w:t>
      </w:r>
    </w:p>
    <w:p>
      <w:pPr>
        <w:spacing w:after="0" w:line="14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may not redeem the 2029 Notes prior to March 22, 2027. The Company has the option to redeem for cash all or any portion of the 2029 Notes on or after March 22, 2027 if the last reported sale price of the Company’s common stock has been at least 130% of the 2029 Notes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2029 Notes to be redeemed, plus accrued and unpaid interest. No sinking fund is provided for the 2029 Notes.</w:t>
      </w:r>
    </w:p>
    <w:p>
      <w:pPr>
        <w:spacing w:after="0" w:line="14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Holders of the 2029 Notes may convert all or a portion of their 2029 Notes at their option prior to December 15, 2028, in multiples of $1,000 principal amounts, only under the following circumstances:</w:t>
      </w:r>
    </w:p>
    <w:p>
      <w:pPr>
        <w:spacing w:after="0" w:line="364" w:lineRule="exact"/>
        <w:rPr>
          <w:sz w:val="20"/>
          <w:szCs w:val="20"/>
          <w:color w:val="auto"/>
        </w:rPr>
      </w:pPr>
    </w:p>
    <w:p>
      <w:pPr>
        <w:ind w:left="1300" w:right="240" w:hanging="482"/>
        <w:spacing w:after="0" w:line="261"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quarter ending on June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2029 Notes Conversion Price on each applicable trading day;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6" w:name="page17"/>
    <w:bookmarkEnd w:id="16"/>
    <w:p>
      <w:pPr>
        <w:jc w:val="both"/>
        <w:ind w:left="1300" w:right="120" w:hanging="482"/>
        <w:spacing w:after="0" w:line="266"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(the measurement period) in which the trading price per $1,000 principal amount of the 2029 Notes for each trading day of the measurement period was less than 98% of the product of the last reported sale price of the Company’s common stock and the applicable conversion rate of the 2029 Notes on such trading day;</w:t>
      </w:r>
    </w:p>
    <w:p>
      <w:pPr>
        <w:spacing w:after="0" w:line="202" w:lineRule="exact"/>
        <w:rPr>
          <w:rFonts w:ascii="Times New Roman" w:cs="Times New Roman" w:eastAsia="Times New Roman" w:hAnsi="Times New Roman"/>
          <w:sz w:val="18"/>
          <w:szCs w:val="18"/>
          <w:color w:val="auto"/>
        </w:rPr>
      </w:pPr>
    </w:p>
    <w:p>
      <w:pPr>
        <w:ind w:left="1300" w:right="60" w:hanging="482"/>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2029 Notes for redemption, at any time before the close of business on the scheduled trading day immediately preceding the redemption date, but only with respect to the 2029 Notes called (or deemed called) for redemption; or</w:t>
      </w:r>
    </w:p>
    <w:p>
      <w:pPr>
        <w:spacing w:after="0" w:line="188"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18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or after December 15, 2028, until the close of business on the second scheduled trading day immediately preceding the maturity date, holders may convert their 2029 Notes, in integral multiples of $1,000 principal amount,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 governing the 2029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2025</w:t>
      </w:r>
    </w:p>
    <w:p>
      <w:pPr>
        <w:spacing w:after="0" w:line="20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May 2020, the Company completed an offering of $287.5 million aggregate principal amount of 1.50% Convertible Senior Notes due 2025 (the 2025 Notes). The proceeds from the issuance of the Notes were $244.6 million, net of debt issuance costs and cash used to pay the cost of the capped call transactions (Capped Call Transactions) discussed below.</w:t>
      </w:r>
    </w:p>
    <w:p>
      <w:pPr>
        <w:spacing w:after="0" w:line="13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March 2024, the Company repurchased for cash $246.7 million in aggregate principal amount of the 2025 Notes, concurrently with the pricing of the 2029 Notes in privately negotiated transactions.</w:t>
      </w:r>
    </w:p>
    <w:p>
      <w:pPr>
        <w:spacing w:after="0" w:line="121"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The 2025 Notes are the Company’s senior unsecured obligations. Interest is payable in cash semi-annually in arrears beginning on November 1, 2020 at a rate of 1.50% per year. The 2025 Notes mature on May 1, 2025 unless repurchased, redeemed, or converted in accordance with their terms before the maturity date.</w:t>
      </w:r>
    </w:p>
    <w:p>
      <w:pPr>
        <w:spacing w:after="0" w:line="203" w:lineRule="exact"/>
        <w:rPr>
          <w:sz w:val="20"/>
          <w:szCs w:val="20"/>
          <w:color w:val="auto"/>
        </w:rPr>
      </w:pPr>
    </w:p>
    <w:p>
      <w:pPr>
        <w:ind w:right="140" w:firstLine="810"/>
        <w:spacing w:after="0" w:line="261" w:lineRule="auto"/>
        <w:rPr>
          <w:sz w:val="20"/>
          <w:szCs w:val="20"/>
          <w:color w:val="auto"/>
        </w:rPr>
      </w:pPr>
      <w:r>
        <w:rPr>
          <w:rFonts w:ascii="Times New Roman" w:cs="Times New Roman" w:eastAsia="Times New Roman" w:hAnsi="Times New Roman"/>
          <w:sz w:val="18"/>
          <w:szCs w:val="18"/>
          <w:color w:val="auto"/>
        </w:rPr>
        <w:t>The 2025 Notes are convertible into cash, shares of the Company’s common stock, or a combination of cash and shares of the Company’s common stock, at the Company’s election, at an initial conversion rate of 8.8836 shares of common stock per $1,000 principal amount of the 2025 Notes, which is equivalent to an initial conversion price of $112.57 (2025 Notes Conversion Price) per share of the Company’s common stock. The conversion rate is subject to customary adjustments for certain events as described in the indenture governing the 2025 Notes.</w:t>
      </w:r>
    </w:p>
    <w:p>
      <w:pPr>
        <w:spacing w:after="0" w:line="207" w:lineRule="exact"/>
        <w:rPr>
          <w:sz w:val="20"/>
          <w:szCs w:val="20"/>
          <w:color w:val="auto"/>
        </w:rPr>
      </w:pPr>
    </w:p>
    <w:p>
      <w:pPr>
        <w:ind w:firstLine="810"/>
        <w:spacing w:after="0" w:line="258" w:lineRule="auto"/>
        <w:rPr>
          <w:sz w:val="20"/>
          <w:szCs w:val="20"/>
          <w:color w:val="auto"/>
        </w:rPr>
      </w:pPr>
      <w:r>
        <w:rPr>
          <w:rFonts w:ascii="Times New Roman" w:cs="Times New Roman" w:eastAsia="Times New Roman" w:hAnsi="Times New Roman"/>
          <w:sz w:val="18"/>
          <w:szCs w:val="18"/>
          <w:color w:val="auto"/>
        </w:rPr>
        <w:t>The Company has the option to redeem for cash all or any portion of the 2025 Notes on or after May 6, 2023 if the last reported sale price of the Company’s common stock has been at least 130% of the 2025 Notes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2025 Notes to be redeemed, plus accrued and unpaid interest. No sinking fund is provided for the 2025 Notes.</w:t>
      </w:r>
    </w:p>
    <w:p>
      <w:pPr>
        <w:spacing w:after="0" w:line="210" w:lineRule="exact"/>
        <w:rPr>
          <w:sz w:val="20"/>
          <w:szCs w:val="20"/>
          <w:color w:val="auto"/>
        </w:rPr>
      </w:pPr>
    </w:p>
    <w:p>
      <w:pPr>
        <w:ind w:right="360" w:firstLine="810"/>
        <w:spacing w:after="0" w:line="282" w:lineRule="auto"/>
        <w:rPr>
          <w:sz w:val="20"/>
          <w:szCs w:val="20"/>
          <w:color w:val="auto"/>
        </w:rPr>
      </w:pPr>
      <w:r>
        <w:rPr>
          <w:rFonts w:ascii="Times New Roman" w:cs="Times New Roman" w:eastAsia="Times New Roman" w:hAnsi="Times New Roman"/>
          <w:sz w:val="18"/>
          <w:szCs w:val="18"/>
          <w:color w:val="auto"/>
        </w:rPr>
        <w:t>Holders of the 2025 Notes may convert all or a portion of their 2025 Notes at their option before November 1, 2024, in multiples of $1,000 principal amounts, only under the following circumstances:</w:t>
      </w:r>
    </w:p>
    <w:p>
      <w:pPr>
        <w:spacing w:after="0" w:line="189" w:lineRule="exact"/>
        <w:rPr>
          <w:sz w:val="20"/>
          <w:szCs w:val="20"/>
          <w:color w:val="auto"/>
        </w:rPr>
      </w:pPr>
    </w:p>
    <w:p>
      <w:pPr>
        <w:ind w:left="1300" w:right="80" w:hanging="482"/>
        <w:spacing w:after="0" w:line="266"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the Company’s common stock for at least 20 trading days (whether or not consecutive) during the period of 30 consecutive trading days ending on the last trading day of the immediately preceding calendar quarter is greater than or equal to 130% of the applicable conversion price of the 2025 Notes on each such trading day;</w:t>
      </w:r>
    </w:p>
    <w:p>
      <w:pPr>
        <w:spacing w:after="0" w:line="202" w:lineRule="exact"/>
        <w:rPr>
          <w:rFonts w:ascii="Times New Roman" w:cs="Times New Roman" w:eastAsia="Times New Roman" w:hAnsi="Times New Roman"/>
          <w:sz w:val="18"/>
          <w:szCs w:val="18"/>
          <w:color w:val="auto"/>
        </w:rPr>
      </w:pPr>
    </w:p>
    <w:p>
      <w:pPr>
        <w:ind w:left="1300" w:right="40" w:hanging="482"/>
        <w:spacing w:after="0" w:line="266"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the trading price per $1,000 principal amount of the 2025 Notes for each day of that five consecutive trading day period was less than 98% of the product of the last reported sale price of the Company’s common stock and the applicable conversion rate of the 2025 Notes on such trading day;</w:t>
      </w:r>
    </w:p>
    <w:p>
      <w:pPr>
        <w:spacing w:after="0" w:line="202" w:lineRule="exact"/>
        <w:rPr>
          <w:rFonts w:ascii="Times New Roman" w:cs="Times New Roman" w:eastAsia="Times New Roman" w:hAnsi="Times New Roman"/>
          <w:sz w:val="18"/>
          <w:szCs w:val="18"/>
          <w:color w:val="auto"/>
        </w:rPr>
      </w:pPr>
    </w:p>
    <w:p>
      <w:pPr>
        <w:ind w:left="1300" w:right="120" w:hanging="482"/>
        <w:spacing w:after="0" w:line="282"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2025 Notes for redemption, at any time prior to the close of business on the scheduled trading day immediately preceding the redemption date; or</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0" w:right="379" w:bottom="1440" w:gutter="0" w:footer="0" w:header="0"/>
        </w:sectPr>
      </w:pPr>
    </w:p>
    <w:bookmarkStart w:id="17" w:name="page18"/>
    <w:bookmarkEnd w:id="17"/>
    <w:p>
      <w:pPr>
        <w:ind w:left="1300" w:hanging="482"/>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18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or after November 1, 2024, until the close of business on the second scheduled trading day immediately preceding the maturity date, holders may convert their Notes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 governing the 2025 Notes.</w:t>
      </w:r>
    </w:p>
    <w:p>
      <w:pPr>
        <w:spacing w:after="0" w:line="15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Holders of the 2025 Notes who convert in connection with a make-whole fundamental change or in connection with a redemption are entitled to an increase in the conversion rate. Additionally, in the event of a fundamental change, holders of the 2025 Notes may require us to repurchase all or a portion of the 2025 Notes at a price equal to 100% of the principal amount of the Notes, plus any accrued and unpaid interest.</w:t>
      </w:r>
    </w:p>
    <w:p>
      <w:pPr>
        <w:spacing w:after="0" w:line="13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net carrying amount of the Company’s convertible senior notes on the condensed consolidated balance sheets consisted of the following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2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28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2025</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r>
      <w:tr>
        <w:trPr>
          <w:trHeight w:val="23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2029</w:t>
            </w:r>
          </w:p>
        </w:tc>
        <w:tc>
          <w:tcPr>
            <w:tcW w:w="2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316,250</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amount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r>
      <w:tr>
        <w:trPr>
          <w:trHeight w:val="23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(9,513)</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w:t>
            </w:r>
          </w:p>
        </w:tc>
      </w:tr>
      <w:tr>
        <w:trPr>
          <w:trHeight w:val="223"/>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carrying amount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347,497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285,035</w:t>
            </w:r>
          </w:p>
        </w:tc>
      </w:tr>
      <w:tr>
        <w:trPr>
          <w:trHeight w:val="21"/>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applicable as no notes were outstanding at this date.</w:t>
      </w:r>
    </w:p>
    <w:p>
      <w:pPr>
        <w:spacing w:after="0" w:line="18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2025 Notes will have a dilutive effect to the extent the average market price per share of common stock for a given reporting period exceeds the conversion price of $112.57. The 2029 Notes will have a dilutive effect to the extent the average market price per share of common stock for a given reporting period exceeds the conversion price of $34.56 per share.</w:t>
      </w:r>
    </w:p>
    <w:p>
      <w:pPr>
        <w:spacing w:after="0" w:line="13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if-converted value of the 2025 Notes did not exceed the principal amount. As of March 31, 2024, the if-converted value of the 2029 Notes exceeded the principal amount by $7.8 million.</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effective interest rates for each of our convertible senior notes for the periods shown: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Borders>
              <w:bottom w:val="single" w:sz="8" w:color="CFF0FC"/>
            </w:tcBorders>
          </w:tcPr>
          <w:p>
            <w:pPr>
              <w:spacing w:after="0"/>
              <w:rPr>
                <w:sz w:val="18"/>
                <w:szCs w:val="18"/>
                <w:color w:val="auto"/>
              </w:rPr>
            </w:pPr>
          </w:p>
        </w:tc>
        <w:tc>
          <w:tcPr>
            <w:tcW w:w="1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1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15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r>
      <w:tr>
        <w:trPr>
          <w:trHeight w:val="22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2025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2.2 %</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8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2029</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2.1 %</w:t>
            </w:r>
          </w:p>
        </w:tc>
        <w:tc>
          <w:tcPr>
            <w:tcW w:w="10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applicable as no notes were outstanding at this date.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interest expense related to the Notes recognized for the three March 31, 2024, and 2023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bottom w:val="single" w:sz="8" w:color="auto"/>
            </w:tcBorders>
          </w:tcPr>
          <w:p>
            <w:pPr>
              <w:spacing w:after="0"/>
              <w:rPr>
                <w:sz w:val="18"/>
                <w:szCs w:val="18"/>
                <w:color w:val="auto"/>
              </w:rPr>
            </w:pPr>
          </w:p>
        </w:tc>
      </w:tr>
      <w:tr>
        <w:trPr>
          <w:trHeight w:val="211"/>
        </w:trPr>
        <w:tc>
          <w:tcPr>
            <w:tcW w:w="74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24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30"/>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48"/>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 expense</w:t>
            </w:r>
          </w:p>
        </w:tc>
        <w:tc>
          <w:tcPr>
            <w:tcW w:w="1240" w:type="dxa"/>
            <w:vAlign w:val="bottom"/>
            <w:tcBorders>
              <w:bottom w:val="single" w:sz="8" w:color="auto"/>
            </w:tcBorders>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2029 Capped Call Transactions</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2029 Notes, the Company entered into Capped Call Transactions in March 2024 with certain counterparties at a net cost of $15.8 million (2029 Capped Call Transactions). The 2029 Capped Call Transactions are expected generally to reduce potential dilution to the Common Stock upon any conversion of the 2029 Notes and/or offset any cash payments the Company is required to make in excess of the principal amount of converted 2029 Notes, as the case may be, with such reduction and/or offset subject to a cap based on a cap price initially equal to $42.0128 per share, and is subject to certain adjustments under the terms of the 2029 Capped Call Transactions.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Capped Call Transactions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2025 Notes, the Company entered into Capped Call Transactions in May 2020 with certain counterparties at a net cost of $34.1 million (2025 Capped Call Transactions). The 2025 Capped Call Transactions are expected generally to reduce potential dilution to the Common Stock upon any conversion of the 2025 Notes and/or offset any cash payments the Company is required to make in excess of the principal amount of converted 2025 Notes, as the case may be, with such reduction or offset subject to a cap. The cap price of the 2025 Capped Call Transactions is initially $173.18 per share of the Company’s common stock, and is subject to certain adjustments under the terms of the 2025 Capped Call Transactions.</w:t>
      </w:r>
    </w:p>
    <w:p>
      <w:pPr>
        <w:spacing w:after="0" w:line="21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repurchase of certain 2025 Notes, the Company entered into unwind agreements with the existing option counterparties on March 5, 2024 to terminate a portion of the existing 2025 Capped Call Transactions in a notional amount corresponding to the amount of 2025 Notes repurchased (the Unwind Transactions). In connection with the Unwind Transactions, the Company received $0.2 million in cash as a termination payment in respect of the portion of the existing 2025 Capped Call Transactions that were unwound. The amount received was based generally on the termination values of the unwound portions of the existing 2025 Capped Call Transactions.</w:t>
      </w:r>
    </w:p>
    <w:p>
      <w:pPr>
        <w:spacing w:after="0" w:line="210" w:lineRule="exact"/>
        <w:rPr>
          <w:sz w:val="20"/>
          <w:szCs w:val="20"/>
          <w:color w:val="auto"/>
        </w:rPr>
      </w:pPr>
    </w:p>
    <w:p>
      <w:pPr>
        <w:jc w:val="both"/>
        <w:ind w:right="400" w:firstLine="648"/>
        <w:spacing w:after="0" w:line="261" w:lineRule="auto"/>
        <w:rPr>
          <w:sz w:val="20"/>
          <w:szCs w:val="20"/>
          <w:color w:val="auto"/>
        </w:rPr>
      </w:pPr>
      <w:r>
        <w:rPr>
          <w:rFonts w:ascii="Times New Roman" w:cs="Times New Roman" w:eastAsia="Times New Roman" w:hAnsi="Times New Roman"/>
          <w:sz w:val="18"/>
          <w:szCs w:val="18"/>
          <w:color w:val="auto"/>
        </w:rPr>
        <w:t>For accounting purposes, each of the capped call transactions described above are separate transactions, and not part of the terms of the 2029 Notes or the 2025 Notes. As these transactions met certain criteria under the applicable accounting guidance, each of the capped call transactions were recorded in stockholders' equity and were not accounted for as derivatives. The cost of the transactions was recorded as a reduction of the Company’s additional paid-in capital in the Company’s condensed consolidated balance sheet and will not be remeasured.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tc>
        <w:tc>
          <w:tcPr>
            <w:tcW w:w="1320" w:type="dxa"/>
            <w:vAlign w:val="bottom"/>
          </w:tcPr>
          <w:p>
            <w:pPr>
              <w:spacing w:after="0"/>
              <w:rPr>
                <w:sz w:val="20"/>
                <w:szCs w:val="20"/>
                <w:color w:val="auto"/>
              </w:rPr>
            </w:pPr>
          </w:p>
        </w:tc>
      </w:tr>
      <w:tr>
        <w:trPr>
          <w:trHeight w:val="405"/>
        </w:trPr>
        <w:tc>
          <w:tcPr>
            <w:tcW w:w="9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tc>
        <w:tc>
          <w:tcPr>
            <w:tcW w:w="1320" w:type="dxa"/>
            <w:vAlign w:val="bottom"/>
          </w:tcPr>
          <w:p>
            <w:pPr>
              <w:spacing w:after="0"/>
              <w:rPr>
                <w:sz w:val="24"/>
                <w:szCs w:val="24"/>
                <w:color w:val="auto"/>
              </w:rPr>
            </w:pPr>
          </w:p>
        </w:tc>
      </w:tr>
      <w:tr>
        <w:trPr>
          <w:trHeight w:val="391"/>
        </w:trPr>
        <w:tc>
          <w:tcPr>
            <w:tcW w:w="9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shares of the Company's common stock were reserved for future issuance at March 31, 2024 (in thousands):</w:t>
            </w:r>
          </w:p>
        </w:tc>
        <w:tc>
          <w:tcPr>
            <w:tcW w:w="1320" w:type="dxa"/>
            <w:vAlign w:val="bottom"/>
          </w:tcPr>
          <w:p>
            <w:pPr>
              <w:spacing w:after="0"/>
              <w:rPr>
                <w:sz w:val="24"/>
                <w:szCs w:val="24"/>
                <w:color w:val="auto"/>
              </w:rPr>
            </w:pPr>
          </w:p>
        </w:tc>
      </w:tr>
      <w:tr>
        <w:trPr>
          <w:trHeight w:val="121"/>
        </w:trPr>
        <w:tc>
          <w:tcPr>
            <w:tcW w:w="992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issuance upon conversion of Convertible Senior Notes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9,513</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underlying outstanding warrants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underlying outstanding stock options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underlying unvested restricted stock units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authorized for issuance pursuant to awards granted under the ESPP</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authorized for future equity award grants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48"/>
        </w:trPr>
        <w:tc>
          <w:tcPr>
            <w:tcW w:w="9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17,668</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Warrants outstanding to purchase shares of the Company's common stock as of March 31, 2024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Issue Date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Exercise Price Per</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 of Warrants Outstanding</w:t>
            </w:r>
          </w:p>
        </w:tc>
        <w:tc>
          <w:tcPr>
            <w:tcW w:w="0" w:type="dxa"/>
            <w:vAlign w:val="bottom"/>
          </w:tcPr>
          <w:p>
            <w:pPr>
              <w:spacing w:after="0"/>
              <w:rPr>
                <w:sz w:val="1"/>
                <w:szCs w:val="1"/>
                <w:color w:val="auto"/>
              </w:rPr>
            </w:pPr>
          </w:p>
        </w:tc>
      </w:tr>
      <w:tr>
        <w:trPr>
          <w:trHeight w:val="214"/>
        </w:trPr>
        <w:tc>
          <w:tcPr>
            <w:tcW w:w="5080" w:type="dxa"/>
            <w:vAlign w:val="bottom"/>
            <w:gridSpan w:val="2"/>
            <w:vMerge w:val="continue"/>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3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2017</w:t>
            </w: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193,788</w:t>
            </w:r>
          </w:p>
        </w:tc>
        <w:tc>
          <w:tcPr>
            <w:tcW w:w="120" w:type="dxa"/>
            <w:vAlign w:val="bottom"/>
            <w:tcBorders>
              <w:top w:val="single" w:sz="8" w:color="CFF0FC"/>
            </w:tcBorders>
            <w:shd w:val="clear" w:color="auto" w:fill="CFF0FC"/>
          </w:tcPr>
          <w:p>
            <w:pPr>
              <w:spacing w:after="0"/>
              <w:rPr>
                <w:sz w:val="19"/>
                <w:szCs w:val="19"/>
                <w:color w:val="auto"/>
              </w:rPr>
            </w:pPr>
          </w:p>
        </w:tc>
        <w:tc>
          <w:tcPr>
            <w:tcW w:w="32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2027</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warrant allows the holder to purchase one share of common stock at the per share exercise price of the warrant.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20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May 2023, the Company’s stockholders approved the 2023 Long-Term Incentive Plan (2023 Plan), under which 2,602,184 shares of common stock were initially reserved for issuance. Under the 2023 Plan, the Company may grant stock options, stock appreciation rights, restricted stock and restricted stock units to individuals who are then employees, officers, directors or consultants of the Company. The 2023 Plan replaced the Company’s Amended and Restated 2013 Stock Incentive Plan (2013 Plan), and no further equity awards will be granted under the 2013 Plan.</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stock-based compensation expense included in the condensed consolidated statements of operations for all stock-based compensation arrangements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372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40" w:type="dxa"/>
            <w:vAlign w:val="bottom"/>
            <w:tcBorders>
              <w:bottom w:val="single" w:sz="8" w:color="auto"/>
            </w:tcBorders>
          </w:tcPr>
          <w:p>
            <w:pPr>
              <w:spacing w:after="0"/>
              <w:rPr>
                <w:sz w:val="18"/>
                <w:szCs w:val="18"/>
                <w:color w:val="auto"/>
              </w:rPr>
            </w:pPr>
          </w:p>
        </w:tc>
      </w:tr>
      <w:tr>
        <w:trPr>
          <w:trHeight w:val="211"/>
        </w:trPr>
        <w:tc>
          <w:tcPr>
            <w:tcW w:w="67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Borders>
              <w:bottom w:val="single" w:sz="8" w:color="auto"/>
            </w:tcBorders>
          </w:tcPr>
          <w:p>
            <w:pPr>
              <w:spacing w:after="0"/>
              <w:rPr>
                <w:sz w:val="18"/>
                <w:szCs w:val="18"/>
                <w:color w:val="auto"/>
              </w:rPr>
            </w:pPr>
          </w:p>
        </w:tc>
      </w:tr>
      <w:tr>
        <w:trPr>
          <w:trHeight w:val="225"/>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20" w:type="dxa"/>
            <w:vAlign w:val="bottom"/>
            <w:shd w:val="clear" w:color="auto" w:fill="CCEEFF"/>
          </w:tcPr>
          <w:p>
            <w:pPr>
              <w:jc w:val="right"/>
              <w:ind w:right="123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r>
      <w:tr>
        <w:trPr>
          <w:trHeight w:val="22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20" w:type="dxa"/>
            <w:vAlign w:val="bottom"/>
            <w:tcBorders>
              <w:bottom w:val="single" w:sz="8" w:color="auto"/>
            </w:tcBorders>
          </w:tcPr>
          <w:p>
            <w:pPr>
              <w:jc w:val="right"/>
              <w:ind w:right="123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21,194</w:t>
            </w:r>
          </w:p>
        </w:tc>
      </w:tr>
      <w:tr>
        <w:trPr>
          <w:trHeight w:val="21"/>
        </w:trPr>
        <w:tc>
          <w:tcPr>
            <w:tcW w:w="67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total stock-based compensation expense capitalized as part of the cost of the Company’s inventories was $1.5 million at March 31, 2024, and $2.0 million at December 31, 2023.</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stock units (RSUs) have a grant value equal to the closing price of the Company’s common stock on the award date.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number of RSUs granted and the respective weighted average grant date fair value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366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0" w:type="dxa"/>
            <w:vAlign w:val="bottom"/>
            <w:tcBorders>
              <w:bottom w:val="single" w:sz="8" w:color="auto"/>
            </w:tcBorders>
          </w:tcPr>
          <w:p>
            <w:pPr>
              <w:spacing w:after="0"/>
              <w:rPr>
                <w:sz w:val="18"/>
                <w:szCs w:val="18"/>
                <w:color w:val="auto"/>
              </w:rPr>
            </w:pPr>
          </w:p>
        </w:tc>
      </w:tr>
      <w:tr>
        <w:trPr>
          <w:trHeight w:val="211"/>
        </w:trPr>
        <w:tc>
          <w:tcPr>
            <w:tcW w:w="678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0" w:type="dxa"/>
            <w:vAlign w:val="bottom"/>
            <w:tcBorders>
              <w:bottom w:val="single" w:sz="8" w:color="auto"/>
            </w:tcBorders>
          </w:tcPr>
          <w:p>
            <w:pPr>
              <w:spacing w:after="0"/>
              <w:rPr>
                <w:sz w:val="18"/>
                <w:szCs w:val="18"/>
                <w:color w:val="auto"/>
              </w:rPr>
            </w:pPr>
          </w:p>
        </w:tc>
      </w:tr>
      <w:tr>
        <w:trPr>
          <w:trHeight w:val="225"/>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358,059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154,146</w:t>
            </w:r>
          </w:p>
        </w:tc>
      </w:t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380" w:type="dxa"/>
            <w:vAlign w:val="bottom"/>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Pr>
          <w:p>
            <w:pPr>
              <w:spacing w:after="0"/>
              <w:rPr>
                <w:sz w:val="20"/>
                <w:szCs w:val="20"/>
                <w:color w:val="auto"/>
              </w:rPr>
            </w:pPr>
          </w:p>
        </w:tc>
        <w:tc>
          <w:tcPr>
            <w:tcW w:w="1380" w:type="dxa"/>
            <w:vAlign w:val="bottom"/>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w:t>
            </w: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Benefits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401(k) Plan</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401(k) plan for employees in the United States who are at least 18 years of age. Employees are eligible to participate in the plan beginning on the first day of the calendar month following their date of hire. Unless they affirmatively elect otherwise, employees are automatically enrolled in the plan following 30 days from date of hire or entry date. Under the terms of the plan, employees may make voluntary contributions as a percent of compensation and the Company may elect to match a discretionary percentage of employee contributions.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0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the Company recognized income tax expense of $3.2 million on a pre-tax loss of $39.5 million. For the three months ended March 31, 2023, the Company recognized income tax expense of $0.3 million on a pre-tax loss of $123.6 million. Income tax expense for the three months ended March 31, 2024 and 2023, was primarily attributable to federal, state and foreign income tax expense as a result of current taxable income in certain jurisdictions.</w:t>
      </w:r>
    </w:p>
    <w:p>
      <w:pPr>
        <w:spacing w:after="0" w:line="13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Company calculated the provision for income taxes by applying an estimate of the annual effective tax rate for the full year to ordinary income (loss) adjusted by the tax impact of discrete items.</w:t>
      </w:r>
    </w:p>
    <w:p>
      <w:pPr>
        <w:spacing w:after="0" w:line="12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the Company calculated the provision for income taxes using a discrete effective tax rate method as the annual effective tax rate method would not provide a reliable estimate.</w:t>
      </w:r>
    </w:p>
    <w:p>
      <w:pPr>
        <w:sectPr>
          <w:pgSz w:w="11900" w:h="16838" w:orient="portrait"/>
          <w:cols w:equalWidth="0" w:num="1">
            <w:col w:w="11240"/>
          </w:cols>
          <w:pgMar w:left="320" w:top="1278"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type w:val="continuous"/>
        </w:sectPr>
      </w:pPr>
    </w:p>
    <w:bookmarkStart w:id="20" w:name="page21"/>
    <w:bookmarkEnd w:id="20"/>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Company continues to maintain a full valuation allowance against its net deferred tax assets as of March 31, 2024, based on the current assessment that it is not more likely than not these future benefits will be realized before expiration.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Business Segment and Geographic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8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single-use insulin cartridges and infusion sets for the storage and delivery of insulin. The Company views its operations and manages its business as one segment and a single reporting unit because key operating decisions and resource allocations are made by the CODM using consolidated financial data.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primarily sells its products through national and regional distributors in the United States on a non-exclusive basis, and through distribution partners outside the United States. In the United States and Canada, the Company also uses a direct sales force. The Company disaggregates its revenue by geography, major sales channel and product as management believes these categories best depict how the nature, amount and timing of revenues and cash flows are affected by economic factors.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by Geographic Region and Customer Sales Channel</w:t>
      </w:r>
    </w:p>
    <w:p>
      <w:pPr>
        <w:spacing w:after="0" w:line="20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no individual country outside the United States generated revenue that represented more than 10% of total revenue. The table below sets forth revenues for the Company’s two primary geographical markets, based on the geographic location to which its products are shipped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68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0" w:type="dxa"/>
            <w:vAlign w:val="bottom"/>
            <w:tcBorders>
              <w:bottom w:val="single" w:sz="8" w:color="auto"/>
            </w:tcBorders>
          </w:tcPr>
          <w:p>
            <w:pPr>
              <w:spacing w:after="0"/>
              <w:rPr>
                <w:sz w:val="18"/>
                <w:szCs w:val="18"/>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0" w:type="dxa"/>
            <w:vAlign w:val="bottom"/>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131,242</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1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61,913</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38,141</w:t>
            </w:r>
          </w:p>
        </w:tc>
      </w:tr>
      <w:tr>
        <w:trPr>
          <w:trHeight w:val="248"/>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Sales</w:t>
            </w:r>
          </w:p>
        </w:tc>
        <w:tc>
          <w:tcPr>
            <w:tcW w:w="1400" w:type="dxa"/>
            <w:vAlign w:val="bottom"/>
            <w:tcBorders>
              <w:bottom w:val="single" w:sz="8" w:color="auto"/>
            </w:tcBorders>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191,674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Sales to distributors accounted for 61% and 65% of the Company’s United States sales for the three months ended March 31, 2024 and 2023, respectively. Sales to distributors accounted for the vast majority of the Company’s sales outside the United States for the three-month periods ended March 31, 2024 and 2023.</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by Product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2024 and 2023, sales by product were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366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0" w:type="dxa"/>
            <w:vAlign w:val="bottom"/>
            <w:tcBorders>
              <w:bottom w:val="single" w:sz="8" w:color="auto"/>
            </w:tcBorders>
          </w:tcPr>
          <w:p>
            <w:pPr>
              <w:spacing w:after="0"/>
              <w:rPr>
                <w:sz w:val="18"/>
                <w:szCs w:val="18"/>
                <w:color w:val="auto"/>
              </w:rPr>
            </w:pPr>
          </w:p>
        </w:tc>
      </w:tr>
      <w:tr>
        <w:trPr>
          <w:trHeight w:val="211"/>
        </w:trPr>
        <w:tc>
          <w:tcPr>
            <w:tcW w:w="67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0" w:type="dxa"/>
            <w:vAlign w:val="bottom"/>
            <w:tcBorders>
              <w:bottom w:val="single" w:sz="8" w:color="auto"/>
            </w:tcBorders>
          </w:tcPr>
          <w:p>
            <w:pPr>
              <w:spacing w:after="0"/>
              <w:rPr>
                <w:sz w:val="18"/>
                <w:szCs w:val="18"/>
                <w:color w:val="auto"/>
              </w:rPr>
            </w:pPr>
          </w:p>
        </w:tc>
      </w:tr>
      <w:tr>
        <w:trPr>
          <w:trHeight w:val="225"/>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Pump</w:t>
            </w:r>
          </w:p>
        </w:tc>
        <w:tc>
          <w:tcPr>
            <w:tcW w:w="1380" w:type="dxa"/>
            <w:vAlign w:val="bottom"/>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84,704</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Supplies and other</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105,533</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86,702</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Deferral for Tandem Choice program</w:t>
            </w:r>
          </w:p>
        </w:tc>
        <w:tc>
          <w:tcPr>
            <w:tcW w:w="1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380" w:type="dxa"/>
            <w:vAlign w:val="bottom"/>
            <w:tcBorders>
              <w:bottom w:val="single" w:sz="8" w:color="auto"/>
            </w:tcBorders>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191,674</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169,383</w:t>
            </w:r>
          </w:p>
        </w:tc>
      </w:tr>
      <w:tr>
        <w:trPr>
          <w:trHeight w:val="20"/>
        </w:trPr>
        <w:tc>
          <w:tcPr>
            <w:tcW w:w="67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12. Acquisitions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AMF Medical Acquisition</w:t>
      </w:r>
    </w:p>
    <w:p>
      <w:pPr>
        <w:spacing w:after="0" w:line="18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On December 10, 2022, the Company entered into a Share Purchase Agreement (Purchase Agreement) with AMF Medical SA, a corporation organized and existing under the laws of Switzerland (AMF Medical), and its shareholders to acquire all of the registered shares of AMF Medical (Transaction). AMF Medical is the developer of the Sigi Patch Pump, which is designed to be an ergonomic, rechargeable patch pump that reduces the burden of managing diabetes through its use of pre-filled insulin cartridges. The Sigi Patch Pump is under development and not commercially available.</w:t>
      </w:r>
    </w:p>
    <w:p>
      <w:pPr>
        <w:spacing w:after="0" w:line="15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January 19, 2023, the Company completed the acquisition of AMF Medical under the terms of the Purchase Agreement. The total aggregate consideration for the Transaction includes a previous strategic investment of Swiss Francs (CHF) 8.0 million made in the third quarter of 2022, a cash payment of CHF 62.4 million paid at the closing of the Transaction, and additional contingent earnout payments of up to CHF 129.6 million. The contingent earnout payments become payable upon the achievement of certain milestones, and are comprised of a payment of up to CHF 38.4 million upon the successful completion of key development milestones over the two years following the closing date of the Transaction, and a payment of up to CHF 91.2 million upon obtaining regulatory clearance from the FDA of an automated controller enabled (ACE) pump. The contingent consideration will be recognized as each contingency is resolved and the respective consideration is paid or becomes payable. As of March 31, 2024, the contingencies related to the earnout milestones were not yet resolved and, therefore, the related amounts were not included in the fair value of the asset acquired and were not recognized as a liability on the consolidated balance sheet at March 31, 2024. The Company funded the initial closing payment using existing cash balances.</w:t>
      </w:r>
    </w:p>
    <w:p>
      <w:pPr>
        <w:spacing w:after="0" w:line="15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transaction was accounted for as an asset acquisition as substantially all the value of the gross assets was concentrated in a single asset. The Company recorded a $78.8 million charge in 2023 representing the value of acquired in-process research and development assets with no alternative future use, and acquisition related expenses, on its condensed consolidated statements of operations in acquired in-process research and development expenses. The Company’s results of operations included the operating results of AMF Medical since the date of acquisition.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Matters</w:t>
      </w:r>
    </w:p>
    <w:p>
      <w:pPr>
        <w:spacing w:after="0" w:line="173"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 xml:space="preserve">On September 8, 2023, a purported stockholder of the Company filed a putative securities class action complaint (captioned </w:t>
      </w:r>
      <w:r>
        <w:rPr>
          <w:rFonts w:ascii="Times New Roman" w:cs="Times New Roman" w:eastAsia="Times New Roman" w:hAnsi="Times New Roman"/>
          <w:sz w:val="18"/>
          <w:szCs w:val="18"/>
          <w:i w:val="1"/>
          <w:iCs w:val="1"/>
          <w:color w:val="auto"/>
        </w:rPr>
        <w:t>Lowe v. Tandem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Diabetes Care, Inc., et al., </w:t>
      </w:r>
      <w:r>
        <w:rPr>
          <w:rFonts w:ascii="Times New Roman" w:cs="Times New Roman" w:eastAsia="Times New Roman" w:hAnsi="Times New Roman"/>
          <w:sz w:val="18"/>
          <w:szCs w:val="18"/>
          <w:color w:val="auto"/>
        </w:rPr>
        <w:t>Case No. 23-cv-1657 (“</w:t>
      </w:r>
      <w:r>
        <w:rPr>
          <w:rFonts w:ascii="Times New Roman" w:cs="Times New Roman" w:eastAsia="Times New Roman" w:hAnsi="Times New Roman"/>
          <w:sz w:val="18"/>
          <w:szCs w:val="18"/>
          <w:i w:val="1"/>
          <w:iCs w:val="1"/>
          <w:color w:val="auto"/>
        </w:rPr>
        <w:t>Lowe</w:t>
      </w:r>
      <w:r>
        <w:rPr>
          <w:rFonts w:ascii="Times New Roman" w:cs="Times New Roman" w:eastAsia="Times New Roman" w:hAnsi="Times New Roman"/>
          <w:sz w:val="18"/>
          <w:szCs w:val="18"/>
          <w:color w:val="auto"/>
        </w:rPr>
        <w:t>”)) in the United States District Court for the Southern District of California against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certain of the Company’s current executive officers (“defendants”). On December 6, 2023, the court appointed Mason Raines, Thomas O. Martel, and Linna Rae Martel to serve as co-lead plaintiffs (“plaintiffs”). On February 1, 2024, the plaintiffs filed their amended complaint. In the amended complaint, the plaintiffs allege violations of the Securities Exchange Act of 1934, as amended, based on alleged materially false and misleading statements relating to our sales trends and financial forecasts. The plaintiffs seek to represent a class of persons who purchased or otherwise acquired Tandem common stock during the period between August 3, 2022, and November 2, 2022, inclusive. The plaintiffs also seek unspecified monetary damages, pre- and post-judgment interest, costs and fees, including attorneys’ fees and expert fees, and other relief. The defendants filed their motion to dismiss the amended complaint on March 11, 2024. The plaintiffs filed a response in opposition to defendants’ motion to dismiss on March 27, 2024, and on April 10, 2024, defendants filed their reply. On April 29, 2024, the court granted defendants’ motion to dismiss with leave to file a second amended complaint within 30 days.</w:t>
      </w: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Two shareholder derivative cases were filed in the United States District Court for the Southern District of California on March 29, 2024</w:t>
      </w:r>
    </w:p>
    <w:p>
      <w:pPr>
        <w:spacing w:after="0" w:line="1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 xml:space="preserve">(captioned </w:t>
      </w:r>
      <w:r>
        <w:rPr>
          <w:rFonts w:ascii="Times New Roman" w:cs="Times New Roman" w:eastAsia="Times New Roman" w:hAnsi="Times New Roman"/>
          <w:sz w:val="17"/>
          <w:szCs w:val="17"/>
          <w:i w:val="1"/>
          <w:iCs w:val="1"/>
          <w:color w:val="auto"/>
        </w:rPr>
        <w:t>Bushansky v. John F. Sheridan et al.</w:t>
      </w:r>
      <w:r>
        <w:rPr>
          <w:rFonts w:ascii="Times New Roman" w:cs="Times New Roman" w:eastAsia="Times New Roman" w:hAnsi="Times New Roman"/>
          <w:sz w:val="17"/>
          <w:szCs w:val="17"/>
          <w:color w:val="auto"/>
        </w:rPr>
        <w:t xml:space="preserve">, Case No. 24-cv-608) and on April 23, 2024 (captioned </w:t>
      </w:r>
      <w:r>
        <w:rPr>
          <w:rFonts w:ascii="Times New Roman" w:cs="Times New Roman" w:eastAsia="Times New Roman" w:hAnsi="Times New Roman"/>
          <w:sz w:val="17"/>
          <w:szCs w:val="17"/>
          <w:i w:val="1"/>
          <w:iCs w:val="1"/>
          <w:color w:val="auto"/>
        </w:rPr>
        <w:t>Amersi v. John F. Sheridan et al.</w:t>
      </w:r>
      <w:r>
        <w:rPr>
          <w:rFonts w:ascii="Times New Roman" w:cs="Times New Roman" w:eastAsia="Times New Roman" w:hAnsi="Times New Roman"/>
          <w:sz w:val="17"/>
          <w:szCs w:val="17"/>
          <w:color w:val="auto"/>
        </w:rPr>
        <w:t>, Case No. 24-cv-</w:t>
      </w:r>
    </w:p>
    <w:p>
      <w:pPr>
        <w:spacing w:after="0" w:line="7" w:lineRule="exact"/>
        <w:rPr>
          <w:sz w:val="20"/>
          <w:szCs w:val="20"/>
          <w:color w:val="auto"/>
        </w:rPr>
      </w:pPr>
    </w:p>
    <w:p>
      <w:pPr>
        <w:ind w:right="400" w:firstLine="8"/>
        <w:spacing w:after="0" w:line="239" w:lineRule="auto"/>
        <w:tabs>
          <w:tab w:leader="none" w:pos="3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the individual members of Tandem’s Board of Directors and the Company. These lawsuits piggyback on the </w:t>
      </w:r>
      <w:r>
        <w:rPr>
          <w:rFonts w:ascii="Times New Roman" w:cs="Times New Roman" w:eastAsia="Times New Roman" w:hAnsi="Times New Roman"/>
          <w:sz w:val="18"/>
          <w:szCs w:val="18"/>
          <w:i w:val="1"/>
          <w:iCs w:val="1"/>
          <w:color w:val="auto"/>
        </w:rPr>
        <w:t>Lowe</w:t>
      </w:r>
      <w:r>
        <w:rPr>
          <w:rFonts w:ascii="Times New Roman" w:cs="Times New Roman" w:eastAsia="Times New Roman" w:hAnsi="Times New Roman"/>
          <w:sz w:val="18"/>
          <w:szCs w:val="18"/>
          <w:color w:val="auto"/>
        </w:rPr>
        <w:t xml:space="preserve"> case, and allege that Tandem’s Board breached its fiduciary duties by failing to properly oversee and monitor the risks affecting the Company’s business, which resulted in reduced guidance, an associated stock drop, and the </w:t>
      </w:r>
      <w:r>
        <w:rPr>
          <w:rFonts w:ascii="Times New Roman" w:cs="Times New Roman" w:eastAsia="Times New Roman" w:hAnsi="Times New Roman"/>
          <w:sz w:val="18"/>
          <w:szCs w:val="18"/>
          <w:i w:val="1"/>
          <w:iCs w:val="1"/>
          <w:color w:val="auto"/>
        </w:rPr>
        <w:t>Lowe</w:t>
      </w:r>
      <w:r>
        <w:rPr>
          <w:rFonts w:ascii="Times New Roman" w:cs="Times New Roman" w:eastAsia="Times New Roman" w:hAnsi="Times New Roman"/>
          <w:sz w:val="18"/>
          <w:szCs w:val="18"/>
          <w:color w:val="auto"/>
        </w:rPr>
        <w:t xml:space="preserve"> case.</w:t>
      </w:r>
    </w:p>
    <w:p>
      <w:pPr>
        <w:spacing w:after="0" w:line="21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Although the Company intends to vigorously defend against these claims, there is no guarantee that the Company will prevail. Accordingly, the Company is unable to determine the ultimate outcome of these lawsuits or determine the amount or range of potential losses associated with these lawsuits.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78" w:right="379" w:bottom="1440" w:gutter="0" w:footer="0" w:header="0"/>
        </w:sectPr>
      </w:pPr>
    </w:p>
    <w:bookmarkStart w:id="22" w:name="page23"/>
    <w:bookmarkEnd w:id="22"/>
    <w:p>
      <w:pPr>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various other legal proceedings, regulatory matters, and other disputes or claims arising from or related to claims incident to the normal course of the Company’s business activities, including actions with respect to intellectual property, data privacy, employment, regulatory, product liability and contractual matters. Although the results of such legal proceedings and claims cannot be predicted with certainty, as of March 31, 2024 the Company believes it is not currently a party to any legal proceedings, regulatory matters, or other disputes or claims for which a material loss was considered probable or for which the amount (or range) of loss was reasonably estimable. However, regardless of the merit of the claims raised or the outcome, legal proceedings may have an adverse impact on the Company as a result of defense and settlement costs, diversion of management time and resources, and other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one of the Company’s operating leases (see Note 6, “Leases”), the Company has a $4.9 million unsecured irrevocable standby letter of credit arrangement with a bank, under which the landlord of the building is the beneficiary. The Company is required to maintain the standby letter of credit throughout the term of the lease, which expires in April 2035.</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82" w:right="379" w:bottom="1440" w:gutter="0" w:footer="0" w:header="0"/>
        </w:sectPr>
      </w:pPr>
    </w:p>
    <w:bookmarkStart w:id="23" w:name="page24"/>
    <w:bookmarkEnd w:id="23"/>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7"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our financial statements and related notes in Part I, Item 1 of this Quarterly Report on Form 10-Q for the quarter ended March 31, 2024 (Quarterly Report).</w:t>
      </w:r>
    </w:p>
    <w:p>
      <w:pPr>
        <w:spacing w:after="0" w:line="13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trends impacting our financial results, business forecasts and plans, research and product development plans, product pipelines, development timelines, manufacturing plans, strategic plans and objectives, capital needs and financing plans, product launches, geographic expansion, distribution plans, production capacity, clinical trials, regulatory approvals, competitive position and the impact of changes in the competitive environment, supply chain, and the businesses of our contract manufacturers and suppliers, integration of acquisitions and partner technologies, and the application of accounting guidance. We caution you that the foregoing list may not include all of the forward-looking statements made in this Quarterly Report.</w:t>
      </w:r>
    </w:p>
    <w:p>
      <w:pPr>
        <w:spacing w:after="0" w:line="14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this Quarterly Report, as well as in the other public filings we make with the Securities and Exchange Commission. You should read this Quarterly Report with the understanding that our actual future financial condition and results may be materially different from and worse than what we expect.</w:t>
      </w:r>
    </w:p>
    <w:p>
      <w:pPr>
        <w:spacing w:after="0" w:line="142"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46" w:lineRule="exact"/>
        <w:rPr>
          <w:sz w:val="20"/>
          <w:szCs w:val="20"/>
          <w:color w:val="auto"/>
        </w:rPr>
      </w:pPr>
    </w:p>
    <w:p>
      <w:pPr>
        <w:ind w:right="12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We qualify all of our forward-looking statements by these cautionary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a medical device company focused on the design, development and commercialization of technology solutions for people living with diabetes. We consider our primary addressable market to be people who live with type 1 diabetes. Through our product development efforts, we are seeking to expand our addressable market to include people living with type 2 diabetes who require intensive insulin therapy. Diabetes management can vary greatly from person-to-person, creating multiple market segments based on clinical needs and personal preferences. Our goal is to address the individual needs of people with insulin-dependent diabetes by offering flexibility and choice in intelligent insulin delivery systems, through an accessible portfolio of market-leading pumps, applications, and insights.</w:t>
      </w:r>
    </w:p>
    <w:p>
      <w:pPr>
        <w:spacing w:after="0" w:line="147" w:lineRule="exact"/>
        <w:rPr>
          <w:sz w:val="20"/>
          <w:szCs w:val="20"/>
          <w:color w:val="auto"/>
        </w:rPr>
      </w:pPr>
    </w:p>
    <w:p>
      <w:pPr>
        <w:ind w:right="240" w:firstLine="648"/>
        <w:spacing w:after="0" w:line="259" w:lineRule="auto"/>
        <w:rPr>
          <w:sz w:val="20"/>
          <w:szCs w:val="20"/>
          <w:color w:val="auto"/>
        </w:rPr>
      </w:pPr>
      <w:r>
        <w:rPr>
          <w:rFonts w:ascii="Times New Roman" w:cs="Times New Roman" w:eastAsia="Times New Roman" w:hAnsi="Times New Roman"/>
          <w:sz w:val="18"/>
          <w:szCs w:val="18"/>
          <w:color w:val="auto"/>
        </w:rPr>
        <w:t>From inception in 2012 through June 2018, we derived nearly all of our sales from the shipment of insulin pumps and associated supplies to customers in the United States. Starting in the third quarter of 2018, we began selling in select geographies outside the United States and our technology solutions are now available in approximately 25 countries worldwide. For the four-year period ended December 31, 2023, we shipped approximately 450,000 insulin pumps, which is representative of our in-warranty global installed customer base assuming the typical four-year reimbursement cycle.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24" w:name="page25"/>
    <w:bookmarkEnd w:id="24"/>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t:slim X2 insulin pump has been our flagship technology solution. In February 2024, we expanded our pump portfolio with commercial U.S. availability of the Tandem Mobi insulin pump, which is the world’s smallest durable automated insulin delivery (AID) system. At approximately half the size of our t:slim X2 pump, Tandem Mobi is designed for people who seek even greater discretion and flexibility, and includes features such as expanded pump-control from our iOS mobile application, inductive charging, and an on-pump button that can be used for bolusing and other actions. In the United States, we began a limited release of Tandem Mobi in the fourth quarter of 2023 followed by commercial availability in February 2024 with Dexcom G6 sensor integration. In March 2024, the United States Food and Drug Administration (FDA) cleared our 510(k) application for Tandem Mobi with an expanded pediatric indication for use in individuals two years of age and older.</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With both the t:slim X2 and Tandem Mobi in our product portfolio, we are offering people living with diabetes a choice between insulin pump platforms based on their individual needs and preferences in insulin delivery.</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majority of our customers use their insulin pump with continuous glucose monitoring (CGM) integration. This allows their insulin pump to receive CGM sensor readings, which can then be used in our AID algorithms, including our Control-IQ technology. Control-IQ is an advanced hybrid-closed loop feature designed to help increase a user’s time in their targeted glycemic range. Multiple studies have demonstrated that use of Control-IQ technology provides people across all demographics with improved clinical outcomes that are both immediate and sustained. It was the first system cleared by the FDA to deliver automatic correction boluses in addition to adjusting insulin to help prevent high and low blood sugar.</w:t>
      </w:r>
    </w:p>
    <w:p>
      <w:pPr>
        <w:spacing w:after="0" w:line="14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t:slim X2 was the first pump on which remote software updates were made commercially available in the United States and is now also available in the countries we serve worldwide. Our Tandem Device Updater (TDU) has allowed our t:slim X2 customers to update their pump software from a personal computer. Tandem Mobi offers the same update capability with wireless, remote updates. This offering is a competitive advantage that allows us to bring our customers clinical and lifestyle enhancements, such as new developments in our AID technology, CGM integrations and mobile app features. As an example, we recently launched a pump software update through TDU to allow all t:slim X2 pump users in the United States access to integration with two new CGM sensor offerings.</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insulin pump products are generally considered durable medical equipment (DME) and have an expected lifespan of at least four years. In addition to insulin pumps, we sell single-use products that are used together with our pumps and are replaced every few days, including cartridges for storing and delivering insulin, and infusion sets that connect the insulin pump to a user’s body. Because of the DME classification, our pumps and supplies are typically reimbursed through a medical benefit. As our portfolio expands, we are pursuing a multi-channel managed care strategy and are in discussions to begin serving Mobi customers through the pharmacy channel.</w:t>
      </w:r>
    </w:p>
    <w:p>
      <w:pPr>
        <w:spacing w:after="0" w:line="143"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we also offer a data management web application that provides users, their caregivers and their healthcare providers with a fast, easy and visual way to display diabetes therapy management data from our pumps, integrated CGMs and supported blood glucose meters. Our first-generation data management application, t:connect, was commercially introduced in the United States in 2013. In the second quarter of 2023, we began a scaled global launch, starting with the United States, of our second-generation data management application, Tandem Source.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&amp; Future Technology</w:t>
      </w:r>
    </w:p>
    <w:p>
      <w:pPr>
        <w:spacing w:after="0" w:line="20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Diabetes management can vary greatly from person-to-person, creating multiple market segments based on clinical needs and personal preferences. Our goal is to address the individual needs of people with insulin-dependent diabetes and their care team flexibility and choice in intelligent insulin delivery systems, through an accessible portfolio of market-leading pumps, applications, and insights.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support of this strategy, our portfolio of future technologies includes: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t:slim X3</w:t>
      </w:r>
    </w:p>
    <w:p>
      <w:pPr>
        <w:spacing w:after="0" w:line="20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Advancing our flagship t:slim platform, the t:slim X3 is planned to include enhanced technology, such as greater processing power and capacity to support our advanced algorithms, as well as increased battery life and improved durability.</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Mobi: Tubeless</w:t>
      </w:r>
    </w:p>
    <w:p>
      <w:pPr>
        <w:spacing w:after="0" w:line="18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This offering is intended to provide an alternative tubeless infusion site option for Tandem Mobi pump users. It will allow a Tandem Mobi pump to be worn completely on the user’s body with no tubing, while still providing the benefit of detachability. A goal of this design is to allow people living with diabetes to customize the way they wear their pump with each cartridge change, switching between tubed and tubeless wear configurations, to best suit their personal preferences and lifestyle</w:t>
      </w:r>
      <w:r>
        <w:rPr>
          <w:rFonts w:ascii="Calibri" w:cs="Calibri" w:eastAsia="Calibri" w:hAnsi="Calibri"/>
          <w:sz w:val="18"/>
          <w:szCs w:val="18"/>
          <w:color w:val="auto"/>
        </w:rPr>
        <w:t>.</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i w:val="1"/>
          <w:iCs w:val="1"/>
          <w:color w:val="auto"/>
        </w:rPr>
        <w:t>Sigi</w:t>
      </w:r>
    </w:p>
    <w:p>
      <w:pPr>
        <w:spacing w:after="0" w:line="20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ergonomic, rechargeable and detachable Sigi Patch Pump is intended to reduce the burden of managing diabetes through its use of pre-filled insulin cartridges and compatibility with AID technology.</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Extended Wear Infusion Sets</w:t>
      </w:r>
    </w:p>
    <w:p>
      <w:pPr>
        <w:spacing w:after="0" w:line="18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Infusion sets provide additional choice and flexibility to people living with diabetes. Our goals for infusion set innovations focus on solutions that extend wear time and enhance user experience, while reducing occlusions, body burden and waste. In support of this effort, unique extended wear infusion set technology is expected to be part of our future portfolio.</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Control-IQ Advancements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continuing to drive innovation in our algorithms, emphasizing automation, personalization and simplification to continue to improve therapeutic outcomes and provide a positive patient experience. In 2023, we began a pivotal study to support expanding indications to include people living with type 2 diabetes. In late 2023, our Control-IQ technology was cleared with additional features for people with type 1 diabetes age 2 and older. We are also researching the use of different insulins with our Control-IQ technology.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Pump Reimbursement Cycle</w:t>
      </w:r>
    </w:p>
    <w:p>
      <w:pPr>
        <w:spacing w:after="0" w:line="20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Insulin pumps in the markets we serve worldwide are generally subject to a four-year reimbursement cycle, imposed by the third-party insurance carrier, government plan or healthcare system that serves as the primary payor. At the end of the typical four-year reimbursement cycle, customers may be eligible to purchase a new insulin pump, subject to the rules and requirements of their primary insurance payor. While warranties generally expire four years from the original pump shipment date, those customers that renew typically take up to one year from date of warranty expiration to purchase a subsequent pump. While the majority of our insulin pump sales from initial commercialization through the current period have been generated by sales to new customers, the opportunity to make subsequent sales of renewal insulin pumps to existing customers increases each period as an escalating number of customer warranties expire. With programs dedicated to customer retention efforts, we expect such renewal purchases to represent an increasing portion of our pump shipments over time.</w:t>
      </w:r>
    </w:p>
    <w:p>
      <w:pPr>
        <w:spacing w:after="0" w:line="15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For the four-year period ended December 31, 2023, we shipped approximately 450,000 insulin pumps worldwide, which is representative of our global in-warranty installed customer base. In this period, more than 310,000 pumps were shipped to customers in the United States and approximately 140,000 pumps in approximately 25 countries outside the United States.</w:t>
      </w:r>
    </w:p>
    <w:p>
      <w:pPr>
        <w:spacing w:after="0" w:line="13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ordering patterns of, and levels of inventory carried by, our distributors outside the United States for pumps and supplies have historically been highly variable from period to period due to a number of factors, including summer vacations, the timing of product launches into new geographies and variability due to supply chain logistics, particularly during the global pandemic. This also influences the timing in which renewal eligibility begins for existing customers, which may not initially be consistent with trends in the U.S. market. We recently began completing a full four-year reimbursement cycle in an increasing number of our markets outside of the United States.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and Uncertainties Impacting Financial Results</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financial condition and operating results have historically fluctuated on a quarterly or annual basis. We expect these periodic fluctuations will continue to be impacted by a number of trends and uncertainties, including the following:</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Regulatory Approvals and Actions</w:t>
      </w:r>
    </w:p>
    <w:p>
      <w:pPr>
        <w:spacing w:after="0" w:line="198" w:lineRule="exact"/>
        <w:rPr>
          <w:sz w:val="20"/>
          <w:szCs w:val="20"/>
          <w:color w:val="auto"/>
        </w:rPr>
      </w:pPr>
    </w:p>
    <w:p>
      <w:pPr>
        <w:ind w:left="1300" w:right="80" w:hanging="320"/>
        <w:spacing w:after="0" w:line="261"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new products are subject to local government regulations. The requirements and timelines to receive regulatory clearance can vary substantially from country to country and delays may impact our ability to expand our worldwide customer base and bring products to market in a competitive timeframe. These delays, or failure to receive regulatory approval could adversely impact our revenue and results of operations.</w:t>
      </w:r>
    </w:p>
    <w:p>
      <w:pPr>
        <w:spacing w:after="0" w:line="139" w:lineRule="exact"/>
        <w:rPr>
          <w:rFonts w:ascii="Times New Roman" w:cs="Times New Roman" w:eastAsia="Times New Roman" w:hAnsi="Times New Roman"/>
          <w:sz w:val="18"/>
          <w:szCs w:val="18"/>
          <w:color w:val="auto"/>
        </w:rPr>
      </w:pPr>
    </w:p>
    <w:p>
      <w:pPr>
        <w:ind w:left="1300" w:hanging="320"/>
        <w:spacing w:after="0" w:line="261"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event involving any products that we distribute could result in future corrective actions, such as recalls or customer notifications, or regulatory agency action, which could include inspection, mandatory recall or other enforcement action. Any action by regulatory bodies against us, and any regulatory challenges we encounter could have a negative impact on our product sales and harm our reputation.</w:t>
      </w:r>
    </w:p>
    <w:p>
      <w:pPr>
        <w:sectPr>
          <w:pgSz w:w="11900" w:h="16838" w:orient="portrait"/>
          <w:cols w:equalWidth="0" w:num="1">
            <w:col w:w="11220"/>
          </w:cols>
          <w:pgMar w:left="320" w:top="1280"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0" w:right="3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Product - Launches and Reimbursement</w:t>
      </w:r>
    </w:p>
    <w:p>
      <w:pPr>
        <w:spacing w:after="0" w:line="198" w:lineRule="exact"/>
        <w:rPr>
          <w:sz w:val="20"/>
          <w:szCs w:val="20"/>
          <w:color w:val="auto"/>
        </w:rPr>
      </w:pPr>
    </w:p>
    <w:p>
      <w:pPr>
        <w:ind w:left="640" w:right="80" w:hanging="320"/>
        <w:spacing w:after="0" w:line="261"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business to be impacted by the introduction of new diabetes devices and treatments by us or our competitors. The success of our products is variable and we believe it correlates to market acceptance, anticipated product launches and commercial availability. We anticipate that our Tandem Choice program, and its related financial and accounting impact, may continue to materially impact our business until the conclusion of the program.</w:t>
      </w:r>
    </w:p>
    <w:p>
      <w:pPr>
        <w:spacing w:after="0" w:line="139" w:lineRule="exact"/>
        <w:rPr>
          <w:rFonts w:ascii="Times New Roman" w:cs="Times New Roman" w:eastAsia="Times New Roman" w:hAnsi="Times New Roman"/>
          <w:sz w:val="18"/>
          <w:szCs w:val="18"/>
          <w:color w:val="auto"/>
        </w:rPr>
      </w:pPr>
    </w:p>
    <w:p>
      <w:pPr>
        <w:ind w:left="640" w:right="180" w:hanging="320"/>
        <w:spacing w:after="0" w:line="258"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experienced higher net sales in our third and fourth quarters compared to the first half of the year. We believe our July 2023 announcement of FDA clearance of Tandem Mobi and its anticipated launch impacted the timing of purchasing decisions by our current and prospective customers in the second half of 2023 up through the U.S. commercial availability of Tandem Mobi in February 2024, resulting in delays that were unlike historical seasonal patterns or purchasing behaviors. Regulatory approval and/or upcoming launches of other new Tandem or competitor products could also adversely impact timing of purchasing decisions.</w:t>
      </w:r>
    </w:p>
    <w:p>
      <w:pPr>
        <w:spacing w:after="0" w:line="142" w:lineRule="exact"/>
        <w:rPr>
          <w:rFonts w:ascii="Times New Roman" w:cs="Times New Roman" w:eastAsia="Times New Roman" w:hAnsi="Times New Roman"/>
          <w:sz w:val="18"/>
          <w:szCs w:val="18"/>
          <w:color w:val="auto"/>
        </w:rPr>
      </w:pPr>
    </w:p>
    <w:p>
      <w:pPr>
        <w:jc w:val="both"/>
        <w:ind w:left="640" w:right="140" w:hanging="320"/>
        <w:spacing w:after="0" w:line="266"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periods following new product launches, particularly with new hardware platforms, our cost of sales may increase on a per unit basis until the new products achieve manufacturing scale and operating expenses may be elevated by increased sales and marketing spend to support the product launches.</w:t>
      </w:r>
    </w:p>
    <w:p>
      <w:pPr>
        <w:spacing w:after="0" w:line="148" w:lineRule="exact"/>
        <w:rPr>
          <w:rFonts w:ascii="Times New Roman" w:cs="Times New Roman" w:eastAsia="Times New Roman" w:hAnsi="Times New Roman"/>
          <w:sz w:val="18"/>
          <w:szCs w:val="18"/>
          <w:color w:val="auto"/>
        </w:rPr>
      </w:pPr>
    </w:p>
    <w:p>
      <w:pPr>
        <w:ind w:left="640" w:right="340" w:hanging="320"/>
        <w:spacing w:after="0" w:line="28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and results of operations may be impacted by the failure to secure or retain adequate coverage or reimbursement for our current and future products from third-party payors, as well as changes in reimbursement structures.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Markets</w:t>
      </w:r>
    </w:p>
    <w:p>
      <w:pPr>
        <w:spacing w:after="0" w:line="185" w:lineRule="exact"/>
        <w:rPr>
          <w:sz w:val="20"/>
          <w:szCs w:val="20"/>
          <w:color w:val="auto"/>
        </w:rPr>
      </w:pPr>
    </w:p>
    <w:p>
      <w:pPr>
        <w:ind w:left="640" w:right="80" w:hanging="320"/>
        <w:spacing w:after="0" w:line="261"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expanded our business and launched new products in select geographies outside the United States. The ordering patterns of our distributors outside the United States has been highly variable from period to period. For example, we began operations of a European distribution center beginning in the third quarter of 2022, which led to downward adjustments of inventory levels at our distributors starting in late 2022 and continuing through the first half of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Seasonality</w:t>
      </w:r>
    </w:p>
    <w:p>
      <w:pPr>
        <w:spacing w:after="0" w:line="185" w:lineRule="exact"/>
        <w:rPr>
          <w:sz w:val="20"/>
          <w:szCs w:val="20"/>
          <w:color w:val="auto"/>
        </w:rPr>
      </w:pPr>
    </w:p>
    <w:p>
      <w:pPr>
        <w:ind w:left="640" w:hanging="320"/>
        <w:spacing w:after="0" w:line="26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the United States is associated with annual insurance deductibles and coinsurance requirements of the medical insurance plans used by our customers and the customers of our distributors. In the United States, we typically experience a higher volume of pump shipments in the third and fourth quarters due to the nature of the reimbursement environment. Other factors that may impact sales across the year include the timing of winter, summer and other seasonal holidays, particularly in our markets outside the United States.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Macroeconomic Factors</w:t>
      </w:r>
    </w:p>
    <w:p>
      <w:pPr>
        <w:spacing w:after="0" w:line="198" w:lineRule="exact"/>
        <w:rPr>
          <w:sz w:val="20"/>
          <w:szCs w:val="20"/>
          <w:color w:val="auto"/>
        </w:rPr>
      </w:pPr>
    </w:p>
    <w:p>
      <w:pPr>
        <w:ind w:left="640" w:right="460" w:hanging="320"/>
        <w:spacing w:after="0" w:line="282"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market uncertainty, such as recessionary concerns, inflation, changes in discretionary spending and increased interest rates have impacted our customers’ purchasing decisions and the buying patterns of our distributors.</w:t>
      </w:r>
    </w:p>
    <w:p>
      <w:pPr>
        <w:spacing w:after="0" w:line="121" w:lineRule="exact"/>
        <w:rPr>
          <w:rFonts w:ascii="Times New Roman" w:cs="Times New Roman" w:eastAsia="Times New Roman" w:hAnsi="Times New Roman"/>
          <w:sz w:val="18"/>
          <w:szCs w:val="18"/>
          <w:color w:val="auto"/>
        </w:rPr>
      </w:pPr>
    </w:p>
    <w:p>
      <w:pPr>
        <w:ind w:left="640" w:right="160" w:hanging="320"/>
        <w:spacing w:after="0" w:line="282"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inflation and the effects of other macroeconomic factors and concerns has disrupted and may continue to disrupt our relationships with suppliers, third-party manufacturers, healthcare providers, distributors and our existing or potential customers.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980" w:top="1282"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8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offer products for people with insulin-dependent diabetes, including a portfolio of hardware platforms, single-use insulin cartridges and infusion sets, data management platforms and mobile applications. Our primary customers are the end users of our products, non-exclusive distribution partners whose level of service varies based on geography, the healthcare professionals who prescribe our products and the healthcare systems or payors who provide insurance coverage and access to our products. Our sales may fluctuate from period to period, particularly due to seasonality in the United States associated with the timing of insurance deductible resets, which generally reflect in a significant decline in pump shipments from any fourth quarter to the following first quarter. Therefore, the lowest percentage of sales is typically reported in the first quarter of each calendar year and the highest percentage is typically reported in the fourth quarter. See also “Trends and Uncertainties Impacting Financial Results—Seasonality” above.</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September 2022, we began offering the Tandem Choice program to eligible t:slim X2 customers to provide a pathway to ownership of our newest hardware platform, Tandem Mobi, for a fee when available. We began selling Tandem Mobi insulin pumps in the first quarter of 2024 and eligibility for the Tandem Choice program ended in February 2024. Eligible customers who purchased a t:slim X2 insulin pump during the program period will have until December 31, 2024 to exercise the option to switch to the Tandem Mobi for a stated fee. The accounting treatment for Tandem Choice is complex (see Note 2, “Summary of Significant Accounting Policies”). The program required the deferral of some portion of sales for shipments of eligible pumps between the third quarter of 2022 and the first quarter of 2024. No election was made by the customer at the time of the initial sale, nor did the right offered to the customer impact the economics associated with how or when the initial pump sale was reimbursed. If a customer elects to participate in Tandem Choice, we will recognize the existing deferral, incremental fees received and the associated costs of providing the new insulin pump, Tandem Mobi, at the time of fulfillment. Any remaining deferrals will be recognized at program expiration. The total Tandem Choice deferral was $31.5 million as of March 31,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0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 When taking into consideration the differences in reimbursement levels and cost structure, pumps have, and are expected to continue to have, a higher gross profit and gross margin percentage than our pump-related supplies on a per unit basis. Therefore, the percentage of pump sales relative to total sales could have a significant impact on our overall gross margin percentage.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selling, general and administrative (SG&amp;A) expenses primarily consist of salary, cash-based incentive compensation, fringe benefits and non-cash stock-based compensation for our sales, marketing and administrative functions, which also includes our clinical, customer support, technical services, insurance verification and regulatory affairs personnel. Our sales territories in the United States are generally maintained by sales representatives and field clinical specialists, and supported by managed care liaisons, additional sales management and other customer support personnel. Other significant SG&amp;A expenses typically include those incurred for commercialization activities associated with new product launches, travel, trade shows, outside legal fees, independent auditor fees, outside consultant fees, insurance premiums, facilities costs and information technology costs.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research and development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and non-cash stock-based compensation. We also incur R&amp;D expenses for supplies, development prototypes, outside design and testing services, depreciation, allocated facilities and information services, clinical trials, payments under our licensing, development and commercialization agreements and other indirect costs.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(IPR&amp;D)</w:t>
      </w:r>
    </w:p>
    <w:p>
      <w:pPr>
        <w:spacing w:after="0" w:line="20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Acquired IPR&amp;D reflects costs of external research and development projects acquired directly in a transaction other than a business combination, that do not have an alternative future use.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Other income and expense primarily consists of interest earned on our cash equivalents and short-term investments, foreign currency transaction gains and losses, and interest expense which includes the amortization of debt issuance costs related to our convertible senior notes.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Because the Company maintains a full valuation allowance against its net deferred tax assets, income tax expense is expected to primarily consist of current federal, state and foreign cash tax expense as a result of taxable income anticipated or incurred in those jurisdictions.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40" w:type="dxa"/>
            <w:vAlign w:val="bottom"/>
            <w:tcBorders>
              <w:bottom w:val="single" w:sz="8" w:color="CFF0FC"/>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129,761</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131,242</w:t>
            </w:r>
          </w:p>
        </w:tc>
        <w:tc>
          <w:tcPr>
            <w:tcW w:w="0" w:type="dxa"/>
            <w:vAlign w:val="bottom"/>
          </w:tcPr>
          <w:p>
            <w:pPr>
              <w:spacing w:after="0"/>
              <w:rPr>
                <w:sz w:val="1"/>
                <w:szCs w:val="1"/>
                <w:color w:val="auto"/>
              </w:rPr>
            </w:pPr>
          </w:p>
        </w:tc>
      </w:tr>
      <w:tr>
        <w:trPr>
          <w:trHeight w:val="229"/>
        </w:trPr>
        <w:tc>
          <w:tcPr>
            <w:tcW w:w="8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61,913</w:t>
            </w: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38,141</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191,674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169,383</w:t>
            </w:r>
          </w:p>
        </w:tc>
        <w:tc>
          <w:tcPr>
            <w:tcW w:w="0" w:type="dxa"/>
            <w:vAlign w:val="bottom"/>
          </w:tcPr>
          <w:p>
            <w:pPr>
              <w:spacing w:after="0"/>
              <w:rPr>
                <w:sz w:val="1"/>
                <w:szCs w:val="1"/>
                <w:color w:val="auto"/>
              </w:rPr>
            </w:pPr>
          </w:p>
        </w:tc>
      </w:tr>
      <w:tr>
        <w:trPr>
          <w:trHeight w:val="229"/>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97,002</w:t>
            </w: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86,476</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94,672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82,907</w:t>
            </w: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90,106</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89,814</w:t>
            </w:r>
          </w:p>
        </w:tc>
        <w:tc>
          <w:tcPr>
            <w:tcW w:w="0" w:type="dxa"/>
            <w:vAlign w:val="bottom"/>
          </w:tcPr>
          <w:p>
            <w:pPr>
              <w:spacing w:after="0"/>
              <w:rPr>
                <w:sz w:val="1"/>
                <w:szCs w:val="1"/>
                <w:color w:val="auto"/>
              </w:rPr>
            </w:pPr>
          </w:p>
        </w:tc>
      </w:tr>
      <w:tr>
        <w:trPr>
          <w:trHeight w:val="230"/>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46,244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42,160</w:t>
            </w: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78,750</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136,350</w:t>
            </w:r>
          </w:p>
        </w:tc>
        <w:tc>
          <w:tcPr>
            <w:tcW w:w="10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210,724</w:t>
            </w:r>
          </w:p>
        </w:tc>
        <w:tc>
          <w:tcPr>
            <w:tcW w:w="0" w:type="dxa"/>
            <w:vAlign w:val="bottom"/>
          </w:tcPr>
          <w:p>
            <w:pPr>
              <w:spacing w:after="0"/>
              <w:rPr>
                <w:sz w:val="1"/>
                <w:szCs w:val="1"/>
                <w:color w:val="auto"/>
              </w:rPr>
            </w:pPr>
          </w:p>
        </w:tc>
      </w:tr>
      <w:tr>
        <w:trPr>
          <w:trHeight w:val="223"/>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(41,678)</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(127,817)</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5,314</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5,865</w:t>
            </w:r>
          </w:p>
        </w:tc>
        <w:tc>
          <w:tcPr>
            <w:tcW w:w="0" w:type="dxa"/>
            <w:vAlign w:val="bottom"/>
          </w:tcPr>
          <w:p>
            <w:pPr>
              <w:spacing w:after="0"/>
              <w:rPr>
                <w:sz w:val="1"/>
                <w:szCs w:val="1"/>
                <w:color w:val="auto"/>
              </w:rPr>
            </w:pPr>
          </w:p>
        </w:tc>
      </w:tr>
      <w:tr>
        <w:trPr>
          <w:trHeight w:val="229"/>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4,231</w:t>
            </w:r>
          </w:p>
        </w:tc>
        <w:tc>
          <w:tcPr>
            <w:tcW w:w="0" w:type="dxa"/>
            <w:vAlign w:val="bottom"/>
          </w:tcPr>
          <w:p>
            <w:pPr>
              <w:spacing w:after="0"/>
              <w:rPr>
                <w:sz w:val="1"/>
                <w:szCs w:val="1"/>
                <w:color w:val="auto"/>
              </w:rPr>
            </w:pPr>
          </w:p>
        </w:tc>
      </w:tr>
      <w:tr>
        <w:trPr>
          <w:trHeight w:val="223"/>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(39,529)</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(123,586)</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(42,715)</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(123,873)</w:t>
            </w:r>
          </w:p>
        </w:tc>
        <w:tc>
          <w:tcPr>
            <w:tcW w:w="0" w:type="dxa"/>
            <w:vAlign w:val="bottom"/>
          </w:tcPr>
          <w:p>
            <w:pPr>
              <w:spacing w:after="0"/>
              <w:rPr>
                <w:sz w:val="1"/>
                <w:szCs w:val="1"/>
                <w:color w:val="auto"/>
              </w:rPr>
            </w:pPr>
          </w:p>
        </w:tc>
      </w:tr>
      <w:tr>
        <w:trPr>
          <w:trHeight w:val="20"/>
        </w:trPr>
        <w:tc>
          <w:tcPr>
            <w:tcW w:w="80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2024 and 2023</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2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sales were $191.7 million, which included $61.9 million of sales outside the United States. For the three months ended March 31, 2024, we deferred $1.1 million of pump sales as the result of Tandem Choice, which launched in the United States in September of 2022 and for which eligibility to participate ended in February 2024 in conjunction with the launch of Tandem Mobi. Sales were $169.4 million for the same period in 2023, which included $38.1 million of sales outside the United States. For the three months ended March 31, 2023, we deferred $2.0 million of pump sales as the result of Tandem Choice.</w:t>
      </w:r>
    </w:p>
    <w:p>
      <w:pPr>
        <w:sectPr>
          <w:pgSz w:w="11900" w:h="16838" w:orient="portrait"/>
          <w:cols w:equalWidth="0" w:num="1">
            <w:col w:w="11240"/>
          </w:cols>
          <w:pgMar w:left="320" w:top="1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type w:val="continuous"/>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Sales by product in the United States were as follows (in thousands):</w:t>
      </w:r>
    </w:p>
    <w:p>
      <w:pPr>
        <w:spacing w:after="0" w:line="130"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Approximate pump shipments</w:t>
            </w:r>
          </w:p>
        </w:tc>
        <w:tc>
          <w:tcPr>
            <w:tcW w:w="1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Pump</w:t>
            </w:r>
          </w:p>
        </w:tc>
        <w:tc>
          <w:tcPr>
            <w:tcW w:w="122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66,457</w:t>
            </w: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Supplies and other</w:t>
            </w:r>
          </w:p>
        </w:tc>
        <w:tc>
          <w:tcPr>
            <w:tcW w:w="1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66,808</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Deferral for Tandem Choice program</w:t>
            </w:r>
          </w:p>
        </w:tc>
        <w:tc>
          <w:tcPr>
            <w:tcW w:w="1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 in the United States</w:t>
            </w:r>
          </w:p>
        </w:tc>
        <w:tc>
          <w:tcPr>
            <w:tcW w:w="122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129,761</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131,242</w:t>
            </w:r>
          </w:p>
        </w:tc>
      </w:tr>
      <w:tr>
        <w:trPr>
          <w:trHeight w:val="21"/>
        </w:trPr>
        <w:tc>
          <w:tcPr>
            <w:tcW w:w="7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Pump sales in the United States were $61.7 million for the first quarter of 2024, compared to $66.5 million in the first quarter of 2023 as pump shipments decreased in the first quarter of 2024 compared to the same period in 2023. In February 2024, Tandem Mobi became commercially available in the U.S. through a staged launch, initially available with Dexcom G6 sensor integration. We believe anticipation of our newest technology, such as Tandem Mobi integration with the Dexcom G7 sensor, affected the timing of purchasing decisions, resulting in some customers delaying purchases to future periods. Sales of pump-related supplies increased primarily due to a year-over-year increase in our installed base of customers in the United States. Sales to distributors accounted for 61% and 65% of our total sales in the United States for the three months ended March 31, 2024 and 2023, respectively. Sales in the United States for the three months ended March 31, 2024 and 2023 were reduced by a deferral as the result of our Tandem Choice program which launched in September of 2022, for which eligibility to participate ended in February 2024, resulting in a reduction in the deferral compared to the prior year.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by product outside the United States were as follows (in thousands):</w:t>
      </w:r>
    </w:p>
    <w:p>
      <w:pPr>
        <w:spacing w:after="0" w:line="130"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22225</wp:posOffset>
            </wp:positionV>
            <wp:extent cx="2562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Approximate pump shipments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Pump</w:t>
            </w:r>
          </w:p>
        </w:tc>
        <w:tc>
          <w:tcPr>
            <w:tcW w:w="128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18,247</w:t>
            </w:r>
          </w:p>
        </w:tc>
      </w:tr>
      <w:tr>
        <w:trPr>
          <w:trHeight w:val="230"/>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Supplies and other</w:t>
            </w: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36,346</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19,894</w:t>
            </w: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 Outside the United States</w:t>
            </w:r>
          </w:p>
        </w:tc>
        <w:tc>
          <w:tcPr>
            <w:tcW w:w="1280" w:type="dxa"/>
            <w:vAlign w:val="bottom"/>
            <w:tcBorders>
              <w:bottom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Pump sales outside the United States were $25.6 million for the first quarter of 2024, compared to $18.2 million in the first quarter of 2023. Pump sales and shipments increased due to an operational transition to a centralized European distribution center in the first half of 2023. Distributor ordering patterns were significantly disrupted during that transition period, which negatively affected pump and supply shipments and sales. The transition was completed by the second half of 2023. The increase in pump shipments was partially offset by a decrease in average selling prices due primarily to geographical mix. Sales of pump-related supplies increased due to a year-over-year increase in our installed base of customers outside the United States.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Cost of Sales and Gross Profit</w:t>
      </w:r>
    </w:p>
    <w:p>
      <w:pPr>
        <w:spacing w:after="0" w:line="187"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auto"/>
        </w:rPr>
        <w:t>Our cost of sales for the three months ended March 31, 2024 was $97.0 million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resulting in gross profit of $94.7 million, compared to cost of sales of $86.5 million and gross profit of $82.9 million for the same period in 2023. The gross margin for each of the three-month periods ended March 31, 2024 and 2023 was 49%.</w:t>
      </w:r>
    </w:p>
    <w:p>
      <w:pPr>
        <w:spacing w:after="0" w:line="14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Gross profit for the three months ended March 31, 2024 and 2023 was reduced by $1.1 million and $2.0 million, respectively, from sales deferrals related to Tandem Choice. The effect of these sales deferrals was a gross margin reduction of one percentage point for both periods presented. The impact on gross margin from our Tandem Choice program will fluctuate through the end of the program based on the number of eligible customers who ultimately elect to participate.</w:t>
      </w:r>
    </w:p>
    <w:p>
      <w:pPr>
        <w:spacing w:after="0" w:line="13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Excluding the impact of Tandem Choice, gross margin was consistent with the prior year. Gross margin benefited from pricing improvement and lower materials cost, offset by higher overhead on a per-unit basis as we scale volumes of Tandem Mobi in this initial launch phase. Gross margin was also impacted by product and geographical mix. Pump sales, which have the highest gross margin, were 45% of total worldwide sales, excluding the impact of Tandem Choice, in the first quarter of 2024, compared to 49% in the first quarter of 2023.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operating expenses for the three months ended March 31, 2024 were $136.4 million, compared to $210.7 million for the three months ended March 31, 2023. The $74.4 million decrease was primarily driven by $78.8 million of acquired in-process research and development expenses incurred in 2023 in connection with our acquisition of AMF Medical, for which there was no comparable expense in the first quarter of 2024.</w:t>
      </w:r>
    </w:p>
    <w:p>
      <w:pPr>
        <w:spacing w:after="0" w:line="13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were flat at $90.1 million for the three months ended March 31,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$89.8 million for the same period in 2023. Due to cost reduction efforts in 2023, our facilities expense decreased by $3.9 million and our headcount and employee-related spending was in line with the first quarter of the prior year. This improvement was offset by an increase in consulting, travel, and supplies expenses largely related to the launch of multiple new products, as well as IT software and services.</w:t>
      </w:r>
    </w:p>
    <w:p>
      <w:pPr>
        <w:spacing w:after="0" w:line="13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R&amp;D expenses increased to $46.2 million for the three months ended March 31, 2024, from $42.2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same period in 2023. The increase in R&amp;D expenses was primarily the result of a $2.4 million increase in employee benefits and salaries due to our acquisitions and an increase in personnel to support our product development efforts. We also experienced a $1.7 million increase in other non-employee discretionary spending, including clinical trial expenses, outside services and equipment costs.</w:t>
      </w:r>
    </w:p>
    <w:p>
      <w:pPr>
        <w:spacing w:after="0" w:line="153" w:lineRule="exact"/>
        <w:rPr>
          <w:sz w:val="20"/>
          <w:szCs w:val="20"/>
          <w:color w:val="auto"/>
        </w:rPr>
      </w:pPr>
    </w:p>
    <w:p>
      <w:pPr>
        <w:ind w:right="3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Acquired In-Process Research and Development Expenses. </w:t>
      </w:r>
      <w:r>
        <w:rPr>
          <w:rFonts w:ascii="Times New Roman" w:cs="Times New Roman" w:eastAsia="Times New Roman" w:hAnsi="Times New Roman"/>
          <w:sz w:val="18"/>
          <w:szCs w:val="18"/>
          <w:color w:val="auto"/>
        </w:rPr>
        <w:t>Acquired IPR&amp;D expenses of $78.8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represented the value of assets acquired, and acquisition related expenses, in connection with our acquisition of AMF Medical (see Note 12, “Acquisitions”).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8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Total other income (expense), net for the three months ended March 31, 2024 was $2.1 million income, compared to $4.2 million income in the same period in 2023. Other income, net for the three months ended March 31, 2024 primarily consisted of $5.3 million of interest income earned on our cash equivalents and short-term investments, partially offset by $1.9 million of interest expense which included the amortization of debt issuance costs related to our convertible senior notes due 2025 and 2029 (the 2025 Notes and the 2029 Notes, respectively). We also incurred a loss on debt extinguishment of $1.3 million during the quarter. Other income, net for the three months ended March 31, 2023 primarily consisted of $4.2 million of interest income earned on our cash equivalents and short-term investments and $1.6 million in foreign currency transaction gains, partially offset by $1.6 million of interest expense which included the amortization of debt issuance costs related to the 2025 Notes.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recognized income tax expense of $3.2 million on a pre-tax loss of $39.5 million for the three months ended March 31, 2024, compared to income tax expense of $0.3 million on a pre-tax loss of $123.6 million for the three months ended March 31, 2023. Income tax expense for the three months ended March 31, 2024 and 2023 was primarily attributable to federal, state and foreign income tax expense as a result of current taxable income in certain jurisdictions.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At March 31, 2024, we had $467.8 million in cash and cash equivalents and short-term investments. We believe that our cash and cash equivalents, short-term investments, and future cash flows from operations will be sufficient to fund our ongoing core business activities for at least the next 12 months.</w:t>
      </w:r>
    </w:p>
    <w:p>
      <w:pPr>
        <w:spacing w:after="0" w:line="13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historical cash outflows have primarily been associated with cash used for operating activities such as research and development activities, sales, marketing and commercialization of our products worldwide, expansion of clinical and customer support organizations, the acquisition of intellectual property, equity investments and acquired assets, capital expenditures and debt service costs.</w:t>
      </w:r>
    </w:p>
    <w:p>
      <w:pPr>
        <w:spacing w:after="0" w:line="13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Historically, our principal sources of cash have included cash collected from product sales, private and public offerings of equity securities, exercises of employee stock awards, and debt financing. We expect to rely on these sources of cash, primarily from product sales, to fund our material cash requirements in both the short and long term.</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three months ended March 31, 2024, and 2023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3180" w:type="dxa"/>
            <w:vAlign w:val="bottom"/>
            <w:tcBorders>
              <w:bottom w:val="single" w:sz="8" w:color="auto"/>
            </w:tcBorders>
            <w:gridSpan w:val="5"/>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(18,326)</w:t>
            </w:r>
          </w:p>
        </w:tc>
      </w:tr>
      <w:tr>
        <w:trPr>
          <w:trHeight w:val="230"/>
        </w:trPr>
        <w:tc>
          <w:tcPr>
            <w:tcW w:w="80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(26,329)</w:t>
            </w: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30"/>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(44,755)</w:t>
            </w:r>
          </w:p>
        </w:tc>
      </w:tr>
      <w:tr>
        <w:trPr>
          <w:trHeight w:val="21"/>
        </w:trPr>
        <w:tc>
          <w:tcPr>
            <w:tcW w:w="8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Net cash used in operating activities was $8.0 million for the three months ended March 31, 2024, compared to $18.3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used in the same period in 2023. For the three months ended March 31, 2024, net loss was $43.3 million, net non-cash adjustments were $29.8 million, and change in working capital balances was an increase of $5.5 million. For the three months ended March 31, 2023, net loss was $123.9 million, net non-cash adjustments were $105.5 million and change in working capital balances was a $0.1 million decrease. For the three months ended March 31, 2023, net non-cash adjustments included $78.8 million of acquired in-process research and development expenses related to our acquisition of AMF Medical.</w:t>
      </w:r>
    </w:p>
    <w:p>
      <w:pPr>
        <w:spacing w:after="0" w:line="142"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Net cash used in investing activities was $5.1 million for the three months ended March 31, 2024, which primarily consisted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$84.2 million of purchases of short-term investments, and $4.5 million in purchases of property and equipment, offset by $83.7 million in proceeds from maturities and redemptions of short-term investments. Net cash used in investing activities was $26.3 million for the three months ended March 31, 2023, which was primarily related to $109.1 million of purchases of short-term investments, $69.5 million for the acquisition of AMF Medical, including transaction costs (see Note 12, “Acquisitions”), and $8.8 million in purchases of property and equipment, offset by $163.1 million in proceeds from maturities and redemptions of short-term investments.</w:t>
      </w:r>
    </w:p>
    <w:p>
      <w:pPr>
        <w:spacing w:after="0" w:line="155"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was $13.6 million for the three months ended March 31, 2024, which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consisted of net proceeds of $306.9 million from the issuance of the 2029 Notes which was partially offset by $246.1 million used in the repurchase of the 2025 Notes, $30.0 million used in the repurchase and retirement of common stock and $15.8 million used to purchase Capped Call Options related to the 2029 Notes. In addition, $1.5 million was used in payments for tax withholdings related to the issuance of common stock under our stock plans. Net cash used in financing activities was $0.5 million for the three months ended March 31, 2023, which primarily consisted of payments for tax withholdings related to the issuance of common stock under our stock plans.</w:t>
      </w:r>
    </w:p>
    <w:p>
      <w:pPr>
        <w:spacing w:after="0" w:line="14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liquidity position and capital requirements are subject to fluctuation based on a number of factors. In particular, our cash inflows and outflows are principally impacted by the following:</w:t>
      </w:r>
    </w:p>
    <w:p>
      <w:pPr>
        <w:spacing w:after="0" w:line="162" w:lineRule="exact"/>
        <w:rPr>
          <w:sz w:val="20"/>
          <w:szCs w:val="20"/>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sales, the timing of those sales, the mix of products sold and the collection of receivables from period to period;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debt obligations, including periodic interest payments;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additional financings, and the net proceeds raised from such financings;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proceeds from the issuance of equity awards pursuant to employee stock plans;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gross and operating margins; and</w:t>
      </w:r>
    </w:p>
    <w:p>
      <w:pPr>
        <w:spacing w:after="0" w:line="225" w:lineRule="exact"/>
        <w:rPr>
          <w:rFonts w:ascii="Times New Roman" w:cs="Times New Roman" w:eastAsia="Times New Roman" w:hAnsi="Times New Roman"/>
          <w:sz w:val="18"/>
          <w:szCs w:val="18"/>
          <w:color w:val="auto"/>
        </w:rPr>
      </w:pPr>
    </w:p>
    <w:p>
      <w:pPr>
        <w:ind w:left="1300" w:right="80" w:hanging="320"/>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working capital, including changes in accounts receivable, inventories, accounts payable, employee-related liabilities, and operating lease liabilities.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Both our primary short-term and long-term capital needs are expected to include expenditures related to:</w:t>
      </w:r>
    </w:p>
    <w:p>
      <w:pPr>
        <w:spacing w:after="0" w:line="225"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of our commercialization efforts related to our current and future products;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customer support resources for our growing installed customer base;</w:t>
      </w: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32" w:name="page33"/>
    <w:bookmarkEnd w:id="32"/>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product development efforts, including clinical trial costs;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including contingent earnout payments that become payable upon the achievement of certain milestones;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leasing or licensing of equipment, technology, intellectual property and other assets;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facilities leases and related tenant improvements;</w:t>
      </w:r>
    </w:p>
    <w:p>
      <w:pPr>
        <w:spacing w:after="0" w:line="225"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for the development, improvement and acquisition of manufacturing, testing and packaging equipment to support business growth and increase capacity;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licensing, development and commercialization agreements;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costs related to acquisitions of businesses, products and technologies.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judgments that affect the reported amounts of assets, liabilities, revenues and expenses and the disclosure of contingent assets and liabilities in our condensed consolidated financial statements and accompanying notes as of the date of the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Some of those judgments can be subjective and complex, and therefore, actual results could differ materially from those estimates under different assumptions or conditions.</w:t>
      </w:r>
    </w:p>
    <w:p>
      <w:pPr>
        <w:spacing w:after="0" w:line="15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2023.</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material changes to our quantitative and qualitative disclosures about market risk during the three months ended March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II, Item 7A of our Annual Report on Form 10-K for the fiscal year ended December 31, 2023 for a detailed discussion of our market risks.</w:t>
      </w:r>
    </w:p>
    <w:p>
      <w:pPr>
        <w:spacing w:after="0" w:line="16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we had, $357.0 million in aggregate principal amount under two convertible senior notes, each of which bear interest at a fixed rate of 1.50% per year. Accordingly, we are not subject to interest rate risk related to our convertible senior notes (see Note 7, “Debt”).</w:t>
      </w:r>
    </w:p>
    <w:p>
      <w:pPr>
        <w:spacing w:after="0" w:line="1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we file with the SEC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3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a reasonable assurance level as of March 31, 2024.</w:t>
      </w:r>
    </w:p>
    <w:p>
      <w:pPr>
        <w:spacing w:after="0" w:line="13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of the Exchange Act) during the quarter ended March 31, 2024 that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78" w:right="37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Except as set forth above under the caption “Commitments and Contingencies - Legal and Regulatory Matters” in Part I, Notes to Unaudited Condensed Consolidated Financial Statements, Subsection 13 of this Quarterly Report, as of March 31, 2024, we do not believe there are any material pending legal proceedings to which we or any of our subsidiaries are a party or of which any of our property is subject. See also “Patent litigation in the medical device industry is common, and we may be subject to litigation that could cause us to incur substantial costs and divert the attention of management from our business” in Part II, Item 1A of this Quarterly Report.</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below, under the heading “Risk Factors” in Part II, Item 1A of this Quarterly Report, and should be carefully considered, together with other information in this Quarterly Report and the Annual Report, before making investment decisions regarding our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8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We have incurred significant operating losses since inception and cannot assure you that we will achieve sustained profitability.</w:t>
      </w:r>
    </w:p>
    <w:p>
      <w:pPr>
        <w:spacing w:after="0" w:line="184"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61"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maintain and grow our revenue depends in part on retaining a high percentage of our customer base.</w:t>
      </w:r>
    </w:p>
    <w:p>
      <w:pPr>
        <w:spacing w:after="0" w:line="184"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Competing products, therapeutic techniques or other technological developments and breakthroughs for the monitoring, treatment or prevention of diabetes may render our products obsolete or less desirable.</w:t>
      </w:r>
    </w:p>
    <w:p>
      <w:pPr>
        <w:spacing w:after="0" w:line="186" w:lineRule="exact"/>
        <w:rPr>
          <w:rFonts w:ascii="Arial" w:cs="Arial" w:eastAsia="Arial" w:hAnsi="Arial"/>
          <w:sz w:val="22"/>
          <w:szCs w:val="22"/>
          <w:color w:val="auto"/>
        </w:rPr>
      </w:pPr>
    </w:p>
    <w:p>
      <w:pPr>
        <w:ind w:left="660" w:right="700" w:hanging="328"/>
        <w:spacing w:after="0" w:line="234"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Failure of our insulin pumps and related products to achieve and maintain market acceptance could result in us achieving sales below our expectations, which would cause our business, financial condition and operating results to be materially and adversely affected.</w:t>
      </w:r>
    </w:p>
    <w:p>
      <w:pPr>
        <w:spacing w:after="0" w:line="186" w:lineRule="exact"/>
        <w:rPr>
          <w:rFonts w:ascii="Arial" w:cs="Arial" w:eastAsia="Arial" w:hAnsi="Arial"/>
          <w:sz w:val="22"/>
          <w:szCs w:val="22"/>
          <w:color w:val="auto"/>
        </w:rPr>
      </w:pPr>
    </w:p>
    <w:p>
      <w:pPr>
        <w:ind w:left="660" w:right="300" w:hanging="328"/>
        <w:spacing w:after="0" w:line="234"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86"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Any concerns regarding the safety or efficacy of our products could limit sales and cause unforeseen negative effects to our business prospects and financial results.</w:t>
      </w:r>
    </w:p>
    <w:p>
      <w:pPr>
        <w:spacing w:after="0" w:line="180" w:lineRule="exact"/>
        <w:rPr>
          <w:rFonts w:ascii="Arial" w:cs="Arial" w:eastAsia="Arial" w:hAnsi="Arial"/>
          <w:sz w:val="22"/>
          <w:szCs w:val="22"/>
          <w:color w:val="auto"/>
        </w:rPr>
      </w:pPr>
    </w:p>
    <w:p>
      <w:pPr>
        <w:ind w:left="660" w:right="160" w:hanging="328"/>
        <w:spacing w:after="0" w:line="234"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86" w:lineRule="exact"/>
        <w:rPr>
          <w:rFonts w:ascii="Arial" w:cs="Arial" w:eastAsia="Arial" w:hAnsi="Arial"/>
          <w:sz w:val="22"/>
          <w:szCs w:val="22"/>
          <w:color w:val="auto"/>
        </w:rPr>
      </w:pPr>
    </w:p>
    <w:p>
      <w:pPr>
        <w:ind w:left="660" w:right="100" w:hanging="328"/>
        <w:spacing w:after="0" w:line="239"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We are dependent on clinical investigators and clinical sites to enroll participants in our current and anticipated clinical trials and human factors studies, and the failure to successfully complete clinical trials and studies could prevent us from obtaining regulatory clearances, certifications, or approvals for or commercializing our products.</w:t>
      </w:r>
    </w:p>
    <w:p>
      <w:pPr>
        <w:spacing w:after="0" w:line="186" w:lineRule="exact"/>
        <w:rPr>
          <w:rFonts w:ascii="Arial" w:cs="Arial" w:eastAsia="Arial" w:hAnsi="Arial"/>
          <w:sz w:val="22"/>
          <w:szCs w:val="22"/>
          <w:color w:val="auto"/>
        </w:rPr>
      </w:pPr>
    </w:p>
    <w:p>
      <w:pPr>
        <w:ind w:left="660" w:right="80" w:hanging="328"/>
        <w:spacing w:after="0" w:line="239"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We depend on a limited number of third-party suppliers for certain components and products, and the loss of any of these suppliers, their inability to provide us with an adequate supply of components or products, or our inability to adequately forecast customer demand, could harm our business.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5" w:name="page36"/>
    <w:bookmarkEnd w:id="35"/>
    <w:p>
      <w:pPr>
        <w:ind w:left="660" w:right="120" w:hanging="328"/>
        <w:spacing w:after="0" w:line="234"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We depend on the knowledge and skills of our senior management and other key employees, and if we are unable to retain and motivate them or recruit additional qualified personnel, our business may suffer.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216" w:lineRule="exact"/>
        <w:rPr>
          <w:sz w:val="20"/>
          <w:szCs w:val="20"/>
          <w:color w:val="auto"/>
        </w:rPr>
      </w:pPr>
    </w:p>
    <w:p>
      <w:pPr>
        <w:ind w:left="660" w:right="380" w:hanging="328"/>
        <w:spacing w:after="0" w:line="234"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Commercializing our products outside of the United States may result in a variety of risks associated with international operations that could materially adversely affect our business.</w:t>
      </w:r>
    </w:p>
    <w:p>
      <w:pPr>
        <w:spacing w:after="0" w:line="186" w:lineRule="exact"/>
        <w:rPr>
          <w:rFonts w:ascii="Arial" w:cs="Arial" w:eastAsia="Arial" w:hAnsi="Arial"/>
          <w:sz w:val="22"/>
          <w:szCs w:val="22"/>
          <w:color w:val="auto"/>
        </w:rPr>
      </w:pPr>
    </w:p>
    <w:p>
      <w:pPr>
        <w:ind w:left="660" w:right="460" w:hanging="328"/>
        <w:spacing w:after="0" w:line="244"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obtain any required regulatory authorization, clearance or certification in foreign jurisdictions will prevent us from marketing our products in international markets.</w:t>
      </w:r>
    </w:p>
    <w:p>
      <w:pPr>
        <w:spacing w:after="0" w:line="180" w:lineRule="exact"/>
        <w:rPr>
          <w:rFonts w:ascii="Arial" w:cs="Arial" w:eastAsia="Arial" w:hAnsi="Arial"/>
          <w:sz w:val="22"/>
          <w:szCs w:val="22"/>
          <w:color w:val="auto"/>
        </w:rPr>
      </w:pPr>
    </w:p>
    <w:p>
      <w:pPr>
        <w:ind w:left="660" w:right="160" w:hanging="328"/>
        <w:spacing w:after="0" w:line="234"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Because our business is global, our sales and profits may fluctuate or decline in response to changes in foreign currency exchange rates or other international risks.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Macroeconomic Conditions and External Factors</w:t>
      </w:r>
    </w:p>
    <w:p>
      <w:pPr>
        <w:spacing w:after="0" w:line="216" w:lineRule="exact"/>
        <w:rPr>
          <w:sz w:val="20"/>
          <w:szCs w:val="20"/>
          <w:color w:val="auto"/>
        </w:rPr>
      </w:pPr>
    </w:p>
    <w:p>
      <w:pPr>
        <w:ind w:left="660" w:right="460" w:hanging="328"/>
        <w:spacing w:after="0" w:line="234"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Uncertainty in current global economic and political conditions could adversely affect our ability to predict product demand and impact our financial results and makes it more likely that our actual results could differ materially from expectations.</w:t>
      </w:r>
    </w:p>
    <w:p>
      <w:pPr>
        <w:spacing w:after="0" w:line="186"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Public health threats, epidemics, or pandemics could have a material adverse effect on our operations, the operations of our business partners, and the global economy as a whole.</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Climate change or other extreme weather conditions and related regulations may have a long-term impact on our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Future Financings and Financial Results</w:t>
      </w:r>
    </w:p>
    <w:p>
      <w:pPr>
        <w:spacing w:after="0" w:line="216" w:lineRule="exact"/>
        <w:rPr>
          <w:sz w:val="20"/>
          <w:szCs w:val="20"/>
          <w:color w:val="auto"/>
        </w:rPr>
      </w:pPr>
    </w:p>
    <w:p>
      <w:pPr>
        <w:ind w:left="660" w:hanging="328"/>
        <w:spacing w:after="0" w:line="244"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We may need to raise additional funds in the future and if we are unable to raise additional funds when necessary or desirable, we may not be able to achieve our strategic objectives.</w:t>
      </w:r>
    </w:p>
    <w:p>
      <w:pPr>
        <w:spacing w:after="0" w:line="16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Our operating results may fluctuate significantly from quarter to quarter.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Privacy and Security</w:t>
      </w:r>
    </w:p>
    <w:p>
      <w:pPr>
        <w:spacing w:after="0" w:line="216" w:lineRule="exact"/>
        <w:rPr>
          <w:sz w:val="20"/>
          <w:szCs w:val="20"/>
          <w:color w:val="auto"/>
        </w:rPr>
      </w:pPr>
    </w:p>
    <w:p>
      <w:pPr>
        <w:ind w:left="660" w:right="40" w:hanging="328"/>
        <w:spacing w:after="0" w:line="243"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If our information technology systems or those third parties upon which we rely, our data, or our software are or were compromised, we could experience adverse consequences resulting from such compromise, including but not limited to regulatory investigations or actions; litigation; fines and penalties; disruptions of our business operations; harm to our reputation; loss of revenue or profits; loss of customers or sales; and other adverse consequences.</w:t>
      </w:r>
    </w:p>
    <w:p>
      <w:pPr>
        <w:spacing w:after="0" w:line="181"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If we are found to have violated laws concerning the privacy and security of patient health information or other personal information, we could be subject to civil or criminal penalties, which could increase our liabilities and harm our reputation or our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Intellectual Property</w:t>
      </w:r>
    </w:p>
    <w:p>
      <w:pPr>
        <w:spacing w:after="0" w:line="19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comprehensively protect our intellectual property and proprietary technology is uncertain.</w:t>
      </w:r>
    </w:p>
    <w:p>
      <w:pPr>
        <w:spacing w:after="0" w:line="184" w:lineRule="exact"/>
        <w:rPr>
          <w:rFonts w:ascii="Arial" w:cs="Arial" w:eastAsia="Arial" w:hAnsi="Arial"/>
          <w:sz w:val="22"/>
          <w:szCs w:val="22"/>
          <w:color w:val="auto"/>
        </w:rPr>
      </w:pPr>
    </w:p>
    <w:p>
      <w:pPr>
        <w:ind w:left="660" w:right="180" w:hanging="328"/>
        <w:spacing w:after="0" w:line="234"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Patent litigation in the medical device industry is common, and we may be subject to litigation that could cause us to incur substantial costs and divert the attention of management from our business.</w:t>
      </w:r>
    </w:p>
    <w:p>
      <w:pPr>
        <w:spacing w:after="0" w:line="186" w:lineRule="exact"/>
        <w:rPr>
          <w:rFonts w:ascii="Arial" w:cs="Arial" w:eastAsia="Arial" w:hAnsi="Arial"/>
          <w:sz w:val="22"/>
          <w:szCs w:val="22"/>
          <w:color w:val="auto"/>
        </w:rPr>
      </w:pPr>
    </w:p>
    <w:p>
      <w:pPr>
        <w:ind w:left="660" w:right="700" w:hanging="328"/>
        <w:spacing w:after="0" w:line="244"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subject to damages resulting from claims that we, or our employees, have wrongfully used or disclosed trade secrets or other proprietary information of our competitors.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Regulatory Environment</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9" w:right="419" w:bottom="1440" w:gutter="0" w:footer="0" w:header="0"/>
        </w:sectPr>
      </w:pPr>
    </w:p>
    <w:bookmarkStart w:id="36" w:name="page37"/>
    <w:bookmarkEnd w:id="36"/>
    <w:p>
      <w:pPr>
        <w:ind w:left="660" w:right="60" w:hanging="328"/>
        <w:spacing w:after="0" w:line="234"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Our products and operations are subject to extensive governmental regulation, and failure to comply with applicable requirements could cause our business to suffer.</w:t>
      </w:r>
    </w:p>
    <w:p>
      <w:pPr>
        <w:spacing w:after="0" w:line="186" w:lineRule="exact"/>
        <w:rPr>
          <w:rFonts w:ascii="Arial" w:cs="Arial" w:eastAsia="Arial" w:hAnsi="Arial"/>
          <w:sz w:val="22"/>
          <w:szCs w:val="22"/>
          <w:color w:val="auto"/>
        </w:rPr>
      </w:pPr>
    </w:p>
    <w:p>
      <w:pPr>
        <w:ind w:left="660" w:right="340" w:hanging="328"/>
        <w:spacing w:after="0" w:line="234" w:lineRule="auto"/>
        <w:tabs>
          <w:tab w:leader="none" w:pos="655"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New products or modifications to our existing products may require new 510(k) clearances, PMAs or certifications, or may require us to cease marketing or recall the modified products until clearances, certifications or approvals are obtained.</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A recall or suspension of our products, or the discovery of serious safety issues with our products, could have a significant negative impact on us.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9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The price of our common stock may continue to fluctuate significantly.</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use our net operating loss carryforwards and certain other tax attributes may be limited.</w:t>
      </w:r>
    </w:p>
    <w:p>
      <w:pPr>
        <w:spacing w:after="0" w:line="184" w:lineRule="exact"/>
        <w:rPr>
          <w:rFonts w:ascii="Arial" w:cs="Arial" w:eastAsia="Arial" w:hAnsi="Arial"/>
          <w:sz w:val="22"/>
          <w:szCs w:val="22"/>
          <w:color w:val="auto"/>
        </w:rPr>
      </w:pPr>
    </w:p>
    <w:p>
      <w:pPr>
        <w:ind w:left="660" w:right="140" w:hanging="328"/>
        <w:spacing w:after="0" w:line="234"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If we fail to maintain an effective system of internal control over financial reporting, we may not be able to accurately report our financial results or prevent fraud, which could harm our business and result in a decline in the trading price of our common stock.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16" w:lineRule="exact"/>
        <w:rPr>
          <w:sz w:val="20"/>
          <w:szCs w:val="20"/>
          <w:color w:val="auto"/>
        </w:rPr>
      </w:pPr>
    </w:p>
    <w:p>
      <w:pPr>
        <w:ind w:left="660" w:right="280" w:hanging="328"/>
        <w:spacing w:after="0" w:line="239" w:lineRule="auto"/>
        <w:tabs>
          <w:tab w:leader="none" w:pos="655"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We have incurred a significant amount of indebtedness and the agreements governing such indebtedness subject us to required debt service payments, as well as financial and operational covenants, any of which may restrict our financial flexibility and affect our ability to operate our business.</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Servicing the Notes will require a significant amount of cash, and we may not have sufficient cash flow from our business to repay the Notes.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We may take actions which could limit our ability to make payments on the Notes.</w:t>
      </w:r>
    </w:p>
    <w:p>
      <w:pPr>
        <w:spacing w:after="0" w:line="22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i w:val="1"/>
          <w:iCs w:val="1"/>
          <w:color w:val="auto"/>
        </w:rPr>
        <w:t>An investment in our common stock, or in securities convertible into or exchangeable for our common stock, involves a high degree of risk. You should carefully consider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liquidity, and future prospects. Certain statements below are forward-looking statements. For additional information, see “Cautionary Note Regarding Forward-Looking Statements” at the beginning of this Quarterly Report and Part I, Item 2, Management’s Discussion and Analysis of Financial Condition and Results of Operations of this Quarterly Report.</w:t>
      </w:r>
    </w:p>
    <w:p>
      <w:pPr>
        <w:spacing w:after="0" w:line="207"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The risk factors set forth below marked with an asterisk (*) next to the title did not appear as separate risk factors in, or contain changes to the similarly titled risk factor included in, Part I, Item 1A of our Annual Report on Form 10-K for the year ended December 31,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cannot assure you that we will achieve sustained profitability.*</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Since our inception in January 2006, we have incurred a significant net loss. As of March 31, 2024, we had an accumulated deficit of $994.5 million. To date, we have funded our operations primarily through cash collected from product sales, private and public offerings of our equity securities, and debt financing. We have devoted substantially all of our resources to the design, development and commercialization of our products, the scaling of our manufacturing and business operations, and the research and development of our current products and products under development.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7" w:name="page38"/>
    <w:bookmarkEnd w:id="37"/>
    <w:p>
      <w:pPr>
        <w:ind w:firstLine="648"/>
        <w:spacing w:after="0" w:line="266" w:lineRule="auto"/>
        <w:rPr>
          <w:sz w:val="20"/>
          <w:szCs w:val="20"/>
          <w:color w:val="auto"/>
        </w:rPr>
      </w:pPr>
      <w:r>
        <w:rPr>
          <w:rFonts w:ascii="Times New Roman" w:cs="Times New Roman" w:eastAsia="Times New Roman" w:hAnsi="Times New Roman"/>
          <w:sz w:val="18"/>
          <w:szCs w:val="18"/>
          <w:color w:val="auto"/>
        </w:rPr>
        <w:t>Since the first quarter of 2013, we have been able to manufacture and sell our insulin pump products at a cost and in volumes sufficient to allow us to achieve a positive overall gross margin. Although we have achieved a positive overall gross margin during the years ended December 31, 2023 and 2022, we had net losses from operations in those years, and we may continue to incur net losses from operations in the future.</w:t>
      </w:r>
    </w:p>
    <w:p>
      <w:pPr>
        <w:spacing w:after="0" w:line="14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To implement our business strategy and achieve consistent profitability, we need to, among other things, increase sales of our products and the gross profit associated with those sales, maintain an appropriate customer service, training and support infrastructure, fund ongoing research and development (R&amp;D) activities, create additional efficiencies in our manufacturing processes while adding to our capacity, and obtain regulatory clearance, certification or approval to commercialize our products currently under development both in the United States and the more than 25 countries outside the United States in which our insulin pumps are available. We expect our expenses will continue to increase as we pursue these objectives and make investments in our business. Additional increases in our expenses without commensurate increases in sales could significantly increase our operating losses.</w:t>
      </w:r>
    </w:p>
    <w:p>
      <w:pPr>
        <w:spacing w:after="0" w:line="14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competing products by people with insulin-dependent diabetes, their caregivers and healthcare providers, the timing of regulatory clearance, certification, or approval of our products and the products of our competitors, the actual efficiencies gained in our manufacturing processes, and general economic conditions. Any additional operating losses will have an adverse effect on our stockholders’ equity, and we cannot assure you that we will be able to sustain profitability.</w:t>
      </w:r>
    </w:p>
    <w:p>
      <w:pPr>
        <w:spacing w:after="0" w:line="13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5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generate nearly all of our revenue from the sale of t:slim X2 insulin pumps and the related insulin cartridges and infusion sets. In addition, we recently launched our Tandem Mobi insulin pump. Sales of these products may be negatively impacted by many factors, including:</w:t>
      </w:r>
    </w:p>
    <w:p>
      <w:pPr>
        <w:spacing w:after="0" w:line="162" w:lineRule="exact"/>
        <w:rPr>
          <w:sz w:val="20"/>
          <w:szCs w:val="20"/>
          <w:color w:val="auto"/>
        </w:rPr>
      </w:pPr>
    </w:p>
    <w:p>
      <w:pPr>
        <w:ind w:left="1300" w:right="820" w:hanging="320"/>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the insulin pumps and related products manufactured and sold by our key competitors, including Insulet, Medtronic, and Ypsomed;</w:t>
      </w:r>
    </w:p>
    <w:p>
      <w:pPr>
        <w:spacing w:after="0" w:line="161" w:lineRule="exact"/>
        <w:rPr>
          <w:rFonts w:ascii="Times New Roman" w:cs="Times New Roman" w:eastAsia="Times New Roman" w:hAnsi="Times New Roman"/>
          <w:sz w:val="18"/>
          <w:szCs w:val="18"/>
          <w:color w:val="auto"/>
        </w:rPr>
      </w:pPr>
    </w:p>
    <w:p>
      <w:pPr>
        <w:ind w:left="1300" w:right="300" w:hanging="320"/>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breakthroughs for the monitoring, treatment or prevention of diabetes may render our insulin pumps obsolete or less desirable;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or legal actions relating to our products, or similar products or technologies of our competitors;</w:t>
      </w:r>
    </w:p>
    <w:p>
      <w:pPr>
        <w:spacing w:after="0" w:line="225" w:lineRule="exact"/>
        <w:rPr>
          <w:rFonts w:ascii="Times New Roman" w:cs="Times New Roman" w:eastAsia="Times New Roman" w:hAnsi="Times New Roman"/>
          <w:sz w:val="18"/>
          <w:szCs w:val="18"/>
          <w:color w:val="auto"/>
        </w:rPr>
      </w:pPr>
    </w:p>
    <w:p>
      <w:pPr>
        <w:ind w:left="1300" w:right="560" w:hanging="320"/>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Tandem Device Updater to accurately and timely provide customers with remote access to new product features and functionality as anticipated, or our failure to obtain regulatory clearance, certification, or approval for any such updates;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rates or policies relating to insulin pumps or similar products or technologies by third-party payors;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and attrition rates of consumers who cease using our products;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enter into contracts with third-party payors on a timely basis and on acceptable terms;</w:t>
      </w:r>
    </w:p>
    <w:p>
      <w:pPr>
        <w:spacing w:after="0" w:line="225" w:lineRule="exact"/>
        <w:rPr>
          <w:rFonts w:ascii="Times New Roman" w:cs="Times New Roman" w:eastAsia="Times New Roman" w:hAnsi="Times New Roman"/>
          <w:sz w:val="18"/>
          <w:szCs w:val="18"/>
          <w:color w:val="auto"/>
        </w:rPr>
      </w:pPr>
    </w:p>
    <w:p>
      <w:pPr>
        <w:ind w:left="1300" w:right="380" w:hanging="320"/>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arising from the expansion of our manufacturing capabilities and commercial operations, or destruction, loss, or temporary shutdown of our manufacturing facilities;</w:t>
      </w:r>
    </w:p>
    <w:p>
      <w:pPr>
        <w:spacing w:after="0" w:line="161" w:lineRule="exact"/>
        <w:rPr>
          <w:rFonts w:ascii="Times New Roman" w:cs="Times New Roman" w:eastAsia="Times New Roman" w:hAnsi="Times New Roman"/>
          <w:sz w:val="18"/>
          <w:szCs w:val="18"/>
          <w:color w:val="auto"/>
        </w:rPr>
      </w:pPr>
    </w:p>
    <w:p>
      <w:pPr>
        <w:ind w:left="1300" w:right="380" w:hanging="320"/>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the perceived safety, reliability or cybersecurity of any of our products, or any component thereof, particularly in connection with the launch of additional mobile app features and functionality and other software products;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that any of our products, or any component thereof, infringes on patent rights or other intellectual property rights of third parties.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38" w:name="page39"/>
    <w:bookmarkEnd w:id="38"/>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In addition, sales of any of our current or future insulin pump products with CGM integration are subject to the continuation of our applicable agreements with Dexcom, Abbott, or other third parties which, under some circumstances, may be subject to termination, with or without cause, on relatively short notice. Sales of our current or future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Because we currently rely on sales of our t:slim X2 insulin pump, and expect to rely on sales of our Tandem</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Mobi insulin pump, and related products to generate a significant majority of our revenue, any factors that negatively impact sales of these products (or negatively impact the products or components integrated with these products) could adversely affect our business, financial condition and operating results. Furthermore, any disruption in our supply chain could negatively impact our ability to manufacture or otherwise supply sufficient product quantities to meet current customer demand, or any unexpected increase in demand, which could also have the effect of magnifying the negative impact of any of the factors described above.</w:t>
      </w:r>
    </w:p>
    <w:p>
      <w:pPr>
        <w:spacing w:after="0" w:line="196"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Uncertainty in current global economic and political conditions could adversely affect our ability to predict product demand and impact our financial results.</w:t>
      </w:r>
    </w:p>
    <w:p>
      <w:pPr>
        <w:spacing w:after="0" w:line="13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operations and performance depend in part on worldwide economic and political conditions. Many of the jurisdictions in which our products are sold have experienced and could continue to experience unfavorable general economic conditions, such as a recession or economic slowdown,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and grow our revenue depends in part on retaining a high percentage of our customer base.</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key to maintaining and growing our revenue is the retention of a high percentage of our customers due to the potentially significant revenue generated from ongoing purchases of single-use infusion sets, insulin cartridges and other supplies. In addition, our pumps are designed and tested to remain effective for at least four years and a customer may consider purchasing another product from us when the time comes to replace the pump. We have developed retention programs, including our Tandem Choice Program, aimed at our customers, their caregivers and healthcare providers, which include discounts, training specific to our products, ongoing support by our sales and clinical employees, and technical support and customer service. Demand for our products from our existing customers could decline or could fail to increase as anticipated or projected as a result of a number of factors, including the introduction of competing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certification, or approvals for products or product features in a timely manner or at all, product development or commercialization delays, the impacts and disruption from health epidemics or pandemics, international conflicts, or for other reasons.</w:t>
      </w:r>
    </w:p>
    <w:p>
      <w:pPr>
        <w:spacing w:after="0" w:line="15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failure to retain a high percentage of our customers and increase sales to these customers consistent with our forecasts would have a material adverse effect on our business, financial condition and operating results.</w:t>
      </w:r>
    </w:p>
    <w:p>
      <w:pPr>
        <w:spacing w:after="0" w:line="13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industry and if we fail to compete successfully against our existing or potential competitors, or if the competitive environment harms our business partners, our financial condition and operating results may be negatively affected.</w:t>
      </w:r>
    </w:p>
    <w:p>
      <w:pPr>
        <w:spacing w:after="0" w:line="11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medical device industry is intensely competitive, subject to rapid change and highly sensitive to the introduction of new products, treatment techniques or technologies, as well as other activities of industry participants. To continue to compete effectively, we must continue to create, invest in or acquire advanced technology, incorporate this technology into our proprietary products, obtain regulatory clearance, certification, or approvals in a timely manner, and manufacture and successfully market our products. Given these factors, we cannot guarantee that we will be able to compete effectively or continue our level of success.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82" w:right="379" w:bottom="1440" w:gutter="0" w:footer="0" w:header="0"/>
        </w:sectPr>
      </w:pPr>
    </w:p>
    <w:bookmarkStart w:id="39" w:name="page40"/>
    <w:bookmarkEnd w:id="39"/>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Our primary competitors are major medical device companies, primarily Insulet, Medtronic, and Ypsomed. There are also a number of other companies developing and marketing their own insulin delivery systems and/or related software applications, including insulin pumps and Bluetooth-enabled insulin pens to support MDI therapy. Our primary competitors may enjoy several competitive advantages over us, including:</w:t>
      </w:r>
    </w:p>
    <w:p>
      <w:pPr>
        <w:spacing w:after="0" w:line="176" w:lineRule="exact"/>
        <w:rPr>
          <w:sz w:val="20"/>
          <w:szCs w:val="20"/>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sales and marketing, product development, customer service and clinical resources;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ability to respond to competitive pressures, regulatory uncertainty, or challenges within the financial markets;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healthcare providers, third-party payors and regulatory agencies;</w:t>
      </w:r>
    </w:p>
    <w:p>
      <w:pPr>
        <w:spacing w:after="0" w:line="225"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reputation and name recognition among healthcare providers and other key opinion leaders in the medical industry generally and the diabetes industry in particular;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distribution networks;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ability to cross-sell products or provide incentives to healthcare providers to use their products;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experience in conducting R&amp;D, manufacturing, clinical trials, and obtaining regulatory approval or clearance.</w:t>
      </w:r>
    </w:p>
    <w:p>
      <w:pPr>
        <w:spacing w:after="0" w:line="19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Abbott also offers glucose sensors which compete with Dexcom CGMs. Further, we have entered into an agreement with Abbott to develop and commercialize integrated diabetes solutions using Abbott’s glucose sensor. There can be no assurance that our collaborations with Dexcom and Abbott will be successful or that we will not experience delays, business disputes, or other unanticipated challenges. Competitive pressures within our industry could negatively impact the financial condition of our business partners and impact their ability to fulfill contractual obligations to us, which could negatively impact our product sales, result in delays in obtaining regulatory clearances, certifications, or approvals for new products, harm our reputation, and result in harm to our financial condition and operating results.</w:t>
      </w:r>
    </w:p>
    <w:p>
      <w:pPr>
        <w:spacing w:after="0" w:line="14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For these and other reasons, we may not be able to compete successfully against our current or potential future competitors, which could have a material adverse impact on our financial condition and operating results.</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Competing products, therapeutic techniques or other technological developments and breakthroughs for the monitoring, treatment or prevention of diabetes may render our products obsolete or less desirable.*</w:t>
      </w:r>
    </w:p>
    <w:p>
      <w:pPr>
        <w:spacing w:after="0" w:line="132"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Our ability to grow our business and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therapeutic techniques,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40" w:name="page41"/>
    <w:bookmarkEnd w:id="40"/>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Because the insulin-dependent diabetes market is large and growing, we anticipate companies will continue to dedicate significant resources to developing competing products and technologies. The introduction by competitors of products that are or claim to be superior to our products may create market confusion that may make it difficult to differentiate the benefits of our products over competing products. In addition, some of our competitors employ aggressive pricing strategies, including the use of discounts, rebates, low-cost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Moreover, we have designed our hardware products to resemble modern consumer electronic devices to address certain wearability and functionality concerns consumers have raised with respect to traditional pumps. Similarly, our newer mobile software applications are being designed to incorporate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spacing w:after="0" w:line="14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our insulin pumps and related products to achieve and maintain market acceptance could result in us achieving sales below our expectations, which would cause our business, financial condition and operating results to be materially and adversely affected.</w:t>
      </w:r>
    </w:p>
    <w:p>
      <w:pPr>
        <w:spacing w:after="0" w:line="11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current business and growth strategy is highly dependent on our insulin pumps and related products achieving and maintaining market acceptance. For us to sell our products to people with insulin-dependent diabetes, we must demonstrate to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beneficial treatment outcomes, and other perceived benefits of our products as compared to competing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Market acceptance of our products could be negatively impacted by many factors, including:</w:t>
      </w:r>
    </w:p>
    <w:p>
      <w:pPr>
        <w:spacing w:after="0" w:line="225" w:lineRule="exact"/>
        <w:rPr>
          <w:sz w:val="20"/>
          <w:szCs w:val="20"/>
          <w:color w:val="auto"/>
        </w:rPr>
      </w:pPr>
    </w:p>
    <w:p>
      <w:pPr>
        <w:ind w:left="1300" w:right="440" w:hanging="320"/>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evidence supporting the safety, effectiveness, ease-of-use or other perceived benefits of our products over competing products or other currently available insulin treatment methodologies;</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or uncertainties associated with the use of our products, or components thereof, or of similar products or technologies of our competitors;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or legal actions relating to our insulin pump products or similar products or technologies;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studies relating to our existing products or products under development or similar competitive products.</w:t>
      </w:r>
    </w:p>
    <w:p>
      <w:pPr>
        <w:spacing w:after="0" w:line="18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w:t>
      </w:r>
    </w:p>
    <w:p>
      <w:pPr>
        <w:spacing w:after="0" w:line="13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41" w:name="page42"/>
    <w:bookmarkEnd w:id="41"/>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3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is essential to the acceptance of our products by customers.</w:t>
      </w:r>
    </w:p>
    <w:p>
      <w:pPr>
        <w:spacing w:after="0" w:line="13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guidelines in setting their coverage and reimbursement policies, many third-party payors in the United States use coverage decisions and payment amounts determined by the Centers for Medicare and Medicaid Services (CMS), which administers the U.S. Medicare program. Medicare periodically reviews its reimbursement practices for diabetes-related products, and there is uncertainty as to the future Medicare coverage structure and reimbursement rate for our products.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spacing w:after="0" w:line="154"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are pursuing a multi-channel managed care strategy and are in discussions to offer Mobi through the pharmacy channel. However, the commercial opportunity in the pharmacy channel will be limited unless a substantial portion of the sales price for Mobi is covered by third-party payors, including private insurance companies, health maintenance organizations, preferred provider organizations, federal and state government healthcare agencies, intermediaries, Medicare, Medicaid and other managed care providers. Medicare Part D plan sponsors may provide coverage for Mobi under the Medicare Part D prescription drug program, which requires negotiating with third-party payors in order to provide Mobi through the pharmacy channel in the United States. If our efforts to enter into additional contracts with intermediaries and third-party payors are not successful, our ability to offer Mobi through the pharmacy channel will be limited.</w:t>
      </w:r>
    </w:p>
    <w:p>
      <w:pPr>
        <w:spacing w:after="0" w:line="16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currently have contracts establishing reimbursement for our insulin pump products with a number of national and regional third-party payors in the United States. While we may enter into additional contracts both in the United States and the more than 25 countries outside the United States in which our insulin pumps are available through third-party payors, and add coverage for future products under our current agreements, we cannot guarantee that we will succeed in doing so or that the reimbursement contracts that we are able to negotiate will enable us to sell our products on a profitable basis or in certain channels, including the pharmacy channel. In particular, we have limited experience securing reimbursement in international markets other than Canada, as that process is managed by local distributors. Government involvement in funding healthcare may limit access to or reimbursement for the Company’s products. In addition, existing contracts with third-party payors generally include numerous quality and compliance related requirements, including audit rights, and can be modified or terminated by the third-party payor without cause and with little or no notice to us. Our compliance with the administrative procedures or requirements may result in increased costs for us and delays in processing approvals by those third-party payors for customers to obtain coverage for our products, and any payor audits of our compliance obligations may result in requests for refunds or other costs.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4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3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32"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We have limited experience marketing and selling our newer products as well as training new customers on their use, particularly in markets outside of United States. In addition, the vast majority of our existing customers are individuals with type 1 diabetes, and we have limited experience marketing and selling our products to customers with type 2 diabetes.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42" w:name="page43"/>
    <w:bookmarkEnd w:id="42"/>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Our financial condition and operating results are and will continue to be highly dependent on our ability to adequately promote, market and sell our insulin pump and related products, and the ability of our diabetes educators to train new customers on the use of our products. If our sales and marketing representatives or diabetes educators are restricted in their ability to interact with healthcare professionals and customers, our sales could decrease or may not increase at levels that are in line with our forecasts.</w:t>
      </w:r>
    </w:p>
    <w:p>
      <w:pPr>
        <w:spacing w:after="0" w:line="14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1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 key element of our business strategy involves our sales, marketing, clinical and customer service personnel driving adoption of our products. We have significantly increased the number of sales, marketing, clinical and customer service personnel employed by us since we began commercial sales. However, we have faced considerable challenges in growing and managing these resources, including with respect to recruiting, training and assimilation of sales territories and new clinical training staff. We expect to continue to face significant challenges as we seek to further increase the number of our sales, clinical and customer service personnel to optimize the coverage of our existing sales territories, as well as expand the number and scope of our existing sales territories. These challenges may be even greater in connection with our commercial expansion outside of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 These risks may be greater in the event of general labor shortages in the United States.</w:t>
      </w:r>
    </w:p>
    <w:p>
      <w:pPr>
        <w:spacing w:after="0" w:line="14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3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a majority of our sales will continue to be to independent distributors for the foreseeable future, and it is possible that the percentage of our sales to independent distributors could increase, particularly in light of our reliance on independent distributors outside of the United States. For example, our dependence upon independent distributors in the United States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If we are unable to maintain or expand our network of independent distributors, our sales may be negatively affected.</w:t>
      </w:r>
    </w:p>
    <w:p>
      <w:pPr>
        <w:spacing w:after="0" w:line="14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None of our independent distributors in the United States have been required to sell our products exclusively and each of them may freely sell the products of our competitors. As a result, our independent distributors may not devote a sufficient level of resources and the support required to generate awareness of our products and grow or maintain product sales at the levels we expect, which may negatively affect our sales.</w:t>
      </w:r>
    </w:p>
    <w:p>
      <w:pPr>
        <w:spacing w:after="0" w:line="13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two independent distributors each accounted for more than 10% of our worldwide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43" w:name="page44"/>
    <w:bookmarkEnd w:id="43"/>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certification, or approval or commercialize our products.</w:t>
      </w:r>
    </w:p>
    <w:p>
      <w:pPr>
        <w:spacing w:after="0" w:line="13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certification, or approval for, or successfully commercialize, our products on a timely basis, if at all, and our business, operating results and prospects may be adversely affected.</w:t>
      </w:r>
    </w:p>
    <w:p>
      <w:pPr>
        <w:spacing w:after="0" w:line="144"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clinical investigators and clinical sites to enroll participants in our current and anticipated clinical trials and human factors studies, and the failure to successfully complete those trials and studies could prevent us from obtaining regulatory clearances, certifications, or approvals for or commercializing our products.</w:t>
      </w:r>
    </w:p>
    <w:p>
      <w:pPr>
        <w:spacing w:after="0" w:line="134"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As part of our product development efforts, we expect to increasingly rely on clinical investigators and clinical sites to enroll participants in our clinical trials or users in our human factors testing and other third parties to manage such trials and testing and to perform related data collection and analysis. However, we may not be able to control the amount and timing of resources that clinical sites may devote to our clinical trials or other studies. If these clinical investigators and clinical sites fail to enroll a sufficient number of patients, fail to ensure compliance by patients with clinical protocols, or fail to comply with regulatory requirements, we may be unable to successfully complete our clinical trials or other studies, which could prevent us from obtaining regulatory clearances, certifications, or approvals for our products and commercializing our products, which would have an adverse impact on our business.</w:t>
      </w:r>
    </w:p>
    <w:p>
      <w:pPr>
        <w:spacing w:after="0" w:line="15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1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World Health Organization data indicates that the incidence of diabetes in the United States and worldwide is increasing. Further, diabetes management can vary greatly from person to person, creating multiple market segments based on clinical needs and personal preferences. However, each of these assumptions may prove to be inaccurate and limited sources exist to compare treatment alternatives and obtain reliable market data. The actual incidence of diabetes, and the actual demand for our products or competing products, could differ materially from our projections. In addition, our strategy of focusing exclusively on the insulin-dependent diabetes market may limit our ability to increase sales or achieve profitability.</w:t>
      </w:r>
    </w:p>
    <w:p>
      <w:pPr>
        <w:spacing w:after="0" w:line="1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Another key element of our business strategy is using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accurate insight into the desires of people with insulin-dependent diabetes. In addition, understanding the meaning and significance of such market research responses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sectPr>
      </w:pPr>
    </w:p>
    <w:bookmarkStart w:id="44" w:name="page45"/>
    <w:bookmarkEnd w:id="44"/>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face complexities frequently encountered by companies in competitive and rapidly evolving markets, which may make it difficult to evaluate our business and forecast our future sales and operating results.*</w:t>
      </w:r>
    </w:p>
    <w:p>
      <w:pPr>
        <w:spacing w:after="0" w:line="13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operate in a competitive and rapidly evolving market. Important industry changes, such as FDA approval, authorization by comparable foreign authorities or CE Certification by Notified Bodies and the launch of new products by our competitors, as well as changes specific to our business, such as the timing of our launch of new products currently in development, increasing reliance on digital health products and connected devices, and our potential expansion of commercial sales in international markets, combine to make it more difficult for us to predict our future sales and operating results, as well as our expected timeframe to achieve profitability. In assessing our business prospects, you should consider these factors as well as the various risks and difficulties frequently encountered by companies in competitive and rapidly evolving markets, particularly those companies that manufacture and sell medical devices.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risks include our ability to:</w:t>
      </w:r>
    </w:p>
    <w:p>
      <w:pPr>
        <w:spacing w:after="0" w:line="225" w:lineRule="exact"/>
        <w:rPr>
          <w:sz w:val="20"/>
          <w:szCs w:val="20"/>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and execute our business strategy;</w:t>
      </w:r>
    </w:p>
    <w:p>
      <w:pPr>
        <w:spacing w:after="0" w:line="225"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improve the productivity of our sales, marketing, clinical and customer service infrastructure to grow sales of our existing and proposed products, and enhance our ability to provide service and support to our customers;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maintain market acceptance of our products and increase awareness of our brand among people with insulin-dependent diabetes, their caregivers and healthcare providers;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 broad range of regulatory requirements within a highly regulated industry;</w:t>
      </w:r>
    </w:p>
    <w:p>
      <w:pPr>
        <w:spacing w:after="0" w:line="22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manufacturing capabilities, increase production of products efficiently while maintaining quality standards, and adapt our manufacturing facilities to the production of new products;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effectively to competitive pressures and developments;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existing products and develop proposed products;</w:t>
      </w:r>
    </w:p>
    <w:p>
      <w:pPr>
        <w:spacing w:after="0" w:line="225" w:lineRule="exact"/>
        <w:rPr>
          <w:rFonts w:ascii="Times New Roman" w:cs="Times New Roman" w:eastAsia="Times New Roman" w:hAnsi="Times New Roman"/>
          <w:sz w:val="18"/>
          <w:szCs w:val="18"/>
          <w:color w:val="auto"/>
        </w:rPr>
      </w:pPr>
    </w:p>
    <w:p>
      <w:pPr>
        <w:ind w:left="1300" w:right="300" w:hanging="320"/>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cybersecurity and other technological risks associated with our expanding portfolio of digital health products, and align these products to a dynamic threat landscape;</w:t>
      </w:r>
    </w:p>
    <w:p>
      <w:pPr>
        <w:spacing w:after="0" w:line="161"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regulatory clearance, certification, or approval to enhance our existing products and commercialize proposed products;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clinical trials and other studies with respect to our existing products and proposed products;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qualified personnel in various areas of our business.</w:t>
      </w:r>
    </w:p>
    <w:p>
      <w:pPr>
        <w:spacing w:after="0" w:line="18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these or other risks, we may not be able to execute key components of our business strategy, and our business, financial condition and operating results may suffer.</w:t>
      </w:r>
    </w:p>
    <w:p>
      <w:pPr>
        <w:spacing w:after="0" w:line="13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achieve profitability will depend, in part, on our ability to reduce the per-unit cost of our products while also increasing production volume.</w:t>
      </w:r>
    </w:p>
    <w:p>
      <w:pPr>
        <w:spacing w:after="0" w:line="11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is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sectPr>
      </w:pPr>
    </w:p>
    <w:bookmarkStart w:id="45" w:name="page46"/>
    <w:bookmarkEnd w:id="45"/>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spacing w:after="0" w:line="15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per-unit costs, which would adversely impact our gross margins. Further, we may not achieve anticipated improvements in manufacturing efficiency as we undertake actions to expand our manufacturing capacity. We are also subject to other general market and economic conditions that may increase our expenses, including unpredictable variability in commodity prices, wage increases and inflation.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risks may adversely affect our ability to manufacture products, which could negatively impact our sales and operating margins.</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business strategy depends on our ability to manufacture our current and proposed products in sufficient quantities and on a timely basis to meet consumer demand, while adhering to product quality standards, complying with regulatory requirements and managing manufacturing costs. We are subject to numerous risks related to our manufacturing capabilities, including:</w:t>
      </w:r>
    </w:p>
    <w:p>
      <w:pPr>
        <w:spacing w:after="0" w:line="176" w:lineRule="exact"/>
        <w:rPr>
          <w:sz w:val="20"/>
          <w:szCs w:val="20"/>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or reliability defects in product components that we source from third-party suppliers;</w:t>
      </w:r>
    </w:p>
    <w:p>
      <w:pPr>
        <w:spacing w:after="0" w:line="225" w:lineRule="exact"/>
        <w:rPr>
          <w:rFonts w:ascii="Times New Roman" w:cs="Times New Roman" w:eastAsia="Times New Roman" w:hAnsi="Times New Roman"/>
          <w:sz w:val="18"/>
          <w:szCs w:val="18"/>
          <w:color w:val="auto"/>
        </w:rPr>
      </w:pPr>
    </w:p>
    <w:p>
      <w:pPr>
        <w:ind w:left="1300" w:right="500" w:hanging="320"/>
        <w:spacing w:after="0" w:line="282"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product components in a timely manner due to shipping delays at ports of entry or exit, the impact of natural disasters, global conflicts, health pandemics or other issues, in sufficient quantities and on commercially reasonable terms;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identifying and qualifying alternative suppliers for components in a timely manner;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maintaining acceptable quality systems while experiencing rapid growth;</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increase production of products to meet demand;</w:t>
      </w:r>
    </w:p>
    <w:p>
      <w:pPr>
        <w:spacing w:after="0" w:line="225"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manufacture multiple products simultaneously while utilizing common manufacturing equipment;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government-mandated or voluntary closures of, or operational limitations impacting, our manufacturing facilities;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or destruction of our manufacturing equipment or manufacturing facilities.</w:t>
      </w:r>
    </w:p>
    <w:p>
      <w:pPr>
        <w:spacing w:after="0" w:line="18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third parties to perform contracted manufacturing services for us, and we may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clearances, certifications, or approvals, or developing new manufacturing technologies. Ultimately, it may not be possible for us to manufacture these products at a cost or in quantities sufficient to make these products commercially viable.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46" w:name="page47"/>
    <w:bookmarkEnd w:id="46"/>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continue to monitor factors that could negatively impact our supply chain, such as shortages of semiconductors and copper that are needed to manufacture our insulin pumps and accessories and custom components for our insulin pumps and cartridges where we rely on a limited number of qualified suppliers. If we continue to experience these or similar manufacturing challenges, or if these challenges worsen in the future, it could have a negative impact on product sales and harm our reputation.</w:t>
      </w:r>
    </w:p>
    <w:p>
      <w:pPr>
        <w:spacing w:after="0" w:line="153"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If we and our suppliers fail to increase our production capacity to meet consumer demand while also maintaining product quality standards, obtaining and maintaining regulatory clearances, certifications, or approvals, and efficiently managing costs, our sales and operating margins could be negatively impacted, which would have an adverse impact on our financial condition and operating results.</w:t>
      </w:r>
    </w:p>
    <w:p>
      <w:pPr>
        <w:spacing w:after="0" w:line="131" w:lineRule="exact"/>
        <w:rPr>
          <w:sz w:val="20"/>
          <w:szCs w:val="20"/>
          <w:color w:val="auto"/>
        </w:rPr>
      </w:pPr>
    </w:p>
    <w:p>
      <w:pPr>
        <w:ind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depend on a limited number of third-party suppliers for certain components and products, and the loss of any of these suppliers, their inability to provide us with an adequate supply of components or products, or our inability to adequately forecast customer demand, could harm our business.*</w:t>
      </w:r>
    </w:p>
    <w:p>
      <w:pPr>
        <w:spacing w:after="0" w:line="9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currently rely, and expect to continue to rely, on third-party suppliers to supply components of our current products and our potential future products, including our single-use insulin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w:t>
      </w:r>
    </w:p>
    <w:p>
      <w:pPr>
        <w:spacing w:after="0" w:line="16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inability to obtain raw materials or other components, or problems with their own suppliers. If we fail to obtain sufficient quantities of high-quality components to meet demand on a timely basis, we could lose customer orders, our reputation may be harmed, and our business could suffer.</w:t>
      </w:r>
    </w:p>
    <w:p>
      <w:pPr>
        <w:spacing w:after="0" w:line="14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generally use a small number of suppliers for our components and products, some of which are located outside the United States, including in China, Mexico and Costa Rica. Depending on a limited number of suppliers exposes us to risks, including limited control over costs, including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at acceptable prices, or at all.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We are actively pursuing alternative suppliers of several existing components and qualifying new alternatives to existing select components, but there is no assurance that we will be able to identify alternative sources that meet our requirements and at comparable prices, or at all.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spacing w:after="0" w:line="14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By the same token, if we underestimate future demand, we may be unable to meet future production requirements or our inventory of critical materials may be below our targeted stocking levels. We expect it will be particularly difficult to accurately forecast demand during the global pandemic and even for some time while travel and social-distancing restrictions are lifted.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47" w:name="page48"/>
    <w:bookmarkEnd w:id="47"/>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may also have difficulty obtaining components from other suppliers that are acceptable to the FDA or other comparable foreign regulatory authorities, or Notified Bodies, and the failure of our suppliers to comply with regulatory requirements could expose us to regulatory action including warning letters, product recalls, termination or interruption of distribution, operating restrictions, product seizures, delays in obtaining approval or clearance of future products, suspension or withdrawal of approvals, clearances, or certification, fines, civil penalties, or criminal prosecution. Such a failure by our suppliers could also require us to cease using the components, seek alternative components or technologies, and modify our products to incorporate alternative components or technologies, which could necessitate additional regulatory clearances, certifications, or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disruption at one of our facilities could adversely affect our business and operating results.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Although we operate in multiple locations, most of our current operations are still conducted in San Diego, California, including our final pump assembly, some manufacturing processes, and the majority of our research and development, management and administrative functions. In addition, the majority of our inventories of component supplies and finished goods is stored at two facilities in San Diego. We take precautions to safeguard our facilities and data infrastructure, including by acquiring insurance, employing back-up generators, adopting health and safety protocols, implementing cybersecurity protections, and utilizing off-site storage of computer data. However, vandalism, terrorism, unplanned power outages, cyberattacks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experience the anticipated operating efficiencies of our manufacturing and warehousing operations.</w:t>
      </w:r>
    </w:p>
    <w:p>
      <w:pPr>
        <w:spacing w:after="0" w:line="20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continue to scale our business operations and add manufacturing requirements for products currently under development. We have outsourced the majority of our t:slim cartridge manufacturing demand to an experienced third-party contract manufacturer. We may consider outsourcing other aspects of our operations in the future. If we fail to achieve the operating efficiencies that we anticipate, our manufacturing and operating costs may be greater than expected, which would have a material adverse impact on our operating results. In addition, we or our third-party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a contract manufacturer, we may not be able to quickly establish additional or alternative arrangements.</w:t>
      </w:r>
    </w:p>
    <w:p>
      <w:pPr>
        <w:spacing w:after="0" w:line="14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management and support of our facilities, increasing reliance on third-party contract manufacturers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third-party contract manufacturing.</w:t>
      </w:r>
    </w:p>
    <w:p>
      <w:pPr>
        <w:spacing w:after="0" w:line="14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concerns regarding the safety and efficacy of our products could limit sales and cause unforeseen negative effects to our business prospects and financial results.</w:t>
      </w:r>
    </w:p>
    <w:p>
      <w:pPr>
        <w:spacing w:after="0" w:line="13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Studies to evaluate the safety or effectiveness of our latest products in a controlled setting are only available over the past few years. As a result, people with insulin-dependent diabetes and healthcare providers may not be familiar with our studies and may be slower to adopt or recommend our products. Further, even with data from controlled studies third-party payors may not be willing to provide coverage or reimbursement for our products. We remain subject to regulatory and product liability risks, and these and other factors could slow the adoption of our products and result in our sales being lower than anticipated. In addition, future studies or clinical experience may indicate that treatment with our products is not superior to treatment with competing products. Such results could slow the adoption of our products and significantly reduce our sales, which could prevent us from achieving our forecasted sales targets or achieving or sustaining profitability.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48" w:name="page49"/>
    <w:bookmarkEnd w:id="48"/>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clearance, certification, or approval from regulatory authorities or Notified Bodies, product recalls or seizure, operating restrictions, interruption of production, fines, civil penalties and criminal prosecution which could result in significant legal liability, harm to our reputation, and a decline in our product sales.</w:t>
      </w:r>
    </w:p>
    <w:p>
      <w:pPr>
        <w:spacing w:after="0" w:line="16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have caused or carry a risk of causing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spacing w:after="0" w:line="14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revenues.</w:t>
      </w:r>
    </w:p>
    <w:p>
      <w:pPr>
        <w:spacing w:after="0" w:line="11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spacing w:after="0" w:line="16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Abbott,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 For example, we have entered into multiple development and commercialization agreements with Dexcom, which provide us non-exclusive licenses to integrate various currently available and future generations of Dexcom’s CGM technology with our insulin pump products. Under certain circumstances, these agreements may be terminated by either party without cause or on short notice. Our current agreements with Dexcom do not grant us rights to integrate future generations of Dexcom CGM technology, beyond G7 CGM devices,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49" w:name="page50"/>
    <w:bookmarkEnd w:id="49"/>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32"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have benefited substantially from the leadership and performance of our senior management, as well as certain key employees. For example, key members of our management have experience successfully scaling an early-stage medical device company to achieve profitability. Our success will depend on our ability to retain our current management and key employees, and to attract and retain qualified personnel in the future. In our industry, it is common to attract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w:t>
      </w:r>
    </w:p>
    <w:p>
      <w:pPr>
        <w:spacing w:after="0" w:line="14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Competition for senior management and key employees in our industry is intense and over the past year we have also experienced general labor shortages in various areas of our business. We cannot guarantee that we will be able to retain our personnel or attract new, qualified personnel. In addition, adoption of new work models and requirements about when or how often employees work on site or remotely may present new challenges. As certain jobs and employers increasingly operate remotely, competition for talent may change in ways that cannot be fully predicted at this time. Moreover, we may need to increase employee wages, equity incentives, and benefits to attract and retain our personnel, which would increase our expenses. It may be difficult to continue to incentivize employees with meaningful equity incentives while limiting the use of the share reserve under our current long-term incentive plans. The loss of the services of certain members of our senior management or key employees could prevent or delay the implementation and completion of our strategic objectives, or divert management’s attention to seeking qualified replacements, and any general labor shortages could also negatively impact our ability to expand and scale functions that are needed to support the ongoing development of our products and the future growth of our business. Each member of senior management, as well as the vast majority of our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45"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acquisitions of products or technologies, or investments in businesses, and the failure to successfully manage these acquisitions or investments, or the failure to integrate them with our existing business, could have a material adverse effect on our business, financial condition and operating results.</w:t>
      </w:r>
    </w:p>
    <w:p>
      <w:pPr>
        <w:spacing w:after="0" w:line="14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consider opportunities to acquire or invest in other companies, products or technologies that may enhance our product platform or technology, expand the breadth of our markets or customer base, or otherwise advance our business strategies. Potential and completed acquisitions and investments involve numerous risks, including:</w:t>
      </w:r>
    </w:p>
    <w:p>
      <w:pPr>
        <w:spacing w:after="0" w:line="176" w:lineRule="exact"/>
        <w:rPr>
          <w:sz w:val="20"/>
          <w:szCs w:val="20"/>
          <w:color w:val="auto"/>
        </w:rPr>
      </w:pPr>
    </w:p>
    <w:p>
      <w:pPr>
        <w:ind w:left="1300" w:hanging="320"/>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maintaining or operating the acquired products or technologies;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liabilities, impairment charges or write-offs associated with acquisitions or investments;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existing business;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costs relating to the acquisitions or to comply with regulatory requirements or other compliance matters.</w:t>
      </w:r>
    </w:p>
    <w:p>
      <w:pPr>
        <w:spacing w:after="0" w:line="185"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We do not know if we will be able to identify future acquisitions or investments we deem suitable, whether we will be able to successfully complete any such acquisitions or investments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Commercializing our products outside of the United States may result in a variety of risks associated with international operations that could materially adversely affect our business.*</w:t>
      </w:r>
    </w:p>
    <w:p>
      <w:pPr>
        <w:spacing w:after="0" w:line="11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sales in the approximately 25 countries in which our products are offered outside the United States, which accounted for approximately 26% of our total sales during 2023, are accompanied by certain financial and other risks related to international business markets, including:</w:t>
      </w:r>
    </w:p>
    <w:p>
      <w:pPr>
        <w:spacing w:after="0" w:line="189" w:lineRule="exact"/>
        <w:rPr>
          <w:sz w:val="20"/>
          <w:szCs w:val="20"/>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product preferences and differing regulatory requirements for product clearances, certifications, or approvals;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U.S. and foreign medical device import and export rules;</w:t>
      </w:r>
    </w:p>
    <w:p>
      <w:pPr>
        <w:spacing w:after="0" w:line="252"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restrictive privacy and security laws relating to personal information of end-users and employees, including GDPR and other E.U. Member State national legislation;</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our intellectual property rights in certain countries outside the U.S. than exists in the U.S.;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and workforce instability, and political instability in foreign economies and markets;</w:t>
      </w:r>
    </w:p>
    <w:p>
      <w:pPr>
        <w:spacing w:after="0" w:line="252" w:lineRule="exact"/>
        <w:rPr>
          <w:rFonts w:ascii="Times New Roman" w:cs="Times New Roman" w:eastAsia="Times New Roman" w:hAnsi="Times New Roman"/>
          <w:sz w:val="18"/>
          <w:szCs w:val="18"/>
          <w:color w:val="auto"/>
        </w:rPr>
      </w:pPr>
    </w:p>
    <w:p>
      <w:pPr>
        <w:ind w:left="1300" w:right="560" w:hanging="320"/>
        <w:spacing w:after="0" w:line="282"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such as the Foreign Corrupt Practices Act and comparable foreign legislation;</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foreign legal systems, including increased costs associated with enforcing contractual obligations in foreign jurisdictions;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actual or anticipated military or political conflicts;</w:t>
      </w:r>
    </w:p>
    <w:p>
      <w:pPr>
        <w:spacing w:after="0" w:line="252" w:lineRule="exact"/>
        <w:rPr>
          <w:rFonts w:ascii="Times New Roman" w:cs="Times New Roman" w:eastAsia="Times New Roman" w:hAnsi="Times New Roman"/>
          <w:sz w:val="18"/>
          <w:szCs w:val="18"/>
          <w:color w:val="auto"/>
        </w:rPr>
      </w:pPr>
    </w:p>
    <w:p>
      <w:pPr>
        <w:ind w:left="1300" w:right="300" w:hanging="320"/>
        <w:spacing w:after="0" w:line="282"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international relationships, including any relationships that we establish with foreign partners, distributors, or sales or marketing agents;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and payroll taxes;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w:t>
      </w:r>
    </w:p>
    <w:p>
      <w:pPr>
        <w:spacing w:after="0" w:line="252" w:lineRule="exact"/>
        <w:rPr>
          <w:rFonts w:ascii="Times New Roman" w:cs="Times New Roman" w:eastAsia="Times New Roman" w:hAnsi="Times New Roman"/>
          <w:sz w:val="18"/>
          <w:szCs w:val="18"/>
          <w:color w:val="auto"/>
        </w:rPr>
      </w:pPr>
    </w:p>
    <w:p>
      <w:pPr>
        <w:ind w:left="1300" w:right="60" w:hanging="320"/>
        <w:spacing w:after="0" w:line="282"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3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51" w:name="page52"/>
    <w:bookmarkEnd w:id="51"/>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any required regulatory authorization, clearance or certification in foreign jurisdictions will prevent us from marketing our products in international markets.</w:t>
      </w:r>
    </w:p>
    <w:p>
      <w:pPr>
        <w:spacing w:after="0" w:line="13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sell our products in approximately 25 countries outside the United States and may seek to begin commercial sales of our products in additional geographies in the future. As we continue to expand our operations outside of the United States and launch new products, we are increasingly subject to additional regulatory and legal requirements in the international markets.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spacing w:after="0" w:line="14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and similar worldwide anti-bribery laws could materially adversely affect our business and result in civil and/or criminal sanctions.</w:t>
      </w:r>
    </w:p>
    <w:p>
      <w:pPr>
        <w:spacing w:after="0" w:line="11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FCPA, the U.K. Bribery Act, and similar anti-bribery laws enacted in other jurisdictions generally prohibit companies and their intermediaries from making improper payments to foreign officials for the purpose of obtaining or retaining business. Because of the predominance of government-sponsored healthcare systems around the world, most of our customer relationships outside of the United States are with governmental entities and are therefore subject to such anti-bribery laws. Because we do business in the U.K., the U.K. Bribery Act also extends to our interaction with public and private sector entities and persons outside the U.K., including in the United States. Our policies mandate compliance with these anti-bribery laws. We operate in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 Violations of anti-bribery laws, or allegations of such violations, could disrupt our business and have a material adverse effect on our results of operations, financial condition, and cash flows.</w:t>
      </w:r>
    </w:p>
    <w:p>
      <w:pPr>
        <w:spacing w:after="0" w:line="15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global our sales and profits may fluctuate or decline in response to changes in foreign currency exchange rates or other international risks.</w:t>
      </w:r>
    </w:p>
    <w:p>
      <w:pPr>
        <w:spacing w:after="0" w:line="11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Activities outside the United States accounted for approximately 26% of our total sales during 2023. Foreign currency fluctuations could result in volatility of our revenue. In addition, we are exposed to transaction risk because we incur some of our sales and expenses in currencies other than the U.S. dollar. Our most significant currency exposures are to the Canadian dollar, the Euro and Swiss franc, and the exchange rates between these currencies and the U.S. dollar may fluctuate substantially. We do not actively hedge our exposure to currency rate fluctuations. The strengthening of the U.S. dollar would likely negatively impact our results. We price some of our products in U.S. dollars, and thus changes in exchange rates can make our products more expensive in some offshore markets and reduce our sales. Inflation could also make our products more expensive and increase the credit risks to which we are exposed. Future foreign currency fluctuations could favorably or unfavorably impact and increase the volatility of our revenue, profitability, and stock price. These and other risks may have a material adverse effect on our business, financial condition and results of operations as a whole.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Macroeconomic Conditions and External Factors</w:t>
      </w:r>
    </w:p>
    <w:p>
      <w:pPr>
        <w:spacing w:after="0" w:line="19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in current global economic and political conditions could adversely affect our ability to predict product demand and impact our financial results and makes it more likely that our actual results could differ materially from expectations.</w:t>
      </w:r>
    </w:p>
    <w:p>
      <w:pPr>
        <w:spacing w:after="0" w:line="11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operations and performance depend in part on worldwide economic and political conditions. Many of the jurisdictions in which our products are sold have experienced and could continue to experience unfavorable general economic conditions, such as a recession or economic slowdown, including as a result of political instability and military hostilities in certain geographies, concerns over the potential downgrade of U.S. sovereign debt and continued sovereign debt, monetary and financial uncertainties in Europe and other geographies, and domestic and global inflationary trends, any of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52" w:name="page53"/>
    <w:bookmarkEnd w:id="52"/>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In October 2023, Hamas initiated an attack against Israel, provoking a state of war and the risk of a larger regional conflict. While we cannot predict the broader consequences, these conflicts and retaliatory and counter-retaliatory actions could materially adversely affect global trade, currency exchange rates, inflation, regional economies, and the global economy, which in turn may disrupt sales through our local distributor in Israel.</w:t>
      </w:r>
    </w:p>
    <w:p>
      <w:pPr>
        <w:spacing w:after="0" w:line="14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threats, epidemics, or pandemics could have a material adverse effect on our operations, the operations of our business partners, and the global economy as a whole.</w:t>
      </w:r>
    </w:p>
    <w:p>
      <w:pPr>
        <w:spacing w:after="0" w:line="11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Public health threats and other highly communicable diseases and outbreaks could adversely impact our operations, the operations of our customers, suppliers, distributors and other business partners, as well as the healthcare system in general. For example, certain development activities, such as human factors studies associated with our product development efforts and activities supporting the manufacturing scale-up for new products and the recruitment of participants in ongoing clinical studies, may be modified or delayed due to impacts of public health threats, which could our development timelines and regulatory strategies. These delays could have a negative impact on our product commercialization efforts and the future demand for our products.</w:t>
      </w:r>
    </w:p>
    <w:p>
      <w:pPr>
        <w:spacing w:after="0" w:line="14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foregoing impacts, disruptions from outbreaks or epidemics, could result in delays in or the suspension of our manufacturing operations, research and product development activities, regulatory work streams, clinical development programs and other important commercial functions. In particular, if we or our third-party manufacturers are required to delay or suspend our manufacturing operations, we may encounter severe product shortages, which would adversely affect our results of operations and harm our reputation. We are also dependent upon our third-party suppliers for many of our product components and for our manufacturing-related equipment, and the incidence of disease could have a material adverse impact on the operations of our suppliers, which could prevent them from timely delivering products to us or supporting our requirements for manufacturing-related equipment. The full extent of the impact of potential future public health threats on our business and operations is subject to change and will continue to depend on a number of factors, including the scope and duration of the pandemic and any resulting changes to general economic conditions in the countries in which we operate and sell our products.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or other extreme weather conditions and related regulations may have a long-term impact on our business.</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Climate-related events, including the increasing frequency of extreme weather events and their impact on the U.S., Mexico, Canada, and other major regions’ critical infrastructure along with potential related regulations, have the potential to disrupt our business, our third-party suppliers, and/or the business of our customers. For example, our third-party contract manufacturers are located in regions subject to natural disasters, including earthquakes, hurricanes, floods, fires and other catastrophic events. We strive to partner with organizations that mitigate their business risks associated with climate change. However, we recognize that inherent risks related to climate change, other extreme weather conditions and related regulations exist wherever global business is conducted. While these dangers currently have a low-assessed risk of disrupting our normal business operations, they pose a potential long-term impact on our business.</w:t>
      </w:r>
    </w:p>
    <w:p>
      <w:pPr>
        <w:spacing w:after="0" w:line="148"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Although it is difficult to predict and adequately prepare to meet the challenges to our business posed by climate change, if new laws or regulations are more stringent than current legal or regulatory requirements, we may experience increased compliance burdens and costs to meet the regulatory obligations as well as adverse impacts on raw material sourcing, manufacturing operations and the distribution of our products.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Future Financings and Financial Results</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or otherwise determine to raise additional funds in the future and if we are unable to raise additional funds when necessary or desirable, we may not be able to achieve our strategic objectives.*</w:t>
      </w:r>
    </w:p>
    <w:p>
      <w:pPr>
        <w:spacing w:after="0" w:line="11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of March 31, 2024, we had $467.8 million in cash, cash equivalents and short-term investments. Our management expects the continued growth of our business, including the expansion of our customer service infrastructure to support our growing base of customers, our plans to continue expanding commercial sales of our products outside of the United States, the growth of our manufacturing and warehousing operations, and the increase of our facility footprint to accommodate additional headcount and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160" w:lineRule="exact"/>
        <w:rPr>
          <w:sz w:val="20"/>
          <w:szCs w:val="20"/>
          <w:color w:val="auto"/>
        </w:rPr>
      </w:pPr>
    </w:p>
    <w:p>
      <w:pPr>
        <w:jc w:val="center"/>
        <w:ind w:left="5540" w:right="1580" w:hanging="4560"/>
        <w:spacing w:after="0" w:line="923" w:lineRule="auto"/>
        <w:tabs>
          <w:tab w:leader="none" w:pos="13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by sales of our products, as well as the gross profits and gross margin we realize from such sales;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53" w:name="page54"/>
    <w:bookmarkEnd w:id="53"/>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maintaining and expanding an appropriate sales, marketing, clinical and customer service infrastructure;</w:t>
      </w:r>
    </w:p>
    <w:p>
      <w:pPr>
        <w:spacing w:after="0" w:line="198" w:lineRule="exact"/>
        <w:rPr>
          <w:rFonts w:ascii="Times New Roman" w:cs="Times New Roman" w:eastAsia="Times New Roman" w:hAnsi="Times New Roman"/>
          <w:sz w:val="18"/>
          <w:szCs w:val="18"/>
          <w:color w:val="auto"/>
        </w:rPr>
      </w:pPr>
    </w:p>
    <w:p>
      <w:pPr>
        <w:ind w:left="1300" w:right="400" w:hanging="320"/>
        <w:spacing w:after="0" w:line="282"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developing and commercializing our proposed products or technologies, including capital expenditures we make to maintain or enhance our manufacturing operations and distribution capabilities;</w:t>
      </w:r>
    </w:p>
    <w:p>
      <w:pPr>
        <w:spacing w:after="0" w:line="121"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obtaining and maintaining regulatory clearance, certification, or approval for our products and our manufacturing facilities, and of ongoing compliance with other legal and regulatory requirements;</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we incur in connection with current or future litigation or governmental investigations;</w:t>
      </w:r>
    </w:p>
    <w:p>
      <w:pPr>
        <w:spacing w:after="0" w:line="198" w:lineRule="exact"/>
        <w:rPr>
          <w:rFonts w:ascii="Times New Roman" w:cs="Times New Roman" w:eastAsia="Times New Roman" w:hAnsi="Times New Roman"/>
          <w:sz w:val="18"/>
          <w:szCs w:val="18"/>
          <w:color w:val="auto"/>
        </w:rPr>
      </w:pPr>
    </w:p>
    <w:p>
      <w:pPr>
        <w:ind w:left="1300" w:right="680" w:hanging="320"/>
        <w:spacing w:after="0" w:line="282"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we may incur or other financial commitments we may make in connection with current and potential new acquisitions, investments, business or commercial collaborations, development agreements or licensing arrangements; and</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these and other factors we may in the future seek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6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from quarter to quarter.</w:t>
      </w:r>
    </w:p>
    <w:p>
      <w:pPr>
        <w:spacing w:after="0" w:line="18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There has been and may continue to be meaningful variability in our operating results from quarter to quarter, as well as within each quarter, especially around the time of anticipated new product launches or regulatory clearances, certifications, or approvals by us or our competitors, and as a result of the commercial launch of our products in geographies outside of the United States. Our operating results, and the variability of these operating results, will be affected by numerous factors, including:</w:t>
      </w:r>
    </w:p>
    <w:p>
      <w:pPr>
        <w:spacing w:after="0" w:line="153" w:lineRule="exact"/>
        <w:rPr>
          <w:sz w:val="20"/>
          <w:szCs w:val="20"/>
          <w:color w:val="auto"/>
        </w:rPr>
      </w:pPr>
    </w:p>
    <w:p>
      <w:pPr>
        <w:ind w:left="1300" w:right="140" w:hanging="320"/>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and sell our current and future products and our ability to increase sales and gross profit from our products, including insulin pumps and the related insulin cartridges and infusion sets;</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mix of our products sold in each quarter;</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by people with insulin-dependent diabetes, their caregivers, healthcare providers and third-party payors;</w:t>
      </w:r>
    </w:p>
    <w:p>
      <w:pPr>
        <w:spacing w:after="0" w:line="198" w:lineRule="exact"/>
        <w:rPr>
          <w:rFonts w:ascii="Times New Roman" w:cs="Times New Roman" w:eastAsia="Times New Roman" w:hAnsi="Times New Roman"/>
          <w:sz w:val="18"/>
          <w:szCs w:val="18"/>
          <w:color w:val="auto"/>
        </w:rPr>
      </w:pPr>
    </w:p>
    <w:p>
      <w:pPr>
        <w:ind w:left="1300" w:right="420" w:hanging="320"/>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and competing products, including the use of discounts, rebates or other financial incentives by us or our competitors;</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third-party coverage and reimbursement policies;</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infrastructure;</w:t>
      </w:r>
    </w:p>
    <w:p>
      <w:pPr>
        <w:spacing w:after="0" w:line="198"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and the timing of the payment for, insurance deductibles required to be paid by our customers and potential customers under their existing insurance plans;</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the manufacturing or distribution of our products;</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simultaneously manufacture multiple products that meet quality, reliability and regulatory requirements;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54" w:name="page55"/>
    <w:bookmarkEnd w:id="54"/>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and other factors affecting the timing of purchases of our products;</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product offerings, acquisitions, licenses or other significant events by us or our competitors;</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research and trials on our existing and future products;</w:t>
      </w:r>
    </w:p>
    <w:p>
      <w:pPr>
        <w:spacing w:after="0" w:line="184"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timely provide us with an adequate supply of components that meet our requirements for product quality and reliability;</w:t>
      </w:r>
    </w:p>
    <w:p>
      <w:pPr>
        <w:spacing w:after="0" w:line="134" w:lineRule="exact"/>
        <w:rPr>
          <w:rFonts w:ascii="Times New Roman" w:cs="Times New Roman" w:eastAsia="Times New Roman" w:hAnsi="Times New Roman"/>
          <w:sz w:val="18"/>
          <w:szCs w:val="18"/>
          <w:color w:val="auto"/>
        </w:rPr>
      </w:pPr>
    </w:p>
    <w:p>
      <w:pPr>
        <w:ind w:left="1300" w:right="800" w:hanging="320"/>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clearances, certifications, or approvals, or adverse regulatory or legal actions, affecting our products or those of our competitors; and</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and expense recognition associated with our product sales pursuant to applicable accounting standards.</w:t>
      </w:r>
    </w:p>
    <w:p>
      <w:pPr>
        <w:spacing w:after="0" w:line="18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Privacy and Security</w:t>
      </w:r>
    </w:p>
    <w:p>
      <w:pPr>
        <w:spacing w:after="0" w:line="18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stringent and evolving U.S. and foreign laws, regulations, and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4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Our data processing activities may subject us to numerous data privacy and security obligations, such as various laws, regulations, guidance, industry standards, external and internal data privacy and security policies, and contractual requirements.</w:t>
      </w:r>
    </w:p>
    <w:p>
      <w:pPr>
        <w:spacing w:after="0" w:line="149" w:lineRule="exact"/>
        <w:rPr>
          <w:sz w:val="20"/>
          <w:szCs w:val="20"/>
          <w:color w:val="auto"/>
        </w:rPr>
      </w:pPr>
    </w:p>
    <w:p>
      <w:pPr>
        <w:jc w:val="both"/>
        <w:ind w:right="80" w:firstLine="648"/>
        <w:spacing w:after="0" w:line="281" w:lineRule="auto"/>
        <w:rPr>
          <w:sz w:val="20"/>
          <w:szCs w:val="20"/>
          <w:color w:val="auto"/>
        </w:rPr>
      </w:pPr>
      <w:r>
        <w:rPr>
          <w:rFonts w:ascii="Times New Roman" w:cs="Times New Roman" w:eastAsia="Times New Roman" w:hAnsi="Times New Roman"/>
          <w:sz w:val="17"/>
          <w:szCs w:val="17"/>
          <w:color w:val="auto"/>
        </w:rPr>
        <w:t>There are a number of laws in the United States governing the privacy and security of personal data, including data breach notification laws, data privacy laws, consumer protection laws (e.g., Section 5 of the Federal Trade Commission Act), and other similar laws at the federal and state levels (e.g., wiretapping laws). For example, the U.S. Health Insurance Portability and Accountability Act of 1996 (“HIPAA”) as amended by the Health Information Technology for Economic and Clinical Health Act (“HITECH”), imposes specific requirements relating to the privacy of protected health information.</w:t>
      </w:r>
    </w:p>
    <w:p>
      <w:pPr>
        <w:spacing w:after="0" w:line="124"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As another example, the Controlling the Assault of Non-Solicited Pornography and Marketing Act of 2003 ("CAN-SPAM”) and the Telephone Consumer Protection Act of 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U.S. Dollars per violation imposed through private litigation or by state authorities.</w:t>
      </w:r>
    </w:p>
    <w:p>
      <w:pPr>
        <w:spacing w:after="0" w:line="14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recent years, numerous U.S. states—including California, Virginia, Colorado, Connecticut, and Utah—have enacted comprehensive data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These state laws also allow for statutory fines for noncompliance. For example, as per the California Consumer Privacy Act of 2018 (CCPA), as amended by the California Privacy Rights Act of 2020 (CPRA) (collectively, “CCPA”), noncompliance may carry fines of up to 7,500 U.S. Dollars per intentional violation; the CCPA also allows private litigants affected by certain data breaches to recover significant statutory damages. While these laws generally exempt some data processed in the context of clinical trials and data governed by HIPAA, these developments further complicate compliance efforts, and increase legal risk and compliance costs for us, the third parties with whom we work, and our customers. Similar laws are being considered in several other states, as well as at the federal and local levels, and we expect more states to pass similar laws in the future.</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82" w:right="399" w:bottom="1440" w:gutter="0" w:footer="0" w:header="0"/>
        </w:sectPr>
      </w:pPr>
    </w:p>
    <w:bookmarkStart w:id="55" w:name="page56"/>
    <w:bookmarkEnd w:id="55"/>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the European Union’s General Data Protection Regulation (“EU GDPR”), the United Kingdom’s General Data Protection Regulation (“UK GDPR”) (collectively, “GDPR”), and Canada’s Personal Information Protection and Electronic Documents Act (“PIPEDA”) or the applicable provincial alternatives, impose strict requirements for processing personal data.</w:t>
      </w:r>
    </w:p>
    <w:p>
      <w:pPr>
        <w:spacing w:after="0" w:line="15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example, under the GDPR, companies may face temporary or definitive bans on personal data processing and other corrective actions; fines of up to 20 million Euros under the EU GDPR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In Canada, PIPEDA and various related provincial laws, as well as Canada’s Anti-Spam Legislation (“CASL”), may apply to our operations.</w:t>
      </w:r>
    </w:p>
    <w:p>
      <w:pPr>
        <w:spacing w:after="0" w:line="14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Additionally, regulators are increasingly scrutinizing companies that process children’s data. Numerous laws, regulations, and legally-binding codes, such as the Children’s Online Privacy Protection Act (“COPPA”), California’s Age Appropriate Design Code (effective in July 2024), the CCPA, other U.S. state comprehensive data privacy laws, the GDPR, and the UK Age Appropriate Design Code, impose various obligations on companies that process children data, including requiring certain consents to process such data and extending certain rights to children and their parents with respect to that personal data. Some of these obligations have wide ranging applications, including for services that do not intentionally target child users (defined in some circumstances as a user under the age of 18 years old). These laws may be, or in some cases have already been, subject to legal challenges and changing interpretations, which may further complicate our efforts to comply with these laws.</w:t>
      </w:r>
    </w:p>
    <w:p>
      <w:pPr>
        <w:spacing w:after="0" w:line="14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employees and personnel use Artificial Intelligence (“AI”) technologies (including generative AI) to perform their work. The use and disclosure of personal data in AI technologies is subject to various data privacy laws and other data privacy obligations. Governments have passed and are likely to pass additional laws regulating generative AI. Our use of this technology could result in additional compliance costs, regulatory investigations and actions, and lawsuits. If we are unable to use AI, it could make our business less efficient and result in competitive disadvantages.</w:t>
      </w:r>
    </w:p>
    <w:p>
      <w:pPr>
        <w:spacing w:after="0" w:line="15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development and use of AI/Machine Learning (“ML”) technologies present various data privacy risks that may impact our business. AI/ML are subject to data privacy laws, as well as increasing regulation and scrutiny. Several jurisdictions around the globe, including the European Union and certain U.S. states, have proposed or enacted, or are considering, laws governing the development and use of AI/ML. For example, European regulators have proposed a stringent AI regulation, and we expect other jurisdictions will adopt similar laws. Additionally, certain data privacy laws extend rights to consumers (such as the right to delete certain personal data) and regulate automated decision-making, which may prove to be incompatible with our desired uses of AI/ML. These obligations may make it harder for us to conduct our business using AI/ML, require us to change our business practices and/or retrain our AI/ML, prevent or limit our use of AI/ML, or lead to regulatory fines or penalties. For example, the FTC has required other companies to turn over (or disgorge) valuable insights or trainings generated through the use of AI/ML where they allege the company has violated data privacy and consumer protection laws. If we cannot use AI/ML or that use is restricted, our business may be less efficient, or we may be at a competitive disadvantage.</w:t>
      </w:r>
    </w:p>
    <w:p>
      <w:pPr>
        <w:spacing w:after="0" w:line="14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may be subject to certain new laws governing the privacy of consumer health data. For example, Washington’s My Health My Data Act (“MHMD”) broadly defines consumer health data, places restrictions on processing such data (including imposing stringent requirements for consent), provides consumers certain rights with respect to their health data, and creates a private right of action to allow individuals to sue for violations of the law. Other states are considering and may adopt similar laws.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56" w:name="page57"/>
    <w:bookmarkEnd w:id="56"/>
    <w:p>
      <w:pPr>
        <w:ind w:firstLine="648"/>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certain data to be localized or limiting the transfer of personal data to other countries. In particular, the European Economic Area (EEA) and the UK have significantly restricted the transfer of personal data to the United States and other countries whose data privacy laws it deems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organizations based in the United States who self-certify and participate in the Framework), these mechanisms are subject to legal challenges. If these legal challenges change or invalidate these transfer mechanisms, there is no assurance that we can satisfy or rely on these measures to lawfully transfer personal data to the United States. If there is no lawful mechanism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obligations. Additionally, in May 2023, the Irish Data Protection Commission determined that a major social media company’s use of the standard contractual clauses to transfer personal data from Europe to the United States was insufficient and levied a 1.2 billion Euro fine against the company and prohibited the company from transferring EU personal data to the United States.</w:t>
      </w:r>
    </w:p>
    <w:p>
      <w:pPr>
        <w:spacing w:after="0" w:line="16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including chatbot and session replay providers, or by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14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to data privacy laws, we are contractually subject to industry standards adopted by industry groups. For example, we are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U.S. Dollars per month by credit card companies, litigation, damage to our reputation, and revenue losses. We are also bound by other contractual obligations related to data privacy, including those imposed by our payors and business partners, including obligations to comply with applicable data privacy laws. Our failure to comply with our contractual obligations may result in a loss of revenue, loss of existing and future business opportunities, and payment of financial damages to the other parties involved. We publish privacy policies, marketing materials and other statements, such as compliance with certain certifications or self-regulatory principles, regarding data privacy.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5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Obligations related to data privacy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with whom we work. In addition, these obligations may require us to change our business model. We may at times fail (or be perceived to have failed) in our efforts to comply with our data privacy obligations. Moreover, despite our efforts, our employees and personnel or third parties with whom we work, may fail to comply with such obligations, which could negatively impact our business operations. In addition, a shift in consumers’ data privacy expectations or other social, economic or political developments could impact the regulatory enforcement of these obligations, which could increase the cost of and complicate our compliance with applicable obligations.</w:t>
      </w:r>
    </w:p>
    <w:p>
      <w:pPr>
        <w:spacing w:after="0" w:line="16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If we or the third parties with whom we work fail, or are perceived to have failed to address or comply with applicable data privacy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of personal data; orders to destroy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57" w:name="page58"/>
    <w:bookmarkEnd w:id="57"/>
    <w:p>
      <w:pPr>
        <w:ind w:right="160"/>
        <w:spacing w:after="0" w:line="261" w:lineRule="auto"/>
        <w:rPr>
          <w:sz w:val="20"/>
          <w:szCs w:val="20"/>
          <w:color w:val="auto"/>
        </w:rPr>
      </w:pPr>
      <w:r>
        <w:rPr>
          <w:rFonts w:ascii="Times New Roman" w:cs="Times New Roman" w:eastAsia="Times New Roman" w:hAnsi="Times New Roman"/>
          <w:sz w:val="18"/>
          <w:szCs w:val="18"/>
          <w:color w:val="auto"/>
        </w:rPr>
        <w:t>or not use personal data; and imprisonment of company officials. In particular, plaintiffs have become increasingly more active in bringing data privacy-related claims against companies, including class claims and mass arbitration demands. Some of these claims allow for the recovery of statutory damages on a per violation basis; if viable, these claims carry the potential for monumental statutory damages, depending on the volume of personal data and the number of violations.</w:t>
      </w:r>
    </w:p>
    <w:p>
      <w:pPr>
        <w:spacing w:after="0" w:line="153"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3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our data, or our software are or were compromised, we could experience adverse consequences resulting from such compromise, including but not limited to regulatory investigations or actions; litigation; fines and penalties; disruptions of our business operations; harm to our reputation; loss of revenue or profits; loss of customers or sales; and other adverse consequences.*</w:t>
      </w:r>
    </w:p>
    <w:p>
      <w:pPr>
        <w:spacing w:after="0" w:line="14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efficient operation of our business depends on our information technology and communication systems, as well as those of our suppliers, contract manufacturers, distributors and other third parties with whom we work. We and the third parties with whom we work collect, receive, store, process, use, generate, disclose, make accessible, protect, secure, dispose of, share, and transmit confidential, personal, or other sensitive data, including health information, proprietary sales and marketing data, accounting and financial information, manufacturing and quality records, inventory management data, product development tasks, research and development data, customer service and technical support information. These systems and the underlying data are vulnerable to damage or interruption from a number of causes, including earthquakes, fires, floods and other natural disasters, terrorist attacks, attacks by computer viruses or hackers, malware, ransomware or other destructive software, cyber-attacks, social-engineering attacks (including phishing and deep fakes, which may be increasingly more difficult to identify as fake), malicious code, denial-of-service attacks, credential harvesting, supply chain attacks, power losses, and computer system, data network failures, and other similar threats.</w:t>
      </w:r>
    </w:p>
    <w:p>
      <w:pPr>
        <w:spacing w:after="0" w:line="16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3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significantly disrupt our systems and operations, supply chain, and ability to produce, sell and distribute our goods and services.</w:t>
      </w:r>
    </w:p>
    <w:p>
      <w:pPr>
        <w:spacing w:after="0" w:line="13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systems, those of the third parties with whom we work, and the underlying data are vulnerable to damage or interruption from a number of causes, including earthquakes, fires, floods and other natural disasters, terrorist attacks. We and the third parties with whom we work are also subject to a variety of evolving threats, including but not limited to, social-engineering attacks (including phishing and deep fakes, which may be increasingly more difficult to identify as fake), malicious code (such as viruses and worms), malware (including as a result of advanced persistent threat intrusions), denial-of-service attacks, credential stuffing, credential harvesting, supply chain attacks, personnel misconduct or error, ransomware attacks, software bugs, server malfunctions, software or hardware failures, loss of data or other information technology assets, adware, attacks enhanced or facilitated by AI, and other similar threats. Notably, severe ransomware attacks are becoming increasingly prevalent and can lead to significant interruptions in our operations, impact our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58" w:name="page59"/>
    <w:bookmarkEnd w:id="58"/>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our insulin pumps and other products rely on software and hardware, some of which is developed by third-party service providers or other third parties with whom we work, that could contain vulnerabilities. We take steps designed to detect, mitigate and remediate vulnerabilities in our information systems (such as our hardware and/or software, including that of third parties with whom we work), but we may not be able to detect, mitigate, and remediate such vulnerabilities, including on a timely basis. Further, we may experience delays in developing and deploying remedial measures and patches designed to address identified vulnerabilities. Our risks may increase significantly due to the use of mobile and cloud-based applications in our medical devices. For example, while use of our Tandem Device Updater is designed to give us the ability to quickly recover from certain risks and/or vulnerabilities, the use of mobile applications enables third parties to store their information on mobile devices that we do not control. Vulnerabilities could be exploited and result in a security incident.</w:t>
      </w:r>
    </w:p>
    <w:p>
      <w:pPr>
        <w:spacing w:after="0" w:line="16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and risks could cause a security incident or other interruption that could result in the unauthorized, unlawful or accidental disclosure, access, acquisition, modification, destruction, loss, alteration, or encryption of our sensitive information or our information technology systems or those of the third parties with whom we work. A security incident or other interruption could disrupt our ability (and that of third parties with whom we work) to provide our platform/products/services.</w:t>
      </w:r>
    </w:p>
    <w:p>
      <w:pPr>
        <w:spacing w:after="0" w:line="13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Furthermore, many of the third parties with whom we work are subject to similar risks. We rely on third parties and technologies to operate critical business systems to process sensitive information in a variety of contexts, including, without limitation, cloud-based infrastructure, data center facilities, encryption and authentication technology, employee email, and other functions and systems. Our ability to monitor information security practices of these third parties is limited, and these third parties may not have adequate information security measures in place. If the third parties with whom we work experience a security incident or other interruption, we could experience adverse consequences. While we may be entitled to damages if these third parties fail to satisfy their privacy- or security-related obligations to us, any award may be insufficient to cover our damages, or we may be unable to recover such an award. In addition, supply chain attacks have increased in frequency and severity, and we cannot guarantee that infrastructure belonging to these third parties in our supply chain, or the supply chains of third parties with whom we work have not been compromised.</w:t>
      </w:r>
    </w:p>
    <w:p>
      <w:pPr>
        <w:spacing w:after="0" w:line="151"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Moreover, remote work has become more common and has increased risks to our information technology systems and data, as more of our employees use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Whether or not our security measures and those of the third parties with whom we work are ultimately successful, our expenditures on those measures could have an adverse impact on our financial condition and results of operations, and divert management’s attention from pursuing our strategic objectives. Certain data privacy and security obligations may require us to implement and maintain reasonable or specific security measures or industry standards to protect our information technology systems and sensitive information.</w:t>
      </w:r>
    </w:p>
    <w:p>
      <w:pPr>
        <w:spacing w:after="0" w:line="14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 Whether a security incident is reportable to our investors may not be straightforward, may take considerable time to determine, and may be subject to change as the investigation of the incident progresses, including changes that may significantly alter any initial disclosure that we provide. If we (or a third party with whom we work) experience a security incident (such as the phishing attack we experienced in 2020)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and mass arbitration demands; indemnification obligations; negative publicity; reputational harm; loss of investor, partner or customer confidence in the effectiveness of our cybersecurity measures; monetary fund diversions; diversion of management attention; interruptions in our operations (including availability of data); financial loss; and other similar harms. Security incidents and attendant consequences may cause customers to stop using our products, prevent customers from using our products, deter new customers from using our products, and negatively impact our ability to grow and operate our business.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59" w:name="page60"/>
    <w:bookmarkEnd w:id="59"/>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53"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3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failure of our information technology systems or those of the third parties with whom we work, or of our pumps’ software or other mobile or cloud applications to perform as we anticipate, or our failure to effectively identify, investigate and mitigate potential threats through ongoing maintenance and enhancement of software applications, information technology systems and privacy policies and controls, could disrupt our entire operation or adversely affect our software products or ability to provide our products and services. For example, we market our Tandem Device Updater as having the unique capability to deploy software updates to our pumps, which allows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or errors, vulnerabilities or viruses embedded within the software being transmitted, or the failure of our customers to properly use the system to complete the update, could result in decreased sales, increased warranty costs, and harm to our reputation, any of which could have a material adverse effect on our business, financial condition and operating results.</w:t>
      </w:r>
    </w:p>
    <w:p>
      <w:pPr>
        <w:spacing w:after="0" w:line="14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sensitive information could be leaked, disclosed, or revealed as a result of or in connection with our employees’, personnel’s, or vendors’ (or other third parties upon whom we rely) use of generative artificial intelligence (“AI”) or machine learning (“ML”) technologies (collectively, “AI/ML” technologies). Any sensitive information (including confidential, competitive, proprietary, or personal data) that we input into a third-party generative AI platform could be leaked or disclosed to others, including if sensitive information is used to train the third parties’ AI model. Additionally, where AI/ML technologies ingests personal data and makes connections using such data, those technologies may reveal other personal or sensitive information generated by the model. Moreover, AI models may create flawed, incomplete, or inaccurate outputs, some of which may appear correct. This may happen if the inputs that the model relied on were inaccurate, incomplete or flawed (including if a bad actor “poisons” the AI with bad inputs or logic), or if the logic of the AI is flawed (a so-called “hallucination”). We may use AI/ML outputs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 If such AI-based outputs are deemed to be biased, we could face adverse consequences, including exposure to reputational and competitive harm, customer loss, and legal liability.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experienced a breach of our information technology systems in January 2020.</w:t>
      </w:r>
    </w:p>
    <w:p>
      <w:pPr>
        <w:spacing w:after="0" w:line="18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January 17, 2020, we learned that an unauthorized person gained access to a few employees’ email accounts through a cyber-attack commonly known as “phishing.” As a result, we have been defending a lawsuit entitled </w:t>
      </w:r>
      <w:r>
        <w:rPr>
          <w:rFonts w:ascii="Times New Roman" w:cs="Times New Roman" w:eastAsia="Times New Roman" w:hAnsi="Times New Roman"/>
          <w:sz w:val="18"/>
          <w:szCs w:val="18"/>
          <w:i w:val="1"/>
          <w:iCs w:val="1"/>
          <w:color w:val="auto"/>
        </w:rPr>
        <w:t>Joseph Deluna et al. v. Tandem Diabetes Care, Inc.</w:t>
      </w:r>
      <w:r>
        <w:rPr>
          <w:rFonts w:ascii="Times New Roman" w:cs="Times New Roman" w:eastAsia="Times New Roman" w:hAnsi="Times New Roman"/>
          <w:sz w:val="18"/>
          <w:szCs w:val="18"/>
          <w:color w:val="auto"/>
        </w:rPr>
        <w:t>, which was filed in the Superior Court of the State of California in the County of San Bernardino. On November 28, 2022, the court granted our motion for summary adjudication on the plaintiffs’ allegations that we violated the Confidentiality of Medical Information Act. On February 8, 2023, the plaintiffs asked the court to dismiss their remaining two claims with prejudice, which terminated the case at the Superior Court. On March 7, 2023, the plaintiffs filed a notice of appeal of the Court’s order granting the Company’s motion for summary adjudication. On August 15, 2023, the parties reached a settlement and on August 21, 2023, the Court issued an order dismissing the appeal. The risks posed by any future similar matters include civil monetary damages, attorney fees and costs, other legal penalties, reputational damage, loss of goodwill, and competitive harm.</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Risks Related to Legal and Intellectual Property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comprehensively protect our intellectual property and proprietary technology is uncertain.</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rely primarily on patent, trademark and trade secret laws, as well as confidentiality and non-disclosure agreements, to protect our proprietary technologies. However, such methods may not be adequate to protect us or permit us to gain or maintain a competitive advantage. We have applied for patent protection relating to certain existing and proposed products and processes. If we fail to file a patent application timely in any jurisdiction, it could result in us forfeiting certain patent rights in that jurisdiction. Further, we cannot assure you that any of our patent applications will be granted in a timely manner or at all. The rights granted to us under our patents, and the rights we are seeking to have granted in our pending patent applications, may not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54"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6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spacing w:after="0" w:line="143" w:lineRule="exact"/>
        <w:rPr>
          <w:sz w:val="20"/>
          <w:szCs w:val="20"/>
          <w:color w:val="auto"/>
        </w:rPr>
      </w:pPr>
    </w:p>
    <w:p>
      <w:pPr>
        <w:ind w:right="60" w:firstLine="729"/>
        <w:spacing w:after="0" w:line="256" w:lineRule="auto"/>
        <w:rPr>
          <w:sz w:val="20"/>
          <w:szCs w:val="20"/>
          <w:color w:val="auto"/>
        </w:rPr>
      </w:pPr>
      <w:r>
        <w:rPr>
          <w:rFonts w:ascii="Times New Roman" w:cs="Times New Roman" w:eastAsia="Times New Roman" w:hAnsi="Times New Roman"/>
          <w:sz w:val="18"/>
          <w:szCs w:val="18"/>
          <w:color w:val="auto"/>
        </w:rPr>
        <w:t>To protect our proprietary rights, we may in the future need to assert claims of infringement against third parties, which may be difficult, expensive and time consuming. The outcome of litigation to enforce our intellectual property rights in patents, copyrights, trade secrets or trademarks is subject to rapid change and constant evolution and, consequently, intellectual property protection in our industry can be uncertain. We may not prevail in any lawsuits that we initiate and the damages or other remedies awarded, if any, may not be commercially valuable. In the event of an adverse judgment, a court could hold that some or all of our asserted intellectual property rights are not infringed, or are invalid or unenforceable, and could award attorneys’ fees. The occurrence of any of these events may have a material adverse effect on our business, financial condition and operating results.</w:t>
      </w:r>
    </w:p>
    <w:p>
      <w:pPr>
        <w:spacing w:after="0" w:line="14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litigation in the medical device industry is common, and we may be subject to litigation that could cause us to incur substantial costs and divert the attention of management from our business.</w:t>
      </w:r>
    </w:p>
    <w:p>
      <w:pPr>
        <w:spacing w:after="0" w:line="13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success will depend in part on not infringing the patents or violating the other proprietary rights of third parties. While we review third party patents in advance of product launches to try to identify and avoid any infringement concerns, the large number of patents, the rapid rate of new patent issuances, and the complexity of the technology involved mean that there can be no assurance that all potentially relevant patents are identified or that our</w:t>
      </w:r>
    </w:p>
    <w:p>
      <w:pPr>
        <w:ind w:right="220"/>
        <w:spacing w:after="0" w:line="256" w:lineRule="auto"/>
        <w:rPr>
          <w:sz w:val="20"/>
          <w:szCs w:val="20"/>
          <w:color w:val="auto"/>
        </w:rPr>
      </w:pPr>
      <w:r>
        <w:rPr>
          <w:rFonts w:ascii="Times New Roman" w:cs="Times New Roman" w:eastAsia="Times New Roman" w:hAnsi="Times New Roman"/>
          <w:sz w:val="18"/>
          <w:szCs w:val="18"/>
          <w:color w:val="auto"/>
        </w:rPr>
        <w:t>products do not infringe existing patents or patents that may be granted in the future. As such, there is a risk that third parties may assert patent infringement claims against us. Despite our efforts to avoid infringement and to resolve any claims that may arise, litigation may be necessary to defend against these claims, which could result in substantial costs and diversion of resources and may have a material adverse effect on our business, financial condition, and results of operations. Our competitors in both the United States and markets outside of United States may have applied for or obtained or may in the future apply for and obtain, patents that will prevent, limit or otherwise interfere with our ability to make and sell our current products or products under development.</w:t>
      </w:r>
    </w:p>
    <w:p>
      <w:pPr>
        <w:spacing w:after="0" w:line="14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may receive communications from third parties alleging our infringement of their intellectual property rights or offering a license to their intellectual property relating to products that we are currently developing could require us to do one or more of the following:</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78" w:right="399" w:bottom="1440" w:gutter="0" w:footer="0" w:header="0"/>
        </w:sectPr>
      </w:pPr>
    </w:p>
    <w:bookmarkStart w:id="61" w:name="page62"/>
    <w:bookmarkEnd w:id="61"/>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current products, developing new products or using technology that allegedly infringes on third-party intellectual property;</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try to obtain a license to intellectual property from the third parties, which may not be available on reasonable terms or at all;</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try to re-design our products around third-party intellectual property;</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royalty payments and legal expenses; or</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are allegedly infringing.</w:t>
      </w:r>
    </w:p>
    <w:p>
      <w:pPr>
        <w:spacing w:after="0" w:line="18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example, in November 2023, at the Unified Patent Court (the “UPC”), we filed a revocation action and an action for a declaration of non-infringement of EP Patent No. 2 196 231 B1 (the “’231 patent”) against Roche Diabetes Care GmbH. While Roche contends that Tandem’s t:slim X2 pump infringes on the ‘231 patent, we contend that our t:slim X2 pump does not practice the ‘231 patent. Furthermore, we contend that the claims of the ‘231 patent are invalid over the prior art. In February 2024, Roche filed an infringement action against Tandem and one of its distributors at the UPC contending that Tandem’s t:slim X2 pump infringes on the ‘231 patent.</w:t>
      </w:r>
    </w:p>
    <w:p>
      <w:pPr>
        <w:spacing w:after="0" w:line="14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2023, F. Hoffman-La Roche AG and Roche Diabetes Care GmbH (collectively, “Roche”), filed an infringement action at the UPC against multiple defendants including Tandem Diabetes Care, Inc. and Tandem Diabetes Care Europe B.V. Roche alleges our t:slim X2 insulin pump, and the offering, marketing, using, importing, possessing, and supplying of such devices, infringe EP Patent No. 1 970 677 B1 (the “‘677 patent”). Roche seeks, among other things, damages and other monetary relief, costs and expenses of the legal proceedings, and an order to cease and desist the allegedly infringing activities. As the UPC is a new court system that came into effect in 2023, enforcement and litigation under the UPC is new and we cannot accurately predict the outcome of such proceedings.</w:t>
      </w:r>
    </w:p>
    <w:p>
      <w:pPr>
        <w:spacing w:after="0" w:line="16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If any of our dosing devices is found to infringe Roche’s patents and Roche’s patents are also found to be valid, we could be required to redesign our technology or obtain a license from Roche to continue importing, marketing and selling our dosing devices in certain countries in Europe. However, we may not be successful in the redesign of our technology or able to obtain any such license on commercially reasonable terms or at all. We also could be forced, including by court order, to cease importing, marketing and selling certain of our products in certain countries in Europe that are found to be infringing until the patents expire. Even if we were ultimately to prevail, litigation with Roche could require us to divert substantial financial and management resources that we would otherwise be able to devote to our business. We cannot reasonably estimate the final outcome, including any potential liability or any range of potential future charges associated with litigation.</w:t>
      </w:r>
    </w:p>
    <w:p>
      <w:pPr>
        <w:spacing w:after="0" w:line="14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do not maintain insurance to cover the expense or any liability that may arise from an intellectual property dispute. Any litigation or claim against us may cause us to incur substantial costs, divert the attention of management from our business and harm our reputation. Further, as we launch new products, increase our sales and expand the geographic regions in which we commercialize our products we believe the likelihood of our involvement in intellectual property disputes will increase.</w:t>
      </w:r>
    </w:p>
    <w:p>
      <w:pPr>
        <w:spacing w:after="0" w:line="13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trade secrets or other proprietary information of our competitors.</w:t>
      </w:r>
    </w:p>
    <w:p>
      <w:pPr>
        <w:spacing w:after="0" w:line="13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other medical device companies, including those that are our competitors or could become our competitors. We may be subject to claims that we, or our employees, have used or disclosed trade secrets or other proprietary information. In addition, we may be subject to allegations that we caused an employee to breach the terms of his or her non-competition or non-solicitation agreement. Even if we successfully defend against these claims, any resulting litigation could cause us to incur substantial costs, divert the attention of management from our business and harm our reputation. If our defense of those allegations fails, in addition to paying monetary damages, we may lose valuable intellectual property rights or key personnel. A loss of key personnel or intellectual property rights could limit our ability to commercialize products, which could have an adverse effect on our business.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product liability losses, and insurance coverage may be inadequate or unavailable to cover these losses.</w:t>
      </w:r>
    </w:p>
    <w:p>
      <w:pPr>
        <w:spacing w:after="0" w:line="202"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color w:val="auto"/>
        </w:rPr>
        <w:t>Our business exposes us to potential product liability claims that are inherent in the medical device industry. We are subject to product liability lawsuits alleging that component failures, manufacturing defects, design defects, or inadequate disclosure of product-related risks or information resulted in an unsafe condition, injury or death to customers. The risk of product liability claims may be even greater after we launch new products with new features or enter new markets where we have no prior experience selling our products. In addition, the misuse of our products or the failure of customers to adhere to operating guidelines could cause significant harm to customers, which could result in product liability claims. Product liability lawsuits and claims, safety alerts or product recalls could cause us to incur substantial costs, divert the attention of management from our business, harm our reputation and adversely affect our ability to attract and retain customers.</w:t>
      </w:r>
    </w:p>
    <w:p>
      <w:pPr>
        <w:spacing w:after="0" w:line="14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Although we maintain third-party product liability insurance coverage, it is possible that claims against us may exceed the coverage limits of our insurance policies. Even if any product liability loss is covered by an insurance policy, these policies have substantial deductibles. In addition, we expect the cost of our product liability insurance will increase as our sales increase.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and make it more difficult to obtain insurance coverage in the future.</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Regulatory Environment</w:t>
      </w:r>
    </w:p>
    <w:p>
      <w:pPr>
        <w:spacing w:after="0" w:line="19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1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medical device industry is regulated extensively by governmental authorities, principally the FDA and corresponding state regulatory agencies in the United States, foreign regulatory authorities, and Notified Bodies in the EU.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and comparable foreign regulatory authorities and Notified Bodies regulate numerous elements of our business, including:</w:t>
      </w:r>
    </w:p>
    <w:p>
      <w:pPr>
        <w:spacing w:after="0" w:line="143" w:lineRule="exact"/>
        <w:rPr>
          <w:sz w:val="20"/>
          <w:szCs w:val="20"/>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and development;</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testing and trials;</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product listing;</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packaging and storage;</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manufacturing, sales and distribution;</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certification, or approval;</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and post-market surveillance;</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and field safety corrective actions.</w:t>
      </w:r>
    </w:p>
    <w:p>
      <w:pPr>
        <w:spacing w:after="0" w:line="18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Before we can market or sell a new regulated product or a significant modification to an existing product in the United States, we must obtain either clearance under Section 510(k) of the Food, Drug and Cosmetic Act (510(k) or approval of a pre-market approval (PMA) application from the FDA, unless an exemption from pre-market review applies. The process of obtaining regulatory clearances, certification, or approvals to market a medical device can be costly and time-consuming, which may be exacerbated if the FDA or other comparable regulatory authorities or Notified Bodies in the EU changes their clearance, certification, and approval policies, and we may not be able to obtain these clearances, certification for our proposed products or approvals on a timely basis or at all, including as a result of:</w:t>
      </w:r>
    </w:p>
    <w:p>
      <w:pPr>
        <w:sectPr>
          <w:pgSz w:w="11900" w:h="16838" w:orient="portrait"/>
          <w:cols w:equalWidth="0" w:num="1">
            <w:col w:w="11220"/>
          </w:cols>
          <w:pgMar w:left="320" w:top="1278"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type w:val="continuous"/>
        </w:sectPr>
      </w:pPr>
    </w:p>
    <w:bookmarkStart w:id="63" w:name="page64"/>
    <w:bookmarkEnd w:id="63"/>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our products are safe and effective for their intended users;</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or clinical trials may be insufficient to support clearance, certification, or approval; or</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manufacturing process or facilities we use to meet applicable requirements.</w:t>
      </w:r>
    </w:p>
    <w:p>
      <w:pPr>
        <w:spacing w:after="0" w:line="185"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Any delay in, or failure to receive or maintain, clearance, certification, or approval for our products under development could prevent us from generating revenue from these products or achieving profitability. Further, regulatory enforcement or inquiries, or other increased scrutiny on us, could dissuade some customers from using our products and adversely affect our reputation and the perceived safety and efficacy of our products.</w:t>
      </w:r>
    </w:p>
    <w:p>
      <w:pPr>
        <w:spacing w:after="0" w:line="14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Since our inception we have been audited or inspected by various regulatory authorities and Notified Bodies on numerous occasions. We also regularly respond to routine inquiries from regulatory authorities and Notified Bodies. In some instances, these audits, inspections and inquiries result in findings that require us to take corrective actions, which could include changes to our internal policies, procedures or operations, revisions to our product labeling, issuances of customer notifications or the initiation of product recalls, any of which could result in product liability claims and lawsuits. Our failure to appropriately respond to these findings and take corrective action, or to comply with applicable regulations for any other reason, could jeopardize our ability to sell our products and result in enforcement actions such as fines, civil or criminal penalties, injunctions, warning letters, product recalls, operating restrictions, interruption of production, delays in the introduction of products into the market, refusal of the FDA or other comparable foreign regulatory authorities or Notified Bodies to grant future clearances, certification, or approvals, and the suspension or withdrawal of existing clearances, certifications, or approvals by the FDA, other comparable foreign regulatory authorities or Notified Bodies.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14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products or modifications to our existing products may require new 510(k) clearances, PMAs or certifications, or may require us to cease marketing or recall the modified products until clearances, certifications or approvals are obtained.</w:t>
      </w:r>
    </w:p>
    <w:p>
      <w:pPr>
        <w:spacing w:after="0" w:line="11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3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For those medical devices sold in the EU and for which we have obtained a CE Certificate of Conformity by a Notified Body, we must notify our Notified Body if significant changes are made to the products or if there are substantial changes to our quality assurance systems affecting those products. Obtaining variation of existing CE Certificates of Conformity or a new CE Certificate of Conformity can be a time-consuming process, and delays in obtaining required future clearances, certifications or approvals would adversely affect our ability to introduce new or enhanced products in a timely manner, which in turn would harm our future growth.</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A recall or suspension of our products, or the discovery of serious safety issues with our products, could have a significant negative impact on us.</w:t>
      </w:r>
    </w:p>
    <w:p>
      <w:pPr>
        <w:spacing w:after="0" w:line="20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spacing w:after="0" w:line="14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Further, under the FDA’s Medical Device Reporting regulations and equivalent regulations and requirements in other geographies,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spacing w:after="0" w:line="14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Any adverse event involving any products that we distribute could result in future voluntary corrective actions, such as recalls or customer notifications, or regulatory authority action, which could include inspection, mandatory recall or other enforcement action. For example, the Australian Therapeutic Goods Administration (TGA) temporarily suspended our pump product sales in Australia starting November 24, 2020, however sales of pump-related supplies were allowed to continue. Effective April 1, 2021, following discussions with the TGA, the temporary suspension was lifted for our t:slim X2 with Basal-IQ technology, subject to certain post-market surveillance obligations and other conditions. We discontinued sales of earlier generation products in Australia and we started offering our Control-IQ technology in Australia. There can be no assurance that the TGA will not reimpose the suspension of our pump product sales or impose other regulatory restrictions in the future. In addition, other regulatory authorities may take similar actions against us, and any regulatory challenges we encounter could have a negative impact on our product sales and harm our reputation. Any corrective actions we take in response to this action or future matters with the TGA or other regulatory authorities, whether voluntary or involuntary, will require the dedication of our time and capital, may distract management from operating our business, may harm our reputation and financial results or could result in additional regulatory scrutiny in other geographies.</w:t>
      </w:r>
    </w:p>
    <w:p>
      <w:pPr>
        <w:spacing w:after="0" w:line="16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we may be required to conduct costly post-market testing and surveillance to monitor the safety or effectiveness of our products in the EU.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CE Certificates of Conformity, product seizures, injunctions or the imposition of civil or criminal penalties that would adversely affect our business, operating results and prospects.</w:t>
      </w:r>
    </w:p>
    <w:p>
      <w:pPr>
        <w:spacing w:after="0" w:line="14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U.S. federal and state fraud and abuse laws, including anti-kickback laws and other U.S. federal and state anti-referral laws, or comparable foreign legislation, could have a material, adverse impact on our business.*</w:t>
      </w:r>
    </w:p>
    <w:p>
      <w:pPr>
        <w:spacing w:after="0" w:line="11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U.S. has numerous federal and state laws pertaining to healthcare fraud and abuse. Violations of these laws are punishable by criminal and civil sanctions, including, imprisonment, significant monetary penalties and exclusion from participation in federal funded programs such as Medicare and Medicaid.</w:t>
      </w:r>
    </w:p>
    <w:p>
      <w:pPr>
        <w:spacing w:after="0" w:line="14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Healthcare fraud and abuse regulations are complex and evolving. Minor irregularities can potentially give rise to claims. The laws that may affect our ability to operate include: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sectPr>
      </w:pPr>
    </w:p>
    <w:bookmarkStart w:id="65" w:name="page66"/>
    <w:bookmarkEnd w:id="65"/>
    <w:p>
      <w:pPr>
        <w:ind w:left="1300" w:right="40" w:hanging="320"/>
        <w:spacing w:after="0" w:line="258"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and state Anti-Kickback Statutes, which prohibit,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spacing w:after="0" w:line="156"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false claims laws which prohibit, among other things, persons from knowingly presenting, or causing to be presented, false or fraudulent claims for payment to Medicare, state Medicaid programs, or other third-party payors;</w:t>
      </w:r>
    </w:p>
    <w:p>
      <w:pPr>
        <w:spacing w:after="0" w:line="121" w:lineRule="exact"/>
        <w:rPr>
          <w:rFonts w:ascii="Times New Roman" w:cs="Times New Roman" w:eastAsia="Times New Roman" w:hAnsi="Times New Roman"/>
          <w:sz w:val="18"/>
          <w:szCs w:val="18"/>
          <w:color w:val="auto"/>
        </w:rPr>
      </w:pPr>
    </w:p>
    <w:p>
      <w:pPr>
        <w:ind w:left="1300" w:right="140" w:hanging="320"/>
        <w:spacing w:after="0" w:line="261"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physician self-referral laws, such as the Stark Law, which prohibit a physician from referring Medicare or Medicaid patients to an entity providing “designated health services,” including a company that furnishes durable medical equipment, with which the physician or their immediate family member has a financial relationship unless that financial relationship meets an exception under the applicable law;</w:t>
      </w:r>
    </w:p>
    <w:p>
      <w:pPr>
        <w:spacing w:after="0" w:line="139" w:lineRule="exact"/>
        <w:rPr>
          <w:rFonts w:ascii="Times New Roman" w:cs="Times New Roman" w:eastAsia="Times New Roman" w:hAnsi="Times New Roman"/>
          <w:sz w:val="18"/>
          <w:szCs w:val="18"/>
          <w:color w:val="auto"/>
        </w:rPr>
      </w:pPr>
    </w:p>
    <w:p>
      <w:pPr>
        <w:ind w:left="1300" w:right="40" w:hanging="320"/>
        <w:spacing w:after="0" w:line="261"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spacing w:after="0" w:line="152" w:lineRule="exact"/>
        <w:rPr>
          <w:rFonts w:ascii="Times New Roman" w:cs="Times New Roman" w:eastAsia="Times New Roman" w:hAnsi="Times New Roman"/>
          <w:sz w:val="18"/>
          <w:szCs w:val="18"/>
          <w:color w:val="auto"/>
        </w:rPr>
      </w:pPr>
    </w:p>
    <w:p>
      <w:pPr>
        <w:ind w:left="1300" w:right="180" w:hanging="320"/>
        <w:spacing w:after="0" w:line="282"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laws enacted as part of HIPAA that prohibit, among other things, executing a scheme to defraud any healthcare benefit program or making false statements relating to healthcare matters;</w:t>
      </w:r>
    </w:p>
    <w:p>
      <w:pPr>
        <w:spacing w:after="0" w:line="121" w:lineRule="exact"/>
        <w:rPr>
          <w:rFonts w:ascii="Times New Roman" w:cs="Times New Roman" w:eastAsia="Times New Roman" w:hAnsi="Times New Roman"/>
          <w:sz w:val="18"/>
          <w:szCs w:val="18"/>
          <w:color w:val="auto"/>
        </w:rPr>
      </w:pPr>
    </w:p>
    <w:p>
      <w:pPr>
        <w:ind w:left="1300" w:hanging="320"/>
        <w:spacing w:after="0" w:line="261"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disclosure laws, such as the Physician Payments Sunshine Act, which require certain manufacturers, including medical device manufacturers, to submit annual data pertaining to payments or other transfers of value to covered recipients, including physicians and certain other healthcare providers, and teaching hospitals, as well as information regarding ownership and investment interests held by physicians and their immediate family members;</w:t>
      </w:r>
    </w:p>
    <w:p>
      <w:pPr>
        <w:spacing w:after="0" w:line="139" w:lineRule="exact"/>
        <w:rPr>
          <w:rFonts w:ascii="Times New Roman" w:cs="Times New Roman" w:eastAsia="Times New Roman" w:hAnsi="Times New Roman"/>
          <w:sz w:val="18"/>
          <w:szCs w:val="18"/>
          <w:color w:val="auto"/>
        </w:rPr>
      </w:pPr>
    </w:p>
    <w:p>
      <w:pPr>
        <w:ind w:left="1300" w:right="60" w:hanging="320"/>
        <w:spacing w:after="0" w:line="282"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governing the use, disclosure and security of personal information, including protected health information, such as HIPAA and the HITECH; and</w:t>
      </w:r>
    </w:p>
    <w:p>
      <w:pPr>
        <w:spacing w:after="0" w:line="134"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U.S. state law equivalents of each of the above federal laws which may apply to items or services reimbursed by any third-party payor, including commercial insurers.</w:t>
      </w:r>
    </w:p>
    <w:p>
      <w:pPr>
        <w:spacing w:after="0" w:line="12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Outside the United States, interactions between medical device companies and healthcare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13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relationships with healthcare providers and other third parties are subject to scrutiny under these laws. Violations of any of these laws and other applicable healthcare fraud and abuse laws may be punishable by criminal and civil sanctions, including significant fines and civil monetary penalties, the possibility of exclusion from federal healthcare programs (including Medicare and Medicaid), disgorgement and corporate integrity agreements, which impose, among other things, rigorous operational and monitoring requirements on companies. Any action against us for violation of these laws, even if we successfully defend against it, could result in a material adverse effect on our reputation, business, financial condition and operating results. Federal government agencies continue to issue proposed and final rules implementing additional process, controls and guidelines for compliance under these laws with which we will be required to comply. We cannot predict the impact of any changes in these laws and whether they might be retroactive. Further, the U.S. Department of Justice (DOJ) in conjunction with other federal agencies, has increased its scrutiny of interactions between healthcare companies and healthcare providers. Adjusting to new regulatory guidelines and responding to investigations can be time and resource-consuming and can divert management’s attention from our core business. Additionally, if we settle an investigation, we may be forced to agree to additional onerous compliance and reporting requirements as part of a consent decree or corporate integrity agreement. All of the foregoing could increase our costs or otherwise have an adverse effect on our business.</w:t>
      </w:r>
    </w:p>
    <w:p>
      <w:pPr>
        <w:spacing w:after="0" w:line="16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scope and enforcement of these laws is uncertain and subject to rapid change in the current environment of healthcare reform. Our current or future activities could be subject to challenge under these laws. Any of these challenges could have a material adverse effect on our reputation, business, financial condition and operating results.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82"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if we engage in the promotion of the off-label use of our products.*</w:t>
      </w:r>
    </w:p>
    <w:p>
      <w:pPr>
        <w:spacing w:after="0" w:line="202"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or other foreign regulatory authorities determine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authority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51"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advertising and promotion of medical devices in the EU is subject to Regulation 2017/745 on medical devices, Regulation 2017/746 on in vitro diagnostic medical devices, the related national law of individual EU Member States, or MDR, Directive 2006/114/EC concerning misleading and comparative advertising, and Directive 2005/29/EC on unfair commercial practices, as well as other national legislation of individual EU Member States governing the advertising and promotion of medical devices. EU Member States’ national legislation may also restrict or impose limitations on our ability to advertise our products directly to the general public. In addition, voluntary EU and national industry Codes of Conduct provide guidelines on the advertising and promotion of our products to the general public and may impose limitations on our promotional activities with healthcare professionals.</w:t>
      </w:r>
    </w:p>
    <w:p>
      <w:pPr>
        <w:spacing w:after="0" w:line="143" w:lineRule="exact"/>
        <w:rPr>
          <w:sz w:val="20"/>
          <w:szCs w:val="20"/>
          <w:color w:val="auto"/>
        </w:rPr>
      </w:pPr>
    </w:p>
    <w:p>
      <w:pPr>
        <w:ind w:righ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or other regulatory reforms, may result in downward pressure on the price of and decrease reimbursement for our products, and uncertainty regarding the healthcare regulatory environment could have a material adverse effect on our business.*</w:t>
      </w:r>
    </w:p>
    <w:p>
      <w:pPr>
        <w:spacing w:after="0" w:line="14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For example, the Patient Protection and Affordable Care Act, as amended by the Health Care and Education Reconciliation Act (collectively, the “Affordable Care Act”) has substantially changed the way healthcare is financed by both governmental and private insurers and encourages improvements in the quality of healthcare items and services. In the future, additional changes could be made to governmental healthcare programs that could significantly impact the success of our products.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 Further, on August 16, 2022, President Biden signed the Inflation Reduction Act of 2022 (the “IRA 2022”) into law, which among other things, extends enhanced subsidies for individuals purchasing health insurance coverage in the Affordable Care Act marketplaces through plan year 2025. The IRA 2022 also eliminates the “donut hole” under the Medicare Part D program beginning in 2025 by significantly lowering the beneficiary maximum out-of-pocket cost and through a newly established manufacturer discount program.</w:t>
      </w:r>
    </w:p>
    <w:p>
      <w:pPr>
        <w:spacing w:after="0" w:line="39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67" w:name="page68"/>
    <w:bookmarkEnd w:id="67"/>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EU, the MDR became applicable on May 26, 2021, repealing and replacing both the MDD and Directive 90/385/EEC on active implantable medical devices. The MDR establishes transitional provisions. However, the changes to the regulatory system implemented in the EU by the MDR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and additional requirements for the quality management system, additional requirements for traceability of products and transparency as well a refined responsibility of economic operators. We are also required to provide clinical data in the form of a clinical evaluation report. Fulfillment of the obligations imposed by the MDR may cause us to incur substantial costs. We may be unable to fulfil these obligations, or our Notified Body may consider that we have not adequately demonstrated compliance with our related obligations to merit a CE Certificate of Conformity on the basis of the MDR.</w:t>
      </w:r>
    </w:p>
    <w:p>
      <w:pPr>
        <w:spacing w:after="0" w:line="16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Moreover, in the EU, some EU Member States may, after a medical device is CE marked, require the completion of additional studies that compare the cost-effectiveness of a particular medical device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medical device in the national healthcare systems of the individual country is conducted. The outcome of HTA regarding specific medical device will often influence the pricing and reimbursement status granted to these products by the competent authorities of individual EU Member States. In December 2021, Regulation No 2021/2282 on HTA, amending Directive 2011/24/EU, was adopted in the EU. This Regulation, which entered into force in January 2022 will apply as of January 2025. It is intended to boost cooperation among EU Member States in assessing health technologies, including new medical devices, and providing the basis for cooperation at EU level for joint clinical assessments in these areas. The Regulation will permit EU Member States to use common HTA tools, methodologies, and procedures across the EU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the conclusions of these assessments are negative, or compare our products unfavorably with competing products, this may impact our pricing and reimbursement status. If we are unable to obtain or maintain favorable pricing and reimbursement status in EU Member States for our medical devices or medical devices that we may successfully develop and for which we may obtain certification, any anticipated revenue from and growth prospects for those products in the EU could be negatively affected.</w:t>
      </w:r>
    </w:p>
    <w:p>
      <w:pPr>
        <w:spacing w:after="0" w:line="15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the exit of the UK from the EU, commonly referred to as “Brexit” could lead to regulatory divergence between the EU and the UK. On May 26, 2021, the MDR became applicable in the EU. However, the MDR is not applicable in the UK. In the UK, medical devices are governed by the Medical Devices Regulations 2002 (SI 2002 No 618, as amended) (UK MDR 2002) which, for the time being, retains a regulatory framework similar to the framework set out by the MDD. The government plans to introduce new legislation governing medical devices with an aim for core aspects of the future regime for medical devices to apply from July 1, 2025. New legislation has been proposed and is also anticipated for adoption during 2024 to bring into force strengthened post-market surveillance requirements ahead of the wider future regulatory regime. Should the UK or Great Britain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68" w:name="page69"/>
    <w:bookmarkEnd w:id="68"/>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reimbursement approval and rebate policies, which may adversely affect our ability to generate revenue.</w:t>
      </w:r>
    </w:p>
    <w:p>
      <w:pPr>
        <w:spacing w:after="0" w:line="13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some countries, particularly EU countries and EFTA member states, the pricing, reimbursement and rebates of health products is subject to governmental control, and in such countries, there can be considerable pressure by governments and other stakeholders on prices, as well as reimbursement and rebates. If reimbursement of our products is unavailable or limited in scope or amount or if pricing or rebates are set at unsatisfactory levels in any such country, our prospects for generating revenue outside of the United States, if any, could be adversely affected and our business could be harmed. For example, in August 2023, a rebate agreement with the French Comité économique des produits de santé (CEPS) for sales of our t:slim X2 with Control-IQ pump in France went into effect. The rebate agreement with CEPS provides for specified reimbursements and requires specified rebates be paid, and we are currently in the process of determining the impact and allocation of such reimbursements and rebates under the agreement. While we currently cannot estimate the amount of such reimbursements and rebates that will be allocable to us, we may ultimately determine that we need to pay all or a portion of the rebates. Any such rebates that we are required to pay could adversely affect our ability to generate revenue from sales of t:slim X2 with Control-IQ in France.</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continue to fluctuate significantly.</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trading price of our common stock has been and will continue to be volatile in response to a variety of factors, including the following:</w:t>
      </w:r>
    </w:p>
    <w:p>
      <w:pPr>
        <w:spacing w:after="0" w:line="185" w:lineRule="exact"/>
        <w:rPr>
          <w:sz w:val="20"/>
          <w:szCs w:val="20"/>
          <w:color w:val="auto"/>
        </w:rPr>
      </w:pPr>
    </w:p>
    <w:p>
      <w:pPr>
        <w:ind w:left="1780" w:hanging="476"/>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and operating results from period to period;</w:t>
      </w:r>
    </w:p>
    <w:p>
      <w:pPr>
        <w:spacing w:after="0" w:line="198"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current products and products under development, and the recognition of our brand;</w:t>
      </w:r>
    </w:p>
    <w:p>
      <w:pPr>
        <w:spacing w:after="0" w:line="184"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proposed products, technologies or treatment techniques by us or our competitors;</w:t>
      </w:r>
    </w:p>
    <w:p>
      <w:pPr>
        <w:spacing w:after="0" w:line="184" w:lineRule="exact"/>
        <w:rPr>
          <w:rFonts w:ascii="Times New Roman" w:cs="Times New Roman" w:eastAsia="Times New Roman" w:hAnsi="Times New Roman"/>
          <w:sz w:val="18"/>
          <w:szCs w:val="18"/>
          <w:color w:val="auto"/>
        </w:rPr>
      </w:pPr>
    </w:p>
    <w:p>
      <w:pPr>
        <w:ind w:left="1800" w:right="520" w:hanging="496"/>
        <w:spacing w:after="0" w:line="282" w:lineRule="auto"/>
        <w:tabs>
          <w:tab w:leader="none" w:pos="17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contracts, acquisitions, divestitures or partnerships by us, our competitors or our collaboration partners;</w:t>
      </w:r>
    </w:p>
    <w:p>
      <w:pPr>
        <w:spacing w:after="0" w:line="134" w:lineRule="exact"/>
        <w:rPr>
          <w:rFonts w:ascii="Times New Roman" w:cs="Times New Roman" w:eastAsia="Times New Roman" w:hAnsi="Times New Roman"/>
          <w:sz w:val="18"/>
          <w:szCs w:val="18"/>
          <w:color w:val="auto"/>
        </w:rPr>
      </w:pPr>
    </w:p>
    <w:p>
      <w:pPr>
        <w:ind w:left="1800" w:right="160" w:hanging="496"/>
        <w:spacing w:after="0" w:line="282" w:lineRule="auto"/>
        <w:tabs>
          <w:tab w:leader="none" w:pos="17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clearance, certification, or approval of our products or the products of our competitors or collaboration partners, or the failure to obtain such clearances, certifications, or approvals on the projected timeline or at all;</w:t>
      </w:r>
    </w:p>
    <w:p>
      <w:pPr>
        <w:spacing w:after="0" w:line="121" w:lineRule="exact"/>
        <w:rPr>
          <w:rFonts w:ascii="Times New Roman" w:cs="Times New Roman" w:eastAsia="Times New Roman" w:hAnsi="Times New Roman"/>
          <w:sz w:val="18"/>
          <w:szCs w:val="18"/>
          <w:color w:val="auto"/>
        </w:rPr>
      </w:pPr>
    </w:p>
    <w:p>
      <w:pPr>
        <w:ind w:left="1800" w:right="640" w:hanging="496"/>
        <w:spacing w:after="0" w:line="282" w:lineRule="auto"/>
        <w:tabs>
          <w:tab w:leader="none" w:pos="17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a product recall, suspension or other safety notice associated with our products or the products of our competitors, or other similar regulatory enforcement actions;</w:t>
      </w:r>
    </w:p>
    <w:p>
      <w:pPr>
        <w:spacing w:after="0" w:line="121" w:lineRule="exact"/>
        <w:rPr>
          <w:rFonts w:ascii="Times New Roman" w:cs="Times New Roman" w:eastAsia="Times New Roman" w:hAnsi="Times New Roman"/>
          <w:sz w:val="18"/>
          <w:szCs w:val="18"/>
          <w:color w:val="auto"/>
        </w:rPr>
      </w:pPr>
    </w:p>
    <w:p>
      <w:pPr>
        <w:ind w:left="1800" w:right="200" w:hanging="496"/>
        <w:spacing w:after="0" w:line="282" w:lineRule="auto"/>
        <w:tabs>
          <w:tab w:leader="none" w:pos="17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results relative to the expectations of securities analysts and other market participants and the issuance of securities analysts’ reports or recommendations;</w:t>
      </w:r>
    </w:p>
    <w:p>
      <w:pPr>
        <w:spacing w:after="0" w:line="134"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regulatory proceedings, or government investigations; and</w:t>
      </w:r>
    </w:p>
    <w:p>
      <w:pPr>
        <w:spacing w:after="0" w:line="184"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or economic conditions.</w:t>
      </w:r>
    </w:p>
    <w:p>
      <w:pPr>
        <w:spacing w:after="0" w:line="185" w:lineRule="exact"/>
        <w:rPr>
          <w:sz w:val="20"/>
          <w:szCs w:val="20"/>
          <w:color w:val="auto"/>
        </w:rPr>
      </w:pPr>
    </w:p>
    <w:p>
      <w:pPr>
        <w:ind w:right="120" w:firstLine="810"/>
        <w:spacing w:after="0" w:line="254" w:lineRule="auto"/>
        <w:rPr>
          <w:sz w:val="20"/>
          <w:szCs w:val="20"/>
          <w:color w:val="auto"/>
        </w:rPr>
      </w:pPr>
      <w:r>
        <w:rPr>
          <w:rFonts w:ascii="Times New Roman" w:cs="Times New Roman" w:eastAsia="Times New Roman" w:hAnsi="Times New Roman"/>
          <w:sz w:val="18"/>
          <w:szCs w:val="18"/>
          <w:color w:val="auto"/>
        </w:rPr>
        <w:t>In addition, the trading price of our common stock may fluctuate substantially due to other factors, including the numerous risks and uncertainties described in this section. Fluctuations in our stock price may negatively affect the liquidity of our common stock, which could further impact our stock price. Further, our common stock may be susceptible to significant price and volume fluctuations as a result of stock market dynamics, which may impact our common stock without regard to our financial condition or operating performance. Given the competitiveness of the life sciences and medical device industry, the prices at which our common stock trades may fluctuate more significantly than might otherwise be typical, even with other market conditions, including general volatility, held constant. This volatility could negatively impact our ability to raise additional capital or utilize equity as consideration in any acquisition transactions we may pursue, and could make it more difficult for existing stockholders to sell their shares of the common stock at a price they consider acceptable or at all.</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69" w:name="page70"/>
    <w:bookmarkEnd w:id="69"/>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may delay or prevent a change of control, which could reduce our stock price and prevent our stockholders from removing our current board of directors.</w:t>
      </w:r>
    </w:p>
    <w:p>
      <w:pPr>
        <w:spacing w:after="0" w:line="132" w:lineRule="exact"/>
        <w:rPr>
          <w:sz w:val="20"/>
          <w:szCs w:val="20"/>
          <w:color w:val="auto"/>
        </w:rPr>
      </w:pPr>
    </w:p>
    <w:p>
      <w:pPr>
        <w:ind w:right="440" w:firstLine="81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21" w:lineRule="exact"/>
        <w:rPr>
          <w:sz w:val="20"/>
          <w:szCs w:val="20"/>
          <w:color w:val="auto"/>
        </w:rPr>
      </w:pPr>
    </w:p>
    <w:p>
      <w:pPr>
        <w:ind w:left="1800" w:right="160" w:hanging="496"/>
        <w:spacing w:after="0" w:line="282" w:lineRule="auto"/>
        <w:tabs>
          <w:tab w:leader="none" w:pos="17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21" w:lineRule="exact"/>
        <w:rPr>
          <w:rFonts w:ascii="Times New Roman" w:cs="Times New Roman" w:eastAsia="Times New Roman" w:hAnsi="Times New Roman"/>
          <w:sz w:val="18"/>
          <w:szCs w:val="18"/>
          <w:color w:val="auto"/>
        </w:rPr>
      </w:pPr>
    </w:p>
    <w:p>
      <w:pPr>
        <w:ind w:left="1800" w:right="200" w:hanging="496"/>
        <w:spacing w:after="0" w:line="266" w:lineRule="auto"/>
        <w:tabs>
          <w:tab w:leader="none" w:pos="17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staggered board of directors whereby the board is currently divided into three classes, although our board and stockholders have approved the phased declassification of the board of directors such that the board structure will be completely declassified by our 2024 annual meeting of stockholders;</w:t>
      </w:r>
    </w:p>
    <w:p>
      <w:pPr>
        <w:spacing w:after="0" w:line="148" w:lineRule="exact"/>
        <w:rPr>
          <w:rFonts w:ascii="Times New Roman" w:cs="Times New Roman" w:eastAsia="Times New Roman" w:hAnsi="Times New Roman"/>
          <w:sz w:val="18"/>
          <w:szCs w:val="18"/>
          <w:color w:val="auto"/>
        </w:rPr>
      </w:pPr>
    </w:p>
    <w:p>
      <w:pPr>
        <w:ind w:left="1800" w:right="820" w:hanging="496"/>
        <w:spacing w:after="0" w:line="282" w:lineRule="auto"/>
        <w:tabs>
          <w:tab w:leader="none" w:pos="17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removal of a director only with cause and then by the affirmative vote of the holders of a majority of the outstanding shares;</w:t>
      </w:r>
    </w:p>
    <w:p>
      <w:pPr>
        <w:spacing w:after="0" w:line="12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special stockholder meetings;</w:t>
      </w:r>
    </w:p>
    <w:p>
      <w:pPr>
        <w:spacing w:after="0" w:line="184"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acting by written consent without holding a meeting of stockholders;</w:t>
      </w:r>
    </w:p>
    <w:p>
      <w:pPr>
        <w:spacing w:after="0" w:line="198" w:lineRule="exact"/>
        <w:rPr>
          <w:rFonts w:ascii="Times New Roman" w:cs="Times New Roman" w:eastAsia="Times New Roman" w:hAnsi="Times New Roman"/>
          <w:sz w:val="18"/>
          <w:szCs w:val="18"/>
          <w:color w:val="auto"/>
        </w:rPr>
      </w:pPr>
    </w:p>
    <w:p>
      <w:pPr>
        <w:ind w:left="1800" w:right="560" w:hanging="496"/>
        <w:spacing w:after="0" w:line="282" w:lineRule="auto"/>
        <w:tabs>
          <w:tab w:leader="none" w:pos="17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vote of at least two-thirds of the outstanding shares to approve amendments to the certificate of incorporation or bylaws; and</w:t>
      </w:r>
    </w:p>
    <w:p>
      <w:pPr>
        <w:spacing w:after="0" w:line="12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written notice of stockholder proposals and director nominations.</w:t>
      </w:r>
    </w:p>
    <w:p>
      <w:pPr>
        <w:spacing w:after="0" w:line="185" w:lineRule="exact"/>
        <w:rPr>
          <w:sz w:val="20"/>
          <w:szCs w:val="20"/>
          <w:color w:val="auto"/>
        </w:rPr>
      </w:pPr>
    </w:p>
    <w:p>
      <w:pPr>
        <w:ind w:firstLine="810"/>
        <w:spacing w:after="0" w:line="258" w:lineRule="auto"/>
        <w:rPr>
          <w:sz w:val="20"/>
          <w:szCs w:val="20"/>
          <w:color w:val="auto"/>
        </w:rPr>
      </w:pPr>
      <w:r>
        <w:rPr>
          <w:rFonts w:ascii="Times New Roman" w:cs="Times New Roman" w:eastAsia="Times New Roman" w:hAnsi="Times New Roman"/>
          <w:sz w:val="18"/>
          <w:szCs w:val="18"/>
          <w:color w:val="auto"/>
        </w:rPr>
        <w:t>We are also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89" w:lineRule="exact"/>
        <w:rPr>
          <w:sz w:val="20"/>
          <w:szCs w:val="20"/>
          <w:color w:val="auto"/>
        </w:rPr>
      </w:pPr>
    </w:p>
    <w:p>
      <w:pPr>
        <w:ind w:right="40" w:firstLine="810"/>
        <w:spacing w:after="0" w:line="256" w:lineRule="auto"/>
        <w:rPr>
          <w:sz w:val="20"/>
          <w:szCs w:val="20"/>
          <w:color w:val="auto"/>
        </w:rPr>
      </w:pPr>
      <w:r>
        <w:rPr>
          <w:rFonts w:ascii="Times New Roman" w:cs="Times New Roman" w:eastAsia="Times New Roman" w:hAnsi="Times New Roman"/>
          <w:sz w:val="18"/>
          <w:szCs w:val="18"/>
          <w:color w:val="auto"/>
        </w:rPr>
        <w:t>Under current law, federal net operating losses (NOLs) incurred in tax years beginning after December 31, 2017, may be carried forward indefinitely, but the deductibility of such federal NOLs is limited to 80% of taxable income. It is uncertain if and to what extent various states will conform to federal tax laws. As of December 31, 2023, we had accumulated federal and state NOL carryforwards of approximately $168.0 million, and $262.4 million, respectively. Of the total federal NOL carryforwards, approximately $78.4 million were generated after January 1, 2018, and therefore do not expire under current law but can only be utilized to offset 80% of future taxable income. The remaining federal NOL carryforwards of $89.6 million will begin to expire in 2033, and state tax loss carryforwards continue to expire.</w:t>
      </w:r>
    </w:p>
    <w:p>
      <w:pPr>
        <w:spacing w:after="0" w:line="147" w:lineRule="exact"/>
        <w:rPr>
          <w:sz w:val="20"/>
          <w:szCs w:val="20"/>
          <w:color w:val="auto"/>
        </w:rPr>
      </w:pPr>
    </w:p>
    <w:p>
      <w:pPr>
        <w:ind w:right="80" w:firstLine="810"/>
        <w:spacing w:after="0" w:line="255"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and corresponding provisions of state law, if a corporation undergoes an “ownership change,” which is generally defined as a greater than 50% change in its equity ownership value over a three-year period, the corporation’s ability to use its pre-change NOL and research credit carryforwards may be subject to substantial limitations, which could cause U.S. federal income taxes to be paid earlier than would be paid if such limitations were not in effect and could cause NOL carryforwards to expire unused. We believe we experienced at least one ownership change that significantly reduced our ability to utilize our pre-2018 NOL and research credit carryforwards before they expire. Additionally, future ownership changes under Section 382 may also limit our ability to fully utilize any remaining tax benefits.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sectPr>
      </w:pPr>
    </w:p>
    <w:bookmarkStart w:id="70" w:name="page71"/>
    <w:bookmarkEnd w:id="70"/>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application of existing, new and proposed tax laws and regulations could materially affect our tax obligations and effective tax rate.</w:t>
      </w:r>
    </w:p>
    <w:p>
      <w:pPr>
        <w:spacing w:after="0" w:line="132" w:lineRule="exact"/>
        <w:rPr>
          <w:sz w:val="20"/>
          <w:szCs w:val="20"/>
          <w:color w:val="auto"/>
        </w:rPr>
      </w:pPr>
    </w:p>
    <w:p>
      <w:pPr>
        <w:ind w:right="20" w:firstLine="810"/>
        <w:spacing w:after="0" w:line="258" w:lineRule="auto"/>
        <w:rPr>
          <w:sz w:val="20"/>
          <w:szCs w:val="20"/>
          <w:color w:val="auto"/>
        </w:rPr>
      </w:pPr>
      <w:r>
        <w:rPr>
          <w:rFonts w:ascii="Times New Roman" w:cs="Times New Roman" w:eastAsia="Times New Roman" w:hAnsi="Times New Roman"/>
          <w:sz w:val="18"/>
          <w:szCs w:val="18"/>
          <w:color w:val="auto"/>
        </w:rPr>
        <w:t>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To the extent that such changes have a negative impact on us, including as a result of related uncertainty, these changes may adversely impact our business, financial condition, results of operations, and cash flows.</w:t>
      </w:r>
    </w:p>
    <w:p>
      <w:pPr>
        <w:spacing w:after="0" w:line="143" w:lineRule="exact"/>
        <w:rPr>
          <w:sz w:val="20"/>
          <w:szCs w:val="20"/>
          <w:color w:val="auto"/>
        </w:rPr>
      </w:pPr>
    </w:p>
    <w:p>
      <w:pPr>
        <w:ind w:firstLine="810"/>
        <w:spacing w:after="0" w:line="253" w:lineRule="auto"/>
        <w:rPr>
          <w:sz w:val="20"/>
          <w:szCs w:val="20"/>
          <w:color w:val="auto"/>
        </w:rPr>
      </w:pPr>
      <w:r>
        <w:rPr>
          <w:rFonts w:ascii="Times New Roman" w:cs="Times New Roman" w:eastAsia="Times New Roman" w:hAnsi="Times New Roman"/>
          <w:sz w:val="18"/>
          <w:szCs w:val="18"/>
          <w:color w:val="auto"/>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54" w:lineRule="exact"/>
        <w:rPr>
          <w:sz w:val="20"/>
          <w:szCs w:val="20"/>
          <w:color w:val="auto"/>
        </w:rPr>
      </w:pPr>
    </w:p>
    <w:p>
      <w:pPr>
        <w:ind w:right="40" w:firstLine="810"/>
        <w:spacing w:after="0" w:line="256" w:lineRule="auto"/>
        <w:rPr>
          <w:sz w:val="20"/>
          <w:szCs w:val="20"/>
          <w:color w:val="auto"/>
        </w:rPr>
      </w:pPr>
      <w:r>
        <w:rPr>
          <w:rFonts w:ascii="Times New Roman" w:cs="Times New Roman" w:eastAsia="Times New Roman" w:hAnsi="Times New Roman"/>
          <w:sz w:val="18"/>
          <w:szCs w:val="18"/>
          <w:color w:val="auto"/>
        </w:rPr>
        <w:t>Effective January 1, 2022, the Tax Cuts and Jobs Act of 2017 eliminated the option to deduct research and development expenses for tax purposes in the year incurred and requires taxpayers to capitalize and subsequently amortize such expenses over five years for research activities conducted in the United States and over 15 years for research activities conducted outside the United States. Although there have been legislative proposals to repeal or defer the capitalization requirement to later years, there can be no assurance that the provision will be repealed or otherwise modified. Future guidance from the Internal Revenue Service and other tax authorities with respect to such legislation may affect us, and certain aspects of such legislation could be repealed or modified in future legislation.</w:t>
      </w:r>
    </w:p>
    <w:p>
      <w:pPr>
        <w:spacing w:after="0" w:line="160" w:lineRule="exact"/>
        <w:rPr>
          <w:sz w:val="20"/>
          <w:szCs w:val="20"/>
          <w:color w:val="auto"/>
        </w:rPr>
      </w:pPr>
    </w:p>
    <w:p>
      <w:pPr>
        <w:ind w:right="40" w:firstLine="810"/>
        <w:spacing w:after="0" w:line="253" w:lineRule="auto"/>
        <w:rPr>
          <w:sz w:val="20"/>
          <w:szCs w:val="20"/>
          <w:color w:val="auto"/>
        </w:rPr>
      </w:pPr>
      <w:r>
        <w:rPr>
          <w:rFonts w:ascii="Times New Roman" w:cs="Times New Roman" w:eastAsia="Times New Roman" w:hAnsi="Times New Roman"/>
          <w:sz w:val="18"/>
          <w:szCs w:val="18"/>
          <w:color w:val="auto"/>
        </w:rPr>
        <w:t>Our tax obligations and effective tax rate in the jurisdictions in which we conduct business could increase, including as a result of the base erosion and profit shifting (BEPS) project that is being led by the Organization for Economic Co-operation and Development (OECD), and other initiatives led by the OECD or the European Commission. For example, the OECD is leading work on proposals, commonly referred to as “BEPS 2.0,” which, if and to the extent implemented, would make important changes to the international tax system. These proposals are based on two “pillars,” involving the reallocation of taxing rights in respect of certain multinational enterprises above a fixed profit margin to the jurisdictions in which they carry on business (subject to certain revenue threshold rules which we do not currently meet but may meet in the future) (referred to as “Pillar One”) and imposing a minimum effective corporate tax rate on certain multinational enterprises (referred to as “Pillar Two”). A number of countries in which we conduct business, including through our subsidiaries, such as the Netherlands and Switzerland, have enacted with effect from January 1, 2024, or are in the process of enacting, core elements of the Pillar Two rules. Based on our current understanding of the minimum revenue thresholds contained in the Pillar Two proposal, we expect that we are likely to fall within the scope of its rules in the short-to-medium term. The OECD has issued administrative guidance providing transition and safe harbor rules in relation to the implementation of the Pillar Two proposal. We are monitoring developments and evaluating the potential impacts of these new rules, including on our effective tax rates, and considering our eligibility to qualify for these safe harbor rules.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71" w:name="page72"/>
    <w:bookmarkEnd w:id="71"/>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which could harm our business and result in a decline in the trading price of our common stock.</w:t>
      </w:r>
    </w:p>
    <w:p>
      <w:pPr>
        <w:spacing w:after="0" w:line="132" w:lineRule="exact"/>
        <w:rPr>
          <w:sz w:val="20"/>
          <w:szCs w:val="20"/>
          <w:color w:val="auto"/>
        </w:rPr>
      </w:pPr>
    </w:p>
    <w:p>
      <w:pPr>
        <w:jc w:val="both"/>
        <w:ind w:right="700" w:firstLine="810"/>
        <w:spacing w:after="0" w:line="272" w:lineRule="auto"/>
        <w:rPr>
          <w:sz w:val="20"/>
          <w:szCs w:val="20"/>
          <w:color w:val="auto"/>
        </w:rPr>
      </w:pPr>
      <w:r>
        <w:rPr>
          <w:rFonts w:ascii="Times New Roman" w:cs="Times New Roman" w:eastAsia="Times New Roman" w:hAnsi="Times New Roman"/>
          <w:sz w:val="17"/>
          <w:szCs w:val="17"/>
          <w:color w:val="auto"/>
        </w:rPr>
        <w:t>Effective internal controls over financial reporting are necessary for us to provide reliable financial reports and, together with adequate disclosure controls and procedures, are designed to prevent fraud. Any failure to implement adequate controls, or difficulties encountered in their implementation could cause us to fail to meet our reporting obligations, or to prevent the circumvention of our controls or fraud. For example, Mr.</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SEC rules and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may require prospective or retroactive changes to our consolidated financial statements, or may identify other areas for further attention or improvement. Any failure to implement appropriate internal controls could also cause investors to lose confidence in our reported financial information, which could harm our business and result in a decline in the trading price of our common stock.</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98"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incurred a significant amount of indebtedness, and the agreements governing such indebtedness subject us to required debt service payments, as well as financial and operational covenants, any of which may restrict our financial flexibility and affect our ability to operate our business.*</w:t>
      </w:r>
    </w:p>
    <w:p>
      <w:pPr>
        <w:spacing w:after="0" w:line="95"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color w:val="auto"/>
        </w:rPr>
        <w:t>From time to time, we have financed our liquidity needs under various credit arrangements and we may borrow additional funds in the future. For example, in May 2020, we completed the offering of $287.5 million aggregate principal amount of 1.50% Convertible Senior Notes due 2025 (the 2025 Notes), which are governed by the terms of an indenture (the 2025 indenture). In March 2024, we completed the offering of $316.25 million aggregate principal amount of 1.50% Convertible Senior Notes due 2029 (the 2029 Notes and, together with the 2025 Notes, the Notes), which are governed by the terms of an indenture (the 2029 indenture and, together with the 2025 Notes, the indentures). In March 2024, we used the proceeds from the offering of the 2029 Notes to repurchase approximately $246.7 million aggregate principal amount of the 2025 Notes in privately negotiated transactions with holders of the 2025 Notes and as of March 31, 2024, we had approximately $40.8 million aggregate principal amount of the 2025 Notes outstanding. The Notes are our senior unsecured obligations, and interest on the Notes is payable in cash semi-annually at a rate of 1.50% per year.</w:t>
      </w:r>
    </w:p>
    <w:p>
      <w:pPr>
        <w:spacing w:after="0" w:line="151" w:lineRule="exact"/>
        <w:rPr>
          <w:sz w:val="20"/>
          <w:szCs w:val="20"/>
          <w:color w:val="auto"/>
        </w:rPr>
      </w:pPr>
    </w:p>
    <w:p>
      <w:pPr>
        <w:ind w:right="40" w:firstLine="810"/>
        <w:spacing w:after="0" w:line="261" w:lineRule="auto"/>
        <w:rPr>
          <w:sz w:val="20"/>
          <w:szCs w:val="20"/>
          <w:color w:val="auto"/>
        </w:rPr>
      </w:pPr>
      <w:r>
        <w:rPr>
          <w:rFonts w:ascii="Times New Roman" w:cs="Times New Roman" w:eastAsia="Times New Roman" w:hAnsi="Times New Roman"/>
          <w:sz w:val="18"/>
          <w:szCs w:val="18"/>
          <w:color w:val="auto"/>
        </w:rPr>
        <w:t>Our failure to comply with certain obligations under the Notes, or inability to make required debt service payments, could result in an event of default under the relevant indenture. A default, if not cured or waived, could result in acceleration of the indebtedness, which could have a material adverse effect on our business, financial condition and liquidity. Further, if our indebtedness is accelerated, we cannot be certain that cash will be available to pay the indebtedness and we may not have the ability to refinance the indebtedness on terms satisfactory to us or at all.</w:t>
      </w:r>
    </w:p>
    <w:p>
      <w:pPr>
        <w:spacing w:after="0" w:line="153" w:lineRule="exact"/>
        <w:rPr>
          <w:sz w:val="20"/>
          <w:szCs w:val="20"/>
          <w:color w:val="auto"/>
        </w:rPr>
      </w:pPr>
    </w:p>
    <w:p>
      <w:pPr>
        <w:ind w:right="260" w:firstLine="810"/>
        <w:spacing w:after="0" w:line="282" w:lineRule="auto"/>
        <w:rPr>
          <w:sz w:val="20"/>
          <w:szCs w:val="20"/>
          <w:color w:val="auto"/>
        </w:rPr>
      </w:pPr>
      <w:r>
        <w:rPr>
          <w:rFonts w:ascii="Times New Roman" w:cs="Times New Roman" w:eastAsia="Times New Roman" w:hAnsi="Times New Roman"/>
          <w:sz w:val="18"/>
          <w:szCs w:val="18"/>
          <w:color w:val="auto"/>
        </w:rPr>
        <w:t>In addition, our current or future level of indebtedness could affect our business, operations and strategy in several important ways, including the following:</w:t>
      </w:r>
    </w:p>
    <w:p>
      <w:pPr>
        <w:spacing w:after="0" w:line="121" w:lineRule="exact"/>
        <w:rPr>
          <w:sz w:val="20"/>
          <w:szCs w:val="20"/>
          <w:color w:val="auto"/>
        </w:rPr>
      </w:pPr>
    </w:p>
    <w:p>
      <w:pPr>
        <w:ind w:left="1800" w:right="280" w:hanging="496"/>
        <w:spacing w:after="0" w:line="282" w:lineRule="auto"/>
        <w:tabs>
          <w:tab w:leader="none" w:pos="17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dedicate a portion of our current liquidity or cash flow from operations to interest payments, limiting the availability of cash for other purposes;</w:t>
      </w:r>
    </w:p>
    <w:p>
      <w:pPr>
        <w:spacing w:after="0" w:line="364" w:lineRule="exact"/>
        <w:rPr>
          <w:rFonts w:ascii="Times New Roman" w:cs="Times New Roman" w:eastAsia="Times New Roman" w:hAnsi="Times New Roman"/>
          <w:sz w:val="18"/>
          <w:szCs w:val="18"/>
          <w:color w:val="auto"/>
        </w:rPr>
      </w:pPr>
    </w:p>
    <w:p>
      <w:pPr>
        <w:ind w:left="1800" w:right="480" w:hanging="496"/>
        <w:spacing w:after="0" w:line="282" w:lineRule="auto"/>
        <w:tabs>
          <w:tab w:leader="none" w:pos="17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contained in future agreements governing indebtedness may limit our ability to borrow additional funds, refinance indebtedness or make certain investments;</w:t>
      </w:r>
    </w:p>
    <w:p>
      <w:pPr>
        <w:spacing w:after="0" w:line="134"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covenants may affect our flexibility in planning for, and reacting to, changes in the economy and our industry;</w:t>
      </w:r>
    </w:p>
    <w:p>
      <w:pPr>
        <w:spacing w:after="0" w:line="184"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 level of indebtedness may increase our vulnerability to adverse economic and competitive conditions;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72" w:name="page73"/>
    <w:bookmarkEnd w:id="72"/>
    <w:p>
      <w:pPr>
        <w:ind w:left="1800" w:right="340" w:hanging="496"/>
        <w:spacing w:after="0" w:line="282" w:lineRule="auto"/>
        <w:tabs>
          <w:tab w:leader="none" w:pos="17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 level of indebtedness may limit our ability to obtain additional financing in the future or negatively impact the terms on which additional financing may be obtained.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the Notes will require a significant amount of cash, and we may not have sufficient cash flow from our business to repay the Notes.</w:t>
      </w:r>
    </w:p>
    <w:p>
      <w:pPr>
        <w:spacing w:after="0" w:line="189" w:lineRule="exact"/>
        <w:rPr>
          <w:sz w:val="20"/>
          <w:szCs w:val="20"/>
          <w:color w:val="auto"/>
        </w:rPr>
      </w:pPr>
    </w:p>
    <w:p>
      <w:pPr>
        <w:ind w:right="20" w:firstLine="810"/>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of the principal and interest on the Notes, or to refinance the Notes depends on our future business operations and liquidity, which are subject, to numerous risks and uncertainties, including, market acceptance of our products, regulatory clearance, certification, or approval for our products, and the competitive environment in which we operate. Our business may not generate or sustain a level of cash flow from operations sufficient to service the Notes and any future indebtedness we may incur. If we are unable to generate sufficient cash flow, we may be required to adopt one or more alternatives, such as reducing or delaying capital expenditures, selling or licensing assets, refinancing indebtedness, or obtaining additional equity capital.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under the Notes, or our future indebtedness.</w:t>
      </w:r>
    </w:p>
    <w:p>
      <w:pPr>
        <w:spacing w:after="0" w:line="151" w:lineRule="exact"/>
        <w:rPr>
          <w:sz w:val="20"/>
          <w:szCs w:val="20"/>
          <w:color w:val="auto"/>
        </w:rPr>
      </w:pPr>
    </w:p>
    <w:p>
      <w:pPr>
        <w:ind w:right="500" w:firstLine="810"/>
        <w:spacing w:after="0" w:line="258" w:lineRule="auto"/>
        <w:rPr>
          <w:sz w:val="20"/>
          <w:szCs w:val="20"/>
          <w:color w:val="auto"/>
        </w:rPr>
      </w:pPr>
      <w:r>
        <w:rPr>
          <w:rFonts w:ascii="Times New Roman" w:cs="Times New Roman" w:eastAsia="Times New Roman" w:hAnsi="Times New Roman"/>
          <w:sz w:val="18"/>
          <w:szCs w:val="18"/>
          <w:color w:val="auto"/>
        </w:rPr>
        <w:t>In addition, we may from time to time seek to retire or purchase our outstanding debt, including the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spacing w:after="0" w:line="15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or be able to obtain financing to repurchase the Notes upon a fundamental change, or to settle conversions of the Notes.*</w:t>
      </w:r>
    </w:p>
    <w:p>
      <w:pPr>
        <w:spacing w:after="0" w:line="118"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color w:val="auto"/>
        </w:rPr>
        <w:t>Holders of the Notes have the right to require us to repurchase their Notes upon the occurrence of a fundamental change (as defined in the applicable indenture governing the Notes) at a repurchase price equal to 100% of the principal amount of the Notes to be repurchased, plus accrued and unpaid interest, if any. In addition, upon conversion of the Notes, unless we elect to deliver solely shares of our common stock to settle such conversion, we will be required to settle all or a portion of our</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conversion obligation through the payment of cash, which could adversely affect our liquidity. However, we may not have enough available cash or be able to obtain financing at the time we are required to make repurchases of the Notes or settle conversions of the Notes. In addition, our ability to repurchase the Notes or to pay cash upon conversions of the Notes may be limited by agreements governing our future indebtedness. Our failure to repurchase Notes at a time when the repurchase is required by the indenture, or to pay any cash payable on future conversions of the Notes as required by the indenture, would constitute an event of default under the indenture. A default under an indenture, or the fundamental change itself, could also lead to a default under agreements governing our existing or future indebtedness, including the other indenture. 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149" w:lineRule="exact"/>
        <w:rPr>
          <w:sz w:val="20"/>
          <w:szCs w:val="20"/>
          <w:color w:val="auto"/>
        </w:rPr>
      </w:pPr>
    </w:p>
    <w:p>
      <w:pPr>
        <w:ind w:left="4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the Notes will, to the extent we deliver shares upon conversion of such Notes, dilute the ownership interest of existing stockholders and may otherwise have a negative impact on the trading price of our common stock.</w:t>
      </w:r>
    </w:p>
    <w:p>
      <w:pPr>
        <w:spacing w:after="0" w:line="132" w:lineRule="exact"/>
        <w:rPr>
          <w:sz w:val="20"/>
          <w:szCs w:val="20"/>
          <w:color w:val="auto"/>
        </w:rPr>
      </w:pPr>
    </w:p>
    <w:p>
      <w:pPr>
        <w:ind w:right="80" w:firstLine="810"/>
        <w:spacing w:after="0" w:line="261" w:lineRule="auto"/>
        <w:rPr>
          <w:sz w:val="20"/>
          <w:szCs w:val="20"/>
          <w:color w:val="auto"/>
        </w:rPr>
      </w:pPr>
      <w:r>
        <w:rPr>
          <w:rFonts w:ascii="Times New Roman" w:cs="Times New Roman" w:eastAsia="Times New Roman" w:hAnsi="Times New Roman"/>
          <w:sz w:val="18"/>
          <w:szCs w:val="18"/>
          <w:color w:val="auto"/>
        </w:rPr>
        <w:t>The conversion of some or all of the Notes will dilute the ownership interests of existing stockholders to the extent we deliver shares upon conversion of any of the Notes. Any sales in the public market of the common stock issued upon the conversion of the Notes could adversely affect prevailing market prices of our common stock. In addition, the perception that some or all of the Notes may be converted into shares of our common stock in the future could have a negative impact on the trading price of our common stock.</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in the indentures governing the Notes may delay or prevent an otherwise beneficial takeover attempt.*</w:t>
      </w:r>
    </w:p>
    <w:p>
      <w:pPr>
        <w:spacing w:after="0" w:line="189" w:lineRule="exact"/>
        <w:rPr>
          <w:sz w:val="20"/>
          <w:szCs w:val="20"/>
          <w:color w:val="auto"/>
        </w:rPr>
      </w:pPr>
    </w:p>
    <w:p>
      <w:pPr>
        <w:ind w:firstLine="810"/>
        <w:spacing w:after="0" w:line="256" w:lineRule="auto"/>
        <w:rPr>
          <w:sz w:val="20"/>
          <w:szCs w:val="20"/>
          <w:color w:val="auto"/>
        </w:rPr>
      </w:pPr>
      <w:r>
        <w:rPr>
          <w:rFonts w:ascii="Times New Roman" w:cs="Times New Roman" w:eastAsia="Times New Roman" w:hAnsi="Times New Roman"/>
          <w:sz w:val="18"/>
          <w:szCs w:val="18"/>
          <w:color w:val="auto"/>
        </w:rPr>
        <w:t>Certain provisions in the indenture governing the Notes may make it more difficult or expensive for a third party to acquire us. For example, the terms of the Notes require us to offer to repurchase the Notes in the event of a fundamental change and, in certain circumstances, to increase the conversion rate for a holder that converts its Notes in connection with a make-whole fundamental change (as defined in the indenture governing the Notes). A takeover of the Company may trigger the requirement that we offer to repurchase the Notes and/or increase the conversion rate of the Notes for a holder that elects to convert its Notes, which could make it more costly for a potential acquirer to engage in such takeover. These and other provisions set forth in the indenture may have the effect of delaying or preventing a takeover of the Company that would otherwise be beneficial to investors.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73" w:name="page74"/>
    <w:bookmarkEnd w:id="73"/>
    <w:p>
      <w:pPr>
        <w:ind w:left="40"/>
        <w:spacing w:after="0"/>
        <w:rPr>
          <w:sz w:val="20"/>
          <w:szCs w:val="20"/>
          <w:color w:val="auto"/>
        </w:rPr>
      </w:pPr>
      <w:r>
        <w:rPr>
          <w:rFonts w:ascii="Times New Roman" w:cs="Times New Roman" w:eastAsia="Times New Roman" w:hAnsi="Times New Roman"/>
          <w:sz w:val="18"/>
          <w:szCs w:val="18"/>
          <w:b w:val="1"/>
          <w:bCs w:val="1"/>
          <w:i w:val="1"/>
          <w:iCs w:val="1"/>
          <w:color w:val="231F20"/>
        </w:rPr>
        <w:t>The Capped Call Transactions may affect the value of the Notes and our common stock.*</w:t>
      </w:r>
    </w:p>
    <w:p>
      <w:pPr>
        <w:spacing w:after="0" w:line="229" w:lineRule="exact"/>
        <w:rPr>
          <w:sz w:val="20"/>
          <w:szCs w:val="20"/>
          <w:color w:val="auto"/>
        </w:rPr>
      </w:pPr>
    </w:p>
    <w:p>
      <w:pPr>
        <w:ind w:right="40" w:firstLine="810"/>
        <w:spacing w:after="0" w:line="256" w:lineRule="auto"/>
        <w:rPr>
          <w:sz w:val="20"/>
          <w:szCs w:val="20"/>
          <w:color w:val="auto"/>
        </w:rPr>
      </w:pPr>
      <w:r>
        <w:rPr>
          <w:rFonts w:ascii="Times New Roman" w:cs="Times New Roman" w:eastAsia="Times New Roman" w:hAnsi="Times New Roman"/>
          <w:sz w:val="18"/>
          <w:szCs w:val="18"/>
          <w:color w:val="231F20"/>
        </w:rPr>
        <w:t>In connection with the issuance of the 2025 Notes, we entered into capped call transactions (the 2025 Capped Call Transactions) with certain financial institutions (the option counterparties) and in connection with the issuance of the 2029 Notes, we entered into capped call transactions (the 2029 Capped Call Transactions and, together with the 2025 Capped Call Transactions, the Capped Call Transactions) with certain financial institutions (the 2029 option counterparties and, together with the 2025 option counterparties,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160" w:lineRule="exact"/>
        <w:rPr>
          <w:sz w:val="20"/>
          <w:szCs w:val="20"/>
          <w:color w:val="auto"/>
        </w:rPr>
      </w:pPr>
    </w:p>
    <w:p>
      <w:pPr>
        <w:ind w:right="120" w:firstLine="810"/>
        <w:spacing w:after="0" w:line="261" w:lineRule="auto"/>
        <w:rPr>
          <w:sz w:val="20"/>
          <w:szCs w:val="20"/>
          <w:color w:val="auto"/>
        </w:rPr>
      </w:pPr>
      <w:r>
        <w:rPr>
          <w:rFonts w:ascii="Times New Roman" w:cs="Times New Roman" w:eastAsia="Times New Roman" w:hAnsi="Times New Roman"/>
          <w:sz w:val="18"/>
          <w:szCs w:val="18"/>
          <w:color w:val="231F20"/>
        </w:rPr>
        <w:t>The option counterparties or their respective affiliates may modify their hedge positions by entering into or unwinding various derivatives with respect to our common stock and/or purchasing or selling our common stock or other securities of ours in secondary market transactions before the applicable maturity of the Notes. This activity could also cause or avoid an increase or a decrease in the market price of our common stock or the Notes, which could affect a Note holder’s ability to convert the Notes.</w:t>
      </w:r>
    </w:p>
    <w:p>
      <w:pPr>
        <w:spacing w:after="0" w:line="139" w:lineRule="exact"/>
        <w:rPr>
          <w:sz w:val="20"/>
          <w:szCs w:val="20"/>
          <w:color w:val="auto"/>
        </w:rPr>
      </w:pPr>
    </w:p>
    <w:p>
      <w:pPr>
        <w:jc w:val="both"/>
        <w:ind w:right="120" w:firstLine="810"/>
        <w:spacing w:after="0" w:line="266" w:lineRule="auto"/>
        <w:rPr>
          <w:sz w:val="20"/>
          <w:szCs w:val="20"/>
          <w:color w:val="auto"/>
        </w:rPr>
      </w:pPr>
      <w:r>
        <w:rPr>
          <w:rFonts w:ascii="Times New Roman" w:cs="Times New Roman" w:eastAsia="Times New Roman" w:hAnsi="Times New Roman"/>
          <w:sz w:val="18"/>
          <w:szCs w:val="18"/>
          <w:color w:val="231F20"/>
        </w:rPr>
        <w:t xml:space="preserve">The potential effect, </w:t>
      </w:r>
      <w:r>
        <w:rPr>
          <w:rFonts w:ascii="Times New Roman" w:cs="Times New Roman" w:eastAsia="Times New Roman" w:hAnsi="Times New Roman"/>
          <w:sz w:val="18"/>
          <w:szCs w:val="18"/>
          <w:color w:val="000000"/>
        </w:rPr>
        <w:t>if</w:t>
      </w:r>
      <w:r>
        <w:rPr>
          <w:rFonts w:ascii="Times New Roman" w:cs="Times New Roman" w:eastAsia="Times New Roman" w:hAnsi="Times New Roman"/>
          <w:sz w:val="18"/>
          <w:szCs w:val="18"/>
          <w:color w:val="231F20"/>
        </w:rPr>
        <w:t xml:space="preserve"> any, of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under certain circumstances, the ability of the Note holders to convert the Notes.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counterparty risk with </w:t>
      </w:r>
      <w:r>
        <w:rPr>
          <w:rFonts w:ascii="Times New Roman" w:cs="Times New Roman" w:eastAsia="Times New Roman" w:hAnsi="Times New Roman"/>
          <w:sz w:val="18"/>
          <w:szCs w:val="18"/>
          <w:b w:val="1"/>
          <w:bCs w:val="1"/>
          <w:i w:val="1"/>
          <w:iCs w:val="1"/>
          <w:color w:val="231F20"/>
        </w:rPr>
        <w:t>respect</w:t>
      </w:r>
      <w:r>
        <w:rPr>
          <w:rFonts w:ascii="Times New Roman" w:cs="Times New Roman" w:eastAsia="Times New Roman" w:hAnsi="Times New Roman"/>
          <w:sz w:val="18"/>
          <w:szCs w:val="18"/>
          <w:b w:val="1"/>
          <w:bCs w:val="1"/>
          <w:i w:val="1"/>
          <w:iCs w:val="1"/>
          <w:color w:val="auto"/>
        </w:rPr>
        <w:t xml:space="preserve"> to the Capped Call Transactions.</w:t>
      </w:r>
    </w:p>
    <w:p>
      <w:pPr>
        <w:spacing w:after="0" w:line="202" w:lineRule="exact"/>
        <w:rPr>
          <w:sz w:val="20"/>
          <w:szCs w:val="20"/>
          <w:color w:val="auto"/>
        </w:rPr>
      </w:pPr>
    </w:p>
    <w:p>
      <w:pPr>
        <w:ind w:firstLine="810"/>
        <w:spacing w:after="0" w:line="258" w:lineRule="auto"/>
        <w:rPr>
          <w:sz w:val="20"/>
          <w:szCs w:val="20"/>
          <w:color w:val="auto"/>
        </w:rPr>
      </w:pPr>
      <w:r>
        <w:rPr>
          <w:rFonts w:ascii="Times New Roman" w:cs="Times New Roman" w:eastAsia="Times New Roman" w:hAnsi="Times New Roman"/>
          <w:sz w:val="18"/>
          <w:szCs w:val="18"/>
          <w:color w:val="auto"/>
        </w:rPr>
        <w:t xml:space="preserve">The option counterparties </w:t>
      </w:r>
      <w:r>
        <w:rPr>
          <w:rFonts w:ascii="Times New Roman" w:cs="Times New Roman" w:eastAsia="Times New Roman" w:hAnsi="Times New Roman"/>
          <w:sz w:val="18"/>
          <w:szCs w:val="18"/>
          <w:color w:val="231F20"/>
        </w:rPr>
        <w:t>are</w:t>
      </w:r>
      <w:r>
        <w:rPr>
          <w:rFonts w:ascii="Times New Roman" w:cs="Times New Roman" w:eastAsia="Times New Roman" w:hAnsi="Times New Roman"/>
          <w:sz w:val="18"/>
          <w:szCs w:val="18"/>
          <w:color w:val="auto"/>
        </w:rPr>
        <w:t xml:space="preserve"> financial institutions, and we will be subject to the risk that any or all of them may default under the Capped Call Transactions. If an option counterparty becomes subject to insolvency proceedings, we will become an unsecured creditor in those proceedings with a claim equal to our exposure at that time under the Capped Call Transaction with such option counterparty. Our exposure will depend on many factors but, in general, an increase in our exposure will be correlated to an increase in the market price and volatility of our common stock. In addition, upon a default by an option counterparty, we may suffer more dilution than we currently anticipate with respect to our common stock.</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purchases by the Company of its shares of common stock during the three-months ended March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20" w:type="dxa"/>
            <w:vAlign w:val="bottom"/>
          </w:tcPr>
          <w:p>
            <w:pPr>
              <w:spacing w:after="0"/>
              <w:rPr>
                <w:sz w:val="18"/>
                <w:szCs w:val="18"/>
                <w:color w:val="auto"/>
              </w:rPr>
            </w:pPr>
          </w:p>
        </w:tc>
        <w:tc>
          <w:tcPr>
            <w:tcW w:w="2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Maximum dollar value of</w:t>
            </w: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2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80" w:type="dxa"/>
            <w:vAlign w:val="bottom"/>
          </w:tcPr>
          <w:p>
            <w:pPr>
              <w:spacing w:after="0"/>
              <w:rPr>
                <w:sz w:val="16"/>
                <w:szCs w:val="16"/>
                <w:color w:val="auto"/>
              </w:rPr>
            </w:pPr>
          </w:p>
        </w:tc>
        <w:tc>
          <w:tcPr>
            <w:tcW w:w="2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23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20" w:type="dxa"/>
            <w:vAlign w:val="bottom"/>
          </w:tcPr>
          <w:p>
            <w:pPr>
              <w:spacing w:after="0"/>
              <w:rPr>
                <w:sz w:val="16"/>
                <w:szCs w:val="16"/>
                <w:color w:val="auto"/>
              </w:rPr>
            </w:pPr>
          </w:p>
        </w:tc>
        <w:tc>
          <w:tcPr>
            <w:tcW w:w="210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5"/>
        </w:trPr>
        <w:tc>
          <w:tcPr>
            <w:tcW w:w="208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23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 or</w:t>
            </w:r>
          </w:p>
        </w:tc>
        <w:tc>
          <w:tcPr>
            <w:tcW w:w="22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 plans</w:t>
            </w:r>
          </w:p>
        </w:tc>
        <w:tc>
          <w:tcPr>
            <w:tcW w:w="0" w:type="dxa"/>
            <w:vAlign w:val="bottom"/>
          </w:tcPr>
          <w:p>
            <w:pPr>
              <w:spacing w:after="0"/>
              <w:rPr>
                <w:sz w:val="1"/>
                <w:szCs w:val="1"/>
                <w:color w:val="auto"/>
              </w:rPr>
            </w:pPr>
          </w:p>
        </w:tc>
      </w:tr>
      <w:tr>
        <w:trPr>
          <w:trHeight w:val="230"/>
        </w:trPr>
        <w:tc>
          <w:tcPr>
            <w:tcW w:w="2080" w:type="dxa"/>
            <w:vAlign w:val="bottom"/>
            <w:vMerge w:val="continue"/>
          </w:tcPr>
          <w:p>
            <w:pPr>
              <w:spacing w:after="0"/>
              <w:rPr>
                <w:sz w:val="19"/>
                <w:szCs w:val="19"/>
                <w:color w:val="auto"/>
              </w:rPr>
            </w:pPr>
          </w:p>
        </w:tc>
        <w:tc>
          <w:tcPr>
            <w:tcW w:w="230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b w:val="1"/>
                <w:bCs w:val="1"/>
                <w:color w:val="auto"/>
                <w:w w:val="93"/>
              </w:rPr>
              <w:t>purchased</w:t>
            </w:r>
            <w:r>
              <w:rPr>
                <w:rFonts w:ascii="Times New Roman" w:cs="Times New Roman" w:eastAsia="Times New Roman" w:hAnsi="Times New Roman"/>
                <w:sz w:val="23"/>
                <w:szCs w:val="23"/>
                <w:b w:val="1"/>
                <w:bCs w:val="1"/>
                <w:color w:val="auto"/>
                <w:w w:val="93"/>
                <w:vertAlign w:val="superscript"/>
              </w:rPr>
              <w:t>(1)</w:t>
            </w:r>
          </w:p>
        </w:tc>
        <w:tc>
          <w:tcPr>
            <w:tcW w:w="180" w:type="dxa"/>
            <w:vAlign w:val="bottom"/>
          </w:tcPr>
          <w:p>
            <w:pPr>
              <w:spacing w:after="0"/>
              <w:rPr>
                <w:sz w:val="19"/>
                <w:szCs w:val="19"/>
                <w:color w:val="auto"/>
              </w:rPr>
            </w:pPr>
          </w:p>
        </w:tc>
        <w:tc>
          <w:tcPr>
            <w:tcW w:w="2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30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b w:val="1"/>
                <w:bCs w:val="1"/>
                <w:color w:val="auto"/>
                <w:w w:val="94"/>
              </w:rPr>
              <w:t>programs</w:t>
            </w:r>
            <w:r>
              <w:rPr>
                <w:rFonts w:ascii="Times New Roman" w:cs="Times New Roman" w:eastAsia="Times New Roman" w:hAnsi="Times New Roman"/>
                <w:sz w:val="23"/>
                <w:szCs w:val="23"/>
                <w:b w:val="1"/>
                <w:bCs w:val="1"/>
                <w:color w:val="auto"/>
                <w:w w:val="94"/>
                <w:vertAlign w:val="superscript"/>
              </w:rPr>
              <w:t>(1)</w:t>
            </w:r>
          </w:p>
        </w:tc>
        <w:tc>
          <w:tcPr>
            <w:tcW w:w="120" w:type="dxa"/>
            <w:vAlign w:val="bottom"/>
          </w:tcPr>
          <w:p>
            <w:pPr>
              <w:spacing w:after="0"/>
              <w:rPr>
                <w:sz w:val="19"/>
                <w:szCs w:val="19"/>
                <w:color w:val="auto"/>
              </w:rPr>
            </w:pPr>
          </w:p>
        </w:tc>
        <w:tc>
          <w:tcPr>
            <w:tcW w:w="2100" w:type="dxa"/>
            <w:vAlign w:val="bottom"/>
          </w:tcPr>
          <w:p>
            <w:pPr>
              <w:jc w:val="center"/>
              <w:ind w:right="30"/>
              <w:spacing w:after="0" w:line="230" w:lineRule="exact"/>
              <w:rPr>
                <w:sz w:val="20"/>
                <w:szCs w:val="20"/>
                <w:color w:val="auto"/>
              </w:rPr>
            </w:pPr>
            <w:r>
              <w:rPr>
                <w:rFonts w:ascii="Times New Roman" w:cs="Times New Roman" w:eastAsia="Times New Roman" w:hAnsi="Times New Roman"/>
                <w:sz w:val="18"/>
                <w:szCs w:val="18"/>
                <w:b w:val="1"/>
                <w:bCs w:val="1"/>
                <w:color w:val="auto"/>
                <w:w w:val="96"/>
              </w:rPr>
              <w:t>or programs</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5, 2024</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27.105</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1,106,806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120" w:firstLine="8"/>
        <w:spacing w:after="0" w:line="242" w:lineRule="auto"/>
        <w:tabs>
          <w:tab w:leader="none" w:pos="2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4, 2024, concurrently with the announcement of the offering of the 2029 Notes, we announced in a press release our plan to purchase up to $30.0 million of our outstanding common stock from purchasers of the 2029 Notes in privately negotiated transactions, at a purchase price per share equal to the closing price of our common stock on the date of pricing of the 2029 Notes offering, to be effected concurrently with the pricing of the 2029 Notes offering. The pricing of the 2029 Notes offering and the completion of the foregoing repurchase of our outstanding common stock occurred on March 5, 2024.</w:t>
      </w:r>
    </w:p>
    <w:p>
      <w:pPr>
        <w:spacing w:after="0" w:line="22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See Note 7, “Debt,” to the condensed consolidated financial statements in Part 1, Item 1 of this Quarterly Report for additional information on the repurchase transaction.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7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43"/>
        </w:trPr>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740" w:type="dxa"/>
            <w:vAlign w:val="bottom"/>
            <w:tcBorders>
              <w:bottom w:val="single" w:sz="8" w:color="auto"/>
            </w:tcBorders>
            <w:gridSpan w:val="17"/>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4200" w:type="dxa"/>
            <w:vAlign w:val="bottom"/>
            <w:tcBorders>
              <w:bottom w:val="single" w:sz="8" w:color="auto"/>
            </w:tcBorders>
            <w:gridSpan w:val="11"/>
          </w:tcPr>
          <w:p>
            <w:pPr>
              <w:spacing w:after="0" w:line="182" w:lineRule="exact"/>
              <w:rPr>
                <w:rFonts w:ascii="Times New Roman" w:cs="Times New Roman" w:eastAsia="Times New Roman" w:hAnsi="Times New Roman"/>
                <w:sz w:val="18"/>
                <w:szCs w:val="18"/>
                <w:color w:val="auto"/>
              </w:rPr>
            </w:pPr>
            <w:hyperlink r:id="rId89">
              <w:r>
                <w:rPr>
                  <w:rFonts w:ascii="Times New Roman" w:cs="Times New Roman" w:eastAsia="Times New Roman" w:hAnsi="Times New Roman"/>
                  <w:sz w:val="18"/>
                  <w:szCs w:val="18"/>
                  <w:color w:val="auto"/>
                </w:rPr>
                <w:t>Amended and Restated Certificate of Incorporation of the</w:t>
              </w:r>
            </w:hyperlink>
          </w:p>
        </w:tc>
        <w:tc>
          <w:tcPr>
            <w:tcW w:w="54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3440" w:type="dxa"/>
            <w:vAlign w:val="bottom"/>
            <w:gridSpan w:val="4"/>
            <w:vMerge w:val="restart"/>
          </w:tcPr>
          <w:p>
            <w:pPr>
              <w:spacing w:after="0" w:line="156" w:lineRule="exact"/>
              <w:rPr>
                <w:rFonts w:ascii="Times New Roman" w:cs="Times New Roman" w:eastAsia="Times New Roman" w:hAnsi="Times New Roman"/>
                <w:sz w:val="18"/>
                <w:szCs w:val="18"/>
                <w:color w:val="auto"/>
                <w:w w:val="99"/>
              </w:rPr>
            </w:pPr>
            <w:hyperlink r:id="rId89">
              <w:r>
                <w:rPr>
                  <w:rFonts w:ascii="Times New Roman" w:cs="Times New Roman" w:eastAsia="Times New Roman" w:hAnsi="Times New Roman"/>
                  <w:sz w:val="18"/>
                  <w:szCs w:val="18"/>
                  <w:color w:val="auto"/>
                  <w:w w:val="99"/>
                </w:rPr>
                <w:t>Registrant (as amended and currently in effect).</w:t>
              </w:r>
            </w:hyperlink>
          </w:p>
        </w:tc>
        <w:tc>
          <w:tcPr>
            <w:tcW w:w="1300" w:type="dxa"/>
            <w:vAlign w:val="bottom"/>
            <w:gridSpan w:val="1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060" w:type="dxa"/>
            <w:vAlign w:val="bottom"/>
          </w:tcPr>
          <w:p>
            <w:pPr>
              <w:spacing w:after="0"/>
              <w:rPr>
                <w:sz w:val="3"/>
                <w:szCs w:val="3"/>
                <w:color w:val="auto"/>
              </w:rPr>
            </w:pPr>
          </w:p>
        </w:tc>
        <w:tc>
          <w:tcPr>
            <w:tcW w:w="3440" w:type="dxa"/>
            <w:vAlign w:val="bottom"/>
            <w:tcBorders>
              <w:bottom w:val="single" w:sz="8" w:color="auto"/>
            </w:tcBorders>
            <w:gridSpan w:val="4"/>
            <w:vMerge w:val="continue"/>
          </w:tcPr>
          <w:p>
            <w:pPr>
              <w:spacing w:after="0"/>
              <w:rPr>
                <w:sz w:val="3"/>
                <w:szCs w:val="3"/>
                <w:color w:val="auto"/>
              </w:rPr>
            </w:pPr>
          </w:p>
        </w:tc>
        <w:tc>
          <w:tcPr>
            <w:tcW w:w="130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4460" w:type="dxa"/>
            <w:vAlign w:val="bottom"/>
            <w:tcBorders>
              <w:bottom w:val="single" w:sz="8" w:color="auto"/>
            </w:tcBorders>
            <w:gridSpan w:val="14"/>
          </w:tcPr>
          <w:p>
            <w:pPr>
              <w:spacing w:after="0"/>
              <w:rPr>
                <w:rFonts w:ascii="Times New Roman" w:cs="Times New Roman" w:eastAsia="Times New Roman" w:hAnsi="Times New Roman"/>
                <w:sz w:val="18"/>
                <w:szCs w:val="18"/>
                <w:color w:val="auto"/>
                <w:w w:val="99"/>
              </w:rPr>
            </w:pPr>
            <w:hyperlink r:id="rId90">
              <w:r>
                <w:rPr>
                  <w:rFonts w:ascii="Times New Roman" w:cs="Times New Roman" w:eastAsia="Times New Roman" w:hAnsi="Times New Roman"/>
                  <w:sz w:val="18"/>
                  <w:szCs w:val="18"/>
                  <w:color w:val="auto"/>
                  <w:w w:val="99"/>
                </w:rPr>
                <w:t>Amended and Restated Bylaws of the Registrant (as amended</w:t>
              </w:r>
            </w:hyperlink>
          </w:p>
        </w:tc>
        <w:tc>
          <w:tcPr>
            <w:tcW w:w="2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4740" w:type="dxa"/>
            <w:vAlign w:val="bottom"/>
            <w:gridSpan w:val="17"/>
            <w:vMerge w:val="restart"/>
          </w:tcPr>
          <w:p>
            <w:pPr>
              <w:spacing w:after="0" w:line="156" w:lineRule="exact"/>
              <w:rPr>
                <w:rFonts w:ascii="Times New Roman" w:cs="Times New Roman" w:eastAsia="Times New Roman" w:hAnsi="Times New Roman"/>
                <w:sz w:val="18"/>
                <w:szCs w:val="18"/>
                <w:color w:val="auto"/>
              </w:rPr>
            </w:pPr>
            <w:hyperlink r:id="rId90">
              <w:r>
                <w:rPr>
                  <w:rFonts w:ascii="Times New Roman" w:cs="Times New Roman" w:eastAsia="Times New Roman" w:hAnsi="Times New Roman"/>
                  <w:sz w:val="18"/>
                  <w:szCs w:val="18"/>
                  <w:color w:val="auto"/>
                </w:rPr>
                <w:t>and currently in effect).</w:t>
              </w:r>
            </w:hyperlink>
          </w:p>
        </w:tc>
        <w:tc>
          <w:tcPr>
            <w:tcW w:w="0" w:type="dxa"/>
            <w:vAlign w:val="bottom"/>
          </w:tcPr>
          <w:p>
            <w:pPr>
              <w:spacing w:after="0"/>
              <w:rPr>
                <w:sz w:val="1"/>
                <w:szCs w:val="1"/>
                <w:color w:val="auto"/>
              </w:rPr>
            </w:pPr>
          </w:p>
        </w:tc>
      </w:tr>
      <w:tr>
        <w:trPr>
          <w:trHeight w:val="41"/>
        </w:trPr>
        <w:tc>
          <w:tcPr>
            <w:tcW w:w="1060" w:type="dxa"/>
            <w:vAlign w:val="bottom"/>
          </w:tcPr>
          <w:p>
            <w:pPr>
              <w:spacing w:after="0"/>
              <w:rPr>
                <w:sz w:val="3"/>
                <w:szCs w:val="3"/>
                <w:color w:val="auto"/>
              </w:rPr>
            </w:pPr>
          </w:p>
        </w:tc>
        <w:tc>
          <w:tcPr>
            <w:tcW w:w="4740" w:type="dxa"/>
            <w:vAlign w:val="bottom"/>
            <w:gridSpan w:val="1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4160" w:type="dxa"/>
            <w:vAlign w:val="bottom"/>
            <w:tcBorders>
              <w:bottom w:val="single" w:sz="8" w:color="auto"/>
            </w:tcBorders>
            <w:gridSpan w:val="10"/>
          </w:tcPr>
          <w:p>
            <w:pPr>
              <w:spacing w:after="0"/>
              <w:rPr>
                <w:rFonts w:ascii="Times New Roman" w:cs="Times New Roman" w:eastAsia="Times New Roman" w:hAnsi="Times New Roman"/>
                <w:sz w:val="18"/>
                <w:szCs w:val="18"/>
                <w:color w:val="auto"/>
                <w:w w:val="99"/>
              </w:rPr>
            </w:pPr>
            <w:hyperlink r:id="rId91">
              <w:r>
                <w:rPr>
                  <w:rFonts w:ascii="Times New Roman" w:cs="Times New Roman" w:eastAsia="Times New Roman" w:hAnsi="Times New Roman"/>
                  <w:sz w:val="18"/>
                  <w:szCs w:val="18"/>
                  <w:color w:val="auto"/>
                  <w:w w:val="99"/>
                </w:rPr>
                <w:t>Indenture, dated as of March 8, 2024, by and between the</w:t>
              </w:r>
            </w:hyperlink>
          </w:p>
        </w:tc>
        <w:tc>
          <w:tcPr>
            <w:tcW w:w="5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60" w:type="dxa"/>
            <w:vAlign w:val="bottom"/>
            <w:vMerge w:val="continue"/>
          </w:tcPr>
          <w:p>
            <w:pPr>
              <w:spacing w:after="0"/>
              <w:rPr>
                <w:sz w:val="13"/>
                <w:szCs w:val="13"/>
                <w:color w:val="auto"/>
              </w:rPr>
            </w:pPr>
          </w:p>
        </w:tc>
        <w:tc>
          <w:tcPr>
            <w:tcW w:w="4740" w:type="dxa"/>
            <w:vAlign w:val="bottom"/>
            <w:gridSpan w:val="17"/>
          </w:tcPr>
          <w:p>
            <w:pPr>
              <w:spacing w:after="0" w:line="156" w:lineRule="exact"/>
              <w:rPr>
                <w:rFonts w:ascii="Times New Roman" w:cs="Times New Roman" w:eastAsia="Times New Roman" w:hAnsi="Times New Roman"/>
                <w:sz w:val="18"/>
                <w:szCs w:val="18"/>
                <w:color w:val="auto"/>
              </w:rPr>
            </w:pPr>
            <w:hyperlink r:id="rId91">
              <w:r>
                <w:rPr>
                  <w:rFonts w:ascii="Times New Roman" w:cs="Times New Roman" w:eastAsia="Times New Roman" w:hAnsi="Times New Roman"/>
                  <w:sz w:val="18"/>
                  <w:szCs w:val="18"/>
                  <w:color w:val="auto"/>
                </w:rPr>
                <w:t>Company and U.S. Bank Trust Company, National Association,</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780" w:type="dxa"/>
            <w:vAlign w:val="bottom"/>
            <w:tcBorders>
              <w:top w:val="single" w:sz="8" w:color="auto"/>
              <w:bottom w:val="single" w:sz="8" w:color="auto"/>
            </w:tcBorders>
          </w:tcPr>
          <w:p>
            <w:pPr>
              <w:spacing w:after="0" w:line="169" w:lineRule="exact"/>
              <w:rPr>
                <w:rFonts w:ascii="Times New Roman" w:cs="Times New Roman" w:eastAsia="Times New Roman" w:hAnsi="Times New Roman"/>
                <w:sz w:val="18"/>
                <w:szCs w:val="18"/>
                <w:color w:val="auto"/>
                <w:w w:val="97"/>
              </w:rPr>
            </w:pPr>
            <w:hyperlink r:id="rId91">
              <w:r>
                <w:rPr>
                  <w:rFonts w:ascii="Times New Roman" w:cs="Times New Roman" w:eastAsia="Times New Roman" w:hAnsi="Times New Roman"/>
                  <w:sz w:val="18"/>
                  <w:szCs w:val="18"/>
                  <w:color w:val="auto"/>
                  <w:w w:val="97"/>
                </w:rPr>
                <w:t>as Trustee.</w:t>
              </w:r>
            </w:hyperlink>
          </w:p>
        </w:tc>
        <w:tc>
          <w:tcPr>
            <w:tcW w:w="3820" w:type="dxa"/>
            <w:vAlign w:val="bottom"/>
            <w:tcBorders>
              <w:top w:val="single" w:sz="8" w:color="auto"/>
            </w:tcBorders>
            <w:gridSpan w:val="14"/>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4140" w:type="dxa"/>
            <w:vAlign w:val="bottom"/>
            <w:tcBorders>
              <w:bottom w:val="single" w:sz="8" w:color="auto"/>
            </w:tcBorders>
            <w:gridSpan w:val="9"/>
          </w:tcPr>
          <w:p>
            <w:pPr>
              <w:spacing w:after="0"/>
              <w:rPr>
                <w:rFonts w:ascii="Times New Roman" w:cs="Times New Roman" w:eastAsia="Times New Roman" w:hAnsi="Times New Roman"/>
                <w:sz w:val="18"/>
                <w:szCs w:val="18"/>
                <w:color w:val="auto"/>
                <w:w w:val="99"/>
              </w:rPr>
            </w:pPr>
            <w:hyperlink r:id="rId92">
              <w:r>
                <w:rPr>
                  <w:rFonts w:ascii="Times New Roman" w:cs="Times New Roman" w:eastAsia="Times New Roman" w:hAnsi="Times New Roman"/>
                  <w:sz w:val="18"/>
                  <w:szCs w:val="18"/>
                  <w:color w:val="auto"/>
                  <w:w w:val="99"/>
                </w:rPr>
                <w:t>Form of Global Note, representing the Company’s 1.50%</w:t>
              </w:r>
            </w:hyperlink>
          </w:p>
        </w:tc>
        <w:tc>
          <w:tcPr>
            <w:tcW w:w="60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vMerge w:val="continue"/>
          </w:tcPr>
          <w:p>
            <w:pPr>
              <w:spacing w:after="0"/>
              <w:rPr>
                <w:sz w:val="13"/>
                <w:szCs w:val="13"/>
                <w:color w:val="auto"/>
              </w:rPr>
            </w:pPr>
          </w:p>
        </w:tc>
        <w:tc>
          <w:tcPr>
            <w:tcW w:w="4740" w:type="dxa"/>
            <w:vAlign w:val="bottom"/>
            <w:gridSpan w:val="17"/>
          </w:tcPr>
          <w:p>
            <w:pPr>
              <w:spacing w:after="0" w:line="156" w:lineRule="exact"/>
              <w:rPr>
                <w:rFonts w:ascii="Times New Roman" w:cs="Times New Roman" w:eastAsia="Times New Roman" w:hAnsi="Times New Roman"/>
                <w:sz w:val="18"/>
                <w:szCs w:val="18"/>
                <w:color w:val="auto"/>
              </w:rPr>
            </w:pPr>
            <w:hyperlink r:id="rId92">
              <w:r>
                <w:rPr>
                  <w:rFonts w:ascii="Times New Roman" w:cs="Times New Roman" w:eastAsia="Times New Roman" w:hAnsi="Times New Roman"/>
                  <w:sz w:val="18"/>
                  <w:szCs w:val="18"/>
                  <w:color w:val="auto"/>
                </w:rPr>
                <w:t>Convertible Senior Notes due 2029 (included as Exhibit A to the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220" w:type="dxa"/>
            <w:vAlign w:val="bottom"/>
            <w:tcBorders>
              <w:top w:val="single" w:sz="8" w:color="auto"/>
              <w:bottom w:val="single" w:sz="8" w:color="auto"/>
            </w:tcBorders>
            <w:gridSpan w:val="3"/>
          </w:tcPr>
          <w:p>
            <w:pPr>
              <w:spacing w:after="0" w:line="169" w:lineRule="exact"/>
              <w:rPr>
                <w:rFonts w:ascii="Times New Roman" w:cs="Times New Roman" w:eastAsia="Times New Roman" w:hAnsi="Times New Roman"/>
                <w:sz w:val="18"/>
                <w:szCs w:val="18"/>
                <w:color w:val="auto"/>
                <w:w w:val="99"/>
              </w:rPr>
            </w:pPr>
            <w:hyperlink r:id="rId92">
              <w:r>
                <w:rPr>
                  <w:rFonts w:ascii="Times New Roman" w:cs="Times New Roman" w:eastAsia="Times New Roman" w:hAnsi="Times New Roman"/>
                  <w:sz w:val="18"/>
                  <w:szCs w:val="18"/>
                  <w:color w:val="auto"/>
                  <w:w w:val="99"/>
                </w:rPr>
                <w:t>Indenture filed as Exhibit 4.1).</w:t>
              </w:r>
            </w:hyperlink>
          </w:p>
        </w:tc>
        <w:tc>
          <w:tcPr>
            <w:tcW w:w="2440" w:type="dxa"/>
            <w:vAlign w:val="bottom"/>
            <w:tcBorders>
              <w:top w:val="single" w:sz="8" w:color="auto"/>
            </w:tcBorders>
            <w:gridSpan w:val="13"/>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4740" w:type="dxa"/>
            <w:vAlign w:val="bottom"/>
            <w:gridSpan w:val="17"/>
          </w:tcPr>
          <w:p>
            <w:pPr>
              <w:spacing w:after="0"/>
              <w:rPr>
                <w:rFonts w:ascii="Times New Roman" w:cs="Times New Roman" w:eastAsia="Times New Roman" w:hAnsi="Times New Roman"/>
                <w:sz w:val="18"/>
                <w:szCs w:val="18"/>
                <w:color w:val="auto"/>
              </w:rPr>
            </w:pPr>
            <w:hyperlink r:id="rId93">
              <w:r>
                <w:rPr>
                  <w:rFonts w:ascii="Times New Roman" w:cs="Times New Roman" w:eastAsia="Times New Roman" w:hAnsi="Times New Roman"/>
                  <w:sz w:val="18"/>
                  <w:szCs w:val="18"/>
                  <w:color w:val="auto"/>
                </w:rPr>
                <w:t>Form of Confirmation for Capped Call Transaction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60" w:type="dxa"/>
            <w:vAlign w:val="bottom"/>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4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Certification of John F. Sheridan, Chief Executive Officer,</w:t>
            </w: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4320" w:type="dxa"/>
            <w:vAlign w:val="bottom"/>
            <w:gridSpan w:val="13"/>
            <w:vMerge w:val="restart"/>
          </w:tcPr>
          <w:p>
            <w:pPr>
              <w:spacing w:after="0" w:line="156" w:lineRule="exact"/>
              <w:rPr>
                <w:sz w:val="20"/>
                <w:szCs w:val="20"/>
                <w:color w:val="auto"/>
              </w:rPr>
            </w:pPr>
            <w:r>
              <w:rPr>
                <w:rFonts w:ascii="Times New Roman" w:cs="Times New Roman" w:eastAsia="Times New Roman" w:hAnsi="Times New Roman"/>
                <w:sz w:val="18"/>
                <w:szCs w:val="18"/>
                <w:color w:val="auto"/>
                <w:w w:val="99"/>
              </w:rPr>
              <w:t>pursuant to Section 302 of the Sarbanes-Oxley Act of 2002.</w:t>
            </w:r>
          </w:p>
        </w:tc>
        <w:tc>
          <w:tcPr>
            <w:tcW w:w="420" w:type="dxa"/>
            <w:vAlign w:val="bottom"/>
            <w:gridSpan w:val="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060" w:type="dxa"/>
            <w:vAlign w:val="bottom"/>
          </w:tcPr>
          <w:p>
            <w:pPr>
              <w:spacing w:after="0"/>
              <w:rPr>
                <w:sz w:val="3"/>
                <w:szCs w:val="3"/>
                <w:color w:val="auto"/>
              </w:rPr>
            </w:pPr>
          </w:p>
        </w:tc>
        <w:tc>
          <w:tcPr>
            <w:tcW w:w="4320" w:type="dxa"/>
            <w:vAlign w:val="bottom"/>
            <w:tcBorders>
              <w:bottom w:val="single" w:sz="8" w:color="auto"/>
            </w:tcBorders>
            <w:gridSpan w:val="13"/>
            <w:vMerge w:val="continue"/>
          </w:tcPr>
          <w:p>
            <w:pPr>
              <w:spacing w:after="0"/>
              <w:rPr>
                <w:sz w:val="3"/>
                <w:szCs w:val="3"/>
                <w:color w:val="auto"/>
              </w:rPr>
            </w:pPr>
          </w:p>
        </w:tc>
        <w:tc>
          <w:tcPr>
            <w:tcW w:w="4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43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8"/>
              </w:rPr>
              <w:t>Certification of Leigh A. Vosseller, Chief Financial Officer,</w:t>
            </w:r>
          </w:p>
        </w:tc>
        <w:tc>
          <w:tcPr>
            <w:tcW w:w="44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4320" w:type="dxa"/>
            <w:vAlign w:val="bottom"/>
            <w:gridSpan w:val="13"/>
            <w:vMerge w:val="restart"/>
          </w:tcPr>
          <w:p>
            <w:pPr>
              <w:spacing w:after="0" w:line="156" w:lineRule="exact"/>
              <w:rPr>
                <w:sz w:val="20"/>
                <w:szCs w:val="20"/>
                <w:color w:val="auto"/>
              </w:rPr>
            </w:pPr>
            <w:r>
              <w:rPr>
                <w:rFonts w:ascii="Times New Roman" w:cs="Times New Roman" w:eastAsia="Times New Roman" w:hAnsi="Times New Roman"/>
                <w:sz w:val="18"/>
                <w:szCs w:val="18"/>
                <w:color w:val="auto"/>
                <w:w w:val="99"/>
              </w:rPr>
              <w:t>pursuant to Section 302 of the Sarbanes-Oxley Act of 2002.</w:t>
            </w:r>
          </w:p>
        </w:tc>
        <w:tc>
          <w:tcPr>
            <w:tcW w:w="420" w:type="dxa"/>
            <w:vAlign w:val="bottom"/>
            <w:gridSpan w:val="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060" w:type="dxa"/>
            <w:vAlign w:val="bottom"/>
          </w:tcPr>
          <w:p>
            <w:pPr>
              <w:spacing w:after="0"/>
              <w:rPr>
                <w:sz w:val="3"/>
                <w:szCs w:val="3"/>
                <w:color w:val="auto"/>
              </w:rPr>
            </w:pPr>
          </w:p>
        </w:tc>
        <w:tc>
          <w:tcPr>
            <w:tcW w:w="4320" w:type="dxa"/>
            <w:vAlign w:val="bottom"/>
            <w:tcBorders>
              <w:bottom w:val="single" w:sz="8" w:color="auto"/>
            </w:tcBorders>
            <w:gridSpan w:val="13"/>
            <w:vMerge w:val="continue"/>
          </w:tcPr>
          <w:p>
            <w:pPr>
              <w:spacing w:after="0"/>
              <w:rPr>
                <w:sz w:val="3"/>
                <w:szCs w:val="3"/>
                <w:color w:val="auto"/>
              </w:rPr>
            </w:pPr>
          </w:p>
        </w:tc>
        <w:tc>
          <w:tcPr>
            <w:tcW w:w="4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4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Certification of John F. Sheridan, Chief Executive Officer,</w:t>
            </w:r>
          </w:p>
        </w:tc>
        <w:tc>
          <w:tcPr>
            <w:tcW w:w="0" w:type="dxa"/>
            <w:vAlign w:val="bottom"/>
          </w:tcPr>
          <w:p>
            <w:pPr>
              <w:spacing w:after="0"/>
              <w:rPr>
                <w:sz w:val="1"/>
                <w:szCs w:val="1"/>
                <w:color w:val="auto"/>
              </w:rPr>
            </w:pPr>
          </w:p>
        </w:tc>
      </w:tr>
      <w:tr>
        <w:trPr>
          <w:trHeight w:val="155"/>
        </w:trPr>
        <w:tc>
          <w:tcPr>
            <w:tcW w:w="1060" w:type="dxa"/>
            <w:vAlign w:val="bottom"/>
            <w:vMerge w:val="continue"/>
          </w:tcPr>
          <w:p>
            <w:pPr>
              <w:spacing w:after="0"/>
              <w:rPr>
                <w:sz w:val="13"/>
                <w:szCs w:val="13"/>
                <w:color w:val="auto"/>
              </w:rPr>
            </w:pPr>
          </w:p>
        </w:tc>
        <w:tc>
          <w:tcPr>
            <w:tcW w:w="4200" w:type="dxa"/>
            <w:vAlign w:val="bottom"/>
            <w:tcBorders>
              <w:top w:val="single" w:sz="8" w:color="auto"/>
            </w:tcBorders>
            <w:gridSpan w:val="11"/>
          </w:tcPr>
          <w:p>
            <w:pPr>
              <w:spacing w:after="0" w:line="156" w:lineRule="exact"/>
              <w:rPr>
                <w:sz w:val="20"/>
                <w:szCs w:val="20"/>
                <w:color w:val="auto"/>
              </w:rPr>
            </w:pPr>
            <w:r>
              <w:rPr>
                <w:rFonts w:ascii="Times New Roman" w:cs="Times New Roman" w:eastAsia="Times New Roman" w:hAnsi="Times New Roman"/>
                <w:sz w:val="18"/>
                <w:szCs w:val="18"/>
                <w:color w:val="auto"/>
              </w:rPr>
              <w:t>pursuant to U.S.C. Section 1350, as adopted pursuant to</w:t>
            </w:r>
          </w:p>
        </w:tc>
        <w:tc>
          <w:tcPr>
            <w:tcW w:w="5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480" w:type="dxa"/>
            <w:vAlign w:val="bottom"/>
            <w:tcBorders>
              <w:top w:val="single" w:sz="8" w:color="auto"/>
              <w:bottom w:val="single" w:sz="8" w:color="auto"/>
            </w:tcBorders>
            <w:gridSpan w:val="6"/>
          </w:tcPr>
          <w:p>
            <w:pPr>
              <w:spacing w:after="0" w:line="169" w:lineRule="exact"/>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560" w:type="dxa"/>
            <w:vAlign w:val="bottom"/>
            <w:tcBorders>
              <w:top w:val="single" w:sz="8" w:color="auto"/>
            </w:tcBorders>
            <w:gridSpan w:val="2"/>
          </w:tcPr>
          <w:p>
            <w:pPr>
              <w:spacing w:after="0"/>
              <w:rPr>
                <w:sz w:val="14"/>
                <w:szCs w:val="14"/>
                <w:color w:val="auto"/>
              </w:rPr>
            </w:pPr>
          </w:p>
        </w:tc>
        <w:tc>
          <w:tcPr>
            <w:tcW w:w="70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4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Certification of Leigh A. Vosseller, Chief Financial Officer,</w:t>
            </w:r>
          </w:p>
        </w:tc>
        <w:tc>
          <w:tcPr>
            <w:tcW w:w="0" w:type="dxa"/>
            <w:vAlign w:val="bottom"/>
          </w:tcPr>
          <w:p>
            <w:pPr>
              <w:spacing w:after="0"/>
              <w:rPr>
                <w:sz w:val="1"/>
                <w:szCs w:val="1"/>
                <w:color w:val="auto"/>
              </w:rPr>
            </w:pPr>
          </w:p>
        </w:tc>
      </w:tr>
      <w:tr>
        <w:trPr>
          <w:trHeight w:val="156"/>
        </w:trPr>
        <w:tc>
          <w:tcPr>
            <w:tcW w:w="1060" w:type="dxa"/>
            <w:vAlign w:val="bottom"/>
            <w:vMerge w:val="continue"/>
          </w:tcPr>
          <w:p>
            <w:pPr>
              <w:spacing w:after="0"/>
              <w:rPr>
                <w:sz w:val="13"/>
                <w:szCs w:val="13"/>
                <w:color w:val="auto"/>
              </w:rPr>
            </w:pPr>
          </w:p>
        </w:tc>
        <w:tc>
          <w:tcPr>
            <w:tcW w:w="4300" w:type="dxa"/>
            <w:vAlign w:val="bottom"/>
            <w:tcBorders>
              <w:top w:val="single" w:sz="8" w:color="auto"/>
            </w:tcBorders>
            <w:gridSpan w:val="12"/>
          </w:tcPr>
          <w:p>
            <w:pPr>
              <w:spacing w:after="0" w:line="156" w:lineRule="exact"/>
              <w:rPr>
                <w:sz w:val="20"/>
                <w:szCs w:val="20"/>
                <w:color w:val="auto"/>
              </w:rPr>
            </w:pPr>
            <w:r>
              <w:rPr>
                <w:rFonts w:ascii="Times New Roman" w:cs="Times New Roman" w:eastAsia="Times New Roman" w:hAnsi="Times New Roman"/>
                <w:sz w:val="18"/>
                <w:szCs w:val="18"/>
                <w:color w:val="auto"/>
              </w:rPr>
              <w:t>pursuant to U.S.C. Section 1350, as adopted pursuant to</w:t>
            </w:r>
          </w:p>
        </w:tc>
        <w:tc>
          <w:tcPr>
            <w:tcW w:w="4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4040" w:type="dxa"/>
            <w:vAlign w:val="bottom"/>
            <w:tcBorders>
              <w:top w:val="single" w:sz="8" w:color="auto"/>
            </w:tcBorders>
            <w:gridSpan w:val="8"/>
          </w:tcPr>
          <w:p>
            <w:pPr>
              <w:spacing w:after="0" w:line="169" w:lineRule="exact"/>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70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34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28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4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80"/>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4740" w:type="dxa"/>
            <w:vAlign w:val="bottom"/>
            <w:gridSpan w:val="17"/>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149"/>
        </w:trPr>
        <w:tc>
          <w:tcPr>
            <w:tcW w:w="1060" w:type="dxa"/>
            <w:vAlign w:val="bottom"/>
            <w:vMerge w:val="continue"/>
          </w:tcPr>
          <w:p>
            <w:pPr>
              <w:spacing w:after="0"/>
              <w:rPr>
                <w:sz w:val="12"/>
                <w:szCs w:val="12"/>
                <w:color w:val="auto"/>
              </w:rPr>
            </w:pPr>
          </w:p>
        </w:tc>
        <w:tc>
          <w:tcPr>
            <w:tcW w:w="47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86"/>
        </w:trPr>
        <w:tc>
          <w:tcPr>
            <w:tcW w:w="1060" w:type="dxa"/>
            <w:vAlign w:val="bottom"/>
          </w:tcPr>
          <w:p>
            <w:pPr>
              <w:spacing w:after="0"/>
              <w:rPr>
                <w:sz w:val="7"/>
                <w:szCs w:val="7"/>
                <w:color w:val="auto"/>
              </w:rPr>
            </w:pPr>
          </w:p>
        </w:tc>
        <w:tc>
          <w:tcPr>
            <w:tcW w:w="4740" w:type="dxa"/>
            <w:vAlign w:val="bottom"/>
            <w:gridSpan w:val="1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4740" w:type="dxa"/>
            <w:vAlign w:val="bottom"/>
            <w:gridSpan w:val="17"/>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148"/>
        </w:trPr>
        <w:tc>
          <w:tcPr>
            <w:tcW w:w="1060" w:type="dxa"/>
            <w:vAlign w:val="bottom"/>
            <w:vMerge w:val="continue"/>
          </w:tcPr>
          <w:p>
            <w:pPr>
              <w:spacing w:after="0"/>
              <w:rPr>
                <w:sz w:val="12"/>
                <w:szCs w:val="12"/>
                <w:color w:val="auto"/>
              </w:rPr>
            </w:pPr>
          </w:p>
        </w:tc>
        <w:tc>
          <w:tcPr>
            <w:tcW w:w="47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86"/>
        </w:trPr>
        <w:tc>
          <w:tcPr>
            <w:tcW w:w="1060" w:type="dxa"/>
            <w:vAlign w:val="bottom"/>
          </w:tcPr>
          <w:p>
            <w:pPr>
              <w:spacing w:after="0"/>
              <w:rPr>
                <w:sz w:val="7"/>
                <w:szCs w:val="7"/>
                <w:color w:val="auto"/>
              </w:rPr>
            </w:pPr>
          </w:p>
        </w:tc>
        <w:tc>
          <w:tcPr>
            <w:tcW w:w="4740" w:type="dxa"/>
            <w:vAlign w:val="bottom"/>
            <w:gridSpan w:val="1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4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15"/>
        </w:trPr>
        <w:tc>
          <w:tcPr>
            <w:tcW w:w="1060" w:type="dxa"/>
            <w:vAlign w:val="bottom"/>
          </w:tcPr>
          <w:p>
            <w:pPr>
              <w:spacing w:after="0"/>
              <w:rPr>
                <w:sz w:val="9"/>
                <w:szCs w:val="9"/>
                <w:color w:val="auto"/>
              </w:rPr>
            </w:pPr>
          </w:p>
        </w:tc>
        <w:tc>
          <w:tcPr>
            <w:tcW w:w="4740" w:type="dxa"/>
            <w:vAlign w:val="bottom"/>
            <w:gridSpan w:val="17"/>
          </w:tcPr>
          <w:p>
            <w:pPr>
              <w:spacing w:after="0" w:line="114" w:lineRule="exact"/>
              <w:rPr>
                <w:sz w:val="20"/>
                <w:szCs w:val="20"/>
                <w:color w:val="auto"/>
              </w:rPr>
            </w:pPr>
            <w:r>
              <w:rPr>
                <w:rFonts w:ascii="Times New Roman" w:cs="Times New Roman" w:eastAsia="Times New Roman" w:hAnsi="Times New Roman"/>
                <w:sz w:val="13"/>
                <w:szCs w:val="13"/>
                <w:color w:val="auto"/>
              </w:rPr>
              <w:t>Inline 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-3763645</wp:posOffset>
            </wp:positionV>
            <wp:extent cx="713232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-3223895</wp:posOffset>
            </wp:positionV>
            <wp:extent cx="7132320" cy="3771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-2469515</wp:posOffset>
            </wp:positionV>
            <wp:extent cx="713232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-2058035</wp:posOffset>
            </wp:positionV>
            <wp:extent cx="7132320" cy="265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-1414780</wp:posOffset>
            </wp:positionV>
            <wp:extent cx="7132320" cy="3771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-892175</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2660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265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0"/>
        <w:spacing w:after="0"/>
        <w:tabs>
          <w:tab w:leader="none" w:pos="1040" w:val="left"/>
        </w:tabs>
        <w:rPr>
          <w:sz w:val="20"/>
          <w:szCs w:val="20"/>
          <w:color w:val="auto"/>
        </w:rPr>
      </w:pPr>
      <w:r>
        <w:rPr>
          <w:rFonts w:ascii="Times New Roman" w:cs="Times New Roman" w:eastAsia="Times New Roman" w:hAnsi="Times New Roman"/>
          <w:sz w:val="35"/>
          <w:szCs w:val="35"/>
          <w:color w:val="auto"/>
          <w:vertAlign w:val="superscript"/>
        </w:rPr>
        <w:t>101.PRE</w:t>
      </w:r>
      <w:r>
        <w:rPr>
          <w:rFonts w:ascii="Times New Roman" w:cs="Times New Roman" w:eastAsia="Times New Roman" w:hAnsi="Times New Roman"/>
          <w:sz w:val="18"/>
          <w:szCs w:val="18"/>
          <w:color w:val="auto"/>
        </w:rPr>
        <w:tab/>
        <w:t>Document.</w:t>
      </w:r>
    </w:p>
    <w:p>
      <w:pPr>
        <w:ind w:left="1060" w:right="300" w:hanging="667"/>
        <w:spacing w:after="0" w:line="189" w:lineRule="auto"/>
        <w:tabs>
          <w:tab w:leader="none" w:pos="1060" w:val="left"/>
        </w:tabs>
        <w:numPr>
          <w:ilvl w:val="0"/>
          <w:numId w:val="46"/>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color w:val="auto"/>
        </w:rPr>
        <w:t>Cover Page Interactive Data File (embedded within the Inline XBRL Document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20" w:type="dxa"/>
            <w:vAlign w:val="bottom"/>
            <w:gridSpan w:val="3"/>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980" w:type="dxa"/>
            <w:vAlign w:val="bottom"/>
          </w:tcPr>
          <w:p>
            <w:pPr>
              <w:spacing w:after="0"/>
              <w:rPr>
                <w:sz w:val="17"/>
                <w:szCs w:val="17"/>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Provided</w:t>
            </w:r>
          </w:p>
        </w:tc>
        <w:tc>
          <w:tcPr>
            <w:tcW w:w="0" w:type="dxa"/>
            <w:vAlign w:val="bottom"/>
          </w:tcPr>
          <w:p>
            <w:pPr>
              <w:spacing w:after="0"/>
              <w:rPr>
                <w:sz w:val="1"/>
                <w:szCs w:val="1"/>
                <w:color w:val="auto"/>
              </w:rPr>
            </w:pPr>
          </w:p>
        </w:tc>
      </w:tr>
      <w:tr>
        <w:trPr>
          <w:trHeight w:val="243"/>
        </w:trPr>
        <w:tc>
          <w:tcPr>
            <w:tcW w:w="3420" w:type="dxa"/>
            <w:vAlign w:val="bottom"/>
            <w:tcBorders>
              <w:bottom w:val="single" w:sz="8" w:color="auto"/>
            </w:tcBorders>
            <w:gridSpan w:val="3"/>
            <w:vMerge w:val="continue"/>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Herewith</w:t>
            </w:r>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3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Date of First</w:t>
            </w:r>
          </w:p>
        </w:tc>
        <w:tc>
          <w:tcPr>
            <w:tcW w:w="9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2020" w:type="dxa"/>
            <w:vAlign w:val="bottom"/>
            <w:gridSpan w:val="2"/>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32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001-36189</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 2023</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001-36189</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 2023</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001-36189</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2024</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001-36189</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2024</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001-36189</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2024</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X</w:t>
      </w:r>
    </w:p>
    <w:p>
      <w:pPr>
        <w:spacing w:after="0" w:line="29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X</w:t>
      </w:r>
    </w:p>
    <w:p>
      <w:pPr>
        <w:spacing w:after="0" w:line="1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X</w:t>
      </w:r>
    </w:p>
    <w:p>
      <w:pPr>
        <w:spacing w:after="0" w:line="307" w:lineRule="exact"/>
        <w:rPr>
          <w:sz w:val="20"/>
          <w:szCs w:val="20"/>
          <w:color w:val="auto"/>
        </w:rPr>
      </w:pPr>
    </w:p>
    <w:p>
      <w:pPr>
        <w:sectPr>
          <w:pgSz w:w="11900" w:h="16838" w:orient="portrait"/>
          <w:cols w:equalWidth="0" w:num="2">
            <w:col w:w="5800" w:space="0"/>
            <w:col w:w="5440"/>
          </w:cols>
          <w:pgMar w:left="320" w:top="1103" w:right="339" w:bottom="1440" w:gutter="0" w:footer="0" w:header="0"/>
          <w:type w:val="continuous"/>
        </w:sectPr>
      </w:pPr>
    </w:p>
    <w:p>
      <w:pPr>
        <w:spacing w:after="0" w:line="120" w:lineRule="exact"/>
        <w:rPr>
          <w:sz w:val="20"/>
          <w:szCs w:val="20"/>
          <w:color w:val="auto"/>
        </w:rPr>
      </w:pPr>
    </w:p>
    <w:p>
      <w:pPr>
        <w:ind w:right="240" w:firstLine="8"/>
        <w:spacing w:after="0" w:line="250" w:lineRule="auto"/>
        <w:tabs>
          <w:tab w:leader="none" w:pos="1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75" w:name="page76"/>
    <w:bookmarkEnd w:id="75"/>
    <w:p>
      <w:pPr>
        <w:spacing w:after="0" w:line="1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Tandem Diabetes Care, Inc.</w:t>
      </w:r>
    </w:p>
    <w:p>
      <w:pPr>
        <w:spacing w:after="0" w:line="306" w:lineRule="exact"/>
        <w:rPr>
          <w:sz w:val="20"/>
          <w:szCs w:val="20"/>
          <w:color w:val="auto"/>
        </w:rPr>
      </w:pPr>
    </w:p>
    <w:p>
      <w:pPr>
        <w:ind w:left="20"/>
        <w:spacing w:after="0"/>
        <w:tabs>
          <w:tab w:leader="none" w:pos="5780" w:val="left"/>
          <w:tab w:leader="none" w:pos="6280" w:val="left"/>
        </w:tabs>
        <w:rPr>
          <w:sz w:val="20"/>
          <w:szCs w:val="20"/>
          <w:color w:val="auto"/>
        </w:rPr>
      </w:pPr>
      <w:r>
        <w:rPr>
          <w:rFonts w:ascii="Times New Roman" w:cs="Times New Roman" w:eastAsia="Times New Roman" w:hAnsi="Times New Roman"/>
          <w:sz w:val="18"/>
          <w:szCs w:val="18"/>
          <w:color w:val="auto"/>
        </w:rPr>
        <w:t>Dated: 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286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John F. Sheridan</w:t>
      </w:r>
    </w:p>
    <w:p>
      <w:pPr>
        <w:ind w:left="6300"/>
        <w:spacing w:after="0" w:line="203"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6300"/>
        <w:spacing w:after="0" w:line="219" w:lineRule="auto"/>
        <w:rPr>
          <w:sz w:val="20"/>
          <w:szCs w:val="20"/>
          <w:color w:val="auto"/>
        </w:rPr>
      </w:pPr>
      <w:r>
        <w:rPr>
          <w:rFonts w:ascii="Times New Roman" w:cs="Times New Roman" w:eastAsia="Times New Roman" w:hAnsi="Times New Roman"/>
          <w:sz w:val="18"/>
          <w:szCs w:val="18"/>
          <w:color w:val="auto"/>
        </w:rPr>
        <w:t>(on behalf of the registrant and as the registrant’s</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59" w:lineRule="exact"/>
        <w:rPr>
          <w:sz w:val="20"/>
          <w:szCs w:val="20"/>
          <w:color w:val="auto"/>
        </w:rPr>
      </w:pPr>
    </w:p>
    <w:p>
      <w:pPr>
        <w:ind w:left="20"/>
        <w:spacing w:after="0"/>
        <w:tabs>
          <w:tab w:leader="none" w:pos="5780" w:val="left"/>
          <w:tab w:leader="none" w:pos="6280" w:val="left"/>
        </w:tabs>
        <w:rPr>
          <w:sz w:val="20"/>
          <w:szCs w:val="20"/>
          <w:color w:val="auto"/>
        </w:rPr>
      </w:pPr>
      <w:r>
        <w:rPr>
          <w:rFonts w:ascii="Times New Roman" w:cs="Times New Roman" w:eastAsia="Times New Roman" w:hAnsi="Times New Roman"/>
          <w:sz w:val="18"/>
          <w:szCs w:val="18"/>
          <w:color w:val="auto"/>
        </w:rPr>
        <w:t>Dated: 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286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Leigh A. Vosseller</w:t>
      </w:r>
    </w:p>
    <w:p>
      <w:pPr>
        <w:ind w:left="6300"/>
        <w:spacing w:after="0" w:line="215" w:lineRule="auto"/>
        <w:rPr>
          <w:sz w:val="20"/>
          <w:szCs w:val="20"/>
          <w:color w:val="auto"/>
        </w:rPr>
      </w:pPr>
      <w:r>
        <w:rPr>
          <w:rFonts w:ascii="Times New Roman" w:cs="Times New Roman" w:eastAsia="Times New Roman" w:hAnsi="Times New Roman"/>
          <w:sz w:val="17"/>
          <w:szCs w:val="17"/>
          <w:color w:val="auto"/>
        </w:rPr>
        <w:t>Executive Vice President, Chief Financial Officer and Treasurer</w:t>
      </w:r>
    </w:p>
    <w:p>
      <w:pPr>
        <w:ind w:left="63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20"/>
          </w:cols>
          <w:pgMar w:left="320" w:top="1440" w:right="65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Sheridan, certify that:</w:t>
      </w:r>
    </w:p>
    <w:p>
      <w:pPr>
        <w:spacing w:after="0" w:line="185" w:lineRule="exact"/>
        <w:rPr>
          <w:sz w:val="20"/>
          <w:szCs w:val="20"/>
          <w:color w:val="auto"/>
        </w:rPr>
      </w:pPr>
    </w:p>
    <w:p>
      <w:pPr>
        <w:ind w:left="180" w:hanging="172"/>
        <w:spacing w:after="0"/>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Tandem Diabetes Care, Inc</w:t>
      </w:r>
    </w:p>
    <w:p>
      <w:pPr>
        <w:spacing w:after="0" w:line="184"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right="20" w:firstLine="818"/>
        <w:spacing w:after="0" w:line="266" w:lineRule="auto"/>
        <w:tabs>
          <w:tab w:leader="none" w:pos="9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right="40" w:firstLine="818"/>
        <w:spacing w:after="0" w:line="266" w:lineRule="auto"/>
        <w:tabs>
          <w:tab w:leader="none" w:pos="100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right="540" w:firstLine="818"/>
        <w:spacing w:after="0" w:line="282" w:lineRule="auto"/>
        <w:tabs>
          <w:tab w:leader="none" w:pos="9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right="20" w:firstLine="818"/>
        <w:spacing w:after="0" w:line="266" w:lineRule="auto"/>
        <w:tabs>
          <w:tab w:leader="none" w:pos="100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right="760" w:firstLine="818"/>
        <w:spacing w:after="0" w:line="282" w:lineRule="auto"/>
        <w:tabs>
          <w:tab w:leader="none" w:pos="9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440" w:firstLine="818"/>
        <w:spacing w:after="0" w:line="282" w:lineRule="auto"/>
        <w:tabs>
          <w:tab w:leader="none" w:pos="100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Tandem Diabetes Care, Inc.</w:t>
      </w:r>
    </w:p>
    <w:p>
      <w:pPr>
        <w:spacing w:after="0" w:line="77" w:lineRule="exact"/>
        <w:rPr>
          <w:sz w:val="20"/>
          <w:szCs w:val="20"/>
          <w:color w:val="auto"/>
        </w:rPr>
      </w:pPr>
    </w:p>
    <w:p>
      <w:pPr>
        <w:ind w:left="636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John F. Sheridan</w:t>
      </w:r>
    </w:p>
    <w:p>
      <w:pPr>
        <w:ind w:left="68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2, 2024</w:t>
      </w:r>
    </w:p>
    <w:p>
      <w:pPr>
        <w:sectPr>
          <w:pgSz w:w="11900" w:h="16838" w:orient="portrait"/>
          <w:cols w:equalWidth="0" w:num="1">
            <w:col w:w="11240"/>
          </w:cols>
          <w:pgMar w:left="320" w:top="88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Leigh A. Vosseller, certify that:</w:t>
      </w:r>
    </w:p>
    <w:p>
      <w:pPr>
        <w:spacing w:after="0" w:line="185" w:lineRule="exact"/>
        <w:rPr>
          <w:sz w:val="20"/>
          <w:szCs w:val="20"/>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Tandem Diabetes Care, Inc.</w:t>
      </w:r>
    </w:p>
    <w:p>
      <w:pPr>
        <w:spacing w:after="0" w:line="184"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right="20" w:firstLine="818"/>
        <w:spacing w:after="0" w:line="266" w:lineRule="auto"/>
        <w:tabs>
          <w:tab w:leader="none" w:pos="99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right="40" w:firstLine="818"/>
        <w:spacing w:after="0" w:line="266" w:lineRule="auto"/>
        <w:tabs>
          <w:tab w:leader="none" w:pos="100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right="540" w:firstLine="818"/>
        <w:spacing w:after="0" w:line="282" w:lineRule="auto"/>
        <w:tabs>
          <w:tab w:leader="none" w:pos="99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right="20" w:firstLine="818"/>
        <w:spacing w:after="0" w:line="266" w:lineRule="auto"/>
        <w:tabs>
          <w:tab w:leader="none" w:pos="100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right="760" w:firstLine="818"/>
        <w:spacing w:after="0" w:line="282" w:lineRule="auto"/>
        <w:tabs>
          <w:tab w:leader="none" w:pos="99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440" w:firstLine="818"/>
        <w:spacing w:after="0" w:line="282" w:lineRule="auto"/>
        <w:tabs>
          <w:tab w:leader="none" w:pos="100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Tandem Diabetes Care, Inc.</w:t>
      </w:r>
    </w:p>
    <w:p>
      <w:pPr>
        <w:spacing w:after="0" w:line="27" w:lineRule="exact"/>
        <w:rPr>
          <w:sz w:val="20"/>
          <w:szCs w:val="20"/>
          <w:color w:val="auto"/>
        </w:rPr>
      </w:pPr>
    </w:p>
    <w:p>
      <w:pPr>
        <w:ind w:left="638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auto"/>
        </w:rPr>
        <w:t>Leigh A. Vosseller</w:t>
      </w:r>
    </w:p>
    <w:p>
      <w:pPr>
        <w:ind w:left="6840"/>
        <w:spacing w:after="0" w:line="219" w:lineRule="auto"/>
        <w:rPr>
          <w:sz w:val="20"/>
          <w:szCs w:val="20"/>
          <w:color w:val="auto"/>
        </w:rPr>
      </w:pPr>
      <w:r>
        <w:rPr>
          <w:rFonts w:ascii="Times New Roman" w:cs="Times New Roman" w:eastAsia="Times New Roman" w:hAnsi="Times New Roman"/>
          <w:sz w:val="18"/>
          <w:szCs w:val="18"/>
          <w:color w:val="auto"/>
        </w:rPr>
        <w:t>Executive Vice President, Chief Financial Officer and</w:t>
      </w:r>
    </w:p>
    <w:p>
      <w:pPr>
        <w:ind w:left="6840"/>
        <w:spacing w:after="0"/>
        <w:rPr>
          <w:sz w:val="20"/>
          <w:szCs w:val="20"/>
          <w:color w:val="auto"/>
        </w:rPr>
      </w:pPr>
      <w:r>
        <w:rPr>
          <w:rFonts w:ascii="Times New Roman" w:cs="Times New Roman" w:eastAsia="Times New Roman" w:hAnsi="Times New Roman"/>
          <w:sz w:val="18"/>
          <w:szCs w:val="18"/>
          <w:color w:val="auto"/>
        </w:rPr>
        <w:t>Treasurer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2, 2024</w:t>
      </w:r>
    </w:p>
    <w:p>
      <w:pPr>
        <w:sectPr>
          <w:pgSz w:w="11900" w:h="16838" w:orient="portrait"/>
          <w:cols w:equalWidth="0" w:num="1">
            <w:col w:w="11240"/>
          </w:cols>
          <w:pgMar w:left="320" w:top="88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U.S.C. Section 1350, as Adopted Pursuant to Section 906 of the Sarbanes-Oxley Act of 2002</w:t>
      </w:r>
    </w:p>
    <w:p>
      <w:pPr>
        <w:spacing w:after="0" w:line="180" w:lineRule="exact"/>
        <w:rPr>
          <w:sz w:val="20"/>
          <w:szCs w:val="20"/>
          <w:color w:val="auto"/>
        </w:rPr>
      </w:pPr>
    </w:p>
    <w:p>
      <w:pPr>
        <w:ind w:right="40" w:firstLine="81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Tandem Diabetes Care, Inc. (the “Company”) for the period ended March 31, 2024, as filed with the Securities and Exchange Commission on the date hereof (the “Report”), I, John F. Sheridan, Chief Executive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1000" w:hanging="182"/>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right="580" w:firstLine="818"/>
        <w:spacing w:after="0" w:line="282" w:lineRule="auto"/>
        <w:tabs>
          <w:tab w:leader="none" w:pos="99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presented.</w:t>
      </w:r>
    </w:p>
    <w:p>
      <w:pPr>
        <w:spacing w:after="0" w:line="81" w:lineRule="exact"/>
        <w:rPr>
          <w:sz w:val="20"/>
          <w:szCs w:val="20"/>
          <w:color w:val="auto"/>
        </w:rPr>
      </w:pPr>
    </w:p>
    <w:p>
      <w:pPr>
        <w:ind w:left="20"/>
        <w:spacing w:after="0"/>
        <w:tabs>
          <w:tab w:leader="none" w:pos="6840" w:val="left"/>
        </w:tabs>
        <w:rPr>
          <w:sz w:val="20"/>
          <w:szCs w:val="20"/>
          <w:color w:val="auto"/>
        </w:rPr>
      </w:pPr>
      <w:r>
        <w:rPr>
          <w:rFonts w:ascii="Times New Roman" w:cs="Times New Roman" w:eastAsia="Times New Roman" w:hAnsi="Times New Roman"/>
          <w:sz w:val="18"/>
          <w:szCs w:val="18"/>
          <w:color w:val="auto"/>
        </w:rPr>
        <w:t>Date: May 2, 2024</w:t>
      </w:r>
      <w:r>
        <w:rPr>
          <w:sz w:val="20"/>
          <w:szCs w:val="20"/>
          <w:color w:val="auto"/>
        </w:rPr>
        <w:tab/>
      </w:r>
      <w:r>
        <w:rPr>
          <w:rFonts w:ascii="Times New Roman" w:cs="Times New Roman" w:eastAsia="Times New Roman" w:hAnsi="Times New Roman"/>
          <w:sz w:val="17"/>
          <w:szCs w:val="17"/>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17145</wp:posOffset>
            </wp:positionV>
            <wp:extent cx="27774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John F. Sheridan</w:t>
      </w:r>
    </w:p>
    <w:p>
      <w:pPr>
        <w:ind w:left="68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71" w:lineRule="exact"/>
        <w:rPr>
          <w:sz w:val="20"/>
          <w:szCs w:val="20"/>
          <w:color w:val="auto"/>
        </w:rPr>
      </w:pPr>
    </w:p>
    <w:p>
      <w:pPr>
        <w:ind w:right="40" w:firstLine="810"/>
        <w:spacing w:after="0" w:line="258"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U.S.C. Section 1350, as Adopted Pursuant to Section 906 of the Sarbanes-Oxley Act of 2002</w:t>
      </w:r>
    </w:p>
    <w:p>
      <w:pPr>
        <w:spacing w:after="0" w:line="180" w:lineRule="exact"/>
        <w:rPr>
          <w:sz w:val="20"/>
          <w:szCs w:val="20"/>
          <w:color w:val="auto"/>
        </w:rPr>
      </w:pPr>
    </w:p>
    <w:p>
      <w:pPr>
        <w:ind w:right="160" w:firstLine="81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Tandem Diabetes Care, Inc. (the “Company”) for the period ended March 31, 2024,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1000" w:hanging="182"/>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right="580" w:firstLine="818"/>
        <w:spacing w:after="0" w:line="282" w:lineRule="auto"/>
        <w:tabs>
          <w:tab w:leader="none" w:pos="99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presented.</w:t>
      </w:r>
    </w:p>
    <w:p>
      <w:pPr>
        <w:spacing w:after="0" w:line="81" w:lineRule="exact"/>
        <w:rPr>
          <w:sz w:val="20"/>
          <w:szCs w:val="20"/>
          <w:color w:val="auto"/>
        </w:rPr>
      </w:pPr>
    </w:p>
    <w:p>
      <w:pPr>
        <w:ind w:left="20"/>
        <w:spacing w:after="0"/>
        <w:tabs>
          <w:tab w:leader="none" w:pos="6840" w:val="left"/>
        </w:tabs>
        <w:rPr>
          <w:sz w:val="20"/>
          <w:szCs w:val="20"/>
          <w:color w:val="auto"/>
        </w:rPr>
      </w:pPr>
      <w:r>
        <w:rPr>
          <w:rFonts w:ascii="Times New Roman" w:cs="Times New Roman" w:eastAsia="Times New Roman" w:hAnsi="Times New Roman"/>
          <w:sz w:val="18"/>
          <w:szCs w:val="18"/>
          <w:color w:val="auto"/>
        </w:rPr>
        <w:t>Date: May 2, 2024</w:t>
      </w:r>
      <w:r>
        <w:rPr>
          <w:sz w:val="20"/>
          <w:szCs w:val="20"/>
          <w:color w:val="auto"/>
        </w:rPr>
        <w:tab/>
      </w:r>
      <w:r>
        <w:rPr>
          <w:rFonts w:ascii="Times New Roman" w:cs="Times New Roman" w:eastAsia="Times New Roman" w:hAnsi="Times New Roman"/>
          <w:sz w:val="17"/>
          <w:szCs w:val="17"/>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17145</wp:posOffset>
            </wp:positionV>
            <wp:extent cx="27774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Leigh A. Vosseller</w:t>
      </w:r>
    </w:p>
    <w:p>
      <w:pPr>
        <w:ind w:left="6860"/>
        <w:spacing w:after="0" w:line="219" w:lineRule="auto"/>
        <w:rPr>
          <w:sz w:val="20"/>
          <w:szCs w:val="20"/>
          <w:color w:val="auto"/>
        </w:rPr>
      </w:pPr>
      <w:r>
        <w:rPr>
          <w:rFonts w:ascii="Times New Roman" w:cs="Times New Roman" w:eastAsia="Times New Roman" w:hAnsi="Times New Roman"/>
          <w:sz w:val="18"/>
          <w:szCs w:val="18"/>
          <w:color w:val="auto"/>
        </w:rPr>
        <w:t>Executive Vice President, Chief Financial Officer and</w:t>
      </w:r>
    </w:p>
    <w:p>
      <w:pPr>
        <w:ind w:left="6860"/>
        <w:spacing w:after="0"/>
        <w:rPr>
          <w:sz w:val="20"/>
          <w:szCs w:val="20"/>
          <w:color w:val="auto"/>
        </w:rPr>
      </w:pPr>
      <w:r>
        <w:rPr>
          <w:rFonts w:ascii="Times New Roman" w:cs="Times New Roman" w:eastAsia="Times New Roman" w:hAnsi="Times New Roman"/>
          <w:sz w:val="18"/>
          <w:szCs w:val="18"/>
          <w:color w:val="auto"/>
        </w:rPr>
        <w:t>Treasurer</w:t>
      </w:r>
    </w:p>
    <w:p>
      <w:pPr>
        <w:spacing w:after="0" w:line="257" w:lineRule="exact"/>
        <w:rPr>
          <w:sz w:val="20"/>
          <w:szCs w:val="20"/>
          <w:color w:val="auto"/>
        </w:rPr>
      </w:pPr>
    </w:p>
    <w:p>
      <w:pPr>
        <w:ind w:right="40" w:firstLine="810"/>
        <w:spacing w:after="0" w:line="258"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726"/>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104"/>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89" Type="http://schemas.openxmlformats.org/officeDocument/2006/relationships/hyperlink" Target="https://www.sec.gov/Archives/edgar/data/1438133/000143813323000153/exhibit31amendedandrestate.htm" TargetMode="External"/><Relationship Id="rId90" Type="http://schemas.openxmlformats.org/officeDocument/2006/relationships/hyperlink" Target="https://www.sec.gov/Archives/edgar/data/1438133/000143813323000153/exhibit32amendedandrestate.htm" TargetMode="External"/><Relationship Id="rId91" Type="http://schemas.openxmlformats.org/officeDocument/2006/relationships/hyperlink" Target="https://www.sec.gov/Archives/edgar/data/1438133/000143813324000042/ex41-indenture.htm" TargetMode="External"/><Relationship Id="rId92" Type="http://schemas.openxmlformats.org/officeDocument/2006/relationships/hyperlink" Target="https://www.sec.gov/ix?doc=/Archives/edgar/data/1438133/000143813324000042/tndm-20240304.htm" TargetMode="External"/><Relationship Id="rId93" Type="http://schemas.openxmlformats.org/officeDocument/2006/relationships/hyperlink" Target="https://www.sec.gov/Archives/edgar/data/1438133/000143813324000042/ex101formofconfirmationfo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2024-05-02T15:27:41Z</dcterms:created>
  <dcterms:modified xsi:type="dcterms:W3CDTF">2024-05-02T15:27:41Z</dcterms:modified>
</cp:coreProperties>
</file>