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68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8833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267"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TWOMEY CHRISTOPHER J</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Pr>
          <w:p>
            <w:pPr>
              <w:ind w:left="160"/>
              <w:spacing w:after="0"/>
              <w:rPr>
                <w:sz w:val="20"/>
                <w:szCs w:val="20"/>
                <w:color w:val="auto"/>
              </w:rPr>
            </w:pPr>
            <w:r>
              <w:rPr>
                <w:rFonts w:ascii="Arial" w:cs="Arial" w:eastAsia="Arial" w:hAnsi="Arial"/>
                <w:sz w:val="13"/>
                <w:szCs w:val="13"/>
                <w:color w:val="auto"/>
              </w:rPr>
              <w:t>(First)</w:t>
            </w:r>
          </w:p>
        </w:tc>
        <w:tc>
          <w:tcPr>
            <w:tcW w:w="140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12400 HIGH BLUFF DRIVE</w:t>
            </w:r>
          </w:p>
        </w:tc>
        <w:tc>
          <w:tcPr>
            <w:tcW w:w="140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92130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160"/>
              <w:spacing w:after="0"/>
              <w:rPr>
                <w:sz w:val="20"/>
                <w:szCs w:val="20"/>
                <w:color w:val="auto"/>
              </w:rPr>
            </w:pPr>
            <w:r>
              <w:rPr>
                <w:rFonts w:ascii="Arial" w:cs="Arial" w:eastAsia="Arial" w:hAnsi="Arial"/>
                <w:sz w:val="13"/>
                <w:szCs w:val="13"/>
                <w:color w:val="auto"/>
              </w:rPr>
              <w:t>(State)</w:t>
            </w:r>
          </w:p>
        </w:tc>
        <w:tc>
          <w:tcPr>
            <w:tcW w:w="140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TANDEM DIABETES CARE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TNDM</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40" w:type="dxa"/>
            <w:vAlign w:val="bottom"/>
            <w:tcBorders>
              <w:top w:val="single" w:sz="8" w:color="0000EE"/>
            </w:tcBorders>
            <w:vMerge w:val="restart"/>
          </w:tcPr>
          <w:p>
            <w:pPr>
              <w:spacing w:after="0" w:line="240" w:lineRule="exact"/>
              <w:rPr>
                <w:sz w:val="20"/>
                <w:szCs w:val="20"/>
                <w:color w:val="auto"/>
              </w:rPr>
            </w:pPr>
            <w:r>
              <w:rPr>
                <w:rFonts w:ascii="Times New Roman" w:cs="Times New Roman" w:eastAsia="Times New Roman" w:hAnsi="Times New Roman"/>
                <w:sz w:val="21"/>
                <w:szCs w:val="21"/>
                <w:color w:val="auto"/>
              </w:rPr>
              <w:t>]</w:t>
            </w:r>
          </w:p>
        </w:tc>
        <w:tc>
          <w:tcPr>
            <w:tcW w:w="2820" w:type="dxa"/>
            <w:vAlign w:val="bottom"/>
            <w:tcBorders>
              <w:top w:val="single" w:sz="8" w:color="0000EE"/>
            </w:tcBorders>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8"/>
        </w:trPr>
        <w:tc>
          <w:tcPr>
            <w:tcW w:w="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760" w:type="dxa"/>
            <w:vAlign w:val="bottom"/>
            <w:gridSpan w:val="3"/>
          </w:tcPr>
          <w:p>
            <w:pPr>
              <w:spacing w:after="0" w:line="130" w:lineRule="exact"/>
              <w:rPr>
                <w:sz w:val="20"/>
                <w:szCs w:val="20"/>
                <w:color w:val="auto"/>
              </w:rPr>
            </w:pPr>
            <w:r>
              <w:rPr>
                <w:rFonts w:ascii="Arial" w:cs="Arial" w:eastAsia="Arial" w:hAnsi="Arial"/>
                <w:sz w:val="13"/>
                <w:szCs w:val="13"/>
                <w:color w:val="auto"/>
              </w:rPr>
              <w:t>Foreign Trading Symbol</w:t>
            </w: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10/27/2026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1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41" w:lineRule="exact"/>
        <w:rPr>
          <w:sz w:val="24"/>
          <w:szCs w:val="24"/>
          <w:color w:val="auto"/>
        </w:rPr>
      </w:pPr>
    </w:p>
    <w:p>
      <w:pPr>
        <w:sectPr>
          <w:pgSz w:w="11900" w:h="16838" w:orient="portrait"/>
          <w:cols w:equalWidth="0" w:num="2">
            <w:col w:w="3740" w:space="100"/>
            <w:col w:w="7240"/>
          </w:cols>
          <w:pgMar w:left="460" w:top="216" w:right="359" w:bottom="26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4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10/27/2026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26,134</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10/27/2026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19.15</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24,434</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9"/>
              </w:rPr>
              <w:t>7,568</w:t>
            </w:r>
          </w:p>
        </w:tc>
        <w:tc>
          <w:tcPr>
            <w:tcW w:w="340" w:type="dxa"/>
            <w:vAlign w:val="bottom"/>
          </w:tcPr>
          <w:p>
            <w:pPr>
              <w:spacing w:after="0"/>
              <w:rPr>
                <w:sz w:val="21"/>
                <w:szCs w:val="21"/>
                <w:color w:val="auto"/>
              </w:rPr>
            </w:pPr>
          </w:p>
        </w:tc>
        <w:tc>
          <w:tcPr>
            <w:tcW w:w="54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w w:val="74"/>
              </w:rPr>
              <w:t>I</w:t>
            </w:r>
          </w:p>
        </w:tc>
        <w:tc>
          <w:tcPr>
            <w:tcW w:w="3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9"/>
              </w:rPr>
              <w:t>5,112</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w w:val="74"/>
              </w:rPr>
              <w:t>I</w:t>
            </w:r>
          </w:p>
        </w:tc>
        <w:tc>
          <w:tcPr>
            <w:tcW w:w="32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10/27/2026</w:t>
            </w:r>
          </w:p>
        </w:tc>
        <w:tc>
          <w:tcPr>
            <w:tcW w:w="1100" w:type="dxa"/>
            <w:vAlign w:val="bottom"/>
          </w:tcPr>
          <w:p>
            <w:pPr>
              <w:spacing w:after="0"/>
              <w:rPr>
                <w:sz w:val="15"/>
                <w:szCs w:val="15"/>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5"/>
                <w:szCs w:val="15"/>
                <w:color w:val="auto"/>
              </w:rPr>
            </w:pP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1,700</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20" w:type="dxa"/>
            <w:vAlign w:val="bottom"/>
          </w:tcPr>
          <w:p>
            <w:pPr>
              <w:spacing w:after="0"/>
              <w:rPr>
                <w:sz w:val="15"/>
                <w:szCs w:val="15"/>
                <w:color w:val="auto"/>
              </w:rPr>
            </w:pP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1,700</w:t>
            </w:r>
          </w:p>
        </w:tc>
        <w:tc>
          <w:tcPr>
            <w:tcW w:w="4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5"/>
                <w:szCs w:val="15"/>
                <w:color w:val="auto"/>
              </w:rPr>
            </w:pP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(5)</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ind w:left="16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-2034540</wp:posOffset>
            </wp:positionV>
            <wp:extent cx="29210" cy="2039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9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received upon exercise of a stock option award.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pursuant to a Rule 10b5-1 trading plan adopted by the Reporting Person on May 19, 2026.</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owned by Twomey Family Investments, LLC. The Reporting Person is co-manager of Twomey Family Investments, LLC and shares voting and investment power over these securities held by Twomey Family Investments, LLC and may be deemed to have indirect beneficial ownership of such shares. The Reporting Person disclaims beneficial ownership of such securities held by Twomey Family Investments, LLC, except to the extent of his proportionate pecuniary interest therein.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Chris J. Twomey and Rebecca J. Twomey Family Trust UTD September 20, 2002.</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Awarded on November 15, 2016 pursuant to the Tandem Diabetes Care, Inc. 2013 Stock Incentive Plan, as amended, and the agreements related thereto.</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options became exercisable in 12 equal monthly installments beginning on December 15, 2016.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options expire on November 15, 2026.</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Jerilyn Laskie,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for Christopher J.</w:t>
      </w:r>
      <w:r>
        <w:rPr>
          <w:sz w:val="20"/>
          <w:szCs w:val="20"/>
          <w:color w:val="auto"/>
        </w:rPr>
        <w:tab/>
      </w:r>
      <w:r>
        <w:rPr>
          <w:rFonts w:ascii="Times New Roman" w:cs="Times New Roman" w:eastAsia="Times New Roman" w:hAnsi="Times New Roman"/>
          <w:sz w:val="16"/>
          <w:szCs w:val="16"/>
          <w:color w:val="0000FF"/>
        </w:rPr>
        <w:t>10/29/2026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Twomey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74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401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8935"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2026-10-29T15:34:27Z</dcterms:created>
  <dcterms:modified xsi:type="dcterms:W3CDTF">2026-10-29T15:34:27Z</dcterms:modified>
</cp:coreProperties>
</file>