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720" w:hanging="550"/>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720" w:hanging="550"/>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Tandem Diabetes Care,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540" w:type="dxa"/>
            <w:vAlign w:val="bottom"/>
          </w:tcPr>
          <w:p>
            <w:pPr>
              <w:jc w:val="center"/>
              <w:ind w:right="59"/>
              <w:spacing w:after="0"/>
              <w:rPr>
                <w:sz w:val="20"/>
                <w:szCs w:val="20"/>
                <w:color w:val="auto"/>
              </w:rPr>
            </w:pPr>
            <w:r>
              <w:rPr>
                <w:rFonts w:ascii="Arial" w:cs="Arial" w:eastAsia="Arial" w:hAnsi="Arial"/>
                <w:sz w:val="18"/>
                <w:szCs w:val="18"/>
                <w:b w:val="1"/>
                <w:bCs w:val="1"/>
                <w:color w:val="auto"/>
                <w:w w:val="91"/>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20-4327508</w:t>
            </w:r>
          </w:p>
        </w:tc>
      </w:tr>
      <w:tr>
        <w:trPr>
          <w:trHeight w:val="149"/>
        </w:trPr>
        <w:tc>
          <w:tcPr>
            <w:tcW w:w="25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87"/>
              </w:rPr>
              <w:t>11045 Roselle Street</w:t>
            </w:r>
          </w:p>
        </w:tc>
        <w:tc>
          <w:tcPr>
            <w:tcW w:w="5380" w:type="dxa"/>
            <w:vAlign w:val="bottom"/>
          </w:tcPr>
          <w:p>
            <w:pPr>
              <w:spacing w:after="0"/>
              <w:rPr>
                <w:sz w:val="24"/>
                <w:szCs w:val="24"/>
                <w:color w:val="auto"/>
              </w:rPr>
            </w:pPr>
          </w:p>
        </w:tc>
      </w:tr>
      <w:tr>
        <w:trPr>
          <w:trHeight w:val="225"/>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San Diego, California</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92121</w:t>
            </w:r>
          </w:p>
        </w:tc>
      </w:tr>
      <w:tr>
        <w:trPr>
          <w:trHeight w:val="186"/>
        </w:trPr>
        <w:tc>
          <w:tcPr>
            <w:tcW w:w="25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54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(858) 366-6900</w:t>
            </w:r>
          </w:p>
        </w:tc>
      </w:tr>
      <w:tr>
        <w:trPr>
          <w:trHeight w:val="186"/>
        </w:trPr>
        <w:tc>
          <w:tcPr>
            <w:tcW w:w="2540" w:type="dxa"/>
            <w:vAlign w:val="bottom"/>
          </w:tcPr>
          <w:p>
            <w:pPr>
              <w:spacing w:after="0"/>
              <w:rPr>
                <w:sz w:val="16"/>
                <w:szCs w:val="16"/>
                <w:color w:val="auto"/>
              </w:rPr>
            </w:pPr>
          </w:p>
        </w:tc>
        <w:tc>
          <w:tcPr>
            <w:tcW w:w="53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3" w:lineRule="exact"/>
        <w:rPr>
          <w:sz w:val="24"/>
          <w:szCs w:val="24"/>
          <w:color w:val="auto"/>
        </w:rPr>
      </w:pPr>
    </w:p>
    <w:tbl>
      <w:tblPr>
        <w:tblLayout w:type="fixed"/>
        <w:tblInd w:w="980" w:type="dxa"/>
        <w:tblCellMar>
          <w:top w:w="0" w:type="dxa"/>
          <w:left w:w="0" w:type="dxa"/>
          <w:bottom w:w="0" w:type="dxa"/>
          <w:right w:w="0" w:type="dxa"/>
        </w:tblCellMar>
      </w:tblPr>
      <w:tr>
        <w:trPr>
          <w:trHeight w:val="201"/>
        </w:trPr>
        <w:tc>
          <w:tcPr>
            <w:tcW w:w="9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4140" w:type="dxa"/>
            <w:vAlign w:val="bottom"/>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21"/>
        </w:trPr>
        <w:tc>
          <w:tcPr>
            <w:tcW w:w="64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99695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0" w:lineRule="exact"/>
        <w:rPr>
          <w:sz w:val="24"/>
          <w:szCs w:val="24"/>
          <w:color w:val="auto"/>
        </w:rPr>
      </w:pPr>
    </w:p>
    <w:p>
      <w:pPr>
        <w:ind w:right="10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400" w:firstLine="51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ind w:right="360" w:firstLine="51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36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0"/>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4840" w:type="dxa"/>
            <w:vAlign w:val="bottom"/>
          </w:tcPr>
          <w:p>
            <w:pPr>
              <w:ind w:left="6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680" w:type="dxa"/>
            <w:vAlign w:val="bottom"/>
          </w:tcPr>
          <w:p>
            <w:pPr>
              <w:ind w:left="136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680" w:type="dxa"/>
            <w:vAlign w:val="bottom"/>
          </w:tcPr>
          <w:p>
            <w:pPr>
              <w:ind w:left="136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6"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20"/>
                <w:szCs w:val="20"/>
                <w:color w:val="auto"/>
              </w:rPr>
            </w:pPr>
            <w:r>
              <w:rPr>
                <w:rFonts w:ascii="Arial" w:cs="Arial" w:eastAsia="Arial" w:hAnsi="Arial"/>
                <w:sz w:val="14"/>
                <w:szCs w:val="14"/>
                <w:color w:val="auto"/>
              </w:rPr>
              <w:t>standards provided pursuant to Section 13(a) of the Exchange Act.</w:t>
            </w:r>
          </w:p>
        </w:tc>
        <w:tc>
          <w:tcPr>
            <w:tcW w:w="42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9"/>
                <w:szCs w:val="19"/>
                <w:color w:val="auto"/>
              </w:rPr>
            </w:pPr>
          </w:p>
        </w:tc>
      </w:tr>
      <w:tr>
        <w:trPr>
          <w:trHeight w:val="398"/>
        </w:trPr>
        <w:tc>
          <w:tcPr>
            <w:tcW w:w="7140" w:type="dxa"/>
            <w:vAlign w:val="bottom"/>
          </w:tcPr>
          <w:p>
            <w:pPr>
              <w:ind w:left="520"/>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w:t>
            </w:r>
          </w:p>
        </w:tc>
        <w:tc>
          <w:tcPr>
            <w:tcW w:w="428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r>
      <w:tr>
        <w:trPr>
          <w:trHeight w:val="254"/>
        </w:trPr>
        <w:tc>
          <w:tcPr>
            <w:tcW w:w="7140" w:type="dxa"/>
            <w:vAlign w:val="bottom"/>
          </w:tcPr>
          <w:p>
            <w:pPr>
              <w:ind w:left="520"/>
              <w:spacing w:after="0"/>
              <w:rPr>
                <w:sz w:val="20"/>
                <w:szCs w:val="20"/>
                <w:color w:val="auto"/>
              </w:rPr>
            </w:pPr>
            <w:r>
              <w:rPr>
                <w:rFonts w:ascii="Arial" w:cs="Arial" w:eastAsia="Arial" w:hAnsi="Arial"/>
                <w:sz w:val="14"/>
                <w:szCs w:val="14"/>
                <w:color w:val="auto"/>
              </w:rPr>
              <w:t>As of October 23, 2017, there were 10,118,659 shares of the registrant’s Common Stock outstanding.</w:t>
            </w:r>
          </w:p>
        </w:tc>
        <w:tc>
          <w:tcPr>
            <w:tcW w:w="4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3"/>
        </w:trPr>
        <w:tc>
          <w:tcPr>
            <w:tcW w:w="7140" w:type="dxa"/>
            <w:vAlign w:val="bottom"/>
            <w:tcBorders>
              <w:bottom w:val="single" w:sz="8" w:color="auto"/>
            </w:tcBorders>
          </w:tcPr>
          <w:p>
            <w:pPr>
              <w:spacing w:after="0"/>
              <w:rPr>
                <w:sz w:val="8"/>
                <w:szCs w:val="8"/>
                <w:color w:val="auto"/>
              </w:rPr>
            </w:pPr>
          </w:p>
        </w:tc>
        <w:tc>
          <w:tcPr>
            <w:tcW w:w="4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1"/>
        </w:trPr>
        <w:tc>
          <w:tcPr>
            <w:tcW w:w="714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9"/>
        </w:trPr>
        <w:tc>
          <w:tcPr>
            <w:tcW w:w="71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720" w:type="dxa"/>
            <w:vAlign w:val="bottom"/>
            <w:gridSpan w:val="6"/>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392"/>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15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3"/>
              </w:rPr>
              <w:t>Financial Information</w:t>
            </w:r>
          </w:p>
        </w:tc>
        <w:tc>
          <w:tcPr>
            <w:tcW w:w="7940" w:type="dxa"/>
            <w:vAlign w:val="bottom"/>
            <w:gridSpan w:val="9"/>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w:t>
            </w:r>
          </w:p>
        </w:tc>
        <w:tc>
          <w:tcPr>
            <w:tcW w:w="952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52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at September 30, 2017 (Unaudited) and December 31, 2016</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5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and Nine Months Ended September 30, 2017 and 2016</w:t>
              </w:r>
            </w:hyperlink>
          </w:p>
        </w:tc>
        <w:tc>
          <w:tcPr>
            <w:tcW w:w="11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w:t>
              </w:r>
            </w:hyperlink>
          </w:p>
        </w:tc>
        <w:tc>
          <w:tcPr>
            <w:tcW w:w="8640" w:type="dxa"/>
            <w:vAlign w:val="bottom"/>
            <w:gridSpan w:val="1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00" w:type="dxa"/>
            <w:vAlign w:val="bottom"/>
          </w:tcPr>
          <w:p>
            <w:pPr>
              <w:spacing w:after="0"/>
              <w:rPr>
                <w:sz w:val="17"/>
                <w:szCs w:val="17"/>
                <w:color w:val="auto"/>
              </w:rPr>
            </w:pPr>
          </w:p>
        </w:tc>
        <w:tc>
          <w:tcPr>
            <w:tcW w:w="78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Cash Flows for the Nine Months Ended September 30, 2017 and 2016 (Unaudited)</w:t>
              </w:r>
            </w:hyperlink>
          </w:p>
        </w:tc>
        <w:tc>
          <w:tcPr>
            <w:tcW w:w="16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00" w:type="dxa"/>
            <w:vAlign w:val="bottom"/>
          </w:tcPr>
          <w:p>
            <w:pPr>
              <w:spacing w:after="0"/>
              <w:rPr>
                <w:sz w:val="17"/>
                <w:szCs w:val="17"/>
                <w:color w:val="auto"/>
              </w:rPr>
            </w:pPr>
          </w:p>
        </w:tc>
        <w:tc>
          <w:tcPr>
            <w:tcW w:w="38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Financial Statements</w:t>
              </w:r>
            </w:hyperlink>
          </w:p>
        </w:tc>
        <w:tc>
          <w:tcPr>
            <w:tcW w:w="5720" w:type="dxa"/>
            <w:vAlign w:val="bottom"/>
            <w:gridSpan w:val="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2</w:t>
            </w:r>
          </w:p>
        </w:tc>
        <w:tc>
          <w:tcPr>
            <w:tcW w:w="952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06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7740" w:type="dxa"/>
            <w:vAlign w:val="bottom"/>
            <w:gridSpan w:val="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331"/>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3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Other Information</w:t>
              </w:r>
            </w:hyperlink>
          </w:p>
        </w:tc>
        <w:tc>
          <w:tcPr>
            <w:tcW w:w="8180" w:type="dxa"/>
            <w:vAlign w:val="bottom"/>
            <w:gridSpan w:val="11"/>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8180" w:type="dxa"/>
            <w:vAlign w:val="bottom"/>
            <w:gridSpan w:val="1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1A</w:t>
            </w:r>
          </w:p>
        </w:tc>
        <w:tc>
          <w:tcPr>
            <w:tcW w:w="9520" w:type="dxa"/>
            <w:vAlign w:val="bottom"/>
            <w:gridSpan w:val="1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Unregistered Sales of Equity Securities and Use of Proceeds</w:t>
              </w:r>
            </w:hyperlink>
          </w:p>
        </w:tc>
        <w:tc>
          <w:tcPr>
            <w:tcW w:w="5160" w:type="dxa"/>
            <w:vAlign w:val="bottom"/>
            <w:gridSpan w:val="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9520" w:type="dxa"/>
            <w:vAlign w:val="bottom"/>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7200" w:type="dxa"/>
            <w:vAlign w:val="bottom"/>
            <w:gridSpan w:val="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Other Information</w:t>
              </w:r>
            </w:hyperlink>
          </w:p>
        </w:tc>
        <w:tc>
          <w:tcPr>
            <w:tcW w:w="8200" w:type="dxa"/>
            <w:vAlign w:val="bottom"/>
            <w:gridSpan w:val="1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6</w:t>
            </w:r>
          </w:p>
        </w:tc>
        <w:tc>
          <w:tcPr>
            <w:tcW w:w="9520" w:type="dxa"/>
            <w:vAlign w:val="bottom"/>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027"/>
        </w:trPr>
        <w:tc>
          <w:tcPr>
            <w:tcW w:w="8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rPr>
                <w:sz w:val="18"/>
                <w:szCs w:val="18"/>
                <w:color w:val="auto"/>
              </w:rPr>
            </w:pPr>
          </w:p>
        </w:tc>
        <w:tc>
          <w:tcPr>
            <w:tcW w:w="6620" w:type="dxa"/>
            <w:vAlign w:val="bottom"/>
          </w:tcPr>
          <w:p>
            <w:pPr>
              <w:jc w:val="center"/>
              <w:ind w:left="2499"/>
              <w:spacing w:after="0"/>
              <w:rPr>
                <w:sz w:val="20"/>
                <w:szCs w:val="20"/>
                <w:color w:val="auto"/>
              </w:rPr>
            </w:pPr>
            <w:r>
              <w:rPr>
                <w:rFonts w:ascii="Arial" w:cs="Arial" w:eastAsia="Arial" w:hAnsi="Arial"/>
                <w:sz w:val="16"/>
                <w:szCs w:val="16"/>
                <w:b w:val="1"/>
                <w:bCs w:val="1"/>
                <w:color w:val="auto"/>
              </w:rPr>
              <w:t>PART I. FINANCIAL INFORMATION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1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6620" w:type="dxa"/>
            <w:vAlign w:val="bottom"/>
          </w:tcPr>
          <w:p>
            <w:pPr>
              <w:ind w:left="40"/>
              <w:spacing w:after="0"/>
              <w:rPr>
                <w:sz w:val="20"/>
                <w:szCs w:val="20"/>
                <w:color w:val="auto"/>
              </w:rPr>
            </w:pPr>
            <w:r>
              <w:rPr>
                <w:rFonts w:ascii="Arial" w:cs="Arial" w:eastAsia="Arial" w:hAnsi="Arial"/>
                <w:sz w:val="16"/>
                <w:szCs w:val="16"/>
                <w:b w:val="1"/>
                <w:bCs w:val="1"/>
                <w:color w:val="auto"/>
              </w:rPr>
              <w:t>Financial Statements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7"/>
        </w:trPr>
        <w:tc>
          <w:tcPr>
            <w:tcW w:w="1120" w:type="dxa"/>
            <w:vAlign w:val="bottom"/>
          </w:tcPr>
          <w:p>
            <w:pPr>
              <w:spacing w:after="0"/>
              <w:rPr>
                <w:sz w:val="24"/>
                <w:szCs w:val="24"/>
                <w:color w:val="auto"/>
              </w:rPr>
            </w:pPr>
          </w:p>
        </w:tc>
        <w:tc>
          <w:tcPr>
            <w:tcW w:w="6620" w:type="dxa"/>
            <w:vAlign w:val="bottom"/>
          </w:tcPr>
          <w:p>
            <w:pPr>
              <w:jc w:val="center"/>
              <w:ind w:left="2499"/>
              <w:spacing w:after="0"/>
              <w:rPr>
                <w:sz w:val="20"/>
                <w:szCs w:val="20"/>
                <w:color w:val="auto"/>
              </w:rPr>
            </w:pPr>
            <w:r>
              <w:rPr>
                <w:rFonts w:ascii="Arial" w:cs="Arial" w:eastAsia="Arial" w:hAnsi="Arial"/>
                <w:sz w:val="16"/>
                <w:szCs w:val="16"/>
                <w:b w:val="1"/>
                <w:bCs w:val="1"/>
                <w:color w:val="auto"/>
              </w:rPr>
              <w:t>TANDEM DIABETES CARE,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6620" w:type="dxa"/>
            <w:vAlign w:val="bottom"/>
          </w:tcPr>
          <w:p>
            <w:pPr>
              <w:jc w:val="center"/>
              <w:ind w:left="2499"/>
              <w:spacing w:after="0"/>
              <w:rPr>
                <w:sz w:val="20"/>
                <w:szCs w:val="20"/>
                <w:color w:val="auto"/>
              </w:rPr>
            </w:pPr>
            <w:r>
              <w:rPr>
                <w:rFonts w:ascii="Arial" w:cs="Arial" w:eastAsia="Arial" w:hAnsi="Arial"/>
                <w:sz w:val="16"/>
                <w:szCs w:val="16"/>
                <w:b w:val="1"/>
                <w:bCs w:val="1"/>
                <w:color w:val="auto"/>
                <w:w w:val="99"/>
              </w:rPr>
              <w:t>CONDENSED BALANCE SHEETS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spacing w:after="0"/>
              <w:rPr>
                <w:sz w:val="18"/>
                <w:szCs w:val="18"/>
                <w:color w:val="auto"/>
              </w:rPr>
            </w:pPr>
          </w:p>
        </w:tc>
        <w:tc>
          <w:tcPr>
            <w:tcW w:w="6620" w:type="dxa"/>
            <w:vAlign w:val="bottom"/>
          </w:tcPr>
          <w:p>
            <w:pPr>
              <w:jc w:val="center"/>
              <w:ind w:left="2479"/>
              <w:spacing w:after="0"/>
              <w:rPr>
                <w:sz w:val="20"/>
                <w:szCs w:val="20"/>
                <w:color w:val="auto"/>
              </w:rPr>
            </w:pPr>
            <w:r>
              <w:rPr>
                <w:rFonts w:ascii="Arial" w:cs="Arial" w:eastAsia="Arial" w:hAnsi="Arial"/>
                <w:sz w:val="16"/>
                <w:szCs w:val="16"/>
                <w:b w:val="1"/>
                <w:bCs w:val="1"/>
                <w:color w:val="auto"/>
                <w:w w:val="90"/>
              </w:rPr>
              <w:t>(In thousands, except par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3"/>
        </w:trPr>
        <w:tc>
          <w:tcPr>
            <w:tcW w:w="11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11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11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2"/>
              </w:rPr>
              <w:t>(Note 1)</w:t>
            </w:r>
          </w:p>
        </w:tc>
        <w:tc>
          <w:tcPr>
            <w:tcW w:w="120" w:type="dxa"/>
            <w:vAlign w:val="bottom"/>
          </w:tcPr>
          <w:p>
            <w:pPr>
              <w:spacing w:after="0"/>
              <w:rPr>
                <w:sz w:val="13"/>
                <w:szCs w:val="13"/>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44,678</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11,172</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Inventory, 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21,195</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55,992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92,092</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Restricted cash—long-term</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18,409</w:t>
            </w:r>
          </w:p>
        </w:tc>
        <w:tc>
          <w:tcPr>
            <w:tcW w:w="120" w:type="dxa"/>
            <w:vAlign w:val="bottom"/>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Patents, net</w:t>
            </w:r>
          </w:p>
        </w:tc>
        <w:tc>
          <w:tcPr>
            <w:tcW w:w="6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6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87,977</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112,392</w:t>
            </w:r>
          </w:p>
        </w:tc>
        <w:tc>
          <w:tcPr>
            <w:tcW w:w="120" w:type="dxa"/>
            <w:vAlign w:val="bottom"/>
            <w:tcBorders>
              <w:bottom w:val="single" w:sz="8" w:color="CFF0FC"/>
            </w:tcBorders>
          </w:tcPr>
          <w:p>
            <w:pPr>
              <w:spacing w:after="0"/>
              <w:rPr>
                <w:sz w:val="22"/>
                <w:szCs w:val="22"/>
                <w:color w:val="auto"/>
              </w:rPr>
            </w:pPr>
          </w:p>
        </w:tc>
      </w:tr>
      <w:tr>
        <w:trPr>
          <w:trHeight w:val="21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7,513</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Accrued expense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Employee-related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10,183</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5,208</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6,943</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31,476</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payable—long-term</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78,960</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Deferred rent—long-term</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120" w:type="dxa"/>
            <w:vAlign w:val="bottom"/>
            <w:shd w:val="clear" w:color="auto" w:fill="CFF0FC"/>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w w:val="97"/>
              </w:rPr>
              <w:t>Total liabilities</w:t>
            </w:r>
          </w:p>
        </w:tc>
        <w:tc>
          <w:tcPr>
            <w:tcW w:w="6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115,935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118,319</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0"/>
              </w:rPr>
              <w:t>Common stock, $0.001 par value; 100,000 shares authorized as of September 30, 2017 and December</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3"/>
              </w:rPr>
              <w:t>31, 2016, 5,487 and 3,110 shares issued and outstanding at September 30, 2017 and December 31,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2016, respectively.</w:t>
            </w:r>
            <w:r>
              <w:rPr>
                <w:rFonts w:ascii="Arial" w:cs="Arial" w:eastAsia="Arial" w:hAnsi="Arial"/>
                <w:sz w:val="15"/>
                <w:szCs w:val="15"/>
                <w:color w:val="auto"/>
              </w:rPr>
              <w:t>(1)</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20"/>
                <w:szCs w:val="20"/>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438,194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398,623</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(466,207)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(404,580)</w:t>
            </w:r>
          </w:p>
        </w:tc>
      </w:tr>
      <w:tr>
        <w:trPr>
          <w:trHeight w:val="223"/>
        </w:trPr>
        <w:tc>
          <w:tcPr>
            <w:tcW w:w="7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112,392</w:t>
            </w:r>
          </w:p>
        </w:tc>
        <w:tc>
          <w:tcPr>
            <w:tcW w:w="1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financial statements.</w:t>
      </w:r>
    </w:p>
    <w:p>
      <w:pPr>
        <w:spacing w:after="0" w:line="221" w:lineRule="exact"/>
        <w:rPr>
          <w:sz w:val="20"/>
          <w:szCs w:val="20"/>
          <w:color w:val="auto"/>
        </w:rPr>
      </w:pPr>
    </w:p>
    <w:p>
      <w:pPr>
        <w:ind w:left="760" w:right="120" w:hanging="374"/>
        <w:spacing w:after="0" w:line="293"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issued and outstanding shares of common stock have been restated for all periods presented to reflect the effects of the 1-for-10 reverse stock split, which was effective on October 9, 2017 as described in Note 7.</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TANDEM DIABETES CARE,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OPERATIONS AND COMPREHENSIVE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25,039</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(13,167)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(28,414)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(2,928)</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(8,445)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(29,814)</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(61,627)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short-term investments</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(16,035)</w:t>
            </w:r>
          </w:p>
        </w:tc>
        <w:tc>
          <w:tcPr>
            <w:tcW w:w="2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(29,820)</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FF0FC"/>
            </w:tcBorders>
            <w:shd w:val="clear" w:color="auto" w:fill="CFF0FC"/>
          </w:tcPr>
          <w:p>
            <w:pPr>
              <w:spacing w:after="0" w:line="210" w:lineRule="exact"/>
              <w:rPr>
                <w:sz w:val="20"/>
                <w:szCs w:val="20"/>
                <w:color w:val="auto"/>
              </w:rPr>
            </w:pPr>
            <w:r>
              <w:rPr>
                <w:rFonts w:ascii="Arial" w:cs="Arial" w:eastAsia="Arial" w:hAnsi="Arial"/>
                <w:sz w:val="16"/>
                <w:szCs w:val="16"/>
                <w:color w:val="auto"/>
              </w:rPr>
              <w:t>Net loss per share, basic and diluted</w:t>
            </w:r>
            <w:r>
              <w:rPr>
                <w:rFonts w:ascii="Arial" w:cs="Arial" w:eastAsia="Arial" w:hAnsi="Arial"/>
                <w:sz w:val="24"/>
                <w:szCs w:val="24"/>
                <w:b w:val="1"/>
                <w:bCs w:val="1"/>
                <w:color w:val="auto"/>
                <w:vertAlign w:val="superscript"/>
              </w:rPr>
              <w:t>(1)</w:t>
            </w:r>
          </w:p>
        </w:tc>
        <w:tc>
          <w:tcPr>
            <w:tcW w:w="3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w w:val="94"/>
              </w:rPr>
              <w:t>Weighted average shares used to compute basic and diluted net loss per</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500" w:type="dxa"/>
            <w:vAlign w:val="bottom"/>
          </w:tcPr>
          <w:p>
            <w:pPr>
              <w:spacing w:after="0" w:line="233" w:lineRule="exact"/>
              <w:rPr>
                <w:sz w:val="20"/>
                <w:szCs w:val="20"/>
                <w:color w:val="auto"/>
              </w:rPr>
            </w:pPr>
            <w:r>
              <w:rPr>
                <w:rFonts w:ascii="Arial" w:cs="Arial" w:eastAsia="Arial" w:hAnsi="Arial"/>
                <w:sz w:val="18"/>
                <w:szCs w:val="18"/>
                <w:color w:val="auto"/>
              </w:rPr>
              <w:t>share</w:t>
            </w:r>
            <w:r>
              <w:rPr>
                <w:rFonts w:ascii="Arial" w:cs="Arial" w:eastAsia="Arial" w:hAnsi="Arial"/>
                <w:sz w:val="27"/>
                <w:szCs w:val="27"/>
                <w:b w:val="1"/>
                <w:bCs w:val="1"/>
                <w:color w:val="auto"/>
                <w:vertAlign w:val="superscript"/>
              </w:rPr>
              <w:t>(1)</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financial statements.</w:t>
      </w:r>
    </w:p>
    <w:p>
      <w:pPr>
        <w:spacing w:after="0" w:line="221" w:lineRule="exact"/>
        <w:rPr>
          <w:sz w:val="20"/>
          <w:szCs w:val="20"/>
          <w:color w:val="auto"/>
        </w:rPr>
      </w:pPr>
    </w:p>
    <w:p>
      <w:pPr>
        <w:ind w:left="760" w:right="120" w:hanging="374"/>
        <w:spacing w:after="0" w:line="293"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issued and outstanding shares of common stock have been restated for all periods presented to reflect the effects of the 1-for-10 reverse stock split, which was effective on October 9, 2017 as described in Note 7.</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TANDEM DIABETES CARE,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(61,627)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(68,624)</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related to amortization of debt discount and debt issuance costs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Provision for allowance for doubtful accounts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inventory reserve</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Payment in kind interest accrual of notes payable</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short-term investments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10,502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Inventory, net</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(9,038)</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and other current assets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Accrued expense</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Employee-related liabilities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(4,137)</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current liabilities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(746)</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(54,495)</w:t>
            </w: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and maturities of short-term investments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(4,299)</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23"/>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investing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Issuance of notes payable, net of issuance costs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Restricted cash in connection with notes payable</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3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public offering, net of offering costs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issuance of common stock</w:t>
            </w:r>
          </w:p>
        </w:tc>
        <w:tc>
          <w:tcPr>
            <w:tcW w:w="8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17,695</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decrease in cash and cash equivalents</w:t>
            </w:r>
          </w:p>
        </w:tc>
        <w:tc>
          <w:tcPr>
            <w:tcW w:w="8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(32,599)</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44,678</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86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2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12,079</w:t>
            </w:r>
          </w:p>
        </w:tc>
        <w:tc>
          <w:tcPr>
            <w:tcW w:w="2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Interest paid</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5,871</w:t>
            </w:r>
          </w:p>
        </w:tc>
        <w:tc>
          <w:tcPr>
            <w:tcW w:w="280" w:type="dxa"/>
            <w:vAlign w:val="bottom"/>
          </w:tcPr>
          <w:p>
            <w:pPr>
              <w:spacing w:after="0"/>
              <w:rPr>
                <w:sz w:val="23"/>
                <w:szCs w:val="23"/>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8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Lease incentive - lessor-paid tenant improvements</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3,037</w:t>
            </w:r>
          </w:p>
        </w:tc>
        <w:tc>
          <w:tcPr>
            <w:tcW w:w="280" w:type="dxa"/>
            <w:vAlign w:val="bottom"/>
          </w:tcPr>
          <w:p>
            <w:pPr>
              <w:spacing w:after="0"/>
              <w:rPr>
                <w:sz w:val="23"/>
                <w:szCs w:val="23"/>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discount included in other long-term liabilities</w:t>
            </w: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4,116</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Common stock warrants issued in connection with term loan</w:t>
            </w:r>
          </w:p>
        </w:tc>
        <w:tc>
          <w:tcPr>
            <w:tcW w:w="1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FF0FC"/>
            </w:tcBorders>
            <w:vMerge w:val="continue"/>
          </w:tcPr>
          <w:p>
            <w:pPr>
              <w:spacing w:after="0"/>
              <w:rPr>
                <w:sz w:val="21"/>
                <w:szCs w:val="21"/>
                <w:color w:val="auto"/>
              </w:rPr>
            </w:pPr>
          </w:p>
        </w:tc>
        <w:tc>
          <w:tcPr>
            <w:tcW w:w="860" w:type="dxa"/>
            <w:vAlign w:val="bottom"/>
            <w:tcBorders>
              <w:bottom w:val="single" w:sz="8" w:color="CFF0FC"/>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28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included in accounts payable</w:t>
            </w:r>
          </w:p>
        </w:tc>
        <w:tc>
          <w:tcPr>
            <w:tcW w:w="8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2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financial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400" w:firstLine="571"/>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right="360" w:firstLine="571"/>
        <w:spacing w:after="0" w:line="277" w:lineRule="auto"/>
        <w:rPr>
          <w:sz w:val="20"/>
          <w:szCs w:val="20"/>
          <w:color w:val="auto"/>
        </w:rPr>
      </w:pPr>
      <w:r>
        <w:rPr>
          <w:rFonts w:ascii="Arial" w:cs="Arial" w:eastAsia="Arial" w:hAnsi="Arial"/>
          <w:sz w:val="18"/>
          <w:szCs w:val="18"/>
          <w:color w:val="auto"/>
        </w:rPr>
        <w:t>The Company manufactures and sells insulin pump products in the United States that are designed to address large and differentiated needs of the insulin-dependent diabetes market. The Company’s pump products currently include:</w:t>
      </w:r>
    </w:p>
    <w:p>
      <w:pPr>
        <w:spacing w:after="0" w:line="170" w:lineRule="exact"/>
        <w:rPr>
          <w:sz w:val="20"/>
          <w:szCs w:val="20"/>
          <w:color w:val="auto"/>
        </w:rPr>
      </w:pPr>
    </w:p>
    <w:p>
      <w:pPr>
        <w:ind w:left="760" w:right="38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t:slim X2 Insulin Delivery System, or t:slim X2, the next-generation flagship product that is updatable and designed to display Dexcom G5 continuous glucose monitoring, or CGM, sensor information directly on the pump Home Screen;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t:flex Insulin Delivery System, or t:flex, for people with greater insulin needs.</w:t>
      </w:r>
    </w:p>
    <w:p>
      <w:pPr>
        <w:spacing w:after="0" w:line="225" w:lineRule="exact"/>
        <w:rPr>
          <w:sz w:val="20"/>
          <w:szCs w:val="20"/>
          <w:color w:val="auto"/>
        </w:rPr>
      </w:pPr>
    </w:p>
    <w:p>
      <w:pPr>
        <w:ind w:firstLine="863"/>
        <w:spacing w:after="0" w:line="257" w:lineRule="auto"/>
        <w:rPr>
          <w:sz w:val="20"/>
          <w:szCs w:val="20"/>
          <w:color w:val="auto"/>
        </w:rPr>
      </w:pPr>
      <w:r>
        <w:rPr>
          <w:rFonts w:ascii="Arial" w:cs="Arial" w:eastAsia="Arial" w:hAnsi="Arial"/>
          <w:sz w:val="18"/>
          <w:szCs w:val="18"/>
          <w:color w:val="auto"/>
        </w:rPr>
        <w:t>The Company began commercial sales of its first product, t:slim, in August 2012. During 2015, the Company commenced commercial sales of two additional insulin pumps: t:flex in May 2015 and t:slim G4 in September 2015. In October 2016, the Company commenced commercial sales of t:slim X2 and discontinued new sales of t:slim. In August 2017, the Company commenced commercial sales of t:slim X2 with Dexcom G5 Mobile CGM integration, or t:slim X2 with G5, and discontinued new sales of t:slim G4. The Company will continue to provide ongoing service and support to existing t:slim and t:slim G4 customers.</w:t>
      </w:r>
    </w:p>
    <w:p>
      <w:pPr>
        <w:spacing w:after="0" w:line="188" w:lineRule="exact"/>
        <w:rPr>
          <w:sz w:val="20"/>
          <w:szCs w:val="20"/>
          <w:color w:val="auto"/>
        </w:rPr>
      </w:pPr>
    </w:p>
    <w:p>
      <w:pPr>
        <w:ind w:right="180" w:firstLine="571"/>
        <w:spacing w:after="0" w:line="277" w:lineRule="auto"/>
        <w:rPr>
          <w:sz w:val="20"/>
          <w:szCs w:val="20"/>
          <w:color w:val="auto"/>
        </w:rPr>
      </w:pPr>
      <w:r>
        <w:rPr>
          <w:rFonts w:ascii="Arial" w:cs="Arial" w:eastAsia="Arial" w:hAnsi="Arial"/>
          <w:sz w:val="18"/>
          <w:szCs w:val="18"/>
          <w:color w:val="auto"/>
        </w:rPr>
        <w:t>In July 2016, the Company received clearance from the U.S. Food and Drug Administration (“FDA”) to begin offering the Tandem Device Updater, a Mac and PC-compatible tool for the remote update of Tandem insulin pump software.</w:t>
      </w:r>
    </w:p>
    <w:p>
      <w:pPr>
        <w:spacing w:after="0" w:line="170" w:lineRule="exact"/>
        <w:rPr>
          <w:sz w:val="20"/>
          <w:szCs w:val="20"/>
          <w:color w:val="auto"/>
        </w:rPr>
      </w:pPr>
    </w:p>
    <w:p>
      <w:pPr>
        <w:jc w:val="both"/>
        <w:ind w:right="40" w:firstLine="588"/>
        <w:spacing w:after="0" w:line="286" w:lineRule="auto"/>
        <w:rPr>
          <w:sz w:val="20"/>
          <w:szCs w:val="20"/>
          <w:color w:val="auto"/>
        </w:rPr>
      </w:pPr>
      <w:r>
        <w:rPr>
          <w:rFonts w:ascii="Arial" w:cs="Arial" w:eastAsia="Arial" w:hAnsi="Arial"/>
          <w:sz w:val="17"/>
          <w:szCs w:val="17"/>
          <w:color w:val="auto"/>
        </w:rPr>
        <w:t>In July 2016, the Company also announced and launched a Technology Upgrade Program that provided eligible t:slim and t:slim G4 customers a path to obtain t:slim X2, or, as of August 2017, t:slim X2 with G5. Participating customers had the right to exchange their original t:slim and t:slim G4 for a t:slim X2 or t:slim X2 with G5, under a variable pricing structure. The Technology Upgrade Program expired on September 30, 2017.</w:t>
      </w:r>
    </w:p>
    <w:p>
      <w:pPr>
        <w:spacing w:after="0" w:line="166"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September 2017, the Company commenced commercial sales of products using the t:lock</w:t>
      </w:r>
      <w:r>
        <w:rPr>
          <w:rFonts w:ascii="Arial" w:cs="Arial" w:eastAsia="Arial" w:hAnsi="Arial"/>
          <w:sz w:val="15"/>
          <w:szCs w:val="15"/>
          <w:color w:val="auto"/>
        </w:rPr>
        <w:t>TM</w:t>
      </w:r>
      <w:r>
        <w:rPr>
          <w:rFonts w:ascii="Arial" w:cs="Arial" w:eastAsia="Arial" w:hAnsi="Arial"/>
          <w:sz w:val="18"/>
          <w:szCs w:val="18"/>
          <w:color w:val="auto"/>
        </w:rPr>
        <w:t xml:space="preserve"> Connector, or t:lock, which replaces the standard Luer-lok connector that historically joined an infusion set to the cartridge. t:lock incorporates a smaller inner cavity than the Luer-lok connector, which reduces the amount of insulin used in the process and reduces the time required to fill the infusion set tubing.</w:t>
      </w:r>
    </w:p>
    <w:p>
      <w:pPr>
        <w:spacing w:after="0" w:line="181" w:lineRule="exact"/>
        <w:rPr>
          <w:sz w:val="20"/>
          <w:szCs w:val="20"/>
          <w:color w:val="auto"/>
        </w:rPr>
      </w:pPr>
    </w:p>
    <w:p>
      <w:pPr>
        <w:ind w:right="60" w:firstLine="588"/>
        <w:spacing w:after="0" w:line="259" w:lineRule="auto"/>
        <w:rPr>
          <w:sz w:val="20"/>
          <w:szCs w:val="20"/>
          <w:color w:val="auto"/>
        </w:rPr>
      </w:pPr>
      <w:r>
        <w:rPr>
          <w:rFonts w:ascii="Arial" w:cs="Arial" w:eastAsia="Arial" w:hAnsi="Arial"/>
          <w:sz w:val="18"/>
          <w:szCs w:val="18"/>
          <w:color w:val="auto"/>
        </w:rPr>
        <w:t>Effective December 31, 2016, the Company adopted FASB Accounting Standard Codification (“ASC”) Topic 205-40, Presentation of Financial Statements – Going Concern, which requires management to evaluate whether there are relevant conditions and events that, in the aggregate, raise substantial doubt about the entity’s ability to continue as a going concern and to meet its obligations as they become due within one year after the date the financial statements are issued.</w:t>
      </w:r>
    </w:p>
    <w:p>
      <w:pPr>
        <w:spacing w:after="0" w:line="187" w:lineRule="exact"/>
        <w:rPr>
          <w:sz w:val="20"/>
          <w:szCs w:val="20"/>
          <w:color w:val="auto"/>
        </w:rPr>
      </w:pPr>
    </w:p>
    <w:p>
      <w:pPr>
        <w:ind w:right="240" w:firstLine="693"/>
        <w:spacing w:after="0" w:line="288" w:lineRule="auto"/>
        <w:rPr>
          <w:sz w:val="20"/>
          <w:szCs w:val="20"/>
          <w:color w:val="auto"/>
        </w:rPr>
      </w:pPr>
      <w:r>
        <w:rPr>
          <w:rFonts w:ascii="Arial" w:cs="Arial" w:eastAsia="Arial" w:hAnsi="Arial"/>
          <w:sz w:val="16"/>
          <w:szCs w:val="16"/>
          <w:color w:val="auto"/>
        </w:rPr>
        <w:t>The financial statements included in this Quarterly Report on form 10-Q for the three and nine months ended September 30, 2017 (the “Quarterly Report”) have been prepared on a basis that assumes the Company will continue as a going concern, and do not include any adjustments that may result from the outcome of this uncertainty. This basis of accounting contemplates the recovery of the Company’s assets and the satisfaction of</w:t>
      </w:r>
    </w:p>
    <w:p>
      <w:pPr>
        <w:jc w:val="both"/>
        <w:ind w:right="120"/>
        <w:spacing w:after="0" w:line="255" w:lineRule="auto"/>
        <w:rPr>
          <w:sz w:val="20"/>
          <w:szCs w:val="20"/>
          <w:color w:val="auto"/>
        </w:rPr>
      </w:pPr>
      <w:r>
        <w:rPr>
          <w:rFonts w:ascii="Arial" w:cs="Arial" w:eastAsia="Arial" w:hAnsi="Arial"/>
          <w:sz w:val="18"/>
          <w:szCs w:val="18"/>
          <w:color w:val="auto"/>
        </w:rPr>
        <w:t>the Company’s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w:t>
      </w:r>
    </w:p>
    <w:p>
      <w:pPr>
        <w:spacing w:after="0" w:line="19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The Company has incurred operating losses since its inception and, as reflected in the accompanying financial statements, the Company has an accumulated deficit of $466.2 million as of September 30, 2017, which reflects a net loss of $61.6 million for the nine months ended September 30, 2017. The Company had cash and cash equivalents and short-term investments of $22.5 million at September 30, 2017, including $10.0 million of restricted cash as required by the Company’s term loan agreement (as amended, the “Term Loan Agreement”) with Capital Royalty Partners II, L.P. and its affiliate funds (“Capital Royalty Partners”). The Company used $54.5 million in cash from operations in the nine months ended September 30, 2017. The Company concluded that, at the date the financial statements in this Quarterly Report were issued, it did not have sufficient cash to fund its operations for the next twelve months without additional financing and, therefore, there was substantial doubt about its ability to continue as a going concern within one year after the date the financial statements were issued.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right="20" w:firstLine="693"/>
        <w:spacing w:after="0" w:line="259" w:lineRule="auto"/>
        <w:rPr>
          <w:sz w:val="20"/>
          <w:szCs w:val="20"/>
          <w:color w:val="auto"/>
        </w:rPr>
      </w:pPr>
      <w:r>
        <w:rPr>
          <w:rFonts w:ascii="Arial" w:cs="Arial" w:eastAsia="Arial" w:hAnsi="Arial"/>
          <w:sz w:val="18"/>
          <w:szCs w:val="18"/>
          <w:color w:val="auto"/>
        </w:rPr>
        <w:t>On October 9, 2017, the Company effected a 1-for-10 reverse stock split of its issued and outstanding shares of common stock. The par value per share and the authorized number of shares of common stock and preferred stock were not adjusted as a result of the reverse stock split. All common stock share and per-share amounts for all periods presented in these condensed financial statements have been adjusted to reflect the reverse stock split. The number of authorized shares of common stock remains at 100 million shares.</w:t>
      </w:r>
    </w:p>
    <w:p>
      <w:pPr>
        <w:spacing w:after="0" w:line="187" w:lineRule="exact"/>
        <w:rPr>
          <w:sz w:val="20"/>
          <w:szCs w:val="20"/>
          <w:color w:val="auto"/>
        </w:rPr>
      </w:pPr>
    </w:p>
    <w:p>
      <w:pPr>
        <w:ind w:right="40" w:firstLine="577"/>
        <w:spacing w:after="0" w:line="270" w:lineRule="auto"/>
        <w:rPr>
          <w:sz w:val="20"/>
          <w:szCs w:val="20"/>
          <w:color w:val="auto"/>
        </w:rPr>
      </w:pPr>
      <w:r>
        <w:rPr>
          <w:rFonts w:ascii="Arial" w:cs="Arial" w:eastAsia="Arial" w:hAnsi="Arial"/>
          <w:sz w:val="17"/>
          <w:szCs w:val="17"/>
          <w:color w:val="auto"/>
        </w:rPr>
        <w:t>The Company completed a registered public offering on October 17, 2017, or the October Financing, which resulted in gross proceeds to the Company of $16.2 million, before deducting underwriting discounts and commissions and other offering expenses (see Note 9 “Subsequent Events”). As part of the October Financing, the Company issued 4,630,000 shares of common stock, Series A warrants to purchase 4,630,000 shares of common stock and Series B warrants to purchase 4,630,000 shares of common stock, at a public offering price of $3.50 per share and accompanying warrants. The Series A warrants have an exercise price of $3.50 per share, are immediately exercisable, and will expire on the 5-year anniversary of the date of issuance. The Series B warrants have an exercise price of $3.50 per share, are immediately exercisable, and will expire on the 6-month anniversary of the date of issuance. Each series of warrants, if exercised by all holders in full, may result in additional gross proceeds of $16.2 million to the Company. As a result of the completion of the financing, the Company has satisfied the equity financing covenant in the Term Loan Agreement (see Note 6, “Term Loan Agreement”), although it remains subject to additional covenants.</w:t>
      </w:r>
    </w:p>
    <w:p>
      <w:pPr>
        <w:spacing w:after="0" w:line="182" w:lineRule="exact"/>
        <w:rPr>
          <w:sz w:val="20"/>
          <w:szCs w:val="20"/>
          <w:color w:val="auto"/>
        </w:rPr>
      </w:pPr>
    </w:p>
    <w:p>
      <w:pPr>
        <w:ind w:firstLine="577"/>
        <w:spacing w:after="0" w:line="270" w:lineRule="auto"/>
        <w:rPr>
          <w:sz w:val="20"/>
          <w:szCs w:val="20"/>
          <w:color w:val="auto"/>
        </w:rPr>
      </w:pPr>
      <w:r>
        <w:rPr>
          <w:rFonts w:ascii="Arial" w:cs="Arial" w:eastAsia="Arial" w:hAnsi="Arial"/>
          <w:sz w:val="17"/>
          <w:szCs w:val="17"/>
          <w:color w:val="auto"/>
        </w:rPr>
        <w:t>The Company believes it will be necessary to raise additional funding. The Company intends to seek additional capital from public or private offerings of its capital stock or it may elect to borrow additional amounts under new debt financing arrangements or from other sources. If the Company issues equity or convertible debt securities to raise additional funding, its existing stockholders may experience dilution, it may incur significant financing costs, and the new equity or convertible debt securities may have rights, preferences and privileges senior to those of its existing stockholders. If the Company issues debt securities to raise additional funding, it would incur additional debt service obligations, it could become subject to additional restrictions limiting its ability to operate its business, and it may be required to further encumber its assets. The Company’s ability to continue as a going concern, meet its minimum liquidity requirements, satisfy the covenants under the Term Loan Agreement, and execute its business strategy is dependent on its ability to raise significant additional capital, of which there can be no assurance. If the Company cannot generate sufficient revenues from the sale of its products or secure additional financing on acceptable terms, it may be forced to significantly alter its business strategy, substantially curtail or modify its current operations, or cease operations altogether.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577"/>
        <w:spacing w:after="0" w:line="257" w:lineRule="auto"/>
        <w:rPr>
          <w:sz w:val="20"/>
          <w:szCs w:val="20"/>
          <w:color w:val="auto"/>
        </w:rPr>
      </w:pPr>
      <w:r>
        <w:rPr>
          <w:rFonts w:ascii="Arial" w:cs="Arial" w:eastAsia="Arial" w:hAnsi="Arial"/>
          <w:sz w:val="18"/>
          <w:szCs w:val="18"/>
          <w:color w:val="auto"/>
        </w:rPr>
        <w:t>The Company has prepared the accompanying unaudited condensed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60" w:firstLine="577"/>
        <w:spacing w:after="0" w:line="279" w:lineRule="auto"/>
        <w:rPr>
          <w:sz w:val="20"/>
          <w:szCs w:val="20"/>
          <w:color w:val="auto"/>
        </w:rPr>
      </w:pPr>
      <w:r>
        <w:rPr>
          <w:rFonts w:ascii="Arial" w:cs="Arial" w:eastAsia="Arial" w:hAnsi="Arial"/>
          <w:sz w:val="17"/>
          <w:szCs w:val="17"/>
          <w:color w:val="auto"/>
        </w:rPr>
        <w:t>Interim financial results are not necessarily indicative of results anticipated for the full year or any other period(s). These unaudited condensed financial statements should be read in conjunction with the Company’s audited financial statements and accompanying footnotes included in the Company’s Annual Report on Form 10-K for the year ended December 31, 2016 (“Annual Report”), from which the balance sheet information herein was derived. These unaudited condensed financial statements exclude disclosures required by U.S. GAAP for complete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240" w:firstLine="571"/>
        <w:spacing w:after="0" w:line="277" w:lineRule="auto"/>
        <w:rPr>
          <w:sz w:val="20"/>
          <w:szCs w:val="20"/>
          <w:color w:val="auto"/>
        </w:rPr>
      </w:pPr>
      <w:r>
        <w:rPr>
          <w:rFonts w:ascii="Arial" w:cs="Arial" w:eastAsia="Arial" w:hAnsi="Arial"/>
          <w:sz w:val="18"/>
          <w:szCs w:val="18"/>
          <w:color w:val="auto"/>
        </w:rPr>
        <w:t>There have been no significant changes in our significant accounting policies during the nine months ended September 30, 2017, as compared with those disclosed in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571"/>
        <w:spacing w:after="0" w:line="31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informed estimates and assumptions that affect the reported amounts of assets, liabilities, revenues and expenses, and the disclosure of contingent assets and liabilities in the Company’s financial statements and accompanying footnotes as of the date of the financial statements. Actual results could materially differ from those estimates and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460" w:firstLine="577"/>
        <w:spacing w:after="0" w:line="308" w:lineRule="auto"/>
        <w:rPr>
          <w:sz w:val="20"/>
          <w:szCs w:val="20"/>
          <w:color w:val="auto"/>
        </w:rPr>
      </w:pPr>
      <w:r>
        <w:rPr>
          <w:rFonts w:ascii="Arial" w:cs="Arial" w:eastAsia="Arial" w:hAnsi="Arial"/>
          <w:sz w:val="17"/>
          <w:szCs w:val="17"/>
          <w:color w:val="auto"/>
        </w:rPr>
        <w:t>The Company recorded $10.0 million and $2.0 million of restricted cash as of September 30, 2017 and December 31, 2016, respectively, for the minimum cash balance requirement in connection with the Term Loan Agreement (see Note 6, “Term Loan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629"/>
        <w:spacing w:after="0" w:line="279" w:lineRule="auto"/>
        <w:rPr>
          <w:sz w:val="20"/>
          <w:szCs w:val="20"/>
          <w:color w:val="auto"/>
        </w:rPr>
      </w:pPr>
      <w:r>
        <w:rPr>
          <w:rFonts w:ascii="Arial" w:cs="Arial" w:eastAsia="Arial" w:hAnsi="Arial"/>
          <w:sz w:val="17"/>
          <w:szCs w:val="17"/>
          <w:color w:val="auto"/>
        </w:rPr>
        <w:t>The Company grants credit to various customers in the normal course of business. The Company maintains an allowance for doubtful accounts for potential credit losses. Provisions are made based on historical experience, assessment of specific risk, specific review of outstanding invoices, and various additional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Based on the borrowing rates currently available for loans with similar terms, the Company believes that the fair value of its long-term notes payable approximates its carrying value.</w:t>
      </w:r>
    </w:p>
    <w:p>
      <w:pPr>
        <w:spacing w:after="0" w:line="187" w:lineRule="exact"/>
        <w:rPr>
          <w:sz w:val="20"/>
          <w:szCs w:val="20"/>
          <w:color w:val="auto"/>
        </w:rPr>
      </w:pPr>
    </w:p>
    <w:p>
      <w:pPr>
        <w:ind w:firstLine="577"/>
        <w:spacing w:after="0" w:line="257" w:lineRule="auto"/>
        <w:rPr>
          <w:sz w:val="20"/>
          <w:szCs w:val="20"/>
          <w:color w:val="auto"/>
        </w:rPr>
      </w:pPr>
      <w:r>
        <w:rPr>
          <w:rFonts w:ascii="Arial" w:cs="Arial" w:eastAsia="Arial" w:hAnsi="Arial"/>
          <w:sz w:val="18"/>
          <w:szCs w:val="18"/>
          <w:color w:val="auto"/>
        </w:rPr>
        <w:t>Certain trade-in rights offered by the Company pursuant to the Technology Upgrade Program to certain eligible customers, have been determined to be guarantees under applicable accounting guidance. The Company recorded a liability for the estimated fair value of the guarantees at their inception. The Program expired on September 30, 2017, at which time the remaining guarantee liabilities of $1.1 were recognized as sales. For further details regarding these guarantees, see the information included under the heading “Revenue Recognition” within this Note 2, as well as the information in Note 5, “Fair Value Measurements.”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571"/>
        <w:spacing w:after="0" w:line="264" w:lineRule="auto"/>
        <w:rPr>
          <w:sz w:val="20"/>
          <w:szCs w:val="20"/>
          <w:color w:val="auto"/>
        </w:rPr>
      </w:pPr>
      <w:r>
        <w:rPr>
          <w:rFonts w:ascii="Arial" w:cs="Arial" w:eastAsia="Arial" w:hAnsi="Arial"/>
          <w:sz w:val="18"/>
          <w:szCs w:val="18"/>
          <w:color w:val="auto"/>
        </w:rPr>
        <w:t>Revenue is generated primarily from sales in the United States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81"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Revenue is recognized when persuasive evidence of an arrangement exists, delivery has occurred and title passed, the price is fixed or determinable, and collectability is reasonably assured.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Trade-In Rights</w:t>
      </w:r>
    </w:p>
    <w:p>
      <w:pPr>
        <w:spacing w:after="0" w:line="225" w:lineRule="exact"/>
        <w:rPr>
          <w:sz w:val="20"/>
          <w:szCs w:val="20"/>
          <w:color w:val="auto"/>
        </w:rPr>
      </w:pPr>
    </w:p>
    <w:p>
      <w:pPr>
        <w:ind w:right="40" w:firstLine="588"/>
        <w:spacing w:after="0" w:line="286" w:lineRule="auto"/>
        <w:rPr>
          <w:sz w:val="20"/>
          <w:szCs w:val="20"/>
          <w:color w:val="auto"/>
        </w:rPr>
      </w:pPr>
      <w:r>
        <w:rPr>
          <w:rFonts w:ascii="Arial" w:cs="Arial" w:eastAsia="Arial" w:hAnsi="Arial"/>
          <w:sz w:val="17"/>
          <w:szCs w:val="17"/>
          <w:color w:val="auto"/>
        </w:rPr>
        <w:t>The Company launched a Technology Upgrade Program in 2016, which expired September 30, 2017. The trade-in rights associated with the Program were accounted for as guarantees or rights to return based on specific factors and circumstances, including the period of time the trade-in rights were exercisable, the likelihood that the trade-in rights would be exercised, and the amount of the specified-price trade-in value.</w:t>
      </w:r>
    </w:p>
    <w:p>
      <w:pPr>
        <w:spacing w:after="0" w:line="166" w:lineRule="exact"/>
        <w:rPr>
          <w:sz w:val="20"/>
          <w:szCs w:val="20"/>
          <w:color w:val="auto"/>
        </w:rPr>
      </w:pPr>
    </w:p>
    <w:p>
      <w:pPr>
        <w:ind w:right="60" w:firstLine="588"/>
        <w:spacing w:after="0" w:line="270" w:lineRule="auto"/>
        <w:rPr>
          <w:sz w:val="20"/>
          <w:szCs w:val="20"/>
          <w:color w:val="auto"/>
        </w:rPr>
      </w:pPr>
      <w:r>
        <w:rPr>
          <w:rFonts w:ascii="Arial" w:cs="Arial" w:eastAsia="Arial" w:hAnsi="Arial"/>
          <w:sz w:val="17"/>
          <w:szCs w:val="17"/>
          <w:color w:val="auto"/>
        </w:rPr>
        <w:t>The Company determined that trade-in rights for t:slim G4 Pump customers were generally guarantees. The Company accounted for the guarantees under applicable accounting standards, which require a guarantor to recognize, at the inception of the guarantees, a liability for the estimated fair value of the obligation undertaken in issuing the guarantees. Subsequently, the initial liability recognized for the guarantees was reduced as the Company was released from the risk under the guarantees, which was when the trade-in right was exercised or the right expired. The guarantees were accounted for as an element of a multiple element arrangement. The estimated fair value of the guarantees was based on various economic and customer behavioral assumptions, including the probability that a trade-in right would be exercised, the specified trade-in amount, the expected fair value of the used t:slim G4 Pump at trade-in and the expected sales price of a t:slim X2 Pump. Upon expiration of the Program at September 30, 2017, the remaining guarantee liabilities of $1.1 were recognized as sales compared to $1.2 million recorded as guarantee liabilities in other current liabilities on the accompanying balance sheets, as of September 30, 2017 and December 31, 2016, respectively.</w:t>
      </w:r>
    </w:p>
    <w:p>
      <w:pPr>
        <w:spacing w:after="0" w:line="182" w:lineRule="exact"/>
        <w:rPr>
          <w:sz w:val="20"/>
          <w:szCs w:val="20"/>
          <w:color w:val="auto"/>
        </w:rPr>
      </w:pPr>
    </w:p>
    <w:p>
      <w:pPr>
        <w:ind w:right="100" w:firstLine="588"/>
        <w:spacing w:after="0" w:line="273" w:lineRule="auto"/>
        <w:rPr>
          <w:sz w:val="20"/>
          <w:szCs w:val="20"/>
          <w:color w:val="auto"/>
        </w:rPr>
      </w:pPr>
      <w:r>
        <w:rPr>
          <w:rFonts w:ascii="Arial" w:cs="Arial" w:eastAsia="Arial" w:hAnsi="Arial"/>
          <w:sz w:val="17"/>
          <w:szCs w:val="17"/>
          <w:color w:val="auto"/>
        </w:rPr>
        <w:t>The Company determined that t:slim Pump trade-in rights were in-substance rights to return products. Such rights to return were accounted for pursuant to the right of return accounting guidance. As the Company did not have sufficient history to reasonably estimate returns associated with trade-in rights, all eligible t:slim Pump sales between July 2016 and October 2016, which is when the Company discontinued new shipments of t:slim, were recorded as deferred revenue until the trade-in right was exercised or the right expired. Despite expiration of the Program at September 30, 2017, the Company recorded $0.2 million for upgrades requested but not yet fulfilled compared to $3.2 million as a trade-in rights reserve in deferred revenue on the accompanying balance sheets, as of September 30, 2017 and December 31, 2016,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right="20" w:firstLine="588"/>
        <w:spacing w:after="0" w:line="291" w:lineRule="auto"/>
        <w:rPr>
          <w:sz w:val="20"/>
          <w:szCs w:val="20"/>
          <w:color w:val="auto"/>
        </w:rPr>
      </w:pPr>
      <w:r>
        <w:rPr>
          <w:rFonts w:ascii="Arial" w:cs="Arial" w:eastAsia="Arial" w:hAnsi="Arial"/>
          <w:sz w:val="16"/>
          <w:szCs w:val="16"/>
          <w:color w:val="auto"/>
        </w:rPr>
        <w:t>The Company considers the deliverables in its product offering as separate units of accounting and recognizes deliverables as revenue upon delivery only if (i) the deliverable has standalone value and (ii) the arrangement includes a general right of return relative to the delivered item(s) and delivery or performance of the undelivered item(s) is probable and substantially controlled by the Company. The Company allocates consideration to the separate units of accounting, unless the undelivered elements were deemed perfunctory and inconsequential. The amount of the determined guarantee fair value is allocated in full to the guarantee and the remaining allocable consideration is allocated to other separate units of accounting using the relative selling price method, in which allocation of consideration is based on vendor-specific objective evidence (“VSOE”) if available, third-party evidence (“TPE”), or if VSOE and TPE are not available, management’s best estimate of a standalone selling price (“ESP”) for the undelivered elements.</w:t>
      </w:r>
    </w:p>
    <w:p>
      <w:pPr>
        <w:spacing w:after="0" w:line="16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The Company offers a cloud-based data management application, t:connect, which is made available to customers upon purchase of any of its insulin pumps. In July 2016, the Company received clearance from the FDA to begin offering the Tandem Device Updater, a Mac and PC-compatible tool for the remote update of Tandem insulin pump software. Utilizing Tandem Device Updater, the Company may from time to time provide future unspecified software upgrades to the insulin pump’s essential software. The t:connect service and the embedded right included with qualifying insulin pumps to receive, on a when-and-if-available basis, future unspecified software upgrades relating to the product’s essential software are deemed undelivered elements at the time of the insulin pump sale. Because the Company has neither VSOE nor TPE for these deliverables, the allocation of revenue is based on the Company’s ESP. The Company establishes its ESP based on the estimated cost to provide such services, including consideration for a reasonable profit margin, which is then corroborated by comparable market data. The Company allocates fair value based on management’s ESP to these elements at the time of sale and recognizes the revenue over a four-year period, which is the hosting period for t:connect and the period that software upgrades are expected to be provided. At September 30, 2017 and December 31, 2016, $1.8 million and $1.6 million, respectively, were recorded as deferred revenue for these undelivered elements. All other undelivered elements at the time of sale are deemed inconsequential or perfunctory.</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w:t>
      </w:r>
    </w:p>
    <w:p>
      <w:pPr>
        <w:spacing w:after="0" w:line="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is recorded as a reduction of revenue and accounts receivable in the period in which the related sale is recorded. The amount recorded on the Company’s balance sheets for product return allowance was $0.2 million and $0.2 million at September 30, 2017 and December 31, 2016, respectively. Actual product returns have not differed materially from estimated amounts reserved in the accompanying condensed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product replacement cost and expected replacement rates based on historical experience. The Company evaluates the reserve quarterly and makes adjustments when appropriate. Changes to the actual replacement rates or the expected product replacement cost could have a material impact on the Company’s warranty reserve.</w:t>
      </w:r>
    </w:p>
    <w:p>
      <w:pPr>
        <w:spacing w:after="0" w:line="193" w:lineRule="exact"/>
        <w:rPr>
          <w:sz w:val="20"/>
          <w:szCs w:val="20"/>
          <w:color w:val="auto"/>
        </w:rPr>
      </w:pPr>
    </w:p>
    <w:p>
      <w:pPr>
        <w:ind w:right="120" w:firstLine="571"/>
        <w:spacing w:after="0" w:line="308" w:lineRule="auto"/>
        <w:rPr>
          <w:sz w:val="20"/>
          <w:szCs w:val="20"/>
          <w:color w:val="auto"/>
        </w:rPr>
      </w:pPr>
      <w:r>
        <w:rPr>
          <w:rFonts w:ascii="Arial" w:cs="Arial" w:eastAsia="Arial" w:hAnsi="Arial"/>
          <w:sz w:val="17"/>
          <w:szCs w:val="17"/>
          <w:color w:val="auto"/>
        </w:rPr>
        <w:t>At September 30, 2017 and December 31, 2016, the warranty reserve was $4.8 million and $5.7 million, respectively. The following table provides a reconciliation of the change in product warranty liabilities from December 31, 2016 through September 30, 2017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warranties issued during the period</w:t>
            </w: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Settlements made during the period</w:t>
            </w: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Increases in warranty estimates</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571"/>
        <w:spacing w:after="0" w:line="293"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2013 Stock Incentive Plan (“2013 Plan”) and shares issued under the Company’s 2013 Employee Stock Purchase Plan (“ESPP”) using a Black-Scholes option-pricing model on the date of grant. The Black-Scholes option-pricing model requires the use of subjective assumptions about a number of key variables, including stock price volatility, expected term, and risk-free interest rate. For awards that vest based on the achievement of service conditions, the Company recognizes expense using the straight-line method less estimated forfeitures based on historical experience.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60" w:firstLine="571"/>
        <w:spacing w:after="0" w:line="277" w:lineRule="auto"/>
        <w:rPr>
          <w:sz w:val="20"/>
          <w:szCs w:val="20"/>
          <w:color w:val="auto"/>
        </w:rPr>
      </w:pPr>
      <w:r>
        <w:rPr>
          <w:rFonts w:ascii="Arial" w:cs="Arial" w:eastAsia="Arial" w:hAnsi="Arial"/>
          <w:sz w:val="18"/>
          <w:szCs w:val="18"/>
          <w:color w:val="auto"/>
        </w:rPr>
        <w:t>Basic net loss per share is calculated by dividing the net loss by the weighted average number of common shares that were outstanding for the period, without consideration for common stock equivalents.</w:t>
      </w:r>
    </w:p>
    <w:p>
      <w:pPr>
        <w:spacing w:after="0" w:line="170"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Diluted net loss per share is calculated by dividing the net loss by the sum of the weighted average number of common shares that were outstanding for the period and the weighted-average number of dilutive common share equivalents outstanding for the period determined using the treasury stock method. Dilutive common share equivalents are comprised of warrants, options outstanding under the Company’s equity incentive plans, and shares subject to issuance pursuant to the ESPP. For all periods presented, there is no difference in the number of shares used to calculate basic and diluted shares outstanding due to the Company’s net loss position.</w:t>
      </w:r>
    </w:p>
    <w:p>
      <w:pPr>
        <w:spacing w:after="0" w:line="188"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49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1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9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0"/>
                <w:szCs w:val="20"/>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Common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ESPP</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3"/>
        </w:trPr>
        <w:tc>
          <w:tcPr>
            <w:tcW w:w="492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571"/>
        <w:spacing w:after="0" w:line="257" w:lineRule="auto"/>
        <w:rPr>
          <w:sz w:val="20"/>
          <w:szCs w:val="20"/>
          <w:color w:val="auto"/>
        </w:rPr>
      </w:pPr>
      <w:r>
        <w:rPr>
          <w:rFonts w:ascii="Arial" w:cs="Arial" w:eastAsia="Arial" w:hAnsi="Arial"/>
          <w:sz w:val="18"/>
          <w:szCs w:val="18"/>
          <w:color w:val="auto"/>
        </w:rPr>
        <w:t>In August 2016, the Financial Accounting Standards Board (“FASB”) issued new guidance that clarifies how entities should classify certain cash receipts and cash payments on the statement of cash flows. The guidance also clarifies how the predominance principle should be applied when cash receipts and cash payments have aspects of more than one class of cash flows. The guidance is effective for public companies for fiscal years beginning after December 15, 2017, and interim periods within those years. The Company does not believe the adoption of the standard will have a material impact on the Company’s statement of cash flow.</w:t>
      </w:r>
    </w:p>
    <w:p>
      <w:pPr>
        <w:spacing w:after="0" w:line="188"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June 2016, FASB issued a new credit loss standard that changes the impairment model for most financial assets and certain other instruments. The standard is effective for public business entities for annual periods beginning after December 15, 2019, and interim periods within those years. Early adoption is permitted for all entities for annual periods beginning after December 15, 2018, and interim periods within those years. The Company is in the process of assessing the impact of the adoption of the standard on its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20" w:firstLine="571"/>
        <w:spacing w:after="0" w:line="289" w:lineRule="auto"/>
        <w:rPr>
          <w:sz w:val="20"/>
          <w:szCs w:val="20"/>
          <w:color w:val="auto"/>
        </w:rPr>
      </w:pPr>
      <w:r>
        <w:rPr>
          <w:rFonts w:ascii="Arial" w:cs="Arial" w:eastAsia="Arial" w:hAnsi="Arial"/>
          <w:sz w:val="16"/>
          <w:szCs w:val="16"/>
          <w:color w:val="auto"/>
        </w:rPr>
        <w:t>In March 2016, FASB issued ASU 2016-09, Compensation - Stock Compensation (Topic 718) (“ASU 2016-09”), which is intended to simplify several areas of accounting for share-based payment arrangements. The amendments in this update cover such areas as the recognition of excess tax benefits and deficiencies, the classification of those excess benefits on the statement of cash flows, an accounting policy election for forfeitures, the amount an employer can withhold to cover income taxes and still qualify for equity classification and the classification of those taxes paid on the statement of cash flows. ASU 2016-09 is effective for fiscal years beginning after December 15, 2016, and interim periods within those annual periods. The Company adopted this standard in the first quarter of 2017. The Company had excess tax benefits for which a benefit could not previously be recognized of approximately $656,000 as of December 31, 2016. Upon adoption, the balance of the unrecognized excess tax benefits was reversed with the impact recorded to (accumulated deficit) retained earnings, including any change to the valuation allowance as a result of the adoption. Due to the full valuation allowance on the U.S. deferred tax assets as of December 31, 2016, there was no impact to the financial statements as a result of this adoption.</w:t>
      </w:r>
    </w:p>
    <w:p>
      <w:pPr>
        <w:spacing w:after="0" w:line="167" w:lineRule="exact"/>
        <w:rPr>
          <w:sz w:val="20"/>
          <w:szCs w:val="20"/>
          <w:color w:val="auto"/>
        </w:rPr>
      </w:pPr>
    </w:p>
    <w:p>
      <w:pPr>
        <w:ind w:right="20" w:firstLine="577"/>
        <w:spacing w:after="0" w:line="257" w:lineRule="auto"/>
        <w:rPr>
          <w:sz w:val="20"/>
          <w:szCs w:val="20"/>
          <w:color w:val="auto"/>
        </w:rPr>
      </w:pPr>
      <w:r>
        <w:rPr>
          <w:rFonts w:ascii="Arial" w:cs="Arial" w:eastAsia="Arial" w:hAnsi="Arial"/>
          <w:sz w:val="18"/>
          <w:szCs w:val="18"/>
          <w:color w:val="auto"/>
        </w:rPr>
        <w:t>In February 2016, FASB issued final guidance for lease accounting. The new guidance requires lessees to put most leases on their balance sheet but to recognize expenses on their income statement in a manner similar to current accounting principles. The new guidance also eliminates the current real estate-specific provisions for all entities. The standard is effective for public companies for annual periods beginning after December 15, 2018, and interim periods within those years. Early adoption is permitted for all entities. The Company is in the process of assessing the impact of the adoption of the standard on its financial statements.</w:t>
      </w:r>
    </w:p>
    <w:p>
      <w:pPr>
        <w:spacing w:after="0" w:line="188" w:lineRule="exact"/>
        <w:rPr>
          <w:sz w:val="20"/>
          <w:szCs w:val="20"/>
          <w:color w:val="auto"/>
        </w:rPr>
      </w:pPr>
    </w:p>
    <w:p>
      <w:pPr>
        <w:ind w:right="40" w:firstLine="577"/>
        <w:spacing w:after="0" w:line="273" w:lineRule="auto"/>
        <w:rPr>
          <w:sz w:val="20"/>
          <w:szCs w:val="20"/>
          <w:color w:val="auto"/>
        </w:rPr>
      </w:pPr>
      <w:r>
        <w:rPr>
          <w:rFonts w:ascii="Arial" w:cs="Arial" w:eastAsia="Arial" w:hAnsi="Arial"/>
          <w:sz w:val="17"/>
          <w:szCs w:val="17"/>
          <w:color w:val="auto"/>
        </w:rPr>
        <w:t>In May 2014, FASB and the International Accounting Standards Board issued a comprehensive new revenue recognition standard (“Revenue from Contracts with Customers Standard”) that will supersede existing revenue guidance under U.S. GAAP and International Financial Reporting Standards. The Revenue from Contracts with Customers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 Revenue from Contracts with Customers Standard will be effective for the Company beginning in its first quarter of 2018, and early adoption is permitted.</w:t>
      </w:r>
    </w:p>
    <w:p>
      <w:pPr>
        <w:spacing w:after="0" w:line="178" w:lineRule="exact"/>
        <w:rPr>
          <w:sz w:val="20"/>
          <w:szCs w:val="20"/>
          <w:color w:val="auto"/>
        </w:rPr>
      </w:pPr>
    </w:p>
    <w:p>
      <w:pPr>
        <w:ind w:right="140" w:firstLine="577"/>
        <w:spacing w:after="0" w:line="289" w:lineRule="auto"/>
        <w:rPr>
          <w:sz w:val="20"/>
          <w:szCs w:val="20"/>
          <w:color w:val="auto"/>
        </w:rPr>
      </w:pPr>
      <w:r>
        <w:rPr>
          <w:rFonts w:ascii="Arial" w:cs="Arial" w:eastAsia="Arial" w:hAnsi="Arial"/>
          <w:sz w:val="16"/>
          <w:szCs w:val="16"/>
          <w:color w:val="auto"/>
        </w:rPr>
        <w:t>Subsequently, FASB issued the following standards related to Revenue from Contracts with Customers Standard: Principal versus Agent Considerations; Identifying Performance Obligations and Licensing; and Narrow-Scope Improvements and Practical Expedients (collectively, the “new revenue standards”). The new revenue standards may be applied retrospectively to each prior period presented (full retrospective method) or retrospectively with the cumulative effect recognized as of the date of adoption (the modified retrospective method). The Company currently expects to adopt the new revenue standards in the first quarter of 2018 utilizing the modified retrospective method. The Company currently believes that the adoption will not have a material impact on the recognition of revenues for the sale of its products through third-party distributors and insurance payors with whom it has contractual arrangements, which generally comprise approximately 99% of its sales. Additionally, the Company has given consideration to the accounting for warranty and commissions and does not anticipate a material change to its current method of expense recognition. As of September 30, 2017, the Company has not determined the full impact the adoption of the new revenue standard may have on its reported revenue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right="240" w:firstLine="571"/>
        <w:spacing w:after="0" w:line="342" w:lineRule="auto"/>
        <w:rPr>
          <w:sz w:val="20"/>
          <w:szCs w:val="20"/>
          <w:color w:val="auto"/>
        </w:rPr>
      </w:pPr>
      <w:r>
        <w:rPr>
          <w:rFonts w:ascii="Arial" w:cs="Arial" w:eastAsia="Arial" w:hAnsi="Arial"/>
          <w:sz w:val="16"/>
          <w:szCs w:val="16"/>
          <w:color w:val="auto"/>
        </w:rPr>
        <w:t>The Company invests in investment securities, principally debt instruments of financial institutions and corporations with strong credit ratings. The following represents a summary of the estimated fair value of short-term investments at September 30, 2017 and December 31, 2016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At September 30, 2017</w:t>
            </w:r>
          </w:p>
        </w:tc>
        <w:tc>
          <w:tcPr>
            <w:tcW w:w="3260" w:type="dxa"/>
            <w:vAlign w:val="bottom"/>
            <w:vMerge w:val="restart"/>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400" w:type="dxa"/>
            <w:vAlign w:val="bottom"/>
            <w:tcBorders>
              <w:bottom w:val="single" w:sz="8" w:color="auto"/>
            </w:tcBorders>
            <w:gridSpan w:val="2"/>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98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gridSpan w:val="3"/>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plan participants</w:t>
            </w:r>
          </w:p>
        </w:tc>
        <w:tc>
          <w:tcPr>
            <w:tcW w:w="12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At December 31, 2016</w:t>
            </w:r>
          </w:p>
        </w:tc>
        <w:tc>
          <w:tcPr>
            <w:tcW w:w="3300" w:type="dxa"/>
            <w:vAlign w:val="bottom"/>
            <w:gridSpan w:val="2"/>
            <w:vMerge w:val="restart"/>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24"/>
                <w:szCs w:val="24"/>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98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gridSpan w:val="3"/>
          </w:tcPr>
          <w:p>
            <w:pPr>
              <w:spacing w:after="0"/>
              <w:rPr>
                <w:sz w:val="20"/>
                <w:szCs w:val="20"/>
                <w:color w:val="auto"/>
              </w:rPr>
            </w:pPr>
            <w:r>
              <w:rPr>
                <w:rFonts w:ascii="Arial" w:cs="Arial" w:eastAsia="Arial" w:hAnsi="Arial"/>
                <w:sz w:val="18"/>
                <w:szCs w:val="18"/>
                <w:color w:val="auto"/>
              </w:rPr>
              <w:t>Available-for-sale investment securities:</w:t>
            </w: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Less than 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plan participants</w:t>
            </w: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3"/>
            <w:vMerge w:val="continue"/>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Inventory consisted of the following at September 30, 2017 and December 31, 2016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80" w:type="dxa"/>
            <w:vAlign w:val="bottom"/>
          </w:tcPr>
          <w:p>
            <w:pPr>
              <w:jc w:val="right"/>
              <w:ind w:right="106"/>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3500" w:type="dxa"/>
            <w:vAlign w:val="bottom"/>
          </w:tcPr>
          <w:p>
            <w:pPr>
              <w:spacing w:after="0"/>
              <w:rPr>
                <w:sz w:val="18"/>
                <w:szCs w:val="18"/>
                <w:color w:val="auto"/>
              </w:rPr>
            </w:pPr>
          </w:p>
        </w:tc>
        <w:tc>
          <w:tcPr>
            <w:tcW w:w="4200" w:type="dxa"/>
            <w:vAlign w:val="bottom"/>
            <w:gridSpan w:val="2"/>
          </w:tcPr>
          <w:p>
            <w:pPr>
              <w:jc w:val="right"/>
              <w:ind w:right="406"/>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jc w:val="right"/>
              <w:ind w:right="10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32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ind w:right="17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10,138</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Work in process</w:t>
            </w:r>
          </w:p>
        </w:tc>
        <w:tc>
          <w:tcPr>
            <w:tcW w:w="2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5,497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320" w:type="dxa"/>
            <w:vAlign w:val="bottom"/>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14,350</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7,425</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19"/>
                <w:szCs w:val="19"/>
                <w:color w:val="auto"/>
              </w:rPr>
            </w:pPr>
          </w:p>
        </w:tc>
        <w:tc>
          <w:tcPr>
            <w:tcW w:w="1880" w:type="dxa"/>
            <w:vAlign w:val="bottom"/>
            <w:tcBorders>
              <w:bottom w:val="single" w:sz="8" w:color="auto"/>
            </w:tcBorders>
          </w:tcPr>
          <w:p>
            <w:pPr>
              <w:jc w:val="right"/>
              <w:ind w:right="17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29,985</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21,195</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761"/>
        <w:spacing w:after="0" w:line="277" w:lineRule="auto"/>
        <w:rPr>
          <w:sz w:val="20"/>
          <w:szCs w:val="20"/>
          <w:color w:val="auto"/>
        </w:rPr>
      </w:pPr>
      <w:r>
        <w:rPr>
          <w:rFonts w:ascii="Arial" w:cs="Arial" w:eastAsia="Arial" w:hAnsi="Arial"/>
          <w:sz w:val="18"/>
          <w:szCs w:val="18"/>
          <w:color w:val="auto"/>
        </w:rPr>
        <w:t>The increase in inventory at September 30, 2017 as compared to December 31, 2016 is primarily due to an increase in infusion set finished goods in connection with the commercial launch of the t:lock infusion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3"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940" w:right="300" w:hanging="931"/>
        <w:spacing w:after="0" w:line="277"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ind w:right="20" w:firstLine="471"/>
        <w:spacing w:after="0" w:line="264"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September 30, 2017 and December 31, 2016, and indicates the fair value hierarchy of the valuation techniques utilized by the Company to determine such fair value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 2017</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16,527</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16,527</w:t>
            </w:r>
          </w:p>
        </w:tc>
        <w:tc>
          <w:tcPr>
            <w:tcW w:w="5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participants </w:t>
            </w:r>
            <w:r>
              <w:rPr>
                <w:rFonts w:ascii="Arial" w:cs="Arial" w:eastAsia="Arial" w:hAnsi="Arial"/>
                <w:sz w:val="15"/>
                <w:szCs w:val="15"/>
                <w:color w:val="auto"/>
              </w:rPr>
              <w:t>(2)</w:t>
            </w: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16,986</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16,986</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5"/>
                <w:szCs w:val="15"/>
                <w:color w:val="auto"/>
              </w:rPr>
              <w:t>(2)</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5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540" w:type="dxa"/>
            <w:vAlign w:val="bottom"/>
            <w:gridSpan w:val="2"/>
            <w:shd w:val="clear" w:color="auto" w:fill="CFF0FC"/>
          </w:tcPr>
          <w:p>
            <w:pPr>
              <w:jc w:val="right"/>
              <w:ind w:right="86"/>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560"/>
              <w:spacing w:after="0" w:line="155"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39,941</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39,941</w:t>
            </w:r>
          </w:p>
        </w:tc>
        <w:tc>
          <w:tcPr>
            <w:tcW w:w="5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 xml:space="preserve">participants </w:t>
            </w:r>
            <w:r>
              <w:rPr>
                <w:rFonts w:ascii="Arial" w:cs="Arial" w:eastAsia="Arial" w:hAnsi="Arial"/>
                <w:sz w:val="15"/>
                <w:szCs w:val="15"/>
                <w:color w:val="auto"/>
              </w:rPr>
              <w:t>(2)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48,801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40,319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5"/>
                <w:szCs w:val="15"/>
                <w:color w:val="auto"/>
              </w:rPr>
              <w:t>(2)</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5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540" w:type="dxa"/>
            <w:vAlign w:val="bottom"/>
            <w:gridSpan w:val="2"/>
            <w:shd w:val="clear" w:color="auto" w:fill="CFF0FC"/>
          </w:tcPr>
          <w:p>
            <w:pPr>
              <w:jc w:val="right"/>
              <w:ind w:right="86"/>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80" w:hanging="478"/>
        <w:spacing w:after="0" w:line="256"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Generally, cash equivalents include money market funds and investments with a maturity of three months or less from the date of purchase. This asset is included as a component of cash and cash equivalents on the balance sheet, of which $10.0 million is classified as restricted cash – long-term at September 30, 2017.</w:t>
      </w:r>
    </w:p>
    <w:p>
      <w:pPr>
        <w:ind w:left="540" w:right="280" w:hanging="478"/>
        <w:spacing w:after="0" w:line="25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deferred compensation plan is directed by the Company and structured as a Rabbi Trust for the benefit of certain executives and non-employee directors. The investment assets of the Rabbi Trust are valued using quoted market prices multiplied by the number of shares held in each trust account. The related deferred compensation liability represents the fair value of the investment assets</w:t>
      </w:r>
      <w:r>
        <w:rPr>
          <w:rFonts w:ascii="Arial" w:cs="Arial" w:eastAsia="Arial" w:hAnsi="Arial"/>
          <w:sz w:val="14"/>
          <w:szCs w:val="14"/>
          <w:color w:val="auto"/>
        </w:rPr>
        <w:t>.</w:t>
      </w:r>
    </w:p>
    <w:p>
      <w:pPr>
        <w:spacing w:after="0" w:line="190" w:lineRule="exact"/>
        <w:rPr>
          <w:sz w:val="20"/>
          <w:szCs w:val="20"/>
          <w:color w:val="auto"/>
        </w:rPr>
      </w:pPr>
    </w:p>
    <w:p>
      <w:pPr>
        <w:ind w:right="40" w:firstLine="571"/>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assets during the nine months ended September 30, 2017.</w:t>
      </w:r>
    </w:p>
    <w:p>
      <w:pPr>
        <w:spacing w:after="0" w:line="154"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Company recorded $1.2 million as guarantee liabilities in other current liabilities on the accompanying condensed balance sheet at December 31, 2016. There were no guarantee liabilities at September 30, 2017. Guarantees were recorded as a reduction of revenue in the statement of operations and other comprehensive loss. Guarantees are not measured at fair value on a recurring basis, and therefore are not included in the tables above. Guarantees are classified within Level 3 of the fair value hierarchy. The estimated fair value of the guarantees is based on various economic and customer behavioral assumptions, including the probability that a trade-in right will be exercised, the specified trade-in amount, the expected fair value of the used t:slim G4 Pump at trade-in and the expected sales price of t:slim X2 (see Note 2, “Summary of Significant Accounting Policies – Revenue Recognition”). Changes in the probability that a trade-in right will be exercised have the most significant impact on the estimate of the fair value of the liabilities.</w:t>
      </w:r>
    </w:p>
    <w:p>
      <w:pPr>
        <w:spacing w:after="0" w:line="167" w:lineRule="exact"/>
        <w:rPr>
          <w:sz w:val="20"/>
          <w:szCs w:val="20"/>
          <w:color w:val="auto"/>
        </w:rPr>
      </w:pPr>
    </w:p>
    <w:p>
      <w:pPr>
        <w:ind w:firstLine="571"/>
        <w:spacing w:after="0" w:line="276" w:lineRule="auto"/>
        <w:rPr>
          <w:sz w:val="20"/>
          <w:szCs w:val="20"/>
          <w:color w:val="auto"/>
        </w:rPr>
      </w:pPr>
      <w:r>
        <w:rPr>
          <w:rFonts w:ascii="Arial" w:cs="Arial" w:eastAsia="Arial" w:hAnsi="Arial"/>
          <w:sz w:val="17"/>
          <w:szCs w:val="17"/>
          <w:color w:val="auto"/>
        </w:rPr>
        <w:t>In connection with the Term Loan Agreement, on March 7, 2017, the Company issued ten-year warrants to purchase 193,788 shares of the Company’s common stock at an exercise price of $23.50 per share (the “Capital Royalty Warrant”). The Company used the Black-Scholes option-pricing model to calculate the value of the Capital Royalty Warrant of approximately $3.3 million. The Capital Royalty Warrant was recorded as debt discount and stockholders’ equity, as the warrants met the definition of an equity instrument. The Black-Scholes option-pricing model requires the use of subjective assumptions about a number of key variables, including stock price volatility, expected term, and risk-free interest 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 Agreement</w:t>
      </w:r>
    </w:p>
    <w:p>
      <w:pPr>
        <w:spacing w:after="0" w:line="229" w:lineRule="exact"/>
        <w:rPr>
          <w:sz w:val="20"/>
          <w:szCs w:val="20"/>
          <w:color w:val="auto"/>
        </w:rPr>
      </w:pPr>
    </w:p>
    <w:p>
      <w:pPr>
        <w:ind w:right="80" w:firstLine="571"/>
        <w:spacing w:after="0" w:line="277" w:lineRule="auto"/>
        <w:rPr>
          <w:sz w:val="20"/>
          <w:szCs w:val="20"/>
          <w:color w:val="auto"/>
        </w:rPr>
      </w:pPr>
      <w:r>
        <w:rPr>
          <w:rFonts w:ascii="Arial" w:cs="Arial" w:eastAsia="Arial" w:hAnsi="Arial"/>
          <w:sz w:val="18"/>
          <w:szCs w:val="18"/>
          <w:color w:val="auto"/>
        </w:rPr>
        <w:t>The Company had $82.3 million and $81.1 million of aggregate borrowings outstanding under the Term Loan Agreement, at September 30, 2017 and December 31, 2016, respectively.</w:t>
      </w:r>
    </w:p>
    <w:p>
      <w:pPr>
        <w:spacing w:after="0" w:line="170" w:lineRule="exact"/>
        <w:rPr>
          <w:sz w:val="20"/>
          <w:szCs w:val="20"/>
          <w:color w:val="auto"/>
        </w:rPr>
      </w:pPr>
    </w:p>
    <w:p>
      <w:pPr>
        <w:ind w:firstLine="571"/>
        <w:spacing w:after="0" w:line="272" w:lineRule="auto"/>
        <w:rPr>
          <w:sz w:val="20"/>
          <w:szCs w:val="20"/>
          <w:color w:val="auto"/>
        </w:rPr>
      </w:pPr>
      <w:r>
        <w:rPr>
          <w:rFonts w:ascii="Arial" w:cs="Arial" w:eastAsia="Arial" w:hAnsi="Arial"/>
          <w:sz w:val="17"/>
          <w:szCs w:val="17"/>
          <w:color w:val="auto"/>
        </w:rPr>
        <w:t>Under the Term Loan Agreement, interest is payable at the Company’s option, (i) in cash at a rate of 11.5% per annum, or (ii) at a rate of 9.5% of the 11.5% per annum in cash and 2.0% of the 11.5% per annum (the “PIK Loan”)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at the end of the term of the loan, which is March 31, 2020 (the “Maturity Date”). The Company had elected to pay interest in cash at a rate of 11.5% per annum through September 30, 2015. Beginning October 1, 2015, the Company elected to pay interest in cash at a rate of 9.5% per annum and for a rate of 2.0% per annum to be added to the principal of the loan. As a result, $2.3 million was added to the principal of the loan since October 1, 2015, which the Company refers to as PIK Loans.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13" w:name="page14"/>
    <w:bookmarkEnd w:id="13"/>
    <w:p>
      <w:pPr>
        <w:ind w:right="460" w:firstLine="571"/>
        <w:spacing w:after="0" w:line="277" w:lineRule="auto"/>
        <w:rPr>
          <w:sz w:val="20"/>
          <w:szCs w:val="20"/>
          <w:color w:val="auto"/>
        </w:rPr>
      </w:pPr>
      <w:r>
        <w:rPr>
          <w:rFonts w:ascii="Arial" w:cs="Arial" w:eastAsia="Arial" w:hAnsi="Arial"/>
          <w:sz w:val="18"/>
          <w:szCs w:val="18"/>
          <w:color w:val="auto"/>
        </w:rPr>
        <w:t>The term loan is collateralized by all assets of the Company. The principal financial covenants require that the Company attain minimum annual revenues of $80.0 million in 2017 and $95.0 million each year thereafter until the Maturity Date.</w:t>
      </w:r>
    </w:p>
    <w:p>
      <w:pPr>
        <w:spacing w:after="0" w:line="170"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Pursuant to Amendment No. 3 to Term Loan Agreement (the “Third Amendment”), the Company agreed to pay, on the earlier of (i) the Maturity Date, (ii) the date that the loan under the Term Loan Agreement becomes due, and (iii) the date on which the Company makes a voluntary pre-payment of the loan, a financing fee equal to 3.0% of the sum of (x) the aggregate amount drawn under the Third Amendment, which is $50.0 million, and (y) any PIK Loans issued in relation to the Third Amendment (collectively, the “Back End Financing Fee”).</w:t>
      </w:r>
    </w:p>
    <w:p>
      <w:pPr>
        <w:spacing w:after="0" w:line="18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The audit report of the Company’s independent registered public accounting firm contained in the Annual Report included an explanatory paragraph that describes conditions that raise substantial doubt about the Company’s ability to continue as a going concern. This explanatory paragraph constituted a potential event of default under the Term Loan Agreement. On March 7, 2017, the Company entered into Waiver and Amendment No. 4 to the Term Loan Agreement (the “Fourth Amendment”), which included a limited waiver of the potential event of default that could have resulted from the explanatory paragraph. In consideration for the waiver, the Company agreed to: (i) issue the Capital Royalty Warrant, (ii) increase its restricted cash balance from $2.0 million to $10.0 million, (iii) provide Capital Royalty Partners the same information it makes available to its board of directors, subject to limited exceptions, and (iv) not incur additional third party indebtedness secured solely by accounts receivable, inventory and cash. In addition, the Fourth Amendment includes a covenant requiring the Company to complete financings in which its gross proceeds from the sale of equity securities is at least $30.0 million, no later than January 15, 2018. Furthermore, the Company agreed to increase the Back End Financing Fee to 5.0% of the entire aggregate principal amount of borrowings outstanding, including total PIK Loans issued. The Back End Financing Fee is payable at maturity of the Company’s loans and on the principal amount of any loans for which it makes an optional prepayment, and may be payable in connection with certain asset sales or a change of control.</w:t>
      </w:r>
    </w:p>
    <w:p>
      <w:pPr>
        <w:spacing w:after="0" w:line="173" w:lineRule="exact"/>
        <w:rPr>
          <w:sz w:val="20"/>
          <w:szCs w:val="20"/>
          <w:color w:val="auto"/>
        </w:rPr>
      </w:pPr>
    </w:p>
    <w:p>
      <w:pPr>
        <w:ind w:right="100" w:firstLine="571"/>
        <w:spacing w:after="0" w:line="308" w:lineRule="auto"/>
        <w:rPr>
          <w:sz w:val="20"/>
          <w:szCs w:val="20"/>
          <w:color w:val="auto"/>
        </w:rPr>
      </w:pPr>
      <w:r>
        <w:rPr>
          <w:rFonts w:ascii="Arial" w:cs="Arial" w:eastAsia="Arial" w:hAnsi="Arial"/>
          <w:sz w:val="17"/>
          <w:szCs w:val="17"/>
          <w:color w:val="auto"/>
        </w:rPr>
        <w:t>As of September 30, 2017 and December 31, 2016, respectively, the Company had accrued $4.1 million and $1.5 million for the Back End Financing Fee in other long-term liabilities and as contra-debt in notes payable-long-term on the accompanying condensed balance sheets.</w:t>
      </w:r>
    </w:p>
    <w:p>
      <w:pPr>
        <w:spacing w:after="0" w:line="147" w:lineRule="exact"/>
        <w:rPr>
          <w:sz w:val="20"/>
          <w:szCs w:val="20"/>
          <w:color w:val="auto"/>
        </w:rPr>
      </w:pPr>
    </w:p>
    <w:p>
      <w:pPr>
        <w:ind w:right="20" w:firstLine="571"/>
        <w:spacing w:after="0" w:line="302" w:lineRule="auto"/>
        <w:rPr>
          <w:sz w:val="20"/>
          <w:szCs w:val="20"/>
          <w:color w:val="auto"/>
        </w:rPr>
      </w:pPr>
      <w:r>
        <w:rPr>
          <w:rFonts w:ascii="Arial" w:cs="Arial" w:eastAsia="Arial" w:hAnsi="Arial"/>
          <w:sz w:val="16"/>
          <w:szCs w:val="16"/>
          <w:color w:val="auto"/>
        </w:rPr>
        <w:t>The Company evaluated execution of the Fourth Amendment as a modification for accounting purposes and concluded that it did not constitute a modification because the present value of the future cash flows under the Fourth Amendment did not exceed the present value of the future cash flows under the previous terms by more than 10%. The Back End Financing Fee, the value of the Capital Royalty Warrant, and the remaining balance of debt issuance costs and debt discount of the loan are amortized to interest expense over the remaining term of the Term Loan Agreement using the effective interest method.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225" w:lineRule="exact"/>
        <w:rPr>
          <w:sz w:val="20"/>
          <w:szCs w:val="20"/>
          <w:color w:val="auto"/>
        </w:rPr>
      </w:pPr>
    </w:p>
    <w:p>
      <w:pPr>
        <w:jc w:val="both"/>
        <w:ind w:right="40" w:firstLine="571"/>
        <w:spacing w:after="0" w:line="264" w:lineRule="auto"/>
        <w:rPr>
          <w:sz w:val="20"/>
          <w:szCs w:val="20"/>
          <w:color w:val="auto"/>
        </w:rPr>
      </w:pPr>
      <w:r>
        <w:rPr>
          <w:rFonts w:ascii="Arial" w:cs="Arial" w:eastAsia="Arial" w:hAnsi="Arial"/>
          <w:sz w:val="18"/>
          <w:szCs w:val="18"/>
          <w:color w:val="auto"/>
        </w:rPr>
        <w:t>In the first quarter of 2017, the Company completed a public offering of 1,850,000 shares of its common stock at a public offering price of $12.50 per share. The gross proceeds to the Company from the offering were $23.1 million, before deducting underwriting discounts and commissions and other offering expenses payable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(ATM) Program</w:t>
      </w:r>
    </w:p>
    <w:p>
      <w:pPr>
        <w:spacing w:after="0" w:line="225"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In July 2017, the Company entered into an Equity Distribution Agreement implementing an ATM program for aggregate gross proceeds up to $15.0 million. During the three months ended September 30, 2017, the Company sold 464,108 shares of common stock under the ATM program at prices ranging from $5.64 to $10.54. The gross proceeds to the Company from these sales were $4.3 million, before deducting underwriting discounts and commissions and other offering expenses payable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shares of the Company’s common stock were reserved for future issuance at September 30, 2017 (in thousands):</w:t>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Shares underlying outstanding stock options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issuance as ESPP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293</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933</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39</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1,265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53975</wp:posOffset>
            </wp:positionV>
            <wp:extent cx="2075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160" w:space="720"/>
            <w:col w:w="540"/>
          </w:cols>
          <w:pgMar w:left="240" w:top="125" w:right="239" w:bottom="1440" w:gutter="0" w:footer="0" w:header="0"/>
          <w:type w:val="continuous"/>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 w:name="page15"/>
    <w:bookmarkEnd w:id="14"/>
    <w:p>
      <w:pPr>
        <w:ind w:right="260" w:firstLine="571"/>
        <w:spacing w:after="0" w:line="308" w:lineRule="auto"/>
        <w:rPr>
          <w:sz w:val="20"/>
          <w:szCs w:val="20"/>
          <w:color w:val="auto"/>
        </w:rPr>
      </w:pPr>
      <w:r>
        <w:rPr>
          <w:rFonts w:ascii="Arial" w:cs="Arial" w:eastAsia="Arial" w:hAnsi="Arial"/>
          <w:sz w:val="17"/>
          <w:szCs w:val="17"/>
          <w:color w:val="auto"/>
        </w:rPr>
        <w:t>The Company issued 24,408 shares of its common stock upon the exercise of stock options during the nine months ended September 30, 2017, and issued 14,897 shares of its common stock upon the exercise of stock options during the year ended December 31, 2016.</w:t>
      </w:r>
    </w:p>
    <w:p>
      <w:pPr>
        <w:spacing w:after="0" w:line="147" w:lineRule="exact"/>
        <w:rPr>
          <w:sz w:val="20"/>
          <w:szCs w:val="20"/>
          <w:color w:val="auto"/>
        </w:rPr>
      </w:pPr>
    </w:p>
    <w:p>
      <w:pPr>
        <w:ind w:right="140" w:firstLine="571"/>
        <w:spacing w:after="0" w:line="279" w:lineRule="auto"/>
        <w:rPr>
          <w:sz w:val="20"/>
          <w:szCs w:val="20"/>
          <w:color w:val="auto"/>
        </w:rPr>
      </w:pPr>
      <w:r>
        <w:rPr>
          <w:rFonts w:ascii="Arial" w:cs="Arial" w:eastAsia="Arial" w:hAnsi="Arial"/>
          <w:sz w:val="17"/>
          <w:szCs w:val="17"/>
          <w:color w:val="auto"/>
        </w:rPr>
        <w:t>The ESPP enables eligible employees to purchase shares of the Company’s common stock using their after tax payroll deductions, subject to certain conditions. The ESPP consists of a two-year offering period with four six-month purchase periods which begin in May and November of each year. There were 38,929 shares of the Company’s common stock purchased under the ESPP during the nine months ended September 30, 2017, and 69,502 shares of the Company’s common stock purchased under the ESPP during the year ended December 31, 2016.</w:t>
      </w:r>
    </w:p>
    <w:p>
      <w:pPr>
        <w:spacing w:after="0" w:line="171" w:lineRule="exact"/>
        <w:rPr>
          <w:sz w:val="20"/>
          <w:szCs w:val="20"/>
          <w:color w:val="auto"/>
        </w:rPr>
      </w:pPr>
    </w:p>
    <w:p>
      <w:pPr>
        <w:ind w:right="100" w:firstLine="571"/>
        <w:spacing w:after="0" w:line="264" w:lineRule="auto"/>
        <w:rPr>
          <w:sz w:val="20"/>
          <w:szCs w:val="20"/>
          <w:color w:val="auto"/>
        </w:rPr>
      </w:pPr>
      <w:r>
        <w:rPr>
          <w:rFonts w:ascii="Arial" w:cs="Arial" w:eastAsia="Arial" w:hAnsi="Arial"/>
          <w:sz w:val="18"/>
          <w:szCs w:val="18"/>
          <w:color w:val="auto"/>
        </w:rPr>
        <w:t>The Company announced the suspension of the ESPP as of May 16, 2017 due to a lack of available shares. The suspension was accounted for as a cancellation of an award with no consideration. The previously unrecognized compensation cost as of the suspension date of $2.4 million was fully expensed during the second quarter of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Option</w:t>
            </w: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8"/>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39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9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9"/>
                <w:szCs w:val="19"/>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(per share)</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FF0FC"/>
          </w:tcPr>
          <w:p>
            <w:pPr>
              <w:jc w:val="right"/>
              <w:ind w:right="107"/>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w:t>
            </w:r>
          </w:p>
        </w:tc>
        <w:tc>
          <w:tcPr>
            <w:tcW w:w="18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107"/>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r>
      <w:tr>
        <w:trPr>
          <w:trHeight w:val="662"/>
        </w:trPr>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6"/>
              </w:rPr>
              <w:t>ESPP</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9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(per share)</w:t>
            </w: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78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26.90</w:t>
            </w:r>
          </w:p>
        </w:tc>
        <w:tc>
          <w:tcPr>
            <w:tcW w:w="18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4"/>
          </w:tcPr>
          <w:p>
            <w:pPr>
              <w:ind w:left="24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4"/>
          </w:tcPr>
          <w:p>
            <w:pPr>
              <w:ind w:left="24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56.9%</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80" w:right="2500" w:hanging="5"/>
        <w:spacing w:after="0" w:line="573" w:lineRule="auto"/>
        <w:tabs>
          <w:tab w:leader="none" w:pos="9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There were no grants made pursuant to the ESPP during the three and nine months ended September 30, 2017. The following table summarizes the allocation of stock-based compensation expense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0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FF0FC"/>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8,733</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571"/>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inventory was $0.3 million and $0.2 million at September 30, 2017 and December 31, 2016,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From time to time, the Company may be subject to legal proceedings, regulatory encounters or other matters arising in the ordinary course of business, including actions with respect to intellectual property, employment, product liability, and contractual matters. In connection with these matters, the Company assesses, on a regular basis, the probability and range of possible loss based on the developments in these matters. A liability is recorded in the financial statements if it is determined that it is probable that a loss has been incurred, and that the amount or range of the loss can be reasonably estimated. Because of the uncertainties related to the occurrence, amount, and range of loss on any pending actions, the Company is currently unable to predict their ultimate outcome, and, with respect to any pending litigation or claim where no liability has been accrued, to make a meaningful estimate of the reasonably possible loss or range of loss that could result from an unfavorable outcome. At September 30, 2017 and December 31, 2016, there were no legal proceedings, regulatory encounters or other matters for which the negative outcome was considered probable or for which the amount or range of loss was estimable.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229"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On October 9, 2017, the Company effected a 1-for-10 reverse stock split of its issued and outstanding shares of common stock. The par value per share and the authorized number of shares of common stock and preferred stock were not adjusted as a result of the reverse stock split. All common stock share and per-share amounts for all periods presented in these condensed financial statements have been adjusted to reflect the reverse stock split. The number of authorized shares of common stock remains at 100 million shares.</w:t>
      </w:r>
    </w:p>
    <w:p>
      <w:pPr>
        <w:spacing w:after="0" w:line="187" w:lineRule="exact"/>
        <w:rPr>
          <w:sz w:val="20"/>
          <w:szCs w:val="20"/>
          <w:color w:val="auto"/>
        </w:rPr>
      </w:pPr>
    </w:p>
    <w:p>
      <w:pPr>
        <w:ind w:right="80" w:firstLine="761"/>
        <w:spacing w:after="0" w:line="291" w:lineRule="auto"/>
        <w:rPr>
          <w:sz w:val="20"/>
          <w:szCs w:val="20"/>
          <w:color w:val="auto"/>
        </w:rPr>
      </w:pPr>
      <w:r>
        <w:rPr>
          <w:rFonts w:ascii="Arial" w:cs="Arial" w:eastAsia="Arial" w:hAnsi="Arial"/>
          <w:sz w:val="16"/>
          <w:szCs w:val="16"/>
          <w:color w:val="auto"/>
        </w:rPr>
        <w:t>On October 17, 2017, the Company completed a registered public offering of 4,630,000 shares of its common stock, Series A warrants to purchase up to 4,630,000 shares of its common stock and Series B warrants to purchase up to 4,630,000 shares of its common stock, at a public offering price of $3.50 per share and accompanying warrants. The gross proceeds to the Company from the offering were approximately $16.2 million, before deducting underwriting discounts and commissions and other offering expenses payable by the Company. The Series A warrants have an exercise price of $3.50 per share, are immediately exercisable, and will expire on the 5-year anniversary of the date of issuance. The Series B warrants have an exercise price of $3.50 per share, are immediately exercisable, and will expire on the 6-month anniversary of the date of issuance. As a result of the completion of the financing, the Company has satisfied the equity financing covenant in the Term Loan Agreement, although it remains subject to additional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20" w:firstLine="571"/>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period ended September 30, 2017, or this Quarterly Report.</w:t>
      </w:r>
    </w:p>
    <w:p>
      <w:pPr>
        <w:spacing w:after="0" w:line="170"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i w:val="1"/>
          <w:iCs w:val="1"/>
          <w:color w:val="auto"/>
        </w:rPr>
        <w:t>This Quarterly Report contains forward-looking statements within the meaning of the federal securities laws.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financial condition (including our ability to continue as a going concern), results of operations, liquidity, business forecasts and plans, research and product development plans, manufacturing plans, strategic plans and objectives, capital needs and financing plans, product launches, regulatory approvals, competitive environment, and the application of accounting guidance. We caution you that the foregoing list may not include all of the forward-looking statements made in this Quarterly Report.</w:t>
      </w:r>
    </w:p>
    <w:p>
      <w:pPr>
        <w:spacing w:after="0" w:line="167" w:lineRule="exact"/>
        <w:rPr>
          <w:sz w:val="20"/>
          <w:szCs w:val="20"/>
          <w:color w:val="auto"/>
        </w:rPr>
      </w:pPr>
    </w:p>
    <w:p>
      <w:pPr>
        <w:ind w:right="20" w:firstLine="571"/>
        <w:spacing w:after="0" w:line="293" w:lineRule="auto"/>
        <w:rPr>
          <w:sz w:val="20"/>
          <w:szCs w:val="20"/>
          <w:color w:val="auto"/>
        </w:rPr>
      </w:pPr>
      <w:r>
        <w:rPr>
          <w:rFonts w:ascii="Arial" w:cs="Arial" w:eastAsia="Arial" w:hAnsi="Arial"/>
          <w:sz w:val="16"/>
          <w:szCs w:val="16"/>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You should read this Quarterly Report with the understanding that our actual future financial condition and results may be materially different and worse from what we expect.</w:t>
      </w:r>
    </w:p>
    <w:p>
      <w:pPr>
        <w:spacing w:after="0" w:line="165" w:lineRule="exact"/>
        <w:rPr>
          <w:sz w:val="20"/>
          <w:szCs w:val="20"/>
          <w:color w:val="auto"/>
        </w:rPr>
      </w:pPr>
    </w:p>
    <w:p>
      <w:pPr>
        <w:ind w:right="400" w:firstLine="571"/>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right="180" w:firstLine="571"/>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We are a medical device company with an innovative approach to the design, development and commercialization of products for people with insulin-dependent diabetes. We believe that our competitive advantage is rooted in our unique consumer-focused approach and proprietary technology platform. This allows us to deliver innovative hardware and software solutions to meet the various needs and preferences of people with diabetes and their healthcare providers. We manufacture and sell insulin pump products in the United States that are designed to address large and differentiated segments of the insulin-dependent diabetes market. Our insulin pump products include:</w:t>
      </w:r>
    </w:p>
    <w:p>
      <w:pPr>
        <w:spacing w:after="0" w:line="188" w:lineRule="exact"/>
        <w:rPr>
          <w:sz w:val="20"/>
          <w:szCs w:val="20"/>
          <w:color w:val="auto"/>
        </w:rPr>
      </w:pPr>
    </w:p>
    <w:p>
      <w:pPr>
        <w:ind w:left="760" w:right="340" w:hanging="374"/>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t:slim X2 Insulin Delivery System, or t:slim X2, our next-generation flagship product that is updatable and designed to display Dexcom G5 continuous glucose monitoring, or CGM, sensor information directly on the pump Home Screen;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t:flex Insulin Delivery System, or t:flex, for people with greater insulin needs.</w:t>
      </w:r>
    </w:p>
    <w:p>
      <w:pPr>
        <w:spacing w:after="0" w:line="225" w:lineRule="exact"/>
        <w:rPr>
          <w:sz w:val="20"/>
          <w:szCs w:val="20"/>
          <w:color w:val="auto"/>
        </w:rPr>
      </w:pPr>
    </w:p>
    <w:p>
      <w:pPr>
        <w:jc w:val="both"/>
        <w:ind w:right="220" w:firstLine="571"/>
        <w:spacing w:after="0" w:line="264" w:lineRule="auto"/>
        <w:rPr>
          <w:sz w:val="20"/>
          <w:szCs w:val="20"/>
          <w:color w:val="auto"/>
        </w:rPr>
      </w:pPr>
      <w:r>
        <w:rPr>
          <w:rFonts w:ascii="Arial" w:cs="Arial" w:eastAsia="Arial" w:hAnsi="Arial"/>
          <w:sz w:val="18"/>
          <w:szCs w:val="18"/>
          <w:color w:val="auto"/>
        </w:rPr>
        <w:t>We have shipped more than 60,000 insulin pumps since our initial launch in August 2012, of which nearly 56,000 pumps have been shipped within the four years ended September 30, 2017. For the past three consecutive years, our company has been ranked #1 by insulin pump users in the United States for customer support in an independent survey by dQ&amp;A, a leading diabetes research firm.</w:t>
      </w:r>
    </w:p>
    <w:p>
      <w:pPr>
        <w:spacing w:after="0" w:line="181" w:lineRule="exact"/>
        <w:rPr>
          <w:sz w:val="20"/>
          <w:szCs w:val="20"/>
          <w:color w:val="auto"/>
        </w:rPr>
      </w:pPr>
    </w:p>
    <w:p>
      <w:pPr>
        <w:ind w:right="100" w:firstLine="571"/>
        <w:spacing w:after="0" w:line="257" w:lineRule="auto"/>
        <w:rPr>
          <w:sz w:val="20"/>
          <w:szCs w:val="20"/>
          <w:color w:val="auto"/>
        </w:rPr>
      </w:pPr>
      <w:r>
        <w:rPr>
          <w:rFonts w:ascii="Arial" w:cs="Arial" w:eastAsia="Arial" w:hAnsi="Arial"/>
          <w:sz w:val="18"/>
          <w:szCs w:val="18"/>
          <w:color w:val="auto"/>
        </w:rPr>
        <w:t>We have successfully launched five insulin pump products, beginning with the commercialization of our first pump, the t:slim Insulin Delivery System, or t:slim, in August 2012. During 2015, we commenced commercial sales of two additional insulin pumps: t:flex and the t:slim G4 Insulin Delivery System, or t:slim G4, the first continuous glucose monitoring, or CGM, enabled pump with touchscreen simplicity. In October 2016, we commenced commercial sales of t:slim X2 and discontinued new sales of t:slim. In August 2017, we commenced commercial sales of t:slim X2 with Dexcom G5 Mobile CGM integration and discontinued new sales of t:slim G4.</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ind w:right="60" w:firstLine="571"/>
        <w:spacing w:after="0" w:line="270" w:lineRule="auto"/>
        <w:rPr>
          <w:sz w:val="20"/>
          <w:szCs w:val="20"/>
          <w:color w:val="auto"/>
        </w:rPr>
      </w:pPr>
      <w:r>
        <w:rPr>
          <w:rFonts w:ascii="Arial" w:cs="Arial" w:eastAsia="Arial" w:hAnsi="Arial"/>
          <w:sz w:val="17"/>
          <w:szCs w:val="17"/>
          <w:color w:val="auto"/>
        </w:rPr>
        <w:t>Our insulin pumps are compatible with the Tandem Device Updater, a revolutionary new tool that allows pump users to update their pumps’ software quickly and easily from a personal computer. Remote updatability for insulin pump software is a unique feature not available in competitive pump offerings, meaning the Tandem Device Updater provides our customers access to new and enhanced features faster than the industry has been able to in the past. Its first cleared use by the U.S. Food and Drug Administration, or FDA, was to update t:slim Pumps purchased before April 2015 to the latest software. In August 2017, we received FDA approval to permit t:slim X2 customers to update their pumps’ software to allow integration with the Dexcom G5 Mobile CGM system. We are currently offering this update free of charge to our 12,000 customers that purchased a t:slim X2 prior to us receiving FDA approval for G5 integration. As of September 30, 2017, approximately one third of these customers have elected to update their pump. Of the t:slim X2 Pump users who have updated their pump’s software, more than 85% indicated they were satisfied or extremely satisfied with the update process. In the future, the Tandem Device Updater has the potential to enable users to add other new features and functionality to their pumps, such as automated insulin delivery, or AID, algorithms, independent of the typical four-year insurance pump replacement cycle.</w:t>
      </w:r>
    </w:p>
    <w:p>
      <w:pPr>
        <w:spacing w:after="0" w:line="178"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In September 2017, we commenced commercial sales of products using the t:lock</w:t>
      </w:r>
      <w:r>
        <w:rPr>
          <w:rFonts w:ascii="Arial" w:cs="Arial" w:eastAsia="Arial" w:hAnsi="Arial"/>
          <w:sz w:val="15"/>
          <w:szCs w:val="15"/>
          <w:color w:val="auto"/>
        </w:rPr>
        <w:t>TM</w:t>
      </w:r>
      <w:r>
        <w:rPr>
          <w:rFonts w:ascii="Arial" w:cs="Arial" w:eastAsia="Arial" w:hAnsi="Arial"/>
          <w:sz w:val="18"/>
          <w:szCs w:val="18"/>
          <w:color w:val="auto"/>
        </w:rPr>
        <w:t xml:space="preserve"> Connector, or t:lock, which replaces the standard Luer-lok connector that historically joined an infusion set to our cartridge. t:lock incorporates a smaller inner cavity than the Luer-lok connector, which reduces the amount of insulin used in the process and reduces the time required to fill the infusion set tubing.</w:t>
      </w:r>
    </w:p>
    <w:p>
      <w:pPr>
        <w:spacing w:after="0" w:line="181" w:lineRule="exact"/>
        <w:rPr>
          <w:sz w:val="20"/>
          <w:szCs w:val="20"/>
          <w:color w:val="auto"/>
        </w:rPr>
      </w:pPr>
    </w:p>
    <w:p>
      <w:pPr>
        <w:ind w:right="80" w:firstLine="571"/>
        <w:spacing w:after="0" w:line="257" w:lineRule="auto"/>
        <w:rPr>
          <w:sz w:val="20"/>
          <w:szCs w:val="20"/>
          <w:color w:val="auto"/>
        </w:rPr>
      </w:pPr>
      <w:r>
        <w:rPr>
          <w:rFonts w:ascii="Arial" w:cs="Arial" w:eastAsia="Arial" w:hAnsi="Arial"/>
          <w:sz w:val="18"/>
          <w:szCs w:val="18"/>
          <w:color w:val="auto"/>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allowing users to successfully operate our devices in their intended environment.</w:t>
      </w:r>
    </w:p>
    <w:p>
      <w:pPr>
        <w:spacing w:after="0" w:line="188"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We developed our products to provide the specific features that people with insulin-dependent diabetes seek in a next-generation insulin pump. Our proprietary pumping technology allows us to design the slimmest and smallest durable insulin pumps on the market, without sacrificing insulin capacity. Our insulin pump platform features our patented Micro-Delivery technology, and a miniaturized pumping mechanism that draws insulin from a flexible bag within the pump’s cartridge, rather than relying on a syringe and plunger mechanism. It also features an easy-to-navigate software architecture, a vivid color touchscreen and, with the t:slim X2, it also features an advanced Bluetooth radio capable of communicating with multiple compatible devices, such as a CGM sensor, blood glucose meter or mobile device applications. Our insulin pump platform has a micro-USB connection that supports a rechargeable battery and software updates through the Tandem Device Updater, as well as uploads to t:connect Diabetes Management Application, or t:connect. t:connect is our custom cloud-based data management application that provides customers and healthcare providers a fast, easy and visual way to display therapy management data from the pump and supported blood glucose meters. In April 2017, we launched the t:connect® HCP Portal, which is designed to streamline healthcare providers’ use of the original t:connect Application and improve office efficiency.</w:t>
      </w:r>
    </w:p>
    <w:p>
      <w:pPr>
        <w:spacing w:after="0" w:line="178" w:lineRule="exact"/>
        <w:rPr>
          <w:sz w:val="20"/>
          <w:szCs w:val="20"/>
          <w:color w:val="auto"/>
        </w:rPr>
      </w:pPr>
    </w:p>
    <w:p>
      <w:pPr>
        <w:ind w:firstLine="571"/>
        <w:spacing w:after="0" w:line="272" w:lineRule="auto"/>
        <w:rPr>
          <w:sz w:val="20"/>
          <w:szCs w:val="20"/>
          <w:color w:val="auto"/>
        </w:rPr>
      </w:pPr>
      <w:r>
        <w:rPr>
          <w:rFonts w:ascii="Arial" w:cs="Arial" w:eastAsia="Arial" w:hAnsi="Arial"/>
          <w:sz w:val="17"/>
          <w:szCs w:val="17"/>
          <w:color w:val="auto"/>
        </w:rPr>
        <w:t>We have rapidly increased sales since our commercial launch by expanding our sales, clinical and marketing infrastructure, by developing, commercializing and marketing multiple differentiated products that utilize our technology platform and consumer-focused approach, and by providing strong customer support. In our research, approximately 86% of healthcare providers surveyed believe that providing great customer support is the most important company attribute. We believe that by demonstrating our product benefits and the shortcomings of existing insulin therapies, more people will choose our insulin pumps for their therapy needs, allowing us to further penetrate and expand the market. We also believe we are well positioned to address consumers’ needs and preferences with our current products and products under development and by offering customers a pathway to our future innovations through the Tandem Device Updater as they are approved by the FDA.</w:t>
      </w:r>
    </w:p>
    <w:p>
      <w:pPr>
        <w:spacing w:after="0" w:line="178" w:lineRule="exact"/>
        <w:rPr>
          <w:sz w:val="20"/>
          <w:szCs w:val="20"/>
          <w:color w:val="auto"/>
        </w:rPr>
      </w:pPr>
    </w:p>
    <w:p>
      <w:pPr>
        <w:ind w:right="140" w:firstLine="571"/>
        <w:spacing w:after="0" w:line="264" w:lineRule="auto"/>
        <w:rPr>
          <w:sz w:val="20"/>
          <w:szCs w:val="20"/>
          <w:color w:val="auto"/>
        </w:rPr>
      </w:pPr>
      <w:r>
        <w:rPr>
          <w:rFonts w:ascii="Arial" w:cs="Arial" w:eastAsia="Arial" w:hAnsi="Arial"/>
          <w:sz w:val="18"/>
          <w:szCs w:val="18"/>
          <w:color w:val="auto"/>
        </w:rPr>
        <w:t>In July 2017, we announced plans to begin commercialization of t:slim X2 outside the United States in select geographies during 2018. Unlike our approach domestically, we currently plan to partner with distributors who will carry out the selling efforts, as well as the service and support of customers in geographies outside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120" w:firstLine="571"/>
        <w:spacing w:after="0" w:line="286" w:lineRule="auto"/>
        <w:rPr>
          <w:sz w:val="20"/>
          <w:szCs w:val="20"/>
          <w:color w:val="auto"/>
        </w:rPr>
      </w:pPr>
      <w:r>
        <w:rPr>
          <w:rFonts w:ascii="Arial" w:cs="Arial" w:eastAsia="Arial" w:hAnsi="Arial"/>
          <w:sz w:val="17"/>
          <w:szCs w:val="17"/>
          <w:color w:val="auto"/>
        </w:rPr>
        <w:t>Our products under development support our strategy of focusing on both consumer and clinical needs. We intend to leverage our consumer-focused approach and proprietary technology platform to continue to develop products that have the features and functionality that will allow us to target people in different segments of the insulin-dependent diabetes market. Our current pump products under development include: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ind w:left="1520" w:hanging="378"/>
        <w:spacing w:after="0" w:line="273" w:lineRule="auto"/>
        <w:tabs>
          <w:tab w:leader="none" w:pos="1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t:slim X2 with PLGS – Our first generation AID system is expected to include a predictive low glucose suspend, or PLGS, algorithm that utilizes Dexcom G5 sensor values. During 2016, we completed a feasibility study of our PLGS algorithm. The data from this feasibility study was used in an IDE submission for a pivotal study, which was approved by the FDA in May 2017. We commenced a pivotal study for our t:slim X2 with PLGS in the third quarter of 2017 and anticipate that it will conclude by the end of 2017. Once reports from the clinical trial sites are finalized, we intend to use the results in a PMA submission with the FDA. Based on this timing, and subject to future FDA approval, our goal is to launch the product in the summer of 2018.</w:t>
      </w:r>
    </w:p>
    <w:p>
      <w:pPr>
        <w:spacing w:after="0" w:line="178" w:lineRule="exact"/>
        <w:rPr>
          <w:rFonts w:ascii="Arial" w:cs="Arial" w:eastAsia="Arial" w:hAnsi="Arial"/>
          <w:sz w:val="17"/>
          <w:szCs w:val="17"/>
          <w:color w:val="auto"/>
        </w:rPr>
      </w:pPr>
    </w:p>
    <w:p>
      <w:pPr>
        <w:ind w:left="1520" w:right="40" w:hanging="378"/>
        <w:spacing w:after="0" w:line="270" w:lineRule="auto"/>
        <w:tabs>
          <w:tab w:leader="none" w:pos="1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t:slim X2 with TypeZero – Our second generation AID system is expected to integrate the t:slim X2 pump with the treat-to-range technology that we licensed from TypeZero Technologies LLC, as well as Dexcom’s G6 sensor. With TypeZero’s technology, our product is intended to both increase and decrease basal insulin based on a person’s predicted blood glucose levels, as well as deliver automated correction boluses. In November 2016, we announced that we are working with Dexcom and TypeZero on the integration of our technologies into the National Institute of Health funded International Diabetes Closed Loop Trial, or IDCL Trial. We anticipate that a portion of the trial will utilize a t:slim X2 integrated with TypeZero’s inControl AID algorithms that is designed to automatically adjust a person’s insulin based on information from a Dexcom G6 sensor. We intend to use the results from this portion of the trial in a PMA submission with the FDA. Subject to both the timely completion of a successful IDCL Trial and future FDA approval, our goal is to launch this product in the first half of 2019.</w:t>
      </w:r>
    </w:p>
    <w:p>
      <w:pPr>
        <w:spacing w:after="0" w:line="181" w:lineRule="exact"/>
        <w:rPr>
          <w:rFonts w:ascii="Arial" w:cs="Arial" w:eastAsia="Arial" w:hAnsi="Arial"/>
          <w:sz w:val="17"/>
          <w:szCs w:val="17"/>
          <w:color w:val="auto"/>
        </w:rPr>
      </w:pPr>
    </w:p>
    <w:p>
      <w:pPr>
        <w:ind w:left="1520" w:right="60" w:hanging="378"/>
        <w:spacing w:after="0" w:line="264"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t:sport Insulin Delivery System – This product is expected to be half the size of t:slim and is being designed for people who seek even greater discretion and flexibility with the use of their insulin pump. The timing of the commercialization of this product will be based on our prioritization of resources and ongoing dialogue with the FDA.</w:t>
      </w:r>
    </w:p>
    <w:p>
      <w:pPr>
        <w:spacing w:after="0" w:line="181" w:lineRule="exact"/>
        <w:rPr>
          <w:rFonts w:ascii="Arial" w:cs="Arial" w:eastAsia="Arial" w:hAnsi="Arial"/>
          <w:sz w:val="18"/>
          <w:szCs w:val="18"/>
          <w:color w:val="auto"/>
        </w:rPr>
      </w:pPr>
    </w:p>
    <w:p>
      <w:pPr>
        <w:ind w:left="1520" w:right="300" w:hanging="378"/>
        <w:spacing w:after="0" w:line="279" w:lineRule="auto"/>
        <w:tabs>
          <w:tab w:leader="none" w:pos="1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Mobile application - We are currently developing a mobile application that is being designed to utilize the capability of the Bluetooth radio to wirelessly upload pump data to t:connect, receive notification of pump alerts and alarms, integrate other health-related information from third party sources, and support future pump-control capabilities for our products under development. We intend to launch the first generation of our mobile application in 2018, with a subset of these features.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Since inception, we have derived nearly all of our sales from the shipment of insulin pumps and associated supplies in the United States. We consider the number of units shipped per quarter to be an important metric for managing our business. We have shipped more than 60,000 insulin pumps since our initial launch in August 2012, of which nearly 56,000 pumps have been shipped within the four years ended September 30, 2017. Pump shipments are broken down by product and by fiscal quarter as follows: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Pump Units Shipped for Each of the Three Months Ended in Respective Years</w:t>
            </w:r>
            <w:r>
              <w:rPr>
                <w:rFonts w:ascii="Arial" w:cs="Arial" w:eastAsia="Arial" w:hAnsi="Arial"/>
                <w:sz w:val="12"/>
                <w:szCs w:val="12"/>
                <w:b w:val="1"/>
                <w:bCs w:val="1"/>
                <w:color w:val="auto"/>
                <w:w w:val="92"/>
              </w:rPr>
              <w:t>(1) (2)</w:t>
            </w: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0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9"/>
                <w:szCs w:val="19"/>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jc w:val="right"/>
              <w:ind w:right="2630"/>
              <w:spacing w:after="0"/>
              <w:rPr>
                <w:sz w:val="20"/>
                <w:szCs w:val="20"/>
                <w:color w:val="auto"/>
              </w:rPr>
            </w:pPr>
            <w:r>
              <w:rPr>
                <w:rFonts w:ascii="Arial" w:cs="Arial" w:eastAsia="Arial" w:hAnsi="Arial"/>
                <w:sz w:val="18"/>
                <w:szCs w:val="18"/>
                <w:color w:val="auto"/>
                <w:w w:val="84"/>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6,234</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15,483</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2017</w:t>
            </w:r>
          </w:p>
        </w:tc>
        <w:tc>
          <w:tcPr>
            <w:tcW w:w="1400" w:type="dxa"/>
            <w:vAlign w:val="bottom"/>
          </w:tcPr>
          <w:p>
            <w:pPr>
              <w:jc w:val="right"/>
              <w:spacing w:after="0"/>
              <w:rPr>
                <w:sz w:val="20"/>
                <w:szCs w:val="20"/>
                <w:color w:val="auto"/>
              </w:rPr>
            </w:pPr>
            <w:r>
              <w:rPr>
                <w:rFonts w:ascii="Arial" w:cs="Arial" w:eastAsia="Arial" w:hAnsi="Arial"/>
                <w:sz w:val="18"/>
                <w:szCs w:val="18"/>
                <w:color w:val="auto"/>
              </w:rPr>
              <w:t>2,816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3,427</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3,868</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10,111</w:t>
            </w:r>
          </w:p>
        </w:tc>
        <w:tc>
          <w:tcPr>
            <w:tcW w:w="12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t:slim</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9"/>
                <w:szCs w:val="19"/>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jc w:val="right"/>
              <w:ind w:right="2630"/>
              <w:spacing w:after="0"/>
              <w:rPr>
                <w:sz w:val="20"/>
                <w:szCs w:val="20"/>
                <w:color w:val="auto"/>
              </w:rPr>
            </w:pPr>
            <w:r>
              <w:rPr>
                <w:rFonts w:ascii="Arial" w:cs="Arial" w:eastAsia="Arial" w:hAnsi="Arial"/>
                <w:sz w:val="18"/>
                <w:szCs w:val="18"/>
                <w:color w:val="auto"/>
                <w:w w:val="84"/>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2,390</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1,658</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4,794</w:t>
            </w:r>
          </w:p>
        </w:tc>
        <w:tc>
          <w:tcPr>
            <w:tcW w:w="120" w:type="dxa"/>
            <w:vAlign w:val="bottom"/>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t:slim X2</w:t>
            </w:r>
            <w:r>
              <w:rPr>
                <w:rFonts w:ascii="Arial" w:cs="Arial" w:eastAsia="Arial" w:hAnsi="Arial"/>
                <w:sz w:val="15"/>
                <w:szCs w:val="15"/>
                <w:color w:val="auto"/>
                <w:w w:val="96"/>
              </w:rPr>
              <w:t>(3)</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9"/>
                <w:szCs w:val="19"/>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jc w:val="right"/>
              <w:ind w:right="2630"/>
              <w:spacing w:after="0"/>
              <w:rPr>
                <w:sz w:val="20"/>
                <w:szCs w:val="20"/>
                <w:color w:val="auto"/>
              </w:rPr>
            </w:pPr>
            <w:r>
              <w:rPr>
                <w:rFonts w:ascii="Arial" w:cs="Arial" w:eastAsia="Arial" w:hAnsi="Arial"/>
                <w:sz w:val="18"/>
                <w:szCs w:val="18"/>
                <w:color w:val="auto"/>
                <w:w w:val="84"/>
              </w:rPr>
              <w:t>2016</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2017</w:t>
            </w:r>
          </w:p>
        </w:tc>
        <w:tc>
          <w:tcPr>
            <w:tcW w:w="1400" w:type="dxa"/>
            <w:vAlign w:val="bottom"/>
          </w:tcPr>
          <w:p>
            <w:pPr>
              <w:jc w:val="right"/>
              <w:spacing w:after="0"/>
              <w:rPr>
                <w:sz w:val="20"/>
                <w:szCs w:val="20"/>
                <w:color w:val="auto"/>
              </w:rPr>
            </w:pPr>
            <w:r>
              <w:rPr>
                <w:rFonts w:ascii="Arial" w:cs="Arial" w:eastAsia="Arial" w:hAnsi="Arial"/>
                <w:sz w:val="18"/>
                <w:szCs w:val="18"/>
                <w:color w:val="auto"/>
              </w:rPr>
              <w:t>2,576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3,209</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3,709</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9,494</w:t>
            </w:r>
          </w:p>
        </w:tc>
        <w:tc>
          <w:tcPr>
            <w:tcW w:w="12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t:flex</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9"/>
                <w:szCs w:val="19"/>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jc w:val="right"/>
              <w:ind w:right="2630"/>
              <w:spacing w:after="0"/>
              <w:rPr>
                <w:sz w:val="20"/>
                <w:szCs w:val="20"/>
                <w:color w:val="auto"/>
              </w:rPr>
            </w:pPr>
            <w:r>
              <w:rPr>
                <w:rFonts w:ascii="Arial" w:cs="Arial" w:eastAsia="Arial" w:hAnsi="Arial"/>
                <w:sz w:val="18"/>
                <w:szCs w:val="18"/>
                <w:color w:val="auto"/>
                <w:w w:val="84"/>
              </w:rPr>
              <w:t>2015</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371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354</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2017</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t:slim G4</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9"/>
                <w:szCs w:val="19"/>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jc w:val="right"/>
              <w:ind w:right="2630"/>
              <w:spacing w:after="0"/>
              <w:rPr>
                <w:sz w:val="20"/>
                <w:szCs w:val="20"/>
                <w:color w:val="auto"/>
              </w:rPr>
            </w:pPr>
            <w:r>
              <w:rPr>
                <w:rFonts w:ascii="Arial" w:cs="Arial" w:eastAsia="Arial" w:hAnsi="Arial"/>
                <w:sz w:val="18"/>
                <w:szCs w:val="18"/>
                <w:color w:val="auto"/>
                <w:w w:val="84"/>
              </w:rPr>
              <w:t>2015</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2,416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1,542</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Pr>
          <w:p>
            <w:pPr>
              <w:jc w:val="right"/>
              <w:spacing w:after="0"/>
              <w:rPr>
                <w:sz w:val="20"/>
                <w:szCs w:val="20"/>
                <w:color w:val="auto"/>
              </w:rPr>
            </w:pPr>
            <w:r>
              <w:rPr>
                <w:rFonts w:ascii="Arial" w:cs="Arial" w:eastAsia="Arial" w:hAnsi="Arial"/>
                <w:sz w:val="15"/>
                <w:szCs w:val="15"/>
                <w:color w:val="auto"/>
              </w:rPr>
              <w:t>(4)</w:t>
            </w:r>
          </w:p>
        </w:tc>
        <w:tc>
          <w:tcPr>
            <w:tcW w:w="1400" w:type="dxa"/>
            <w:vAlign w:val="bottom"/>
          </w:tcPr>
          <w:p>
            <w:pPr>
              <w:jc w:val="right"/>
              <w:spacing w:after="0"/>
              <w:rPr>
                <w:sz w:val="20"/>
                <w:szCs w:val="20"/>
                <w:color w:val="auto"/>
              </w:rPr>
            </w:pPr>
            <w:r>
              <w:rPr>
                <w:rFonts w:ascii="Arial" w:cs="Arial" w:eastAsia="Arial" w:hAnsi="Arial"/>
                <w:sz w:val="18"/>
                <w:szCs w:val="18"/>
                <w:color w:val="auto"/>
              </w:rPr>
              <w:t>6,838</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2017</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table does not reflect returns or exchanges of pump products that occur in the ordinary course of business.</w:t>
      </w:r>
    </w:p>
    <w:p>
      <w:pPr>
        <w:spacing w:after="0" w:line="23" w:lineRule="exact"/>
        <w:rPr>
          <w:rFonts w:ascii="Arial" w:cs="Arial" w:eastAsia="Arial" w:hAnsi="Arial"/>
          <w:sz w:val="18"/>
          <w:szCs w:val="18"/>
          <w:color w:val="auto"/>
        </w:rPr>
      </w:pPr>
    </w:p>
    <w:p>
      <w:pPr>
        <w:ind w:left="760" w:right="140" w:hanging="374"/>
        <w:spacing w:after="0" w:line="250"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table does not reflect the impact of approximately 3,000 trade-ins fulfilled under the Technology Upgrade Program (discussed below) related to our commercial launch of t:slim X2.</w:t>
      </w: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t:slim X2 includes shipments of t:slim X2 with G5, which was approved by the FDA and began shipping in August 2017.</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decrease in t:slim and t:slim G4 shipments coincided with our commercial launch of t:slim X2.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Upgrade Program</w:t>
      </w:r>
    </w:p>
    <w:p>
      <w:pPr>
        <w:spacing w:after="0" w:line="225" w:lineRule="exact"/>
        <w:rPr>
          <w:sz w:val="20"/>
          <w:szCs w:val="20"/>
          <w:color w:val="auto"/>
        </w:rPr>
      </w:pPr>
    </w:p>
    <w:p>
      <w:pPr>
        <w:ind w:right="160" w:firstLine="571"/>
        <w:spacing w:after="0" w:line="264" w:lineRule="auto"/>
        <w:rPr>
          <w:sz w:val="20"/>
          <w:szCs w:val="20"/>
          <w:color w:val="auto"/>
        </w:rPr>
      </w:pPr>
      <w:r>
        <w:rPr>
          <w:rFonts w:ascii="Arial" w:cs="Arial" w:eastAsia="Arial" w:hAnsi="Arial"/>
          <w:sz w:val="18"/>
          <w:szCs w:val="18"/>
          <w:color w:val="auto"/>
        </w:rPr>
        <w:t>In the third quarter of 2016, we launched a Technology Upgrade Program that provided eligible t:slim and t:slim G4 customers a path towards ownership of t:slim X2 or, as of August 2017, t:slim X2 with G5, by offering customers the right to exchange their t:slim or t:slim G4 for t:slim X2 or t:slim X2 with G5, under a variable pricing structure. The Program expired on September 30, 2017.</w:t>
      </w:r>
    </w:p>
    <w:p>
      <w:pPr>
        <w:spacing w:after="0" w:line="181" w:lineRule="exact"/>
        <w:rPr>
          <w:sz w:val="20"/>
          <w:szCs w:val="20"/>
          <w:color w:val="auto"/>
        </w:rPr>
      </w:pPr>
    </w:p>
    <w:p>
      <w:pPr>
        <w:ind w:right="80" w:firstLine="577"/>
        <w:spacing w:after="0" w:line="255" w:lineRule="auto"/>
        <w:rPr>
          <w:sz w:val="20"/>
          <w:szCs w:val="20"/>
          <w:color w:val="auto"/>
        </w:rPr>
      </w:pPr>
      <w:r>
        <w:rPr>
          <w:rFonts w:ascii="Arial" w:cs="Arial" w:eastAsia="Arial" w:hAnsi="Arial"/>
          <w:sz w:val="18"/>
          <w:szCs w:val="18"/>
          <w:color w:val="auto"/>
        </w:rPr>
        <w:t>Due to the high degree of accounting complexity, the Technology Upgrade Program created unpredictable financial results under United States generally accepted accounting principles, or GAAP, for the duration of the Program. The accounting treatment for the Program required the deferral of up to 100% of sales and cost of sales for shipments of eligible pumps beginning in the third quarter of 2016. The amount of sales and cost of sales deferred varied based on a number of factors, including the model of pump involved and the timing of the initial sales relative to the availability of certain future products. In general, the deferrals required by the Program had the effect of initially decreasing our GAAP sales, primarily in 2016, even when the number of our pump shipments increased.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1" w:right="239" w:bottom="1440" w:gutter="0" w:footer="0" w:header="0"/>
        </w:sectPr>
      </w:pPr>
    </w:p>
    <w:bookmarkStart w:id="20" w:name="page21"/>
    <w:bookmarkEnd w:id="20"/>
    <w:p>
      <w:pPr>
        <w:ind w:firstLine="577"/>
        <w:spacing w:after="0" w:line="297" w:lineRule="auto"/>
        <w:rPr>
          <w:sz w:val="20"/>
          <w:szCs w:val="20"/>
          <w:color w:val="auto"/>
        </w:rPr>
      </w:pPr>
      <w:r>
        <w:rPr>
          <w:rFonts w:ascii="Arial" w:cs="Arial" w:eastAsia="Arial" w:hAnsi="Arial"/>
          <w:sz w:val="16"/>
          <w:szCs w:val="16"/>
          <w:color w:val="auto"/>
        </w:rPr>
        <w:t>We recognized the deferred amount of sales and cost of sales at the earlier of when the obligations under the Technology Upgrade Program were satisfied or upon the expiration of the Program. If a customer elected to participate in the Program, we recognized any upgrade fees that we received and the associated costs at the time of fulfilling the given obligation. We recognized the majority of the remaining deferred sales and cost of sales in the quarter ended September 30, 2017, when the Program expired. At September 30, 2017, we had $0.2 million of current liabilities for deferred sales associated with the Program, as well as $0.2 million of deferred cost of sales, associated with upgrade requests received that will be fulfilled in the fourth quarter of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Financial Results</w:t>
      </w:r>
    </w:p>
    <w:p>
      <w:pPr>
        <w:spacing w:after="0" w:line="225"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For the nine months ended September 30, 2017 and 2016, our sales were $67.3 million and $55.3 million, respectively. For the nine months ended September 30, 2017, this included incremental net sales of $4.8 million with a corresponding increase of $3.2 million in gross profit as a result of the Technology Upgrade Program. For the nine months ended September 30, 2016, this included a deferral of sales of $8.4 million with a corresponding deferral of $1.4 million in cost of sales as a result of the Program. For the nine months ended September 30, 2017 and 2016, our net loss was $61.6 million and $68.6 million, respectively. Our accumulated deficit as of September 30, 2017 was $466.2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Overall, we have experienced considerable sales growth since the commercial launch of t:slim in the third quarter of 2012, while incurring operating losses since our inception. Our operating results fluctuate on a quarterly or annual basis, particularly in the periods surrounding anticipated and actual regulatory approvals, and initial stages of commercialization of our new products and those of our competitors. These fluctuations were more pronounced for the duration of the Technology Upgrade Program.</w:t>
      </w:r>
    </w:p>
    <w:p>
      <w:pPr>
        <w:spacing w:after="0" w:line="18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particular, we believe that the timing of the commercial launch of t:slim X2, as well as the launch and regulatory approval of competitive products, impacted our quarterly pump shipments since the second half of 2016. In the period leading up to the commercial launch of t:slim X2 in October 2016, we believe there was an increasing number of potential customers who delayed their purchasing decision until they could include t:slim X2 and competitive products in their decision-making process. In addition, pump shipments were impacted by a decision by UnitedHealthcare that restricted a majority of their members from accessing our pumps.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the third quarter of 2017, we believe our sales results were impacted by a number of additional factors, including:</w:t>
      </w:r>
    </w:p>
    <w:p>
      <w:pPr>
        <w:spacing w:after="0" w:line="225" w:lineRule="exact"/>
        <w:rPr>
          <w:sz w:val="20"/>
          <w:szCs w:val="20"/>
          <w:color w:val="auto"/>
        </w:rPr>
      </w:pPr>
    </w:p>
    <w:p>
      <w:pPr>
        <w:ind w:left="1520" w:right="140" w:hanging="756"/>
        <w:spacing w:after="0" w:line="291"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Hurricanes Harvey and Irma adversely impacted the normal business activities of our sales force, distributors, healthcare providers and potential customers in Texas, Florida and other impacted regions. For instance, the daily inflow to the insurance verification and approval portion of our sales pipeline decreased in early September compared to August, which coincided with the hurricanes. We also experienced a measurable decrease in our sequential monthly pump shipments for the Gulf Coast region for the month of September as compared to the month of August, whereas for all other sales regions we saw either relatively stable volumes or increases in monthly pump shipments for the same two months. In addition, we have two independent distributors located within the affected areas that experienced operational disruptions during the periods around the time of the hurricanes.</w:t>
      </w:r>
    </w:p>
    <w:p>
      <w:pPr>
        <w:spacing w:after="0" w:line="167" w:lineRule="exact"/>
        <w:rPr>
          <w:rFonts w:ascii="Arial" w:cs="Arial" w:eastAsia="Arial" w:hAnsi="Arial"/>
          <w:sz w:val="16"/>
          <w:szCs w:val="16"/>
          <w:color w:val="auto"/>
        </w:rPr>
      </w:pPr>
    </w:p>
    <w:p>
      <w:pPr>
        <w:jc w:val="both"/>
        <w:ind w:left="1520" w:right="40" w:hanging="756"/>
        <w:spacing w:after="0" w:line="288"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received FDA approval to market the t:slim X2 with G5 on August 25, 2017. Although we immediately began commercial efforts to market this product, we do not believe that third quarter pump sales benefitted significantly because of the timing of the approval within the quarter, and the number of days typically required to complete the insurance verification and approval phase of the sales process.</w:t>
      </w:r>
    </w:p>
    <w:p>
      <w:pPr>
        <w:ind w:left="1520" w:right="460"/>
        <w:spacing w:after="0" w:line="261" w:lineRule="auto"/>
        <w:rPr>
          <w:rFonts w:ascii="Arial" w:cs="Arial" w:eastAsia="Arial" w:hAnsi="Arial"/>
          <w:sz w:val="16"/>
          <w:szCs w:val="16"/>
          <w:color w:val="auto"/>
        </w:rPr>
      </w:pPr>
      <w:r>
        <w:rPr>
          <w:rFonts w:ascii="Arial" w:cs="Arial" w:eastAsia="Arial" w:hAnsi="Arial"/>
          <w:sz w:val="18"/>
          <w:szCs w:val="18"/>
          <w:color w:val="auto"/>
        </w:rPr>
        <w:t>However, we did see a meaningful increase in the daily inflow to our insurance verification and approval phase during the last two weeks of the third quarter.</w:t>
      </w:r>
    </w:p>
    <w:p>
      <w:pPr>
        <w:spacing w:after="0" w:line="183" w:lineRule="exact"/>
        <w:rPr>
          <w:rFonts w:ascii="Arial" w:cs="Arial" w:eastAsia="Arial" w:hAnsi="Arial"/>
          <w:sz w:val="16"/>
          <w:szCs w:val="16"/>
          <w:color w:val="auto"/>
        </w:rPr>
      </w:pPr>
    </w:p>
    <w:p>
      <w:pPr>
        <w:ind w:left="1520" w:right="60" w:hanging="756"/>
        <w:spacing w:after="0" w:line="297"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Prior to announcing our plans to launch the t:lock Connector, only a small percentage of our customers and distributors purchased infusion sets from us as compared to purchases of our cartridges. Following our announcement, we have seen, and expect to continue to see, a substantial increase in the number of infusion sets sold both in absolute terms and relative to the number of cartridges sold. In particular, the ratio of our sales volume of infusion sets relative to sales volume of cartridges during the third quarter was approximately 66%, as compared to 61% during the second quarter of 2017, 51% during the first quarter of 2017 and 31% for all of 2016.</w:t>
      </w:r>
    </w:p>
    <w:p>
      <w:pPr>
        <w:spacing w:after="0" w:line="158" w:lineRule="exact"/>
        <w:rPr>
          <w:rFonts w:ascii="Arial" w:cs="Arial" w:eastAsia="Arial" w:hAnsi="Arial"/>
          <w:sz w:val="16"/>
          <w:szCs w:val="16"/>
          <w:color w:val="auto"/>
        </w:rPr>
      </w:pPr>
    </w:p>
    <w:p>
      <w:pPr>
        <w:ind w:left="1520" w:right="60" w:hanging="756"/>
        <w:spacing w:after="0" w:line="25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continue to be subject to negative perceptions regarding our financial stability relative to that of our competitors, including concerns among healthcare providers and potential customers regarding our ability to sustain our business operations on a long-term basis. In some cases, these perceptions and concerns have caused potential customers to delay the purchase of our products or purchase competitors' products and have negatively impacted the willingness of healthcare providers to recommend our products over those of our competitors.</w:t>
      </w:r>
    </w:p>
    <w:p>
      <w:pPr>
        <w:spacing w:after="0" w:line="18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In addition to the factors discussed above, we expect our financial results will fluctuate in the future due to a variety of factors, including:</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the sale of our products;</w:t>
      </w:r>
    </w:p>
    <w:p>
      <w:pPr>
        <w:spacing w:after="0" w:line="225" w:lineRule="exact"/>
        <w:rPr>
          <w:rFonts w:ascii="Arial" w:cs="Arial" w:eastAsia="Arial" w:hAnsi="Arial"/>
          <w:sz w:val="18"/>
          <w:szCs w:val="18"/>
          <w:color w:val="auto"/>
        </w:rPr>
      </w:pPr>
    </w:p>
    <w:p>
      <w:pPr>
        <w:ind w:left="760" w:right="340" w:hanging="374"/>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associated with summer vacations, annual deductibles and coinsurance requirements associated with most medical insurance plans utilized by our individual customers and the individual customers of our distributors;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the commercialization of new products by us or our competitors;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competitive landscape as other companies enter or exit the diabetes medical device market;</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reimbursement decisions by third-party payors;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anticipated and actual regulatory approvals of new products.</w:t>
      </w:r>
    </w:p>
    <w:p>
      <w:pPr>
        <w:spacing w:after="0" w:line="225"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We expect the combined effect of the timing of our launch of t:slim X2 with G5 and our expectation that customers will largely return to their historical decision-making patterns will once again result in our sales being heavily weighted towards the second half of the year. We expect seasonality will have a similar impact on our sales in 2017 as in years prior to launch of the Technology Upgrade Program, excluding approximately $4.8 million of deferred sales and upgrade fees received associated with our Technology Upgrade Program that we recognized in the third quarter of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Launch of t:slim X2 with G5 Integration</w:t>
      </w:r>
    </w:p>
    <w:p>
      <w:pPr>
        <w:spacing w:after="0" w:line="22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late August 2017, the FDA approved, and we commercially launched our t:slim X2 Insulin Pump with Dexcom G5 Mobile CGM integration. The t:slim X2 with G5 is our first sensor-augmented insulin pump approved to allow users to make treatment decisions without pricking their finger. The pump conveniently displays a user’s insulin delivery activity and Dexcom G5 Mobile CGM data together on one single device. The t:slim X2 with G5 has been approved for users ages six and older.</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Launch of t:lock Connector</w:t>
      </w:r>
    </w:p>
    <w:p>
      <w:pPr>
        <w:spacing w:after="0" w:line="225"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September 2017, we commenced commercial sales of our insulin pump cartridges and infusion sets with our t:lock Connector. t:lock was designed to look and feel like the previous Luer-lok connector. However, t:lock incorporates a smaller inner cavity, which reduces the amount of insulin used in the process and reduces the time required to fill the infusion set tubing, improving efficiency and customer experience.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Animas Will Discontinue the Manufacture and Sale of Insulin Pumps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October 5, 2017, Johnson &amp; Johnson announced that it intends to discontinue the operations of Animas Corporation and to exit the insulin pump business entirely, and that, in connection with these activities, it designated Medtronic as a preferred partner to facilitate the transition of Animas insulin pump customers. As part of this transition, Medtronic is offering a portion of Animas customers the option of acquiring a prior-generation Medtronic insulin pump at no charge. We now offer the only alternative durable insulin pump to Medtronic in the United States. While this announcement represents a significant change within our industry, and we have experienced a recent increase in inquiries from current Animas customers following the announcement, it is too early to know how it will ultimately influence our business or the competitive landscape in which we operate, although we expect the impact may be dependent on one or more of the following factors:</w:t>
      </w:r>
    </w:p>
    <w:p>
      <w:pPr>
        <w:spacing w:after="0" w:line="189" w:lineRule="exact"/>
        <w:rPr>
          <w:sz w:val="20"/>
          <w:szCs w:val="20"/>
          <w:color w:val="auto"/>
        </w:rPr>
      </w:pPr>
    </w:p>
    <w:p>
      <w:pPr>
        <w:ind w:left="760" w:right="200" w:hanging="374"/>
        <w:spacing w:after="0" w:line="342"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offer to Animas customers for a free Medtronic pump is currently limited to customers with a warranty expiration date later than September 30, 2019, and the offer is not available until May 2018. It remains uncertain how many Animas customers will avail themselves of this offer.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2" w:name="page23"/>
    <w:bookmarkEnd w:id="22"/>
    <w:p>
      <w:pPr>
        <w:ind w:left="760" w:hanging="374"/>
        <w:spacing w:after="0" w:line="272"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While Medtronic will have direct access to all Animas customers during the transition period, as those customers' pumps come up for renewal and they make new pump purchasing decisions, they may consider alternative pump options. According to recent surveys from dQ&amp;A, when making renewal decisions, Animas customers have historically chosen their pump or a Tandem pump rather than a Medtronic offering. Recent surveys from dQ&amp;A have also shown that only 5% of patients acquiring a Medtronic pump during the past six quarters were previous Animas customers, and 80% of new purchasers of Medtronic pumps were customers who upgraded from a current Medtronic pump rather than switching from an alternative brand. For these reasons, and based on our own customer data that shows a high number of customers switching to our products from an Animas pump, we believe our pumps are an attractive alternative to both Animas and Medtronic pumps.</w:t>
      </w:r>
    </w:p>
    <w:p>
      <w:pPr>
        <w:spacing w:after="0" w:line="177" w:lineRule="exact"/>
        <w:rPr>
          <w:rFonts w:ascii="Arial" w:cs="Arial" w:eastAsia="Arial" w:hAnsi="Arial"/>
          <w:sz w:val="17"/>
          <w:szCs w:val="17"/>
          <w:color w:val="auto"/>
        </w:rPr>
      </w:pPr>
    </w:p>
    <w:p>
      <w:pPr>
        <w:ind w:left="760" w:right="480" w:hanging="374"/>
        <w:spacing w:after="0" w:line="342"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believe one of the product features that have made Animas pumps attractive to their customers is the integration of the Animas Vibe with Dexcom’s CGM technology. We now provide the only commercially available pump that is integrated with Dexcom’s technology.</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At a special meeting of our stockholders, held on September 7, 2017, our stockholders approved an amendment to our amended and restated certificate of incorporation to effect a reverse stock split of our issued and outstanding shares of common stock at a ratio of not less than 1-for-8 and not greater than 1-for-12, with the exact ratio to be set within that range by our board of directors, without further approval or authorization of our stockholders. On October 4, 2017, our board of directors approved the reverse stock split at a ratio of 1-for-10, and on October 9, 2017, we filed an amendment to our amended and restated certificate of incorporation with the Delaware Secretary of State to effect the reverse stock split.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Unless otherwise noted, all share and per share amounts set forth in this Quarterly Report have been adjusted to reflect the impact of the reverse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split.</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Registered Public Offering</w:t>
      </w:r>
    </w:p>
    <w:p>
      <w:pPr>
        <w:spacing w:after="0" w:line="225"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On October 17, 2017, we completed a registered public offering of 4,630,000 shares of our common stock, Series A warrants to purchase up to 4,630,000 shares of our common stock and Series B warrants to purchase up to 4,630,000 shares of our common stock at a public offering price of $3.50 per share and accompanying warrants, which we refer to as the October Financing. The gross proceeds to the Company from the October Financing were approximately $16.2 million, before deducting underwriting discounts and commissions and other offering expenses payable by the Company. The Series A warrants have an exercise price of $3.50 per share, are immediately exercisable, and will expire on the 5-year anniversary of the date of issuance. The Series B warrants have an exercise price of $3.50 per share, are immediately exercisable, and will expire on the 6-month anniversary of the date of issuance. Each series of warrants, if exercised by all holders in full, may result in additional gross proceeds to us of $16.2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Financing</w:t>
      </w:r>
    </w:p>
    <w:p>
      <w:pPr>
        <w:spacing w:after="0" w:line="225"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From inception through September 30, 2017, we have primarily financed our operations through sales of equity securities, and, to a lesser extent, debt financings. The continued growth of our business, including the expansion of our customer care infrastructure to support our growing base of customers, additional research and development activities, and the transition to our new manufacturing facility, will continue to increase our expenses and capital needs.</w:t>
      </w:r>
    </w:p>
    <w:p>
      <w:pPr>
        <w:spacing w:after="0" w:line="14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the date that our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We expect we will be required to raise additional capital in order to continue as a going concern, meet our minimum liquidity requirements, and execute on our business strategy. We may seek additional capital from public or private offerings of our capital stock (including pursuant to our ATM offering), or we may elect to borrow additional amounts under new debt financing arrangements or from other sources. We expect our ability to raise additional financing may be negatively impacted by a number of factors, including our recent and projected financial results, recent changes in and volatility of our stock price, perceptions about the dilutive impact of our recent financing transactions, concerns regarding our ability to maintain the continued listing of our common stock on the NASDAQ Global Market, or NASDAQ, our current level of indebtedness and debt service costs, our conclusion that there is substantial doubt about our ability to continue as a going concern and the competitive environment in our industry.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In March 2017, we entered into Waiver and Amendment No. 4 to the Term Loan Agreement, or the Fourth Amendment. The Fourth Amendment includes a limited waiver of a potential event of default that could have resulted from the inclusion of an explanatory paragraph in the audit report of our independent registered public accounting firm included in our Annual Report on Form 10-K for the year ended December 31, 2016 (“Annual Report”) that describes conditions that raise substantial doubt about our ability to continue as a going concern.</w:t>
      </w:r>
    </w:p>
    <w:p>
      <w:pPr>
        <w:spacing w:after="0" w:line="18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Under the Term Loan Agreement, we are required to complete one or more financings in which our aggregate gross proceeds from the sale of equity securities was at least $30.0 million, no later than January 15, 2018. As a result of the public offering of our common stock in March 2017, the sale of our common stock pursuant to our ATM offering, and the public offering of our common stock and warrants in the October Financing, we have satisfied our obligations pursuant to this equity financing covenant, although we remain subject to additional covenants.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additional information about the Term Loan Agreement, see the section entitled “Indebtedness”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from Technology Platform</w:t>
      </w:r>
    </w:p>
    <w:p>
      <w:pPr>
        <w:spacing w:after="0" w:line="225"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We believe we can ultimately achieve profitability because our proprietary technology platform will allow us to maximize efficiencies in the development, production, sale and marketing of multiple differentiated products. By offering products that are all based on our proprietary technology platform, in combination with the flexibility provided by the Tandem Device Updater, we believe we can develop and bring to market products and functionality more rapidly, while significantly reducing our per-unit design and development costs. Due to shared product design features, our production system is adaptable to new products and we intend to leverage our shared manufacturing infrastructure to drive operational efficiencies. Further, we expect to continue to increase production volume and to reduce the per-unit production overhead cost for our pump products and their associated disposable cartridges over time. We anticipate that the transition to our recently launched t:lock Connector will continue to increase in our sales of infusion sets. By expanding our product offerings to address people in different segments of the large and growing insulin-dependent diabetes market, we believe we can increase the productivity of our sales, clinical and marketing organization, as well as our customer support infrastructure, thereby improving our operating margin over the long term.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offer products for people with insulin-dependent diabetes. We commenced commercial sales of t:slim in the United States in the third quarter of 2012. We launched our second insulin pump product, t:flex, in the second quarter of 2015, and launched our third insulin pump product, t:slim G4, in the third quarter of 2015. In October 2016, we began shipping t:slim X2, our next generation flagship product, at which time we discontinued sales of t:slim. In August 2017, we commenced commercial sales of t:slim X2 with G5 and discontinued new sales of t:slim G4. Our products currently include these insulin pumps, as well as disposable cartridges and infusion sets. We also offer accessories including protective cases, belt clips, and power adapters. Sales of accessories since commercial launch have not been significant.</w:t>
      </w:r>
    </w:p>
    <w:p>
      <w:pPr>
        <w:spacing w:after="0" w:line="193" w:lineRule="exact"/>
        <w:rPr>
          <w:sz w:val="20"/>
          <w:szCs w:val="20"/>
          <w:color w:val="auto"/>
        </w:rPr>
      </w:pPr>
    </w:p>
    <w:p>
      <w:pPr>
        <w:ind w:right="60" w:firstLine="571"/>
        <w:spacing w:after="0" w:line="276" w:lineRule="auto"/>
        <w:rPr>
          <w:sz w:val="20"/>
          <w:szCs w:val="20"/>
          <w:color w:val="auto"/>
        </w:rPr>
      </w:pPr>
      <w:r>
        <w:rPr>
          <w:rFonts w:ascii="Arial" w:cs="Arial" w:eastAsia="Arial" w:hAnsi="Arial"/>
          <w:sz w:val="17"/>
          <w:szCs w:val="17"/>
          <w:color w:val="auto"/>
        </w:rPr>
        <w:t>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73" w:lineRule="exact"/>
        <w:rPr>
          <w:sz w:val="20"/>
          <w:szCs w:val="20"/>
          <w:color w:val="auto"/>
        </w:rPr>
      </w:pPr>
    </w:p>
    <w:p>
      <w:pPr>
        <w:ind w:right="60" w:firstLine="571"/>
        <w:spacing w:after="0" w:line="264" w:lineRule="auto"/>
        <w:rPr>
          <w:sz w:val="20"/>
          <w:szCs w:val="20"/>
          <w:color w:val="auto"/>
        </w:rPr>
      </w:pPr>
      <w:r>
        <w:rPr>
          <w:rFonts w:ascii="Arial" w:cs="Arial" w:eastAsia="Arial" w:hAnsi="Arial"/>
          <w:sz w:val="18"/>
          <w:szCs w:val="18"/>
          <w:color w:val="auto"/>
        </w:rPr>
        <w:t>In general, we have experienced, and expect to continue to experience, product shipments being weighted heavily towards the second half of the year, with the highest percentage of product shipments expected in the fourth quarter of the year. Consistent with prior results, we also expect product shipments from the fourth quarter to the following first quarter to decrease significantly.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ind w:right="40" w:firstLine="571"/>
        <w:spacing w:after="0" w:line="253" w:lineRule="auto"/>
        <w:rPr>
          <w:sz w:val="20"/>
          <w:szCs w:val="20"/>
          <w:color w:val="auto"/>
        </w:rPr>
      </w:pPr>
      <w:r>
        <w:rPr>
          <w:rFonts w:ascii="Arial" w:cs="Arial" w:eastAsia="Arial" w:hAnsi="Arial"/>
          <w:sz w:val="18"/>
          <w:szCs w:val="18"/>
          <w:color w:val="auto"/>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the FDA approval or commercial launch of a new product, whether our own or of our competitors, potential new customers may reconsider their purchasing decision or take additional time to consider the anticipated or new approval or product launch in their purchasing decision. For example, we believe that our pump shipments were negatively impacted during the second half of 2016 and first half of 2017, as we announced the launches of t:slim X2 and the Technology Upgrade Program in the third quarter of 2016, and one of our competitors announced the future availability of two new products with financial incentives for adoption. However, we are not able to quantify the extent of the impact of these or similar events, including the launch of t:slim X2 with G5 and the transition to our t:lock Connector, on future purchasing decisions.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firstLine="571"/>
        <w:spacing w:after="0" w:line="272" w:lineRule="auto"/>
        <w:rPr>
          <w:sz w:val="20"/>
          <w:szCs w:val="20"/>
          <w:color w:val="auto"/>
        </w:rPr>
      </w:pPr>
      <w:r>
        <w:rPr>
          <w:rFonts w:ascii="Arial" w:cs="Arial" w:eastAsia="Arial" w:hAnsi="Arial"/>
          <w:sz w:val="17"/>
          <w:szCs w:val="17"/>
          <w:color w:val="auto"/>
        </w:rPr>
        <w:t>We manufacture our pumps and disposable cartridges at our manufacturing facilities in San Diego, California. Infusion sets and pump accessories are manufactured by third-party suppliers. Cost of sales includes raw materials, labor costs, manufacturing overhead expenses, product training costs, reserves for expected warranty costs, scrap and inventory excess and obsolescence. Manufacturing overhead expenses include expenses relating to quality assurance, manufacturing engineering, material procurement, inventory control, facilities, equipment, information technology and operations supervision and management. Historically, cost of sales has also included royalty costs associated with sales of t:slim G4. In August 2017, we commenced commercial sales of t:slim X2 with G5, which has no royalty obligation, and discontinued new sales of t:slim G4. We anticipate that our cost of sales will continue to increase as our products continue to gain broader market acceptance and our product sales increase.</w:t>
      </w:r>
    </w:p>
    <w:p>
      <w:pPr>
        <w:spacing w:after="0" w:line="178"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expect our overall gross margin percentage, which for any given period is calculated as sales less cost of sales divided by sales, to improve over the long term, as our sales increase and we have more opportunities to spread our overhead costs over larger production volumes. We expect that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We also expect our warranty costs to decrease as we release product features and functionality utilizing the Tandem Device Updater. However, we also expect our overall gross margin to fluctuate in future quarterly periods as a result of numerous factors besides those associated with production volumes. Specifically, in 2017, we are increasing our manufacturing capacity by relocating our manufacturing operations and related functions to a new facility over a period of several quarters, which may add duplicative and incremental cost in the short-term and pressure our overall gross margin for the duration of the transition. In general, we expect the gross margin on insulin pumps to be higher than the gross margin on pump-related supplies, which would be consistent with our historical experience. Other factors impacting our overall gross margin include the changing mix of products sold with different gross margins, the changing percentage of products sold to distributors versus directly to individual customers, varying levels of reimbursement among third-party payors, the timing and success of new regulatory approvals and product launches, warranty and training costs, and changes in our manufacturing processes, capacity, costs or output.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Our selling, general and administrative, or SG&amp;A, expenses primarily consist of salary, cash-based incentive compensation, fringe benefits and non-cash stock-based compensation for our executive, financial, marketing, sales, clinical, customer care, technical services, insurance verification, regulatory affairs and administrative functions. In particular, our sales and clinical organization consisted of approximately 70 territories as of September 30, 2017. Territories are maintained by sales representatives and field clinical specialists, and supported by managed care liaisons, additional sales management and other customer support personnel.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Although we do not contemplate an increase in the number of sales territories in the near term, we expect our SG&amp;A expenses, including the cost of our customer care infrastructure, to increase as our customer base grows. Our SG&amp;A expenses may also increase due to costs associated with additional compliance and regulatory reporting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including clinical trial costs, to increase as we advance our products under development and develop new products and technologies.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Our other income and expense primarily consists of interest expense and amortization of debt discount and issuance costs associated with the Term Loan Agreement. At September 30, 2017, there was $82.3 million of outstanding principal under the Term Loan Agreement, which accrues interest at a rate of 11.5% per annum. We expect interest expense to increase in 2017 as a result of a higher outstanding balance under the Term Loan Agreement as compared to 2016 (see the section below entitled “Indebtedness”).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1"/>
        </w:trPr>
        <w:tc>
          <w:tcPr>
            <w:tcW w:w="2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69"/>
        </w:trPr>
        <w:tc>
          <w:tcPr>
            <w:tcW w:w="4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w w:val="84"/>
              </w:rPr>
              <w:t>2016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w w:val="84"/>
              </w:rPr>
              <w:t>2016</w:t>
            </w:r>
          </w:p>
        </w:tc>
        <w:tc>
          <w:tcPr>
            <w:tcW w:w="180" w:type="dxa"/>
            <w:vAlign w:val="bottom"/>
          </w:tcPr>
          <w:p>
            <w:pPr>
              <w:spacing w:after="0"/>
              <w:rPr>
                <w:sz w:val="14"/>
                <w:szCs w:val="14"/>
                <w:color w:val="auto"/>
              </w:rPr>
            </w:pPr>
          </w:p>
        </w:tc>
      </w:tr>
      <w:tr>
        <w:trPr>
          <w:trHeight w:val="34"/>
        </w:trPr>
        <w:tc>
          <w:tcPr>
            <w:tcW w:w="2100" w:type="dxa"/>
            <w:vAlign w:val="bottom"/>
            <w:tcBorders>
              <w:top w:val="single" w:sz="8" w:color="auto"/>
              <w:bottom w:val="single" w:sz="8" w:color="CFF0FC"/>
            </w:tcBorders>
          </w:tcPr>
          <w:p>
            <w:pPr>
              <w:spacing w:after="0"/>
              <w:rPr>
                <w:sz w:val="2"/>
                <w:szCs w:val="2"/>
                <w:color w:val="auto"/>
              </w:rPr>
            </w:pPr>
          </w:p>
        </w:tc>
        <w:tc>
          <w:tcPr>
            <w:tcW w:w="2080" w:type="dxa"/>
            <w:vAlign w:val="bottom"/>
            <w:tcBorders>
              <w:bottom w:val="single" w:sz="8" w:color="CFF0FC"/>
            </w:tcBorders>
          </w:tcPr>
          <w:p>
            <w:pPr>
              <w:spacing w:after="0"/>
              <w:rPr>
                <w:sz w:val="2"/>
                <w:szCs w:val="2"/>
                <w:color w:val="auto"/>
              </w:rPr>
            </w:pPr>
          </w:p>
        </w:tc>
        <w:tc>
          <w:tcPr>
            <w:tcW w:w="14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r>
      <w:tr>
        <w:trPr>
          <w:trHeight w:val="223"/>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67,306</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55,336</w:t>
            </w:r>
          </w:p>
        </w:tc>
        <w:tc>
          <w:tcPr>
            <w:tcW w:w="180" w:type="dxa"/>
            <w:vAlign w:val="bottom"/>
            <w:shd w:val="clear" w:color="auto" w:fill="CFF0FC"/>
          </w:tcPr>
          <w:p>
            <w:pPr>
              <w:spacing w:after="0"/>
              <w:rPr>
                <w:sz w:val="19"/>
                <w:szCs w:val="19"/>
                <w:color w:val="auto"/>
              </w:rPr>
            </w:pPr>
          </w:p>
        </w:tc>
      </w:tr>
      <w:tr>
        <w:trPr>
          <w:trHeight w:val="230"/>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40,680</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41,809</w:t>
            </w:r>
          </w:p>
        </w:tc>
        <w:tc>
          <w:tcPr>
            <w:tcW w:w="180" w:type="dxa"/>
            <w:vAlign w:val="bottom"/>
            <w:tcBorders>
              <w:bottom w:val="single" w:sz="8" w:color="CFF0FC"/>
            </w:tcBorders>
          </w:tcPr>
          <w:p>
            <w:pPr>
              <w:spacing w:after="0"/>
              <w:rPr>
                <w:sz w:val="19"/>
                <w:szCs w:val="19"/>
                <w:color w:val="auto"/>
              </w:rPr>
            </w:pPr>
          </w:p>
        </w:tc>
      </w:tr>
      <w:tr>
        <w:trPr>
          <w:trHeight w:val="223"/>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26,626</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13,527</w:t>
            </w:r>
          </w:p>
        </w:tc>
        <w:tc>
          <w:tcPr>
            <w:tcW w:w="180" w:type="dxa"/>
            <w:vAlign w:val="bottom"/>
            <w:shd w:val="clear" w:color="auto" w:fill="CFF0FC"/>
          </w:tcPr>
          <w:p>
            <w:pPr>
              <w:spacing w:after="0"/>
              <w:rPr>
                <w:sz w:val="19"/>
                <w:szCs w:val="19"/>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30"/>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180" w:type="dxa"/>
            <w:vAlign w:val="bottom"/>
            <w:gridSpan w:val="2"/>
          </w:tcPr>
          <w:p>
            <w:pPr>
              <w:ind w:left="26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20,125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20,683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65,077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63,768</w:t>
            </w:r>
          </w:p>
        </w:tc>
        <w:tc>
          <w:tcPr>
            <w:tcW w:w="180" w:type="dxa"/>
            <w:vAlign w:val="bottom"/>
          </w:tcPr>
          <w:p>
            <w:pPr>
              <w:spacing w:after="0"/>
              <w:rPr>
                <w:sz w:val="19"/>
                <w:szCs w:val="19"/>
                <w:color w:val="auto"/>
              </w:rPr>
            </w:pPr>
          </w:p>
        </w:tc>
      </w:tr>
      <w:tr>
        <w:trPr>
          <w:trHeight w:val="230"/>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14,910</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14,464</w:t>
            </w:r>
          </w:p>
        </w:tc>
        <w:tc>
          <w:tcPr>
            <w:tcW w:w="180" w:type="dxa"/>
            <w:vAlign w:val="bottom"/>
            <w:shd w:val="clear" w:color="auto" w:fill="CFF0FC"/>
          </w:tcPr>
          <w:p>
            <w:pPr>
              <w:spacing w:after="0"/>
              <w:rPr>
                <w:sz w:val="19"/>
                <w:szCs w:val="19"/>
                <w:color w:val="auto"/>
              </w:rPr>
            </w:pPr>
          </w:p>
        </w:tc>
      </w:tr>
      <w:tr>
        <w:trPr>
          <w:trHeight w:val="223"/>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26,837</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79,987</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78,232</w:t>
            </w:r>
          </w:p>
        </w:tc>
        <w:tc>
          <w:tcPr>
            <w:tcW w:w="180" w:type="dxa"/>
            <w:vAlign w:val="bottom"/>
            <w:tcBorders>
              <w:bottom w:val="single" w:sz="8" w:color="CFF0FC"/>
            </w:tcBorders>
          </w:tcPr>
          <w:p>
            <w:pPr>
              <w:spacing w:after="0"/>
              <w:rPr>
                <w:sz w:val="19"/>
                <w:szCs w:val="19"/>
                <w:color w:val="auto"/>
              </w:rPr>
            </w:pPr>
          </w:p>
        </w:tc>
      </w:tr>
      <w:tr>
        <w:trPr>
          <w:trHeight w:val="223"/>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(53,361)</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(64,705)</w:t>
            </w:r>
          </w:p>
        </w:tc>
        <w:tc>
          <w:tcPr>
            <w:tcW w:w="180" w:type="dxa"/>
            <w:vAlign w:val="bottom"/>
            <w:shd w:val="clear" w:color="auto" w:fill="CFF0FC"/>
          </w:tcPr>
          <w:p>
            <w:pPr>
              <w:spacing w:after="0"/>
              <w:rPr>
                <w:sz w:val="19"/>
                <w:szCs w:val="19"/>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and other income</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FF0FC"/>
          </w:tcPr>
          <w:p>
            <w:pPr>
              <w:spacing w:after="0"/>
              <w:rPr>
                <w:sz w:val="19"/>
                <w:szCs w:val="19"/>
                <w:color w:val="auto"/>
              </w:rPr>
            </w:pPr>
          </w:p>
        </w:tc>
      </w:tr>
      <w:tr>
        <w:trPr>
          <w:trHeight w:val="230"/>
        </w:trPr>
        <w:tc>
          <w:tcPr>
            <w:tcW w:w="4180" w:type="dxa"/>
            <w:vAlign w:val="bottom"/>
            <w:gridSpan w:val="2"/>
          </w:tcPr>
          <w:p>
            <w:pPr>
              <w:ind w:left="260"/>
              <w:spacing w:after="0"/>
              <w:rPr>
                <w:sz w:val="20"/>
                <w:szCs w:val="20"/>
                <w:color w:val="auto"/>
              </w:rPr>
            </w:pPr>
            <w:r>
              <w:rPr>
                <w:rFonts w:ascii="Arial" w:cs="Arial" w:eastAsia="Arial" w:hAnsi="Arial"/>
                <w:sz w:val="18"/>
                <w:szCs w:val="18"/>
                <w:color w:val="auto"/>
              </w:rPr>
              <w:t>Interest and other expense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(8,446)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(4,177)</w:t>
            </w:r>
          </w:p>
        </w:tc>
      </w:tr>
      <w:tr>
        <w:trPr>
          <w:trHeight w:val="223"/>
        </w:trPr>
        <w:tc>
          <w:tcPr>
            <w:tcW w:w="4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1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(8,267)</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(61,628)</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(68,624)</w:t>
            </w:r>
          </w:p>
        </w:tc>
        <w:tc>
          <w:tcPr>
            <w:tcW w:w="180" w:type="dxa"/>
            <w:vAlign w:val="bottom"/>
          </w:tcPr>
          <w:p>
            <w:pPr>
              <w:spacing w:after="0"/>
              <w:rPr>
                <w:sz w:val="19"/>
                <w:szCs w:val="19"/>
                <w:color w:val="auto"/>
              </w:rPr>
            </w:pPr>
          </w:p>
        </w:tc>
      </w:tr>
      <w:tr>
        <w:trPr>
          <w:trHeight w:val="20"/>
        </w:trPr>
        <w:tc>
          <w:tcPr>
            <w:tcW w:w="2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2017 and 2016</w:t>
      </w:r>
    </w:p>
    <w:p>
      <w:pPr>
        <w:spacing w:after="0" w:line="229" w:lineRule="exact"/>
        <w:rPr>
          <w:sz w:val="20"/>
          <w:szCs w:val="20"/>
          <w:color w:val="auto"/>
        </w:rPr>
      </w:pPr>
    </w:p>
    <w:p>
      <w:pPr>
        <w:jc w:val="both"/>
        <w:ind w:right="260" w:firstLine="571"/>
        <w:spacing w:after="0" w:line="286" w:lineRule="auto"/>
        <w:rPr>
          <w:sz w:val="20"/>
          <w:szCs w:val="20"/>
          <w:color w:val="auto"/>
        </w:rPr>
      </w:pPr>
      <w:r>
        <w:rPr>
          <w:rFonts w:ascii="Arial" w:cs="Arial" w:eastAsia="Arial" w:hAnsi="Arial"/>
          <w:sz w:val="17"/>
          <w:szCs w:val="17"/>
          <w:i w:val="1"/>
          <w:iCs w:val="1"/>
          <w:color w:val="auto"/>
        </w:rPr>
        <w:t>Sales</w:t>
      </w:r>
      <w:r>
        <w:rPr>
          <w:rFonts w:ascii="Arial" w:cs="Arial" w:eastAsia="Arial" w:hAnsi="Arial"/>
          <w:sz w:val="17"/>
          <w:szCs w:val="17"/>
          <w:color w:val="auto"/>
        </w:rPr>
        <w:t>. For the three months ended September 30, 2017, sales were $27.0 million, including the recognition of $3.3 million of pump sales originally</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in prior periods and upgrade fees received as a result of the Technology Upgrade Program. Sales were $12.3 million for the same period in 2016, which reflect the deferral of $8.4 million of pump sales associated with the Technology Upgrade Program.</w:t>
      </w:r>
    </w:p>
    <w:p>
      <w:pPr>
        <w:spacing w:after="0" w:line="166"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Sales of insulin pumps were $18.0 million and $6.9 million, respectively, for the three months ended September 30, 2017 and 2016. For the three months ended September 30, 2017, sales of pump-related supplies were $8.7 million, of which $3.5 million were sales of cartridges and $5.0 million were sales of infusion sets. For the three months ended September 30, 2016, sales of pump-related supplies were $5.3 million, of which $3.0 million were sales of cartridges and $2.2 million were sales of infusion sets. The ratio of the number of infusion sets shipped to the number of cartridges shipped increased to 66% in the three months ended September 30, 2017 from 27% in the comparable quarter of the prior year. Sales of accessories were not significant in either of the reported periods.</w:t>
      </w:r>
    </w:p>
    <w:p>
      <w:pPr>
        <w:spacing w:after="0" w:line="193" w:lineRule="exact"/>
        <w:rPr>
          <w:sz w:val="20"/>
          <w:szCs w:val="20"/>
          <w:color w:val="auto"/>
        </w:rPr>
      </w:pPr>
    </w:p>
    <w:p>
      <w:pPr>
        <w:ind w:right="40" w:firstLine="571"/>
        <w:spacing w:after="0" w:line="276" w:lineRule="auto"/>
        <w:rPr>
          <w:sz w:val="20"/>
          <w:szCs w:val="20"/>
          <w:color w:val="auto"/>
        </w:rPr>
      </w:pPr>
      <w:r>
        <w:rPr>
          <w:rFonts w:ascii="Arial" w:cs="Arial" w:eastAsia="Arial" w:hAnsi="Arial"/>
          <w:sz w:val="17"/>
          <w:szCs w:val="17"/>
          <w:color w:val="auto"/>
        </w:rPr>
        <w:t>Excluding the impact of the Technology Upgrade Program, the increase in sales was primarily driven by an increase in sales of infusion sets to our distributors, as well as an increase in the sale of pump-related supplies to our growing customer base. Pump shipments were relatively flat in the three months ended September 30, 2017 at 3,868 compared to 3,896 for the same period in 2016, which we believe was the result of a number of factors including the highly competitive market, the impact of the hurricanes in the Southeast region of the United States, the timing of FDA approval of t:slim X2 with G5 within the third quarter, and negative perceptions regarding our financial stability compared to that of our competitors.</w:t>
      </w:r>
    </w:p>
    <w:p>
      <w:pPr>
        <w:spacing w:after="0" w:line="173"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Our percentage of sales to distributors versus individual customers is principally determined by the mix of customers ordering our products within the period and whether or not we have a contractual arrangement with their underlying third-party insurance payor. Sales to distributors accounted for 74% and 67% of our total sales for the three months ended September 30, 2017 and 2016, respectively. Sales deferred under the Technology Upgrade Program decreased the percentage of sales to distributors for the three months ended September 30, 2016 by five percentage points, while there was not a significant impact to the percentage of sales to distributors in the three months ended September 30, 2017. Excluding this impact in 2016, the percentage of sales to distributors increased slightly in 2017.</w:t>
      </w:r>
    </w:p>
    <w:p>
      <w:pPr>
        <w:spacing w:after="0" w:line="193" w:lineRule="exact"/>
        <w:rPr>
          <w:sz w:val="20"/>
          <w:szCs w:val="20"/>
          <w:color w:val="auto"/>
        </w:rPr>
      </w:pPr>
    </w:p>
    <w:p>
      <w:pPr>
        <w:ind w:right="80" w:firstLine="577"/>
        <w:spacing w:after="0" w:line="264" w:lineRule="auto"/>
        <w:rPr>
          <w:sz w:val="20"/>
          <w:szCs w:val="20"/>
          <w:color w:val="auto"/>
        </w:rPr>
      </w:pPr>
      <w:r>
        <w:rPr>
          <w:rFonts w:ascii="Arial" w:cs="Arial" w:eastAsia="Arial" w:hAnsi="Arial"/>
          <w:sz w:val="18"/>
          <w:szCs w:val="18"/>
          <w:i w:val="1"/>
          <w:iCs w:val="1"/>
          <w:color w:val="auto"/>
        </w:rPr>
        <w:t>Cost of Sales and Gross Profit (Loss)</w:t>
      </w:r>
      <w:r>
        <w:rPr>
          <w:rFonts w:ascii="Arial" w:cs="Arial" w:eastAsia="Arial" w:hAnsi="Arial"/>
          <w:sz w:val="18"/>
          <w:szCs w:val="18"/>
          <w:color w:val="auto"/>
        </w:rPr>
        <w:t>. Our cost of sales for the three months ended September 30, 2017 was $15.1 million, resulting in gross profit of</w:t>
      </w:r>
      <w:r>
        <w:rPr>
          <w:rFonts w:ascii="Arial" w:cs="Arial" w:eastAsia="Arial" w:hAnsi="Arial"/>
          <w:sz w:val="18"/>
          <w:szCs w:val="18"/>
          <w:i w:val="1"/>
          <w:iCs w:val="1"/>
          <w:color w:val="auto"/>
        </w:rPr>
        <w:t xml:space="preserve"> </w:t>
      </w:r>
      <w:r>
        <w:rPr>
          <w:rFonts w:ascii="Arial" w:cs="Arial" w:eastAsia="Arial" w:hAnsi="Arial"/>
          <w:sz w:val="18"/>
          <w:szCs w:val="18"/>
          <w:color w:val="auto"/>
        </w:rPr>
        <w:t>$11.9 million, compared to $13.9 million cost of sales and gross loss of $1.6 million in 2016. The gross margin for the three months ended September 30, 2017 was 44% compared to negative 13% in the same period in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ind w:right="20" w:firstLine="577"/>
        <w:spacing w:after="0" w:line="272" w:lineRule="auto"/>
        <w:rPr>
          <w:sz w:val="20"/>
          <w:szCs w:val="20"/>
          <w:color w:val="auto"/>
        </w:rPr>
      </w:pPr>
      <w:r>
        <w:rPr>
          <w:rFonts w:ascii="Arial" w:cs="Arial" w:eastAsia="Arial" w:hAnsi="Arial"/>
          <w:sz w:val="17"/>
          <w:szCs w:val="17"/>
          <w:color w:val="auto"/>
        </w:rPr>
        <w:t>The increase in our gross profit (loss) for the three months ended September 30, 2017 compared to the same period in 2016 was primarily the result of the impact of the Technology Upgrade Program. During the three months ended September 30, 2017, our gross profit included a net recognition of $2.6 million of gross profit that had been deferred in prior periods, partially offset by an immaterial cost incurred for the fulfillment of upgrades. In the same period of 2016, our gross profit was reduced by a net deferral of $7.0 million of pump sales under the terms of the Program. Additionally, we recorded a $1.1 million charge in the three months ended September 30, 2016 for inventory obsolescence as a result of the commercialization of the t:slim X2 Pump, launch of the Technology Upgrade Program and associated decrease in the overall demand for our t:slim G4 Pump. This charge negatively impacted our gross margin during the three months ended September 30, 2016 by nine percentage points.</w:t>
      </w:r>
    </w:p>
    <w:p>
      <w:pPr>
        <w:spacing w:after="0" w:line="178"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Gross profit and gross margin also increased as a result of per unit manufacturing cost improvements, including significant raw material cost reductions for our pumps and overall manufacturing efficiencies in labor and overhead for both pumps and cartridges. Other non-manufacturing costs, which primarily consist of warranty, freight and training, also reflected improvement, most notably demonstrated by a decrease in warranty expense as a result of improvements in our warranty trends and warranty replacement costs.</w:t>
      </w:r>
    </w:p>
    <w:p>
      <w:pPr>
        <w:spacing w:after="0" w:line="187" w:lineRule="exact"/>
        <w:rPr>
          <w:sz w:val="20"/>
          <w:szCs w:val="20"/>
          <w:color w:val="auto"/>
        </w:rPr>
      </w:pPr>
    </w:p>
    <w:p>
      <w:pPr>
        <w:ind w:right="100" w:firstLine="571"/>
        <w:spacing w:after="0" w:line="276" w:lineRule="auto"/>
        <w:rPr>
          <w:sz w:val="20"/>
          <w:szCs w:val="20"/>
          <w:color w:val="auto"/>
        </w:rPr>
      </w:pPr>
      <w:r>
        <w:rPr>
          <w:rFonts w:ascii="Arial" w:cs="Arial" w:eastAsia="Arial" w:hAnsi="Arial"/>
          <w:sz w:val="17"/>
          <w:szCs w:val="17"/>
          <w:color w:val="auto"/>
        </w:rPr>
        <w:t>The gross margin was also impacted by an increase in sales of pump-related supplies, which generally have lower gross margins than our insulin pumps. However, we continue to experience a positive gross margin associated with our pump-related supplies as a whole, after first achieving a positive gross margin in the fourth quarter of 2016. We have maintained a positive quarterly gross margin since that time. We expect to continue to see improvements in the gross profit and gross margin associated with our pump-related supplies as we manufacture higher volumes of cartridges to support our growing installed base and continue to increase sales of infusion sets to distributors with the launch of our t:lock Connector.</w:t>
      </w:r>
    </w:p>
    <w:p>
      <w:pPr>
        <w:spacing w:after="0" w:line="173"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decreased 3% to $20.1 million for the three months ended September 30,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$20.7 million for the same period in 2016.</w:t>
      </w:r>
    </w:p>
    <w:p>
      <w:pPr>
        <w:spacing w:after="0" w:line="170" w:lineRule="exact"/>
        <w:rPr>
          <w:sz w:val="20"/>
          <w:szCs w:val="20"/>
          <w:color w:val="auto"/>
        </w:rPr>
      </w:pPr>
    </w:p>
    <w:p>
      <w:pPr>
        <w:ind w:right="340" w:firstLine="571"/>
        <w:spacing w:after="0" w:line="259" w:lineRule="auto"/>
        <w:rPr>
          <w:sz w:val="20"/>
          <w:szCs w:val="20"/>
          <w:color w:val="auto"/>
        </w:rPr>
      </w:pPr>
      <w:r>
        <w:rPr>
          <w:rFonts w:ascii="Arial" w:cs="Arial" w:eastAsia="Arial" w:hAnsi="Arial"/>
          <w:sz w:val="18"/>
          <w:szCs w:val="18"/>
          <w:color w:val="auto"/>
        </w:rPr>
        <w:t>Employee-related expenses for our SG&amp;A functions comprise the majority of the SG&amp;A expenses. The decrease in SG&amp;A expenses compared to 2016 was primarily a result of a reduction in our headcount-related costs in the third quarter of 2017, compared to the same period of 2016. Our SG&amp;A headcount declined 8% compared to 2016. Additionally, we have implemented efforts to control other spending, resulting in decreases in travel and entertainment, outside services, supplies and consulting.</w:t>
      </w:r>
    </w:p>
    <w:p>
      <w:pPr>
        <w:spacing w:after="0" w:line="187" w:lineRule="exact"/>
        <w:rPr>
          <w:sz w:val="20"/>
          <w:szCs w:val="20"/>
          <w:color w:val="auto"/>
        </w:rPr>
      </w:pPr>
    </w:p>
    <w:p>
      <w:pPr>
        <w:ind w:right="520" w:firstLine="571"/>
        <w:spacing w:after="0" w:line="264"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decreased 20% to $4.9 million for the three months ended September 30, 2017 from $6.2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2016. The decrease in R&amp;D expenses was primarily the result of higher costs in 2016 associated with product pipeline development efforts, primarily related to supplies and technology license fees.</w:t>
      </w:r>
    </w:p>
    <w:p>
      <w:pPr>
        <w:spacing w:after="0" w:line="181"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i w:val="1"/>
          <w:iCs w:val="1"/>
          <w:color w:val="auto"/>
        </w:rPr>
        <w:t>Other Income and Expense</w:t>
      </w:r>
      <w:r>
        <w:rPr>
          <w:rFonts w:ascii="Arial" w:cs="Arial" w:eastAsia="Arial" w:hAnsi="Arial"/>
          <w:sz w:val="18"/>
          <w:szCs w:val="18"/>
          <w:color w:val="auto"/>
        </w:rPr>
        <w:t>. Other expense for the three months ended September 30, 2017 and 2016 was $2.9 million and $1.4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 for both periods was primarily comprised of interest expense associated with the Term Loan Agreement. The outstanding principal balances under the Term Loan Agreement were $82.3 million and $45.8 million as of September 30, 2017 and September 30, 2016, respectively. Other income for both periods presented was not 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2017 and 2016</w:t>
      </w:r>
    </w:p>
    <w:p>
      <w:pPr>
        <w:spacing w:after="0" w:line="229" w:lineRule="exact"/>
        <w:rPr>
          <w:sz w:val="20"/>
          <w:szCs w:val="20"/>
          <w:color w:val="auto"/>
        </w:rPr>
      </w:pPr>
    </w:p>
    <w:p>
      <w:pPr>
        <w:ind w:right="340" w:firstLine="571"/>
        <w:spacing w:after="0" w:line="264"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nine months ended September 30, 2017, sales were $67.3 million, including the recognition of $4.8 million pump sales originally</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 prior periods and upgrade fees received as a result of the Technology Upgrade Program. Sales were $55.3 million for the same period in 2016, which reflect the deferral of $8.4 million pump sales associated with the Technology Upgrade Program.</w:t>
      </w:r>
    </w:p>
    <w:p>
      <w:pPr>
        <w:spacing w:after="0" w:line="181" w:lineRule="exact"/>
        <w:rPr>
          <w:sz w:val="20"/>
          <w:szCs w:val="20"/>
          <w:color w:val="auto"/>
        </w:rPr>
      </w:pPr>
    </w:p>
    <w:p>
      <w:pPr>
        <w:ind w:right="20" w:firstLine="571"/>
        <w:spacing w:after="0" w:line="297" w:lineRule="auto"/>
        <w:rPr>
          <w:sz w:val="20"/>
          <w:szCs w:val="20"/>
          <w:color w:val="auto"/>
        </w:rPr>
      </w:pPr>
      <w:r>
        <w:rPr>
          <w:rFonts w:ascii="Arial" w:cs="Arial" w:eastAsia="Arial" w:hAnsi="Arial"/>
          <w:sz w:val="16"/>
          <w:szCs w:val="16"/>
          <w:color w:val="auto"/>
        </w:rPr>
        <w:t>Sales of insulin pumps were $43.9 million and $41.2 million, respectively, for the nine months ended September 30, 2017 and 2016. For the nine months ended September 30, 2017, sales of pump-related supplies were $23.0 million, of which $9.7 million were sales of cartridges and $13.0 million were sales of infusion sets. For the nine months ended September 30, 2016, sales of pump-related supplies were $14.2 million, of which $8.2 million were sales of cartridges and $5.8 million were sales of infusion sets. The ratio of the number of infusion sets shipped to the number of cartridges shipped increased to 60% in the nine months ended September 30, 2017 from 25% in the same period in 2016. Sales of accessories were not significant in either of the reported periods.</w:t>
      </w:r>
    </w:p>
    <w:p>
      <w:pPr>
        <w:spacing w:after="0" w:line="158"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Excluding the impact of the Technology Upgrade Program, the decrease in pump sales was primarily driven by a 19% decrease in aggregate pump shipments from 12,520 for the nine months ended September 30, 2016 to 10,111 for the same period in 2017 for reasons similar to those described in the three month discussion above. Additionally, the period ended June 30, 2016 represented the last period in which all UnitedHealthcare members had access to our products due to their decision to designate one of our competitors as their preferred, in-network durable medical equipment provider of insulin pumps for most customers over the age of 18, which was effective July 1, 2016. The decrease in pump sales was partially offset by an increase in sales of infusion sets to our distributors, as well as overall pump-related supplies to our growing customer base.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left="580"/>
        <w:spacing w:after="0"/>
        <w:rPr>
          <w:sz w:val="20"/>
          <w:szCs w:val="20"/>
          <w:color w:val="auto"/>
        </w:rPr>
      </w:pPr>
      <w:r>
        <w:rPr>
          <w:rFonts w:ascii="Arial" w:cs="Arial" w:eastAsia="Arial" w:hAnsi="Arial"/>
          <w:sz w:val="17"/>
          <w:szCs w:val="17"/>
          <w:color w:val="auto"/>
        </w:rPr>
        <w:t>Sales to distributors accounted for 73% and 74% of our total sales for the nine months ended September 30, 2017 and 2016, respectively.</w:t>
      </w:r>
    </w:p>
    <w:p>
      <w:pPr>
        <w:spacing w:after="0" w:line="237" w:lineRule="exact"/>
        <w:rPr>
          <w:sz w:val="20"/>
          <w:szCs w:val="20"/>
          <w:color w:val="auto"/>
        </w:rPr>
      </w:pPr>
    </w:p>
    <w:p>
      <w:pPr>
        <w:jc w:val="both"/>
        <w:ind w:right="140" w:firstLine="571"/>
        <w:spacing w:after="0" w:line="264" w:lineRule="auto"/>
        <w:rPr>
          <w:sz w:val="20"/>
          <w:szCs w:val="20"/>
          <w:color w:val="auto"/>
        </w:rPr>
      </w:pPr>
      <w:r>
        <w:rPr>
          <w:rFonts w:ascii="Arial" w:cs="Arial" w:eastAsia="Arial" w:hAnsi="Arial"/>
          <w:sz w:val="18"/>
          <w:szCs w:val="18"/>
          <w:i w:val="1"/>
          <w:iCs w:val="1"/>
          <w:color w:val="auto"/>
        </w:rPr>
        <w:t>Cost of Sales and Gross Profit (Loss)</w:t>
      </w:r>
      <w:r>
        <w:rPr>
          <w:rFonts w:ascii="Arial" w:cs="Arial" w:eastAsia="Arial" w:hAnsi="Arial"/>
          <w:sz w:val="18"/>
          <w:szCs w:val="18"/>
          <w:color w:val="auto"/>
        </w:rPr>
        <w:t>. Our cost of sales for the nine months ended September 30, 2017 was $40.7 million, resulting in gross profit of</w:t>
      </w:r>
      <w:r>
        <w:rPr>
          <w:rFonts w:ascii="Arial" w:cs="Arial" w:eastAsia="Arial" w:hAnsi="Arial"/>
          <w:sz w:val="18"/>
          <w:szCs w:val="18"/>
          <w:i w:val="1"/>
          <w:iCs w:val="1"/>
          <w:color w:val="auto"/>
        </w:rPr>
        <w:t xml:space="preserve"> </w:t>
      </w:r>
      <w:r>
        <w:rPr>
          <w:rFonts w:ascii="Arial" w:cs="Arial" w:eastAsia="Arial" w:hAnsi="Arial"/>
          <w:sz w:val="18"/>
          <w:szCs w:val="18"/>
          <w:color w:val="auto"/>
        </w:rPr>
        <w:t>$26.6 million, compared to $41.8 million cost of sales and gross profit of $13.5 million in 2016. The gross margin for the nine months ended September 30, 2017 was 40% compared to 24% in the same period in 2016.</w:t>
      </w:r>
    </w:p>
    <w:p>
      <w:pPr>
        <w:spacing w:after="0" w:line="181" w:lineRule="exact"/>
        <w:rPr>
          <w:sz w:val="20"/>
          <w:szCs w:val="20"/>
          <w:color w:val="auto"/>
        </w:rPr>
      </w:pPr>
    </w:p>
    <w:p>
      <w:pPr>
        <w:ind w:right="140" w:firstLine="571"/>
        <w:spacing w:after="0" w:line="257" w:lineRule="auto"/>
        <w:rPr>
          <w:sz w:val="20"/>
          <w:szCs w:val="20"/>
          <w:color w:val="auto"/>
        </w:rPr>
      </w:pPr>
      <w:r>
        <w:rPr>
          <w:rFonts w:ascii="Arial" w:cs="Arial" w:eastAsia="Arial" w:hAnsi="Arial"/>
          <w:sz w:val="18"/>
          <w:szCs w:val="18"/>
          <w:color w:val="auto"/>
        </w:rPr>
        <w:t>The increase in our gross profit for the nine months ended September 30, 2017 compared to the same period in 2016 was primarily the result of the Technology Upgrade Program. During the nine months ended September 30, 2017, our gross profit included $3.5 million that had been deferred in prior periods, partially offset by $0.3 million incurred for the fulfillment of upgrades. In the same period of 2016, our gross profit was reduced by a net deferral of $7.0 million of pump sales eligible under the Program. Additionally, we recorded a $1.1 million charge in the nine months ended September 30, 2016 for inventory obsolescence as described previously.</w:t>
      </w:r>
    </w:p>
    <w:p>
      <w:pPr>
        <w:spacing w:after="0" w:line="188" w:lineRule="exact"/>
        <w:rPr>
          <w:sz w:val="20"/>
          <w:szCs w:val="20"/>
          <w:color w:val="auto"/>
        </w:rPr>
      </w:pPr>
    </w:p>
    <w:p>
      <w:pPr>
        <w:ind w:right="260" w:firstLine="571"/>
        <w:spacing w:after="0" w:line="264" w:lineRule="auto"/>
        <w:rPr>
          <w:sz w:val="20"/>
          <w:szCs w:val="20"/>
          <w:color w:val="auto"/>
        </w:rPr>
      </w:pPr>
      <w:r>
        <w:rPr>
          <w:rFonts w:ascii="Arial" w:cs="Arial" w:eastAsia="Arial" w:hAnsi="Arial"/>
          <w:sz w:val="18"/>
          <w:szCs w:val="18"/>
          <w:color w:val="auto"/>
        </w:rPr>
        <w:t>Gross profit and gross margin also increased as a result of manufacturing cost improvements, including raw material cost reductions for our pumps and increased cartridge production volumes and cartridge labor and manufacturing efficiencies, as well as a decrease in warranty expense as a result of improvements in our warranty trends and warranty replacement costs.</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gross margin was also impacted by an increase in sales of pump-related supplies, which generally have lower gross margins than our insulin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pumps.</w:t>
      </w:r>
    </w:p>
    <w:p>
      <w:pPr>
        <w:spacing w:after="0" w:line="211" w:lineRule="exact"/>
        <w:rPr>
          <w:sz w:val="20"/>
          <w:szCs w:val="20"/>
          <w:color w:val="auto"/>
        </w:rPr>
      </w:pPr>
    </w:p>
    <w:p>
      <w:pPr>
        <w:ind w:right="220" w:firstLine="571"/>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2% to $65.1 million for the nine months ended September 30,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$63.8 million for the same period in 2016.</w:t>
      </w:r>
    </w:p>
    <w:p>
      <w:pPr>
        <w:spacing w:after="0" w:line="17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Employee-related expenses for our SG&amp;A functions comprise the majority of the SG&amp;A expenses. The increase in SG&amp;A expenses was primarily the result of a $1.1 million non-cash stock-based compensation charge associated with the suspension of our ESPP in 2017, as well as other net increases in employee expenses of $0.9 million. Other SG&amp;A expenses, including costs for outside services, marketing and promotional activities, tradeshows and travel, decreased $0.7 million between periods.</w:t>
      </w:r>
    </w:p>
    <w:p>
      <w:pPr>
        <w:spacing w:after="0" w:line="187" w:lineRule="exact"/>
        <w:rPr>
          <w:sz w:val="20"/>
          <w:szCs w:val="20"/>
          <w:color w:val="auto"/>
        </w:rPr>
      </w:pPr>
    </w:p>
    <w:p>
      <w:pPr>
        <w:ind w:right="520" w:firstLine="571"/>
        <w:spacing w:after="0" w:line="30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3% to $14.9 million for the nine months ended September 30, 2017 from $14.5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2016. The increase in R&amp;D expenses was the result of an increase of $0.7 million of employee-related expenses, which includes a $0.4 million non-cash stock-based compensation charge associated with the suspension of our ESPP in 2017. This increase was offset by a reduction in non-employee-related expenses, primarily consulting and supplies, for the advancement of our product pipeline.</w:t>
      </w:r>
    </w:p>
    <w:p>
      <w:pPr>
        <w:spacing w:after="0" w:line="154"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i w:val="1"/>
          <w:iCs w:val="1"/>
          <w:color w:val="auto"/>
        </w:rPr>
        <w:t>Other Income and Expense</w:t>
      </w:r>
      <w:r>
        <w:rPr>
          <w:rFonts w:ascii="Arial" w:cs="Arial" w:eastAsia="Arial" w:hAnsi="Arial"/>
          <w:sz w:val="18"/>
          <w:szCs w:val="18"/>
          <w:color w:val="auto"/>
        </w:rPr>
        <w:t>. Other expense for the nine months ended September 30, 2017 and 2016 was $8.4 million and $4.2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 for both periods was primarily comprised of interest expense associated with the Term Loan Agreement. The outstanding principal balances under the Term Loan Agreement were $82.3 million and $45.8 million as of September 30, 2017 and September 30, 2016, respectively. Other income for both periods presented was not 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571"/>
        <w:spacing w:after="0" w:line="272" w:lineRule="auto"/>
        <w:rPr>
          <w:sz w:val="20"/>
          <w:szCs w:val="20"/>
          <w:color w:val="auto"/>
        </w:rPr>
      </w:pPr>
      <w:r>
        <w:rPr>
          <w:rFonts w:ascii="Arial" w:cs="Arial" w:eastAsia="Arial" w:hAnsi="Arial"/>
          <w:sz w:val="17"/>
          <w:szCs w:val="17"/>
          <w:color w:val="auto"/>
        </w:rPr>
        <w:t>At September 30, 2017, we had $22.5 million in cash and cash equivalents and short-term investments, which included $10.0 million of restricted cash as required by the Term Loan Agreement. At the date the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The financial statements included in this Quarterly Report have been prepared on a basis that assumes that we will continue as a going concern, which contemplates the realization of assets and the satisfaction of liabilities and commitments in the normal course of business. This financial information and these financial statements do not include any adjustments that may result from the outcome of this uncertainty.</w:t>
      </w:r>
    </w:p>
    <w:p>
      <w:pPr>
        <w:spacing w:after="0" w:line="178" w:lineRule="exact"/>
        <w:rPr>
          <w:sz w:val="20"/>
          <w:szCs w:val="20"/>
          <w:color w:val="auto"/>
        </w:rPr>
      </w:pPr>
    </w:p>
    <w:p>
      <w:pPr>
        <w:ind w:right="140" w:firstLine="571"/>
        <w:spacing w:after="0" w:line="257" w:lineRule="auto"/>
        <w:rPr>
          <w:sz w:val="20"/>
          <w:szCs w:val="20"/>
          <w:color w:val="auto"/>
        </w:rPr>
      </w:pPr>
      <w:r>
        <w:rPr>
          <w:rFonts w:ascii="Arial" w:cs="Arial" w:eastAsia="Arial" w:hAnsi="Arial"/>
          <w:sz w:val="18"/>
          <w:szCs w:val="18"/>
          <w:color w:val="auto"/>
        </w:rPr>
        <w:t>Historically, our principal sources of cash have included private placements and public offerings of equity securities, the Term Loan Agreement, and cash collected from product sales. Our historical cash outflows have primarily been associated with cash used for operating activities such as the expansion and support of our sales and marketing infrastructure, increase in our R&amp;D activities, the acquisition of intellectual property, expenditures related to equipment and improvements used to increase our manufacturing capacity and improve our manufacturing efficiency, overall facility expansion, and other working capital needs.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left="580"/>
        <w:spacing w:after="0"/>
        <w:rPr>
          <w:sz w:val="20"/>
          <w:szCs w:val="20"/>
          <w:color w:val="auto"/>
        </w:rPr>
      </w:pPr>
      <w:r>
        <w:rPr>
          <w:rFonts w:ascii="Arial" w:cs="Arial" w:eastAsia="Arial" w:hAnsi="Arial"/>
          <w:sz w:val="18"/>
          <w:szCs w:val="18"/>
          <w:color w:val="auto"/>
        </w:rPr>
        <w:t>During 2017, we have completed the following financings:</w:t>
      </w:r>
    </w:p>
    <w:p>
      <w:pPr>
        <w:spacing w:after="0" w:line="225" w:lineRule="exact"/>
        <w:rPr>
          <w:sz w:val="20"/>
          <w:szCs w:val="20"/>
          <w:color w:val="auto"/>
        </w:rPr>
      </w:pPr>
    </w:p>
    <w:p>
      <w:pPr>
        <w:ind w:left="1340" w:right="60" w:hanging="387"/>
        <w:spacing w:after="0" w:line="264"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March 2017, we completed a registered public offering of 1,850,000 shares of our common stock at a public offering price of $12.50 per share. The gross proceeds to us from the offering were approximately $23.1 million, before deducting underwriting discounts and commissions and other offering expenses payable by us.</w:t>
      </w:r>
    </w:p>
    <w:p>
      <w:pPr>
        <w:spacing w:after="0" w:line="181" w:lineRule="exact"/>
        <w:rPr>
          <w:rFonts w:ascii="Arial" w:cs="Arial" w:eastAsia="Arial" w:hAnsi="Arial"/>
          <w:sz w:val="18"/>
          <w:szCs w:val="18"/>
          <w:color w:val="auto"/>
        </w:rPr>
      </w:pPr>
    </w:p>
    <w:p>
      <w:pPr>
        <w:jc w:val="both"/>
        <w:ind w:left="1340" w:right="180" w:hanging="387"/>
        <w:spacing w:after="0" w:line="264"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three months ended September 30, 2017, we sold 464,108 shares of common stock under our ATM offering program at prices ranging from $5.64 to $10.54. The gross proceeds to us from the offering were $4.3 million, before deducting underwriting discounts and commissions and other offering expenses payable by us.</w:t>
      </w:r>
    </w:p>
    <w:p>
      <w:pPr>
        <w:spacing w:after="0" w:line="181" w:lineRule="exact"/>
        <w:rPr>
          <w:rFonts w:ascii="Arial" w:cs="Arial" w:eastAsia="Arial" w:hAnsi="Arial"/>
          <w:sz w:val="18"/>
          <w:szCs w:val="18"/>
          <w:color w:val="auto"/>
        </w:rPr>
      </w:pPr>
    </w:p>
    <w:p>
      <w:pPr>
        <w:ind w:left="1340" w:right="40" w:hanging="387"/>
        <w:spacing w:after="0" w:line="297" w:lineRule="auto"/>
        <w:tabs>
          <w:tab w:leader="none" w:pos="1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October 17, 2017, we completed the October Financing, pursuant to which we sold 4,630,000 shares of our common stock, Series A warrants to purchase up to 4,630,000 shares of our common stock and Series B warrants to purchase up to 4,630,000 shares of our common stock at a public offering price of $3.50 per share and accompanying warrants. The gross proceeds to us from the October Financing were approximately $16.2 million, before deducting underwriting discounts and commissions and other offering expenses payable by us. Each series of warrants, if exercised by all holders in full, may result in additional gross proceeds to us of $16.2 million.</w:t>
      </w:r>
    </w:p>
    <w:p>
      <w:pPr>
        <w:spacing w:after="0" w:line="158" w:lineRule="exact"/>
        <w:rPr>
          <w:sz w:val="20"/>
          <w:szCs w:val="20"/>
          <w:color w:val="auto"/>
        </w:rPr>
      </w:pPr>
    </w:p>
    <w:p>
      <w:pPr>
        <w:ind w:right="20" w:firstLine="571"/>
        <w:spacing w:after="0" w:line="273" w:lineRule="auto"/>
        <w:rPr>
          <w:sz w:val="20"/>
          <w:szCs w:val="20"/>
          <w:color w:val="auto"/>
        </w:rPr>
      </w:pPr>
      <w:r>
        <w:rPr>
          <w:rFonts w:ascii="Arial" w:cs="Arial" w:eastAsia="Arial" w:hAnsi="Arial"/>
          <w:sz w:val="17"/>
          <w:szCs w:val="17"/>
          <w:color w:val="auto"/>
        </w:rPr>
        <w:t>Management currently believes that it will be necessary for us to raise additional funding. However, we expect our ability to raise additional financing may be negatively impacted by a number of factors, including our recent and projected financial results, recent changes in and volatility of our stock price, perceptions about the recent completion of a public offering of our common stock and warrants, concerns regarding our ability to maintain the continued listing of our common stock on NASDAQ, our current level of indebtedness and debt service costs, our conclusion that there is substantial doubt about our ability to continue as a going concern, the competitive environment in our industry, and accounting complexities brought about by our Technology Upgrade Program. There can be no assurance that we will be able to complete any financing on acceptable terms or at all.</w:t>
      </w:r>
    </w:p>
    <w:p>
      <w:pPr>
        <w:spacing w:after="0" w:line="178" w:lineRule="exact"/>
        <w:rPr>
          <w:sz w:val="20"/>
          <w:szCs w:val="20"/>
          <w:color w:val="auto"/>
        </w:rPr>
      </w:pPr>
    </w:p>
    <w:p>
      <w:pPr>
        <w:ind w:right="120" w:firstLine="571"/>
        <w:spacing w:after="0" w:line="308" w:lineRule="auto"/>
        <w:rPr>
          <w:sz w:val="20"/>
          <w:szCs w:val="20"/>
          <w:color w:val="auto"/>
        </w:rPr>
      </w:pPr>
      <w:r>
        <w:rPr>
          <w:rFonts w:ascii="Arial" w:cs="Arial" w:eastAsia="Arial" w:hAnsi="Arial"/>
          <w:sz w:val="17"/>
          <w:szCs w:val="17"/>
          <w:color w:val="auto"/>
        </w:rPr>
        <w:t>We expect that, in addition to the outcome of any additional financing activities, our sales performance and the resulting operating income or loss, as well as the status of each of our new product development programs, will significantly impact our cash management decisions.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50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Operating activities</w:t>
            </w:r>
          </w:p>
        </w:tc>
        <w:tc>
          <w:tcPr>
            <w:tcW w:w="31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(54,495)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(47,591)</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17,695</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16,586</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(32,599)</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71"/>
        <w:spacing w:after="0" w:line="25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was $54.5 million for the nine months ended September 30, 2017, compared to $47.6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2016. The increase in net cash used in operating activities was primarily associated with changes in working capital, partially offset by a decrease in net loss. The changes in working capital were primarily due to decreases in deferred revenue and guarantee liabilities associated with the Technology Upgrade Program, lower cash collections from accounts receivable and increased inventory associated with the launch of t:lock, as well as other net changes associated with the timing of payments.</w:t>
      </w:r>
    </w:p>
    <w:p>
      <w:pPr>
        <w:spacing w:after="0" w:line="188" w:lineRule="exact"/>
        <w:rPr>
          <w:sz w:val="20"/>
          <w:szCs w:val="20"/>
          <w:color w:val="auto"/>
        </w:rPr>
      </w:pPr>
    </w:p>
    <w:p>
      <w:pPr>
        <w:ind w:right="40" w:firstLine="571"/>
        <w:spacing w:after="0" w:line="257"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provided by investing activities was $4.2 million for the nine months ended September 30, 2017, which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sales and maturities of short-term investments of $8.5 million, partially offset by the purchase of $4.3 million of property and equipment. Net cash provided by investing activities was $5.9 million for the nine months ended September 30, 2016, which was primarily related to the purchase of $25.9 million of short-term investments and $6.2 million of property and equipment, offset by proceeds from sales and maturities of short-term investments of $38.0 million.</w:t>
      </w:r>
    </w:p>
    <w:p>
      <w:pPr>
        <w:spacing w:after="0" w:line="188" w:lineRule="exact"/>
        <w:rPr>
          <w:sz w:val="20"/>
          <w:szCs w:val="20"/>
          <w:color w:val="auto"/>
        </w:rPr>
      </w:pPr>
    </w:p>
    <w:p>
      <w:pPr>
        <w:ind w:right="40" w:firstLine="571"/>
        <w:spacing w:after="0" w:line="297"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provided by financing activities was $17.7 million for the nine months ended September 30, 2017, which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the result of net proceeds of approximately $25.7 million from the issuance of common stock, partially offset by an increase in our restricted cash balance of $8.0 million as required by the Fourth Amendment to our Term Loan Agreement. Net cash provided by financing activities was $16.6 million for the nine months ended September 30, 2016, which was primarily the result of net proceeds of $15.0 million under the Term Loan Agreement and $1.6 million in proceeds from the issuance of common stock associated with our ESPP, as well as the exercise of outstanding stock options and warrants.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firstLine="571"/>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1040" w:hanging="384"/>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generate sales, the timing of those sales and the collection of receivables generated from those sales from period to period;</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amount of any additional financings, including the exercise of the warrants issued in the October Financing;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primary short-term capital needs, which are subject to change, include expenditures related to:</w:t>
      </w:r>
    </w:p>
    <w:p>
      <w:pPr>
        <w:spacing w:after="0" w:line="225" w:lineRule="exact"/>
        <w:rPr>
          <w:sz w:val="20"/>
          <w:szCs w:val="20"/>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our manufacturing facilities and improvements in our manufacturing efficiency;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research and product development efforts, including clinical trial costs;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interest due under the Term Loan Agreement;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 of equipment and other fixed assets;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payments under our licensing, development and commercialization agreements.</w:t>
      </w:r>
    </w:p>
    <w:p>
      <w:pPr>
        <w:spacing w:after="0" w:line="225" w:lineRule="exact"/>
        <w:rPr>
          <w:sz w:val="20"/>
          <w:szCs w:val="20"/>
          <w:color w:val="auto"/>
        </w:rPr>
      </w:pPr>
    </w:p>
    <w:p>
      <w:pPr>
        <w:ind w:right="20" w:firstLine="571"/>
        <w:spacing w:after="0" w:line="269" w:lineRule="auto"/>
        <w:rPr>
          <w:sz w:val="20"/>
          <w:szCs w:val="20"/>
          <w:color w:val="auto"/>
        </w:rPr>
      </w:pPr>
      <w:r>
        <w:rPr>
          <w:rFonts w:ascii="Arial" w:cs="Arial" w:eastAsia="Arial" w:hAnsi="Arial"/>
          <w:sz w:val="17"/>
          <w:szCs w:val="17"/>
          <w:color w:val="auto"/>
        </w:rPr>
        <w:t>Although we believe the foregoing items reflect our most likely uses of cash in the short-term, we cannot predict with certainty all of our particular short-term cash uses or the timing or amount of cash used. We expect we will need to raise additional funding in order to continue as a going concern, meet our minimum liquidity requirements, and execute on our business strategy. We intend to seek additional capital from public or private offerings of our capital stock (including pursuant to our ATM offering) or we may elect to borrow additional amounts under new debt financing arrangements or from other sources. If we issue equity or convertible debt securities to raise additional funding, our existing stockholders may experience dilution, we may incur significant financing costs, and the new equity or convertible debt securities may have rights, preferences and privileges senior to those of our existing stockholders. If we issue debt securities to raise additional funding, we would incur additional debt service obligations, we could become subject to additional restrictions limiting our ability to operate our business, and we may be required to further encumber our assets. Our ability to continue as a going concern, meet our minimum liquidity requirements, satisfy the covenants under the Term Loan Agreement, and execute our business strategy is dependent on our ability to raise additional capital, of which there can be no assurance. If we cannot generate sufficient revenues from the sale of our products or secure additional financing on acceptable terms, we may be forced to significantly alter our business strategy, substantially curtail or modify our current operations, or cease operations altogether.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right="100" w:firstLine="571"/>
        <w:spacing w:after="0" w:line="277" w:lineRule="auto"/>
        <w:rPr>
          <w:sz w:val="20"/>
          <w:szCs w:val="20"/>
          <w:color w:val="auto"/>
        </w:rPr>
      </w:pPr>
      <w:r>
        <w:rPr>
          <w:rFonts w:ascii="Arial" w:cs="Arial" w:eastAsia="Arial" w:hAnsi="Arial"/>
          <w:sz w:val="18"/>
          <w:szCs w:val="18"/>
          <w:color w:val="auto"/>
        </w:rPr>
        <w:t>We had $82.3 million and $81.1 million of aggregate borrowings outstanding under the Term Loan Agreement at September 30, 2017 and December 31, 2016, respectively.</w:t>
      </w:r>
    </w:p>
    <w:p>
      <w:pPr>
        <w:spacing w:after="0" w:line="170" w:lineRule="exact"/>
        <w:rPr>
          <w:sz w:val="20"/>
          <w:szCs w:val="20"/>
          <w:color w:val="auto"/>
        </w:rPr>
      </w:pPr>
    </w:p>
    <w:p>
      <w:pPr>
        <w:ind w:right="80" w:firstLine="577"/>
        <w:spacing w:after="0" w:line="255" w:lineRule="auto"/>
        <w:rPr>
          <w:sz w:val="20"/>
          <w:szCs w:val="20"/>
          <w:color w:val="auto"/>
        </w:rPr>
      </w:pPr>
      <w:r>
        <w:rPr>
          <w:rFonts w:ascii="Arial" w:cs="Arial" w:eastAsia="Arial" w:hAnsi="Arial"/>
          <w:sz w:val="18"/>
          <w:szCs w:val="18"/>
          <w:color w:val="auto"/>
        </w:rPr>
        <w:t>Under the Term Loan Agreement, interest is payable, at our option, (i) in cash at a rate of 11.5% per annum or (ii) at a rate of 9.5% of the 11.5% per annum in cash and 2.0% of the 11.5% per annum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on the maturity date of the Term Loan Agreement, which is March 31, 2020. We had elected to pay interest in cash at a rate of 11.5% per annum through September 30, 2015. Beginning October 1, 2015, we elected to pay interest in cash at a rate of 9.5% per annum and to have 2.0% per annum added to the principal of the loan. As a result, $2.3 million was added to the principal of the loan since October 1, 2015, which we refer to as PIK Loans.</w:t>
      </w:r>
    </w:p>
    <w:p>
      <w:pPr>
        <w:spacing w:after="0" w:line="189" w:lineRule="exact"/>
        <w:rPr>
          <w:sz w:val="20"/>
          <w:szCs w:val="20"/>
          <w:color w:val="auto"/>
        </w:rPr>
      </w:pPr>
    </w:p>
    <w:p>
      <w:pPr>
        <w:ind w:right="200" w:firstLine="571"/>
        <w:spacing w:after="0" w:line="277" w:lineRule="auto"/>
        <w:rPr>
          <w:sz w:val="20"/>
          <w:szCs w:val="20"/>
          <w:color w:val="auto"/>
        </w:rPr>
      </w:pPr>
      <w:r>
        <w:rPr>
          <w:rFonts w:ascii="Arial" w:cs="Arial" w:eastAsia="Arial" w:hAnsi="Arial"/>
          <w:sz w:val="18"/>
          <w:szCs w:val="18"/>
          <w:color w:val="auto"/>
        </w:rPr>
        <w:t>The loan is collateralized by all of our assets. The principal financial covenants require that we attain minimum annual revenues of $80.0 million in 2017 and $95.0 million each year thereafter until the end of the term of the loan.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firstLine="577"/>
        <w:spacing w:after="0" w:line="259" w:lineRule="auto"/>
        <w:rPr>
          <w:sz w:val="20"/>
          <w:szCs w:val="20"/>
          <w:color w:val="auto"/>
        </w:rPr>
      </w:pPr>
      <w:r>
        <w:rPr>
          <w:rFonts w:ascii="Arial" w:cs="Arial" w:eastAsia="Arial" w:hAnsi="Arial"/>
          <w:sz w:val="18"/>
          <w:szCs w:val="18"/>
          <w:color w:val="auto"/>
        </w:rPr>
        <w:t>In connection with the Third Amendment, we previously agreed to pay, on the earlier of (i) the maturity date of the Term Loan Agreement, which is March 31, 2020, (ii) the date that the loan under the Term Loan Agreement becomes due, and (iii) the date on which we make a voluntary pre-payment of the loan, a financing fee equal to 3.0% of the sum of (x) the aggregate amount drawn under the Third Amendment, and (y) any PIK Loans issued in relation to the Third Amendment, which we refer to as the Back End Financing Fee.</w:t>
      </w:r>
    </w:p>
    <w:p>
      <w:pPr>
        <w:spacing w:after="0" w:line="187" w:lineRule="exact"/>
        <w:rPr>
          <w:sz w:val="20"/>
          <w:szCs w:val="20"/>
          <w:color w:val="auto"/>
        </w:rPr>
      </w:pPr>
    </w:p>
    <w:p>
      <w:pPr>
        <w:ind w:firstLine="577"/>
        <w:spacing w:after="0" w:line="270" w:lineRule="auto"/>
        <w:rPr>
          <w:sz w:val="20"/>
          <w:szCs w:val="20"/>
          <w:color w:val="auto"/>
        </w:rPr>
      </w:pPr>
      <w:r>
        <w:rPr>
          <w:rFonts w:ascii="Arial" w:cs="Arial" w:eastAsia="Arial" w:hAnsi="Arial"/>
          <w:sz w:val="17"/>
          <w:szCs w:val="17"/>
          <w:color w:val="auto"/>
        </w:rPr>
        <w:t>The audit report and opinion of our independent registered public accounting firm contained in the Annual Report includes an explanatory paragraph that describes conditions that raise substantial doubt about our ability to continue as a going concern. This explanatory paragraph constitutes a potential event of default under the Term Loan Agreement. On March 7, 2017, we entered into the Fourth Amendment, which included a limited waiver of the potential event of default. In consideration for the waiver, we agreed to: (i) issue the Capital Royalty Warrant, (ii) increase our restricted cash balance from $2.0 million to $10.0 million, (iii) provide Capital Royalty Partners the same information we make available to our board of directors, subject to limited exceptions, and (iv) not incur additional third party indebtedness secured solely by accounts receivable, inventory and cash. In addition, the Fourth Amendment includes a covenant requiring us to complete financings in which our gross proceeds from the sale of equity securities is at least $30.0 million, no later than January 15, 2018. As a result of the public offering of our common stock in March 2017, the sale of our common stock pursuant to our ATM offering, and the public offering of our common stock and warrants in the October Financing, we have satisfied our obligations pursuant to this equity financing covenant, although we remain subject to additional covenants.</w:t>
      </w:r>
    </w:p>
    <w:p>
      <w:pPr>
        <w:spacing w:after="0" w:line="178" w:lineRule="exact"/>
        <w:rPr>
          <w:sz w:val="20"/>
          <w:szCs w:val="20"/>
          <w:color w:val="auto"/>
        </w:rPr>
      </w:pPr>
    </w:p>
    <w:p>
      <w:pPr>
        <w:ind w:right="140" w:firstLine="577"/>
        <w:spacing w:after="0" w:line="257" w:lineRule="auto"/>
        <w:rPr>
          <w:sz w:val="20"/>
          <w:szCs w:val="20"/>
          <w:color w:val="auto"/>
        </w:rPr>
      </w:pPr>
      <w:r>
        <w:rPr>
          <w:rFonts w:ascii="Arial" w:cs="Arial" w:eastAsia="Arial" w:hAnsi="Arial"/>
          <w:sz w:val="18"/>
          <w:szCs w:val="18"/>
          <w:color w:val="auto"/>
        </w:rPr>
        <w:t>Pursuant to the Fourth Amendment, we have agreed to increase the Back End Financing Fee to 5.0% of the entire aggregate principal amount of borrowings outstanding, including total PIK Loans issued, under the Term Loan Agreement. The Back End Financing Fee is payable at maturity of our loans and on the principal amount of any loans for which we make an optional prepayment, and may be payable in connection with asset sales not permitted under the Term Loan Agreement or in connection with a change of control. As of September 30, 2017, we had accrued $4.1 million for the Back End Financing Fee.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577"/>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financial statements, which have been prepared in accordance with U.S. GAAP.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 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the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September 30, 2017, we did not have any off-balance sheet arrangements.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jc w:val="both"/>
        <w:ind w:right="180" w:firstLine="571"/>
        <w:spacing w:after="0" w:line="286" w:lineRule="auto"/>
        <w:rPr>
          <w:sz w:val="20"/>
          <w:szCs w:val="20"/>
          <w:color w:val="auto"/>
        </w:rPr>
      </w:pPr>
      <w:r>
        <w:rPr>
          <w:rFonts w:ascii="Arial" w:cs="Arial" w:eastAsia="Arial" w:hAnsi="Arial"/>
          <w:sz w:val="17"/>
          <w:szCs w:val="17"/>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September 30, 2017, this change would not have had a material effect on the fair value of our investment portfolio as of that date.</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interest rate under the Term Loan Agreement is fixed and not subject to changes in market interest rates.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ind w:right="40" w:firstLine="571"/>
        <w:spacing w:after="0" w:line="255" w:lineRule="auto"/>
        <w:rPr>
          <w:sz w:val="20"/>
          <w:szCs w:val="20"/>
          <w:color w:val="auto"/>
        </w:rPr>
      </w:pPr>
      <w:r>
        <w:rPr>
          <w:rFonts w:ascii="Arial" w:cs="Arial" w:eastAsia="Arial" w:hAnsi="Arial"/>
          <w:sz w:val="18"/>
          <w:szCs w:val="18"/>
          <w:color w:val="auto"/>
        </w:rPr>
        <w:t>Our operations are located in the United States, and nearly all of our sales since inception have been made in U.S. dollars. Accordingly, we do not currently have any material exposure to foreign currency rate fluctuations. From time to time, we may have foreign currency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risks. In general, we may hedge material foreign exchange exposures up to 12 months in advance. However, we may choose not to hedge some exposures for a variety of reasons including prohibitive economic costs.</w:t>
      </w:r>
    </w:p>
    <w:p>
      <w:pPr>
        <w:spacing w:after="0" w:line="1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88"/>
        <w:spacing w:after="0" w:line="287"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and Exchange Act of 1934, as amended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6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of September 30, 2017,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September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571"/>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September 30, 2017 that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From time to time, we are involved in various legal proceedings, disputes and other claims arising in the ordinary course of our business. Although the results of legal proceedings and claims cannot be predicted with certainty, we currently believe that the final outcome of these ordinary course matters will not, individually or in the aggregate, have a material adverse effect on our business, financial position, results of operations or cash flows. However, regardless of the outcome, legal proceedings can have an adverse impact on us because of legal costs, diversion of management time and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i w:val="1"/>
          <w:iCs w:val="1"/>
          <w:color w:val="auto"/>
        </w:rPr>
        <w:t>The following sets forth certain risk factors associated with our business. The risk factors set forth below marked with an asterisk (*) next to the title contain changes to the description of the risk factors associated with our business previously disclosed in Part I, Item 1A of the Annual Report.</w:t>
      </w:r>
    </w:p>
    <w:p>
      <w:pPr>
        <w:spacing w:after="0" w:line="14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An investment in our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w:t>
      </w:r>
    </w:p>
    <w:p>
      <w:pPr>
        <w:spacing w:after="0" w:line="225"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Since our inception in January 2006, we have incurred a significant net loss. As of September 30, 2017, we had an accumulated deficit of $466.2 million. To date, we have financed our operations primarily through public and private sales of our equity securities, debt financing with Capital Royalty Partners II, L.P. and its affiliated funds, or Capital Royalty Partners, and sales of our products. We have devoted substantially all of our resources to the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73"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began commercial sales of our first commercial product, t:slim, in the third quarter of 2012. We began commercial sales of t:flex in the second quarter of 2015 and t:slim G4 in the third quarter of 2015. In October 2016, we discontinued new shipments of t:slim and launched t:slim X2, our next-generation flagship pump. In August 2017, we commenced commercial sales of t:slim X2 with G5 integration and discontinued new sales of t:slim G4. Since the first quarter of 2013, we have been able to manufacture and sell our insulin pump products at a cost and in volumes sufficient to allow us to achieve a positive overall gross margin. For the years ended December 31, 2016 and 2015, our gross profit was $23.6 million and $26.6 million, respectively. Although we have achieved a positive overall gross margin, we still operate at a significant net loss and expect that we will continue to do so for the next several years.</w:t>
      </w:r>
    </w:p>
    <w:p>
      <w:pPr>
        <w:spacing w:after="0" w:line="16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To implement our business strategy we need to, among other things, increase sales and gross profits of our products, maintain an appropriate customer service and support infrastructure, fund ongoing research and development activities, improve and expand our manufacturing capabilities, and obtain regulatory clearance or approval to commercialize our products currently under development. Our expenses may continue to increase as we pursue these objectives and make investments in our business. Additional increases in our expenses without commensurate increases in sales could significantly increase our operating losses.</w:t>
      </w:r>
    </w:p>
    <w:p>
      <w:pPr>
        <w:spacing w:after="0" w:line="188"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The extent of our future operating losses and the timing of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new products. Any additional operating losses will have an adverse effect on our stockholders’ equity, and we cannot assure you that we will ever be able to achieve or sustain profitability.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pumps to generate a significant portion of our revenue, and any factors that negatively impact sales of our insulin pump products may adversely affect our business, financial condition and operating results.*</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generate a significant majority of our revenue from the sale of our insulin pump products. During 2017, our insulin pump products have included our t:slim X2, t:flex and t:slim G4 products. In August 2017, we received FDA approval for t:slim X2 with G5, and discontinued sales of t:slim G4 in connection with our launch of t:slim X2 with G5 during the three months ended September 30, 2017. Sales of our insulin pumps may be negatively impacted by many factors, including:</w:t>
      </w:r>
    </w:p>
    <w:p>
      <w:pPr>
        <w:spacing w:after="0" w:line="187" w:lineRule="exact"/>
        <w:rPr>
          <w:sz w:val="20"/>
          <w:szCs w:val="20"/>
          <w:color w:val="auto"/>
        </w:rPr>
      </w:pPr>
    </w:p>
    <w:p>
      <w:pPr>
        <w:ind w:left="1040" w:right="540" w:hanging="384"/>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that other technological breakthroughs for the monitoring, treatment or prevention of diabetes may render our insulin pump products obsolete or less desirable;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rFonts w:ascii="Arial" w:cs="Arial" w:eastAsia="Arial" w:hAnsi="Arial"/>
          <w:sz w:val="18"/>
          <w:szCs w:val="18"/>
          <w:color w:val="auto"/>
        </w:rPr>
      </w:pPr>
    </w:p>
    <w:p>
      <w:pPr>
        <w:ind w:left="1040" w:right="40" w:hanging="384"/>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040" w:right="460" w:hanging="384"/>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reimbursement rates or policies relating to insulin pumps or similar products or technologies by third-party payors, such as the decision by UnitedHealthcare during 2016 that restricted a majority of its members from accessing our pumps;</w:t>
      </w:r>
    </w:p>
    <w:p>
      <w:pPr>
        <w:spacing w:after="0" w:line="146" w:lineRule="exact"/>
        <w:rPr>
          <w:rFonts w:ascii="Arial" w:cs="Arial" w:eastAsia="Arial" w:hAnsi="Arial"/>
          <w:sz w:val="17"/>
          <w:szCs w:val="17"/>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040" w:right="480" w:hanging="384"/>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or destruction, loss, or temporary shutdown of our manufacturing facility; and</w:t>
      </w:r>
    </w:p>
    <w:p>
      <w:pPr>
        <w:spacing w:after="0" w:line="170" w:lineRule="exact"/>
        <w:rPr>
          <w:rFonts w:ascii="Arial" w:cs="Arial" w:eastAsia="Arial" w:hAnsi="Arial"/>
          <w:sz w:val="18"/>
          <w:szCs w:val="18"/>
          <w:color w:val="auto"/>
        </w:rPr>
      </w:pPr>
    </w:p>
    <w:p>
      <w:pPr>
        <w:ind w:left="1040" w:right="480" w:hanging="384"/>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infringes on patent rights or other intellectual property rights of third parties.</w:t>
      </w:r>
    </w:p>
    <w:p>
      <w:pPr>
        <w:spacing w:after="0" w:line="170" w:lineRule="exact"/>
        <w:rPr>
          <w:sz w:val="20"/>
          <w:szCs w:val="20"/>
          <w:color w:val="auto"/>
        </w:rPr>
      </w:pPr>
    </w:p>
    <w:p>
      <w:pPr>
        <w:ind w:right="660" w:firstLine="518"/>
        <w:spacing w:after="0" w:line="342" w:lineRule="auto"/>
        <w:rPr>
          <w:sz w:val="20"/>
          <w:szCs w:val="20"/>
          <w:color w:val="auto"/>
        </w:rPr>
      </w:pPr>
      <w:r>
        <w:rPr>
          <w:rFonts w:ascii="Arial" w:cs="Arial" w:eastAsia="Arial" w:hAnsi="Arial"/>
          <w:sz w:val="16"/>
          <w:szCs w:val="16"/>
          <w:color w:val="auto"/>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w:t>
      </w:r>
    </w:p>
    <w:p>
      <w:pPr>
        <w:spacing w:after="0" w:line="124"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and projected financial results, recent changes in and volatility of our stock price, concerns regarding our ability to maintain the continued listing of our common stock on the NASDAQ Global Market, or NASDAQ, perceptions about the recent completion of a public offering of our common stock and warrants, our current level of indebtedness and debt service costs, our conclusion that there is substantial doubt about our ability to continue as a going concern, the competitive environment in our industry, and accounting complexities brought about by our Technology Upgrade Program, and uncertainties regarding the regulatory environment. Any such concerns, whether actual or perceived, could cause consumers to delay the purchase of our products or to purchase competitive products.</w:t>
      </w:r>
    </w:p>
    <w:p>
      <w:pPr>
        <w:spacing w:after="0" w:line="178"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Because we currently rely on sales of our insulin pump products to generate a significant majority of our revenue, any factors that negatively impact sales of these products, or result in sales of these products increasing at a lower rate than expected, could adversely affect our business, financial condition and operating results.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medical device industry is intensely competitive, subject to rapid change and highly sensitive to the introduction of new products, treatment techniques or technologies, or other activities of industry participants. We believe our products compete, and will continue to compete, directly with a number of traditional insulin pumps as well as other methods for the treatment of diabetes, including multiple daily injection, or MDI, therapy.</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firstLine="518"/>
        <w:spacing w:after="0" w:line="286" w:lineRule="auto"/>
        <w:rPr>
          <w:sz w:val="20"/>
          <w:szCs w:val="20"/>
          <w:color w:val="auto"/>
        </w:rPr>
      </w:pPr>
      <w:r>
        <w:rPr>
          <w:rFonts w:ascii="Arial" w:cs="Arial" w:eastAsia="Arial" w:hAnsi="Arial"/>
          <w:sz w:val="16"/>
          <w:szCs w:val="16"/>
          <w:color w:val="auto"/>
        </w:rPr>
        <w:t>Our primary competitors are major medical device companies that are either publicly traded companies or divisions or subsidiaries of publicly traded companies. For instance, Medtronic MiniMed, a division of Medtronic, Inc., has been the market leader for many years and has the majority share of the traditional insulin pump market in the United States. However, the market for insulin pumps continues to experience significant changes. For instance, in 2016, Roche Diabetes Care, a division of F. Hoffman-La Roche, discontinued sales of new insulin pumps in the United States. On October 5, 2017, Johnson</w:t>
      </w:r>
    </w:p>
    <w:p>
      <w:pPr>
        <w:spacing w:after="0" w:line="2" w:lineRule="exact"/>
        <w:rPr>
          <w:sz w:val="20"/>
          <w:szCs w:val="20"/>
          <w:color w:val="auto"/>
        </w:rPr>
      </w:pPr>
    </w:p>
    <w:p>
      <w:pPr>
        <w:ind w:firstLine="8"/>
        <w:spacing w:after="0" w:line="277" w:lineRule="auto"/>
        <w:tabs>
          <w:tab w:leader="none" w:pos="1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Johnson announced that it is planning to discontinue the operations of Animas Corporation and to exit the insulin pump business entirely. Both Roche and Animas designated Medtronic as a preferred partner to facilitate the transition of their respective insulin pump customers. While these industry changes are significant, it is too early to know how it will influence our business or the competitive landscape in which we operate.</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key competitors, most notably Medtronic, enjoy several competitive advantages over us, including:</w:t>
      </w:r>
    </w:p>
    <w:p>
      <w:pPr>
        <w:spacing w:after="0" w:line="225"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financial and human resources for sales and marketing, product development, customer service and clinical resources;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financial resources to respond to competitive pressures and regulatory uncertainty;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diabetes industry;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more experience in conducting research and development, manufacturing, clinical trials, and obtaining regulatory approval or clearance.</w:t>
      </w:r>
    </w:p>
    <w:p>
      <w:pPr>
        <w:spacing w:after="0" w:line="23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Medtronic offers a traditional insulin pump that is integrated with a CGM system with a threshold suspend feature. In addition, Medtronic recently commenced the commercialization of a new insulin pump product with additional automated insulin delivery functionality and a new CGM system. Similarly, Insulet offers an insulin pump with a tubeless delivery system that does not utilize an infusion set. These specific features may make the competitive products more desirable to customers and healthcare providers, which could negatively impact sales of our products.</w:t>
      </w:r>
    </w:p>
    <w:p>
      <w:pPr>
        <w:spacing w:after="0" w:line="188"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In addition, the competitive environment in which we operate may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Laboratories recently announced FDA approval of a new blood glucose monitoring system, which is expected to compete with the Dexcom technology. Competitive pressures within our industry have impacted and may continue to impact our business partners, which could negatively impact our relationship with these partners, impact their ability to fulfil their obligations to us, and result in harm to our financial condition and operating results.</w:t>
      </w:r>
    </w:p>
    <w:p>
      <w:pPr>
        <w:spacing w:after="0" w:line="16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For these and other reasons, we may not be able to compete successfully against our current or potential future competitors. As a result, our product sales may be negatively affected, which could have an adverse impact on our financial condition and operating results.</w:t>
      </w: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5" w:name="page36"/>
    <w:bookmarkEnd w:id="35"/>
    <w:p>
      <w:pPr>
        <w:ind w:right="34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more appealing than available alternatives. Our primary competitors, as well as a number of other companies, medical researchers and pharmaceutical companies are pursuing new delivery devices, delivery technologies, sensing technologies, procedures, drugs and other therapies for the monitoring, treatment and prevention of diabetes. Any technological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79"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that companies will continue to dedicate significant resources to developing competitive products. The frequent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projections, which would materially and adversely affect our business, financial condition and operating results.</w:t>
      </w:r>
    </w:p>
    <w:p>
      <w:pPr>
        <w:spacing w:after="0" w:line="167" w:lineRule="exact"/>
        <w:rPr>
          <w:sz w:val="20"/>
          <w:szCs w:val="20"/>
          <w:color w:val="auto"/>
        </w:rPr>
      </w:pPr>
    </w:p>
    <w:p>
      <w:pPr>
        <w:ind w:right="360" w:firstLine="518"/>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Technology Upgrade Program has resulted in accounting complexities that may be difficult for investors to understand and may lead to confusion when comparing our historical and future financial results.</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The Technology Upgrade Program has resulted in a number of accounting complexities that will make comparisons of our historical and future financial results more difficult. In particular, United States generally accepted accounting principles, or GAAP, prevent us from recognizing, at the time of sale, up to 100% of the sales and cost of sales associated with the sale of t:slim and t:slim G4 made to eligible customers during the term of the Technology Upgrade Program. Instead, depending on the type of pump sold, we are required to defer some or all of the sales and cost of sales until a later date, which will generally be the earlier of when our obligations under the Technology Upgrade Program are satisfied or when the program expires. The amount and timing of the deferred sales and cost of sales will depend on multiple factors that are based on future events that are difficult to estimate or predict, especially because we have not offered a similar trade-in program in the past. For example, we do not currently have sufficient history to reasonably estimate the likelihood that the trade-in rights will be exercised, or the timing of any trade-in decisions. Accordingly, it is very difficult for us to estimate the amount of the deferrals with any level of certainty, which makes it very difficult for us to predict our GAAP results, including revenues and operating margins.</w:t>
      </w:r>
    </w:p>
    <w:p>
      <w:pPr>
        <w:spacing w:after="0" w:line="16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Despite our efforts to explain the required accounting treatment for the Technology Upgrade Program, it is possible that investors or analysts will view the accounting treatment or the resulting impact on our GAAP financial results negatively, and there may be confusion when comparing our historical and future financial results, which may cause our stock price to decline. In addition, the complexities associated with the accounting treatment, or with the Technology Upgrade Program generally, may cause investors to avoid purchasing our common stock until the impact of the program is better understood or our financial results and trends are more predictable, which also may adversely impact our stock price.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ind w:right="180"/>
        <w:spacing w:after="0" w:line="381" w:lineRule="auto"/>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w:t>
      </w:r>
    </w:p>
    <w:p>
      <w:pPr>
        <w:spacing w:after="0" w:line="101" w:lineRule="exact"/>
        <w:rPr>
          <w:sz w:val="20"/>
          <w:szCs w:val="20"/>
          <w:color w:val="auto"/>
        </w:rPr>
      </w:pPr>
    </w:p>
    <w:p>
      <w:pPr>
        <w:ind w:firstLine="571"/>
        <w:spacing w:after="0" w:line="268" w:lineRule="auto"/>
        <w:rPr>
          <w:sz w:val="20"/>
          <w:szCs w:val="20"/>
          <w:color w:val="auto"/>
        </w:rPr>
      </w:pPr>
      <w:r>
        <w:rPr>
          <w:rFonts w:ascii="Arial" w:cs="Arial" w:eastAsia="Arial" w:hAnsi="Arial"/>
          <w:sz w:val="17"/>
          <w:szCs w:val="17"/>
          <w:color w:val="auto"/>
        </w:rPr>
        <w:t>We believe that our ability to reduce the per-unit cost of our insulin pump products and related cartridges will have a significant impact on our ability to achieve profitability. Our cost of sales includes raw material procurement costs, labor costs, product-training expenses and expected warranty expenses. It also includes manufacturing overhead costs, including expenses relating to quality assurance, inventory control, facilities, equipment, information technology, and operations management. If we are unable to sustain or reduce our overall cost of sales, including through arrangements such as volume purchase discounts, negotiation of improved pricing, more efficient training programs for customers, and improved warranty performance, it will be difficult to reduce our per unit costs and our ability to achieve profitability will be constrained. The per unit cost of our products is significantly impacted by our overall production volumes, and any factors that cause our production volumes to decline, or to grow at a slower rate than we expect, would significantly impact our expected per unit costs. In addition, we may experience disruption in our manufacturing productivity or incur duplicative or incremental costs as we manage the planned relocation of our manufacturing facility over the next several months. Furthermore, while we currently believe our proprietary technology platform will allow us to gain efficiencies in the design and development of new products, changes in the market that require us to modify or replace our existing platform will reduce the amount of efficiency gained through our platform and increase our per unit costs. If we are unable to effectively manage our overall costs, while increasing our production volumes, we may not be able to achieve or sustain profitability, which would have an adverse impact on our business, financial condition and operating results.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failure of our products to achieve and maintain market acceptance could result in us achieving sales below our expectations, which would cause our business, financial condition and operating results to be materially and adversely affected.*</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current business strategy is highly dependent on our insulin pump products achieving and maintaining market acceptance. Our products include t:slim X2 with G5 integration and t:flex.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insulin treatment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insulin pump products, our sales may decline or we may fail to increase our sales in line with our forecasts.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Achieving and maintaining market acceptance of our products could be negatively impacted by many factors, including:</w:t>
      </w:r>
    </w:p>
    <w:p>
      <w:pPr>
        <w:spacing w:after="0" w:line="225" w:lineRule="exact"/>
        <w:rPr>
          <w:sz w:val="20"/>
          <w:szCs w:val="20"/>
          <w:color w:val="auto"/>
        </w:rPr>
      </w:pPr>
    </w:p>
    <w:p>
      <w:pPr>
        <w:ind w:left="1040" w:right="6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70" w:lineRule="exact"/>
        <w:rPr>
          <w:rFonts w:ascii="Arial" w:cs="Arial" w:eastAsia="Arial" w:hAnsi="Arial"/>
          <w:sz w:val="18"/>
          <w:szCs w:val="18"/>
          <w:color w:val="auto"/>
        </w:rPr>
      </w:pPr>
    </w:p>
    <w:p>
      <w:pPr>
        <w:ind w:left="1040" w:right="80" w:hanging="384"/>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of our products to provide the features and functionality that people with insulin-dependent diabetes, their caregivers and healthcare providers are seeking in an insulin pump, and to incorporate those features into our products in a timely, cost-effective and user-friendly manner;</w:t>
      </w:r>
    </w:p>
    <w:p>
      <w:pPr>
        <w:spacing w:after="0" w:line="181" w:lineRule="exact"/>
        <w:rPr>
          <w:rFonts w:ascii="Arial" w:cs="Arial" w:eastAsia="Arial" w:hAnsi="Arial"/>
          <w:sz w:val="18"/>
          <w:szCs w:val="18"/>
          <w:color w:val="auto"/>
        </w:rPr>
      </w:pPr>
    </w:p>
    <w:p>
      <w:pPr>
        <w:ind w:left="1040" w:right="34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currently-available insulin treatment methodologies;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insulin pump products or similar products or technologies generally;</w:t>
      </w:r>
    </w:p>
    <w:p>
      <w:pPr>
        <w:spacing w:after="0" w:line="225" w:lineRule="exact"/>
        <w:rPr>
          <w:rFonts w:ascii="Arial" w:cs="Arial" w:eastAsia="Arial" w:hAnsi="Arial"/>
          <w:sz w:val="18"/>
          <w:szCs w:val="18"/>
          <w:color w:val="auto"/>
        </w:rPr>
      </w:pPr>
    </w:p>
    <w:p>
      <w:pPr>
        <w:ind w:left="1040" w:right="4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introduction of competitive products, technologies or treatment techniques and the rate of their acceptance as compared to our insulin pump products;</w:t>
      </w:r>
    </w:p>
    <w:p>
      <w:pPr>
        <w:spacing w:after="0" w:line="170" w:lineRule="exact"/>
        <w:rPr>
          <w:rFonts w:ascii="Arial" w:cs="Arial" w:eastAsia="Arial" w:hAnsi="Arial"/>
          <w:sz w:val="18"/>
          <w:szCs w:val="18"/>
          <w:color w:val="auto"/>
        </w:rPr>
      </w:pPr>
    </w:p>
    <w:p>
      <w:pPr>
        <w:ind w:left="1040" w:right="22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discounts, rebates and other financial incentives that our competitors may offer for competitive products that make them more attractive than our products;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clinical studies relating to our existing products or products under development or similar competitive products.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ind w:right="20" w:firstLine="518"/>
        <w:spacing w:after="0" w:line="272" w:lineRule="auto"/>
        <w:rPr>
          <w:sz w:val="20"/>
          <w:szCs w:val="20"/>
          <w:color w:val="auto"/>
        </w:rPr>
      </w:pPr>
      <w:r>
        <w:rPr>
          <w:rFonts w:ascii="Arial" w:cs="Arial" w:eastAsia="Arial" w:hAnsi="Arial"/>
          <w:sz w:val="17"/>
          <w:szCs w:val="17"/>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and our ability to sustain our business operations on a long-term basis, especially in light of our recent and projected financial results, recent changes in and volatility of our stock price, concerns regarding our ability to maintain the continued listing of our common stock on NASDAQ, perceptions about the recent completion of a public offering of our common stock and warrants, our current level of indebtedness and debt service costs, our conclusion that there is substantial doubt about our ability to continue as a going concern, and uncertainties regarding the regulatory environment, could cause consumers to delay the purchase of our products or to purchase competitive products.</w:t>
      </w:r>
    </w:p>
    <w:p>
      <w:pPr>
        <w:spacing w:after="0" w:line="17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Furthermore, the rapid evolution of technology and treatment options within our industry may cause consumers to delay the purchase of our products in anticipation of advancements, or the perception that advancements could occur, in our products or the products offered by our competitors. For example, we believe that during the second half of 2016, consumers interested in purchasing our insulin pump products may have delayed or changed their purchasing decisions in anticipation of the release of a new product by one of our competitors. It is also possible that consumers interested in purchasing any of our future products currently under development may delay the purchase of one of our current products.</w:t>
      </w:r>
    </w:p>
    <w:p>
      <w:pPr>
        <w:spacing w:after="0" w:line="17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If our insulin pump products do not achieve and maintain widespread market acceptance, we may fail to achieve sales at or above our projected amounts. If our sales do not meet our sales projections, our business, financial condition and operating results could be materially and adversely affected, and we may fail to meet our strategic objectives.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have derived nearly all of our revenue from sales of insulin pumps and associated supplies and expect to continue to do so.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18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As guidelines in setting their coverage and reimbursement policies, many third-party payors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More recently, in 2017, Medicare announced, and then shortly thereafter suspended, a competitive bidding process for insulin pumps. As a result, there is uncertainty as to the future Medicare reimbursement rate for our products. In addition, those third-party payors that do not follow the CMS guidelines may adopt different coverage and reimbursement policies for our current and future products. It is possible that some third-party payors will not offer any coverage for our current or future products. For instance,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6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150 national and regional third-party payors in the United States. While we anticipate entering into additional contracts with third-party payors and adding coverage for future products under our current agreements, we cannot guarantee that we will succeed in doing so or that the reimbursement contracts that we are able to negotiate will enable us to sell our products on a profitable basis. In particular, any negative perceptions among third-party payors regarding our financial stability and our ability to continue to sell and service our products, may make it more difficult to enter into contracts for reimbursement with additional third-party payors. This may be especially true in light of the fact that our management believes that we do not have sufficient cash to fund our operations for the next twelve months without additional financing, and the conclusion that there is substantial doubt about our ability to continue as a going concern.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ind w:firstLine="518"/>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selling and training new customers on the use of our products, which could harm our ability to achieve our sales and service objectives.*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have only limited experience marketing and selling our products as well as training new customers on their use. In addition, the vast majority of our existing customers are individuals with type 1 diabetes, and we have only limited experience marketing and selling our products to customers with type 2 diabetes. As a result, we may face unexpected challenges marketing and selling t:flex, which is designed to meet the needs of customers with type 2 diabetes and/or higher insulin requirements.</w:t>
      </w:r>
    </w:p>
    <w:p>
      <w:pPr>
        <w:spacing w:after="0" w:line="18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We expect to derive nearly all of our revenue from the sale of t:slim X2 with G5, t:flex Pumps and pump-related supplies unless and until we receive regulatory clearance or approval for other products currently under development. As a result, our financial condition and operating results are and will continue to be highly dependent on the ability of our sales and marketing organization to adequately promote, market and sell our insulin pumps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A key element of our business strategy is the ability of our sales, clinical, marketing and customer service infrastructure to drive adoption of our products, which includes independent diabetes educators that train new customers on the use of our products. We have rapidly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light of negative perceptions regarding our financial stability, and the recent decline in our stock price, which may make it more difficult to motivate and retain key personnel. Unexpected turnover among our sales, marketing, clinical and customer service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-223520</wp:posOffset>
            </wp:positionV>
            <wp:extent cx="285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3"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We expect that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could even cause sales to decline.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9" w:name="page40"/>
    <w:bookmarkEnd w:id="39"/>
    <w:p>
      <w:pPr>
        <w:ind w:right="38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4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For the year ended December 31, 2016, sales to approximately 40 independent distributors represented approximately 74% of our sales. While our goal is to ultimately reduce the percentage of our sales to independent distributors over time as we enter into contracts with additional third-party payors, we believe that a meaningful percentage of our sales will continue to be to independent distributors for the foreseeable future, and it is possible that the percentage of our sales to independent distributors could even increase in the near term. For example, our dependence upon independent distributors could increase if third-party payors decide to contract with independent distributors directly in lieu of contracting with us to supply our products to their members directly. Our dependence upon independent distributors is also expected to increase following our launch of the t:lock Connector for our insulin cartridge, which we expect will result in greater sales of our infusion sets to distributors. Our dependence upon independent distributors could also increase if customers prefer to purchase all of their diabetes supplies through a single source, instead of purchasing pump-related products through us and other diabetes supplies through other suppliers. However, our conclusion that, unless we successfully raise additional capital, there is substantial doubt about our ability to continue as a going concern, together with the inclusion of an explanatory paragraph that describes conditions that raise substantial doubt about our ability to continue as a going concern in our independent registered public accounting firm’s report contained in our financial statements for the year ended December 31, 2016, may negatively impact one or more of our distributors’ interest in continuing to do business with us. None of our independent distributors has been required to sell our products exclusively and each of them may freely sell the products of our competitors. Our distributor agreements generally have one-year initial terms with automatic one-year renewal terms, and are terminable in connection with a party’s material breach. If we are unable to maintain or expand our network of independent distributors, our sales may be negatively affected.</w:t>
      </w:r>
    </w:p>
    <w:p>
      <w:pPr>
        <w:spacing w:after="0" w:line="169"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For the year ended December 31, 2016, our two largest independent distributors collectively comprised approximately 33% of our sales. If any of our key independent distributors were to cease to distribute our products or reduce their promotion of our products as compared to the products of our competitors, our sales could be adversely 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into additional arrangements with independent distributors to perform sales, marketing or distribution services, or other arrangements pursuant to which independent distributors may purchase product from us, the terms of the arrangements could cause our product margins to be lower than if we directly marketed and sold our products.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contract with or reach other mutually acceptable agreements with these third parties on a timely basis or on mutually acceptable terms, or these third parties do not successfully carry out their commitments or regulatory obligations or meet expected deadlines, or the quality or accuracy of the data they obtain is compromised due to the failure to adhere to agreed upon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In particular, we currently expect to rely on data from the IDCL Trial to support our development of t:slim X2 with TypeZero inControl AID algorithms. The IDCL Trial is being conducted entirely by third parties over which we have little or no control or influence. In the event that the IDCL Trial is not performed on a timely basis, or if the quality or accuracy of the data obtained from the IDCL Trial is compromised due to the failure to adhere to clinical protocols or regulatory requirements or for other reasons, our development activities for t:slim X2 with TypeZero may be negatively impacted.</w:t>
      </w:r>
    </w:p>
    <w:p>
      <w:pPr>
        <w:spacing w:after="0" w:line="1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IDCL Trial that we intend to rely upon for the development of t:slim X2 with TypeZero.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customers, their caregivers and healthcare providers, which include training specific to our products, ongoing support by sales and clinical employees, and 24/7 technical support and customer service. If demand for our products fluctuates, including as a result of the introduction of competitive products, changes in reimbursement policies, manufacturing problems, perceived safety or reliability issues with our or our competitors’ products, the failure to secure regulatory clearance or approvals, or for other reasons, our ability to attract and retain customers could be harmed. In addition, the retention of current customers may be impacted by negative perceptions regarding our financial stability relative to that of our competitors, and our ability to sustain our business operations on a long-term basis. The failure to retain a high percentage of our customers would negatively impact our revenue growth and may have a material adverse effect on our business, financial condition and operating results.</w:t>
      </w:r>
    </w:p>
    <w:p>
      <w:pPr>
        <w:spacing w:after="0" w:line="17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78"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33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upon which to evaluate our business and forecast our future sales and operating results and may face difficulties frequently encountered by companies early in their commercialization in competitive and rapidly-evolving markets.*</w:t>
      </w:r>
    </w:p>
    <w:p>
      <w:pPr>
        <w:spacing w:after="0" w:line="14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commenced operations in 2006, and began commercial sales of t:slim in the third quarter of 2012, of t:flex in the second quarter of 2015 and of t:slim G4 in the third quarter of 2015. Accordingly, we have a limited operating history upon which to evaluate our business and forecast our future sales and operating results. More recently, our commercial launches of t:slim X2 with G5 and t:lock, the FDA approval and launch of new products by one of our competitors, and the announcement by Johnson &amp; Johnson that it is discontinuing the operations of Animas Corporation and exiting the insulin pump business combine to make it more difficult for us to predict our future sales and operating results. In assessing our business prospects, you should consider the various risks and difficulties frequently encountered by companies early in their commercialization history in competitive and rapidly evolving markets, particularly those facing emerging growth companies that manufacture and sell medical devices.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risks include our ability to:</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manage and improve the productivity of our sales, clinical and marketing infrastructure to grow sales of our existing and proposed products;</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awareness of our brand and build loyalty among people with insulin-dependent diabetes, their caregivers and healthcare providers;</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expand our commercial operations, including complying with a broad range of legal requirements within a highly regulated industry;</w:t>
      </w:r>
    </w:p>
    <w:p>
      <w:pPr>
        <w:spacing w:after="0" w:line="236" w:lineRule="exact"/>
        <w:rPr>
          <w:rFonts w:ascii="Arial" w:cs="Arial" w:eastAsia="Arial" w:hAnsi="Arial"/>
          <w:sz w:val="17"/>
          <w:szCs w:val="17"/>
          <w:color w:val="auto"/>
        </w:rPr>
      </w:pPr>
    </w:p>
    <w:p>
      <w:pPr>
        <w:ind w:left="1040" w:hanging="384"/>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expand our manufacturing capabilities, including obtaining and maintaining regulatory approvals to operate our facilities, increasing production of products efficiently while maintaining quality standards, and adapting our manufacturing facilities to the production of new products;</w:t>
      </w:r>
    </w:p>
    <w:p>
      <w:pPr>
        <w:spacing w:after="0" w:line="123" w:lineRule="exact"/>
        <w:rPr>
          <w:rFonts w:ascii="Arial" w:cs="Arial" w:eastAsia="Arial" w:hAnsi="Arial"/>
          <w:sz w:val="16"/>
          <w:szCs w:val="16"/>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and maintain regulatory clearance or approval to enhance our existing products and commercialize proposed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Due to our limited operating history, we may not have the institutional knowledge or experience to be able to effectively address these and other risks that may face our business. In addition, we may not be able to develop insights into trends that could emerge and negatively affect our business and may fail to respond effectively to those trends. As a result of these or other risks, we may not be able to execute key components of our business strategy, and our business, financial condition and operating results may suffer.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181"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secure product components in a timely manner, in sufficient quantities and on commercially reasonable terms;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challenge of implementing and maintaining acceptable quality systems while experiencing rapid growth;</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040" w:right="240" w:hanging="384"/>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386"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facility.</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ind w:left="520"/>
        <w:spacing w:after="0"/>
        <w:rPr>
          <w:sz w:val="20"/>
          <w:szCs w:val="20"/>
          <w:color w:val="auto"/>
        </w:rPr>
      </w:pPr>
      <w:r>
        <w:rPr>
          <w:rFonts w:ascii="Arial" w:cs="Arial" w:eastAsia="Arial" w:hAnsi="Arial"/>
          <w:sz w:val="18"/>
          <w:szCs w:val="18"/>
          <w:color w:val="auto"/>
        </w:rPr>
        <w:t>These risks are likely to be exacerbated by our limited experience with our current products and manufacturing processes.</w:t>
      </w:r>
    </w:p>
    <w:p>
      <w:pPr>
        <w:spacing w:after="0" w:line="22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As demand for our products increases, and as the number of our commercial products expands, we will have to invest additional resources to purchase components, hire and train employees, and enhance our manufacturing processes and quality systems. Over the past year we have implemented several new pieces of equipment that are intended to improve our manufacturing capacity and efficiency and we expect to implement additional equipment and procedures over the next 12-18 months. However, it is possible that we may not achieve the anticipated improvements from these investments.</w:t>
      </w:r>
    </w:p>
    <w:p>
      <w:pPr>
        <w:spacing w:after="0" w:line="154"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In addition, during 2016 we entered into a new lease agreement for an additional facility to consolidate substantially all of our manufacturing, warehousing and other operational needs, and the transition of these operations to a new facility is subject to additional risk and uncertainty, and may expose us to duplicative or incremental costs. While we have obtained the regulatory approvals necessary to commence manufacturing and shipping certain products from the new facility, we have not obtained approval to manufacture all of our products at this facility and the timing associated with obtaining the additional approvals is uncertain. Furthermore, although we expect some of our products under development to share product features and components with our current products, manufacturing of these products may require the modification of our production lines, the hiring of specialized employees, the identification of new suppliers for specific components, the implementation of additional equipment and procedures, or the development of new manufacturing technologies. Ultimately, it may not be possible for us to manufacture these products at a cost or in quantities sufficient to make these products commercially viable.</w:t>
      </w:r>
    </w:p>
    <w:p>
      <w:pPr>
        <w:spacing w:after="0" w:line="166"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If we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product components, and the loss of any of these suppliers, or their inability to provide us with an adequate supply of components, could harm our business.</w:t>
      </w:r>
    </w:p>
    <w:p>
      <w:pPr>
        <w:spacing w:after="0" w:line="17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of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in sufficient quantities, in compliance with regulatory requirements and quality control standards, in accordance with agreed-upon specifications, at acceptable costs and on a timely basis. Recently, we have implemented several business strategies intended to increase our future sales of infusion sets. Increases in any of our product sales, whether forecasted or unanticipated, could strain the ability of our suppliers to deliver an increasingly large supply of components in a manner that meets these various requirements.</w:t>
      </w:r>
    </w:p>
    <w:p>
      <w:pPr>
        <w:spacing w:after="0" w:line="179"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We do not have long-term supply agreements with many of our suppliers and, in many cases, we make our purchases on a purchase order basis. Under most of our supply agreements, we have no obligation to buy any given quantity of components or products until we place written orders, and our suppliers have no obligation to manufacture for us or sell to us any given quantity of components or products until they accept an order. As a result, our ability to purchase adequate quantities of our components or products may be limited. Additionally, our suppliers may encounter problems that limit their ability to manufacture components or products for us, including financial difficulties or damage to their manufacturing equipment or facilities. If we fail to obtain sufficient quantities of high quality components to meet demand on a timely basis, we could lose customer orders, our reputation may be harmed and our business could suffer. Our conclusion that, unless we successfully raise additional capital, there is substantial doubt about our ability to continue as a going concern, together with the inclusion of an explanatory paragraph that describes conditions that raise substantial doubt about our ability to continue as a going concern in our independent registered public accounting firm’s report contained in our financial statements for the year ended December 31, 2016, may cause one or more of our suppliers to terminate their relationship with us, or claim that our financial condition causes them to demand different payment terms.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ind w:right="100" w:firstLine="518"/>
        <w:spacing w:after="0" w:line="270" w:lineRule="auto"/>
        <w:rPr>
          <w:sz w:val="20"/>
          <w:szCs w:val="20"/>
          <w:color w:val="auto"/>
        </w:rPr>
      </w:pPr>
      <w:r>
        <w:rPr>
          <w:rFonts w:ascii="Arial" w:cs="Arial" w:eastAsia="Arial" w:hAnsi="Arial"/>
          <w:sz w:val="17"/>
          <w:szCs w:val="17"/>
          <w:color w:val="auto"/>
        </w:rPr>
        <w:t>We generally use a small number of suppliers for our components or products. Depending on a limited number of suppliers exposes us to risks, including limited control over pricing,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would limit our ability to meet our sales commitments, which could harm our reputation and could have a material adverse effect on our business.</w:t>
      </w:r>
    </w:p>
    <w:p>
      <w:pPr>
        <w:spacing w:after="0" w:line="178"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or other regulatory agencies, and the failure of our suppliers to comply with strictly-enforced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disruptions, could negatively impact our ability to manufacture our products on a timely basis, in sufficient quantities, or at all, which could harm our commercialization efforts and adversely affect our operating results.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cannot manufacture and sell our new infusion set connector when anticipated, or if it does not achieve market acceptance, we may not achieve our financial projections.*</w:t>
      </w:r>
    </w:p>
    <w:p>
      <w:pPr>
        <w:spacing w:after="0" w:line="17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September 2017, we began commercial sales of products with our t:lock Connector, which replaces the standard Luer-lok connector that historically joined an infusion set to our proprietary disposable insulin cartridges. Concurrently, we began selling infusion sets that are compatible with t:lock. Our anticipated 2017 sales assume that our current and future customers will begin using our new cartridges and infusion sets with t:lock in significant quantities by the end of 2017. Furthermore, our supplier of infusion sets must manufacture a variety of lengths and styles of infusion sets with t:lock that matches our cartridges. Failure to do so, or to do so at the necessary production volumes, may result in our inability to convert customers to t:lock when anticipated or at all, which would negatively impact our sales and operating margins.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our independent distributors will need to agree to purchase the compatible infusion sets from us to provide to their customers. We anticipate the transition period for our direct customers and distributors to utilize their inventory on hand before transitioning to t:lock will be 90 to 120 days following its initial launch. During this period we anticipate offering both styles of cartridges and infusion sets to facilitate the transition of customer supplies. However, due to the variability in purchasing patterns, standard Luer-lok inventory may not be consumed at the predicted rates and we may be required to offer both styles of insulin cartridges and infusion sets for a longer period than anticipated or we may be left with excess quantities of Luer-lok style insulin cartridges that we cannot sell at standard prices or at all.</w:t>
      </w:r>
    </w:p>
    <w:p>
      <w:pPr>
        <w:spacing w:after="0" w:line="19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While t:lock was designed based on customer feedback, and all standard Luer-lok infusion sets that we currently offer will initially be made available with t:lock, it is possible that t:lock may not gain market acceptance by current or potential customers, their caregivers, or healthcare providers. Any negative market response to t:lock may impact a current customer’s decision to purchase a new pump from us at the time of renewal. In addition, potential customers may decide not to purchase our insulin pumps if they do not prefer t:lock or t:lock compatible infusion sets, which may impede our ability to achieve our financial projections.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currently operate primarily at two locations in San Diego, California, and any disruption at these locations could adversely affect our business and operating results.*</w:t>
      </w:r>
    </w:p>
    <w:p>
      <w:pPr>
        <w:spacing w:after="0" w:line="170"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Substantially all of our operations are either conducted, or expected to be conducted, at two locations in San Diego, California, including our manufacturing processes, research and development activities, customer and technical support, and management and administrative functions. In addition, substantially all of our inventory of component supplies and finished goods are held at these locations. We take precautions to safeguard our facilities, including acquiring insurance, employing back-up generators, adopting health and safety protocols and utilizing off-site storage of computer data. However, vandalism, terrorism or a natural or other disaster, such as an earthquake, fire or flood, could damage or destroy our manufacturing equipment or our inventory of component supplies and finished goods, cause substantial delays in our operations, result in the loss of key information, result in reduced sales, and cause us to incur additional expenses. Our insurance may not cover our losses in any particular case. Regardless of the level of insurance coverage, damage to our facilities may have a material adverse effect on our business, financial condition and operating results.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ind w:right="100"/>
        <w:spacing w:after="0" w:line="277" w:lineRule="auto"/>
        <w:rPr>
          <w:sz w:val="20"/>
          <w:szCs w:val="20"/>
          <w:color w:val="auto"/>
        </w:rPr>
      </w:pPr>
      <w:r>
        <w:rPr>
          <w:rFonts w:ascii="Arial" w:cs="Arial" w:eastAsia="Arial" w:hAnsi="Arial"/>
          <w:sz w:val="18"/>
          <w:szCs w:val="18"/>
          <w:b w:val="1"/>
          <w:bCs w:val="1"/>
          <w:i w:val="1"/>
          <w:iCs w:val="1"/>
          <w:color w:val="auto"/>
        </w:rPr>
        <w:t>The transition of our manufacturing operations to our new facility may result in further delays or expenses, which may increase our manufacturing and operating costs and require us to spend additional capital.*</w:t>
      </w:r>
    </w:p>
    <w:p>
      <w:pPr>
        <w:spacing w:after="0" w:line="17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We currently manufacture all of our insulin pump products and a significant portion of our cartridges at our headquarters in San Diego, California, but are in the process of transitioning all of our manufacturing operations to a nearby facility that will allow for future capacity expansion. The transition to the new manufacturing facility commenced during the second quarter of 2017 and we expect to complete the transition by the end of 2017. During the transition period we expect to experience some temporary duplication of operations to support ongoing product manufacturing, which will result in duplicative and incremental costs. In addition, while we have obtained certain governmental approvals necessary to commence manufacturing and shipping certain products from the new facility, we have not obtained approval to manufacture all of our products at this facility and the timing associated with obtaining the additional approvals is uncertain. We may continue to face significant challenges as we manage our proposed facility transition, such as additional delays or expenses, and we may be required to make additional capital expenditures relating to the new facility. We also may experience unanticipated inefficiencies as we commence manufacturing operations at the new facility, particularly during the transition period. If we fail to achieve the operating efficiencies that we anticipate from the new facility, or if we incur substantial incremental costs during the transition, our manufacturing and operating costs may be greater than we anticipate.</w:t>
      </w:r>
    </w:p>
    <w:p>
      <w:pPr>
        <w:spacing w:after="0" w:line="183"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In September 2017, following an inspection relating to our new manufacturing facility, the FDA issued a Form 483, List of Inspectional Observations, containing two observations. Following our receipt of the Form 483, we began implementing corrective and preventive actions to fully address</w:t>
      </w:r>
    </w:p>
    <w:p>
      <w:pPr>
        <w:ind w:right="120"/>
        <w:spacing w:after="0" w:line="273" w:lineRule="auto"/>
        <w:rPr>
          <w:sz w:val="20"/>
          <w:szCs w:val="20"/>
          <w:color w:val="auto"/>
        </w:rPr>
      </w:pPr>
      <w:r>
        <w:rPr>
          <w:rFonts w:ascii="Arial" w:cs="Arial" w:eastAsia="Arial" w:hAnsi="Arial"/>
          <w:sz w:val="17"/>
          <w:szCs w:val="17"/>
          <w:color w:val="auto"/>
        </w:rPr>
        <w:t>the FDA observations, and we intend to provide written responses to the FDA detailing these corrective and preventive actions. While we believe we will resolve this matter with the FDA without significant delay or expense, the outcome of this matter is presently uncertain. We cannot provide assurance that the FDA will conclude that our corrective and preventive actions are adequate to address the observations. If the FDA is not satisfied, it may issue a warning letter to us or may take other actions, any of which could have a material adverse effect on our business.</w:t>
      </w:r>
    </w:p>
    <w:p>
      <w:pPr>
        <w:spacing w:after="0" w:line="17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expect that the management and support of our transition to the new facility will place significant burdens on our management team, particularly in areas relating to operations, quality, regulatory, facilities and information technology. If we experience unanticipated employee turnover in any of these areas, we may not be able to effectively manage the completion of construction of the new facility or our transition and commencement of manufacturing operations when planned and we may not achieve the operating efficiencies that we anticipate from the new facility.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our product offerings through our research and development efforts, we may fail to effectively compete or become profitable.</w:t>
      </w:r>
    </w:p>
    <w:p>
      <w:pPr>
        <w:spacing w:after="0" w:line="248"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58" w:lineRule="exact"/>
        <w:rPr>
          <w:sz w:val="20"/>
          <w:szCs w:val="20"/>
          <w:color w:val="auto"/>
        </w:rPr>
      </w:pPr>
    </w:p>
    <w:p>
      <w:pPr>
        <w:ind w:left="1040" w:hanging="384"/>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87" w:right="259" w:bottom="1440" w:gutter="0" w:footer="0" w:header="0"/>
        </w:sectPr>
      </w:pPr>
    </w:p>
    <w:bookmarkStart w:id="45" w:name="page46"/>
    <w:bookmarkEnd w:id="45"/>
    <w:p>
      <w:pPr>
        <w:ind w:firstLine="518"/>
        <w:spacing w:after="0" w:line="289" w:lineRule="auto"/>
        <w:rPr>
          <w:sz w:val="20"/>
          <w:szCs w:val="20"/>
          <w:color w:val="auto"/>
        </w:rPr>
      </w:pPr>
      <w:r>
        <w:rPr>
          <w:rFonts w:ascii="Arial" w:cs="Arial" w:eastAsia="Arial" w:hAnsi="Arial"/>
          <w:sz w:val="16"/>
          <w:szCs w:val="16"/>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we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t:slim X2 and t:flex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G4 and t:slim X2 with G5 received FDA approval under a PMA. However, there are no published studies to evaluate the safety or effectiveness of t:slim G4 or t:slim X2 with G5 in a controlled setting.</w:t>
      </w:r>
    </w:p>
    <w:p>
      <w:pPr>
        <w:spacing w:after="0" w:line="18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As a result, we currently lack the breadth of published long-term clinical data supporting the safety and efficacy of our products and the benefits they offer, that might have been generated in connection with other approval processes.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67" w:lineRule="exact"/>
        <w:rPr>
          <w:sz w:val="20"/>
          <w:szCs w:val="20"/>
          <w:color w:val="auto"/>
        </w:rPr>
      </w:pPr>
    </w:p>
    <w:p>
      <w:pPr>
        <w:jc w:val="both"/>
        <w:ind w:right="220" w:firstLine="518"/>
        <w:spacing w:after="0" w:line="286" w:lineRule="auto"/>
        <w:rPr>
          <w:sz w:val="20"/>
          <w:szCs w:val="20"/>
          <w:color w:val="auto"/>
        </w:rPr>
      </w:pPr>
      <w:r>
        <w:rPr>
          <w:rFonts w:ascii="Arial" w:cs="Arial" w:eastAsia="Arial" w:hAnsi="Arial"/>
          <w:sz w:val="17"/>
          <w:szCs w:val="17"/>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subject to mandatory product recalls, suspension or withdrawal of FDA clearance or approval, significant legal liability, and harm to our business reputation.</w:t>
      </w:r>
    </w:p>
    <w:p>
      <w:pPr>
        <w:spacing w:after="0" w:line="166"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Any alleged illness or injury associated with any of our products or product recall may negatively impact our financial results and business prospects depending on the scope, degree of publicity, reaction of our customers, healthcare professionals, and collaborators, competitive reaction, and consumer attitudes overall.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ind w:firstLine="518"/>
        <w:spacing w:after="0" w:line="269"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8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For example, we entered into three separate development agreements with Dexcom which provide us non-exclusive licenses to integrate various generations of Dexcom CGM technology with our insulin pump products. We currently offer t:slim G4 under an agreement that runs until January 4, 2018, with automatic one-year renewals. Our agreements with Dexcom, which provide us non-exclusive licenses to integrate Dexcom G5 and G6 technology with our insulin pump products currently run until June 2020, with automatic one-year renewals. Under certain circumstances, our agreements with Dexcom may be terminated by either party without cause or on short notice. Termination of any of our agreements with Dexcom could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w:t>
      </w:r>
    </w:p>
    <w:p>
      <w:pPr>
        <w:spacing w:after="0" w:line="3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We operate our business in regions subject to natural disasters, including earthquakes, hurricanes, floods, fires and other catastrophic events.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w:t>
      </w:r>
    </w:p>
    <w:p>
      <w:pPr>
        <w:spacing w:after="0" w:line="14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Recently, Hurricane Irma and Hurricane Harvey adversely impacted our business operations in Texas, Florida and other nearby regions. These hurricanes directly and significantly affected our sales force, healthcare providers and potential customers, as well as distribution centers operated by certain of our independent distributors. Although our business operations have generally resumed in these areas, we are currently assessing the impact these hurricanes had and will continue to have on our customers, the demand for our products in the affected areas, the effectiveness of our sales force, and the ability of our distributors to meet their obligations to us. We expect it will be several weeks before we are able to fully assess the extent of the impact and the implications to our business.</w:t>
      </w:r>
    </w:p>
    <w:p>
      <w:pPr>
        <w:spacing w:after="0" w:line="19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These and any future disruptions to our operations could have a material adverse impact on our financial condition and results of operations in future periods.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Any significant disruptions to our information technology systems, or failures of our pumps’ software to perform as we anticipate, could have an adverse effect on our business, financial condition and operating results.</w:t>
      </w:r>
    </w:p>
    <w:p>
      <w:pPr>
        <w:spacing w:after="0" w:line="17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currently-marketed insulin pumps, and our products currently under development contain software which could be subject to computer virus, hacker attacks or other failures. As a result of the recent FDA clearance of our Tandem Device Updater, which enables customers to remotely update software on their insulin pumps, these risks are significantly increased.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ind w:right="80" w:firstLine="518"/>
        <w:spacing w:after="0" w:line="254" w:lineRule="auto"/>
        <w:rPr>
          <w:sz w:val="20"/>
          <w:szCs w:val="20"/>
          <w:color w:val="auto"/>
        </w:rPr>
      </w:pPr>
      <w:r>
        <w:rPr>
          <w:rFonts w:ascii="Arial" w:cs="Arial" w:eastAsia="Arial" w:hAnsi="Arial"/>
          <w:sz w:val="18"/>
          <w:szCs w:val="18"/>
          <w:color w:val="auto"/>
        </w:rPr>
        <w:t>The failure of our or our service providers’ information technology systems or our pumps’ software to perform as we anticipate or our failure to effectively implement new information technology systems could disrupt our entire operation or adversely affect our software products. For example, we market our Tandem Device Updater as having the unique capability to deploy software updates to our pumps, which we anticipate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225"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Our rapid growth has placed, and we expect that it will continue to place, a significant strain on our management team and financial resources. For example, between December 31, 2015 and December 31, 2016 our employee base increased by approximately 23%. In addition, during 2015 and 2016 we experienced turnover among key employees in our sales, marketing, clinical, and research and development functions, including the hiring of a new Chief Commercial Officer and a new Vice President of Engineering. Our failure to manage growth effectively could cause us to misallocate management or financial resources, negatively impact our ability to attract and retain key employees, and result in losses or weaknesses in our infrastructure, which could materially adversely affect our business. Additionally, our anticipated growth and the projected evolution of our product portfolio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our Chief Executive Officer, as well as other key members of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This may be especially true during periods in which we face challenges such as financial difficulty or a reduced stock price.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34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are highly dependent upon the members of our executive management team, as well as other key employees. Many of these individuals have been employed by us for many years, have played integral roles in the growth of our business, and will continue to provide value to us. In our industry, it is common to attract and retain executive talent and other employees with compensation packages that include a significant equity component. At this time, our outstanding equity awards, which generally are issued in the form of stock options, are significantly devalued or out of the money and less likely to be exercisable in the future. We plan to issue additional equity incentives that we believe will enhance our ability to retain our current key employees and attract the necessary additional executive talent, which may include the repricing of stock options.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170"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There are a number of federal and state laws protecting the confidentiality of certain patient health information, including patient records, and restricting the use and disclosure of that protected information. In particular, the U.S. Department of Health and Human Services, or HHS, promulgated patient privacy rules under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If we, or any of our service providers, are found to be in violation of the promulgated patient privacy rules under HIPAA, we could be subject to civil or criminal penalties, which could increase our liabilities, harm our reputation and have a material adverse effect on our business, financial condition and operating results.</w:t>
      </w:r>
    </w:p>
    <w:p>
      <w:pPr>
        <w:spacing w:after="0" w:line="17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01"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funds in the future. If these funds are not available to us, we will not have sufficient cash to fund our operations for the next twelve months.*</w:t>
      </w:r>
    </w:p>
    <w:p>
      <w:pPr>
        <w:spacing w:after="0" w:line="17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At September 30, 2017, we had $22.5 million in cash, cash equivalents and short-term investments, which included $10.0 million of restricted cash. At the date our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Moreover, the continued growth of our business, including the expansion of our customer care infrastructure to support our growing base of customers, additional research and development activities, and the transition to our new manufacturing facility, will continue to increase our expenses and capital needs. In addition, the amount of our future product sales is difficult to predict and actual sales may not be in line with our forecasts. Our future capital requirements will depend on many factors, including:</w:t>
      </w:r>
    </w:p>
    <w:p>
      <w:pPr>
        <w:spacing w:after="0" w:line="167" w:lineRule="exact"/>
        <w:rPr>
          <w:sz w:val="20"/>
          <w:szCs w:val="20"/>
          <w:color w:val="auto"/>
        </w:rPr>
      </w:pPr>
    </w:p>
    <w:p>
      <w:pPr>
        <w:ind w:left="1040" w:right="32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infusion sets and insulin cartridges, and any other future products that we may develop and commercialize;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associated with maintaining an appropriate sales, clinical and marketing infrastructure;</w:t>
      </w:r>
    </w:p>
    <w:p>
      <w:pPr>
        <w:spacing w:after="0" w:line="225" w:lineRule="exact"/>
        <w:rPr>
          <w:rFonts w:ascii="Arial" w:cs="Arial" w:eastAsia="Arial" w:hAnsi="Arial"/>
          <w:sz w:val="18"/>
          <w:szCs w:val="18"/>
          <w:color w:val="auto"/>
        </w:rPr>
      </w:pPr>
    </w:p>
    <w:p>
      <w:pPr>
        <w:ind w:left="1040" w:right="14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expenses we incur in maintaining and expanding our manufacturing infrastructure, including opening our new manufacturing location and adding additional manufacturing equipment and capacity;</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associated with developing and commercializing our proposed products or technologies;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care infrastructure;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products and our manufacturing facilities;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we incur in connection with potential litigation or governmental investigations;</w:t>
      </w:r>
    </w:p>
    <w:p>
      <w:pPr>
        <w:spacing w:after="0" w:line="225"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compliance with the covenants in our Amended and Restated Term Loan Agreement with Capital Royalty Partners, which we refer to as the Term Loan Agreement;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right="400" w:firstLine="518"/>
        <w:spacing w:after="0" w:line="273" w:lineRule="auto"/>
        <w:rPr>
          <w:sz w:val="20"/>
          <w:szCs w:val="20"/>
          <w:color w:val="auto"/>
        </w:rPr>
      </w:pPr>
      <w:r>
        <w:rPr>
          <w:rFonts w:ascii="Arial" w:cs="Arial" w:eastAsia="Arial" w:hAnsi="Arial"/>
          <w:sz w:val="17"/>
          <w:szCs w:val="17"/>
          <w:color w:val="auto"/>
        </w:rPr>
        <w:t>We may in the future seek additional capital from public or private offerings of our capital stock (including our ATM offering) or we may elect to borrow additional amounts under new credit lines or from other sources.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78"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If we are unable to raise additional capital, we may not be able to maintain our existing sales, marketing, clinical and customer care infrastructure, enhance our current products or develop new products, take advantage of future opportunities, respond to competitive pressures, changes in supplier relationships, or unanticipated changes in customer demand, or satisfy covenants in our existing indebtedness. Any of these events could adversely affect our ability to achieve our strategic objectives, which could have a material adverse effect on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introductions. Our operating results, and the variability of these operating results, will be affected by numerous factors, including:</w:t>
      </w:r>
    </w:p>
    <w:p>
      <w:pPr>
        <w:spacing w:after="0" w:line="181" w:lineRule="exact"/>
        <w:rPr>
          <w:sz w:val="20"/>
          <w:szCs w:val="20"/>
          <w:color w:val="auto"/>
        </w:rPr>
      </w:pPr>
    </w:p>
    <w:p>
      <w:pPr>
        <w:ind w:left="1040" w:right="160" w:hanging="38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increase sales and gross profit of our insulin pump products and pump-related supplies, and to commercialize and sell our future products, and the number of our products sold in each quarter;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acceptance of our products by people with insulin-dependent diabetes, their caregivers, healthcare providers and third-party payors;</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and accounting impacts of the Technology Upgrade Program;</w:t>
      </w:r>
    </w:p>
    <w:p>
      <w:pPr>
        <w:spacing w:after="0" w:line="225" w:lineRule="exact"/>
        <w:rPr>
          <w:rFonts w:ascii="Arial" w:cs="Arial" w:eastAsia="Arial" w:hAnsi="Arial"/>
          <w:sz w:val="18"/>
          <w:szCs w:val="18"/>
          <w:color w:val="auto"/>
        </w:rPr>
      </w:pPr>
    </w:p>
    <w:p>
      <w:pPr>
        <w:ind w:left="1040" w:right="780" w:hanging="38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040" w:right="320" w:hanging="38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and reliability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revenue and expense recognition associated with our product sales pursuant to applicable accounting standards.</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a result of our recent product launches, and due to the complexities of the industry in which we operate, it will continue to be difficult for us to forecast demand for our products with any degree of certainty, which means it will be difficult for us to forecast our sales. For example, in the period leading up to the commercial launch of t:slim X2, we believe there were an increasing number of customers anticipating its availability who delayed their purchasing decisions until they could include t:slim X2 in their decision-making process.</w:t>
      </w:r>
    </w:p>
    <w:p>
      <w:pPr>
        <w:spacing w:after="0" w:line="18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In addition, our operating expenses will continue to increase as we expand our business. Accordingly, we may experience substantial variability in our operating results from quarter to quarter. If our quarterly or annual operating results fall below the expectation of investors or securities analysts, the price of our common stock could decline substantially as has occurred over the past several months. Further,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concluded that we do not have sufficient cash to fund our operations for the next twelve months without additional financing and, therefore, there was substantial doubt about its ability to continue as a going concern within one year after the date the financial statements were issued, which could have a material adverse impact on our business.*</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At the date the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The financial statements included in this Quarterly Report have been prepared on a basis that assumes that we will continue as a going concern, which contemplates the realization of assets and the satisfaction of liabilities and commitments in the normal course of business.</w:t>
      </w:r>
    </w:p>
    <w:p>
      <w:pPr>
        <w:spacing w:after="0" w:line="18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ability to continue as a going concern is dependent upon a number of factors, including our ability to increase our sales and gross profits, our ability to generate positive cash flow from operations, and our ability to obtain the necessary financing to meet our obligations and repay our liabilities arising from obligations that become due in the ordinary course of business. Management currently believes that it will be necessary for us to raise additional funding. However, our conclusion that there is substantial doubt about our ability to continue as a going concern may be viewed unfavorably by current and prospective investors, as well as by analysts and creditors. As a result, this conclusion may make it more difficult for us to raise the additional financing necessary to continue to operate our business. In addition, this conclusion may make it more difficult for us to sell our products and meet our sales forecasts, which may further impede our ability to raise additional financing.</w:t>
      </w:r>
    </w:p>
    <w:p>
      <w:pPr>
        <w:spacing w:after="0" w:line="189"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If we cannot generate sufficient revenues from the sale of our products or secure additional financing on acceptable terms, we may be forced to significantly alter our business strategy, substantially curtail our current operations, or cease operations altogether.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indebtedness, which currently consists of our Term Loan Agreement with Capital Royalty Partners.</w:t>
      </w:r>
    </w:p>
    <w:p>
      <w:pPr>
        <w:spacing w:after="0" w:line="170"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At December 31, 2016, we had $81.1 million aggregate borrowings outstanding under the Term Loan Agreement with Capital Royalty Partners. Our ability to make scheduled payments or to refinance our debt obligations depends on numerous factors, including the amount of our cash reserves at the time a scheduled payment becomes due and our actual and projected financial and operating performance. The amount of our cash reserves and our financial and operating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or interest on our existing or future indebtedness.</w:t>
      </w:r>
    </w:p>
    <w:p>
      <w:pPr>
        <w:spacing w:after="0" w:line="178" w:lineRule="exact"/>
        <w:rPr>
          <w:sz w:val="20"/>
          <w:szCs w:val="20"/>
          <w:color w:val="auto"/>
        </w:rPr>
      </w:pPr>
    </w:p>
    <w:p>
      <w:pPr>
        <w:ind w:right="80" w:firstLine="571"/>
        <w:spacing w:after="0" w:line="271" w:lineRule="auto"/>
        <w:rPr>
          <w:sz w:val="20"/>
          <w:szCs w:val="20"/>
          <w:color w:val="auto"/>
        </w:rPr>
      </w:pPr>
      <w:r>
        <w:rPr>
          <w:rFonts w:ascii="Arial" w:cs="Arial" w:eastAsia="Arial" w:hAnsi="Arial"/>
          <w:sz w:val="17"/>
          <w:szCs w:val="17"/>
          <w:color w:val="auto"/>
        </w:rPr>
        <w:t>If our cash balances or cash flows from operations are insufficient to fund our debt service obligations, we may be forced to reduce or delay capital expenditures, sell or license our assets, sell or reduce our operations, seek additional capital on unfavorable terms, or restructure or refinance our indebtedness. We cannot assure you that we would be able to take any of these actions, or that these actions would permit us to meet our scheduled debt service obligations. Our recent and projected financial results, the explanatory paragraph that describes conditions that raise substantial doubt about our ability to continue as a going concern in the report of our independent registered public accounting firm, and general concerns among potential investors and creditors about our financial well-being may make taking such actions on commercially reasonable terms especially difficult. If we are unable to generate sufficient cash flow or are otherwise unable to obtain the funds necessary to meet required payments of principal, premium, if any, and interest on our indebtedness, we could be in default under the terms of the Term Loan Agreement.</w:t>
      </w:r>
    </w:p>
    <w:p>
      <w:pPr>
        <w:spacing w:after="0" w:line="3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Term Loan Agreement contains restrictive and financial covenants that may limit our operating flexibility, and our potential inability to comply with such covenants puts us at risk of triggering an event of default under the Term Loan Agreement.*</w:t>
      </w:r>
    </w:p>
    <w:p>
      <w:pPr>
        <w:spacing w:after="0" w:line="170" w:lineRule="exact"/>
        <w:rPr>
          <w:sz w:val="20"/>
          <w:szCs w:val="20"/>
          <w:color w:val="auto"/>
        </w:rPr>
      </w:pPr>
    </w:p>
    <w:p>
      <w:pPr>
        <w:ind w:right="280" w:firstLine="571"/>
        <w:spacing w:after="0" w:line="279" w:lineRule="auto"/>
        <w:rPr>
          <w:sz w:val="20"/>
          <w:szCs w:val="20"/>
          <w:color w:val="auto"/>
        </w:rPr>
      </w:pPr>
      <w:r>
        <w:rPr>
          <w:rFonts w:ascii="Arial" w:cs="Arial" w:eastAsia="Arial" w:hAnsi="Arial"/>
          <w:sz w:val="17"/>
          <w:szCs w:val="17"/>
          <w:color w:val="auto"/>
        </w:rPr>
        <w:t>The Term Loan Agreement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We may not be able to engage in any of the foregoing transactions unless we obtain the consent of Capital Royalty Partners or terminate the Term Loan Agreement.</w:t>
      </w:r>
    </w:p>
    <w:p>
      <w:pPr>
        <w:spacing w:after="0" w:line="171"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Term Loan Agreement also contains certain financial covenants, including minimum revenue and cash balance requirements, and financial reporting requirements. There is no guarantee that we will be able to generate sufficient cash flow or sales to meet the financial covenants or pay the principal and interest under the Term Loan Agreement. Further, there is no guarantee that future working capital, borrowings or equity financing will be available to repay or refinance the amounts outstanding under the Term Loan Agreement.</w:t>
      </w:r>
    </w:p>
    <w:p>
      <w:pPr>
        <w:spacing w:after="0" w:line="187"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The terms of the Term Loan Agreement also require that we deliver audited financial statements that include an unqualified audit report to Capital Royalty Partners. 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 This explanatory paragraph in our auditor’s report constitutes a potential event of default under the Term Loan Agreement. As a result, in March 2017, we entered into Waiver and Amendment No. 4 to Term Loan Agreement, or the Fourth Amendment, which includes a limited waiver of a potential event of default that could have resulted from the inclusion of the explanatory paragraph in our auditor’s report. The Fourth Amendment also imposes additional restrictive and financial covenants on us, which may increase our risk of triggering defaults under the Term Loan Agreement.</w:t>
      </w:r>
    </w:p>
    <w:p>
      <w:pPr>
        <w:spacing w:after="0" w:line="167"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In the event of a future default triggered by any violations of the covenants in the Term Loan Agreement, we will need to obtain additional waivers from Capital Royalty Partners to avoid being in default. For example, if the audit report and opinion of our independent registered public accounting firm contained in our financial statements for the year ending December 31, 2017 includes an explanatory paragraph that describes conditions that raise substantial doubt about our ability to continue as a going concern, it could constitute a potential event of default under the Term Loan Agreement for which we are required to seek a waiver. If we are unable to obtain a waiver of any events of default, or an amendment to the Term Loan Agreement that would allow us to be in compliance with the terms of the agreement, an event of default would result.</w:t>
      </w:r>
    </w:p>
    <w:p>
      <w:pPr>
        <w:spacing w:after="0" w:line="178"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the event of our default under of the Term Loan Agreement, we may be required to repay any outstanding amounts earlier than anticipated and our capital resources may not be sufficient to meet those obligations. Further, if we are unable to repay our indebtedness and Capital Royalty Partners institutes foreclosure proceedings against our assets, we could be forced into bankruptcy or liquidation, and in such a scenario, the values that we receive for our assets could be significantly lower than the values reflected in our financial statements.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September 30, 2017, our patent portfolio consisted of approximately 55 issued U.S. patents and 52 pending U.S. patent applications. Of these, our issued U.S. patents expire between approximately 2021 and 2035. We also have and are seeking patent protection for our proprietary technologies in other countries throughout the world. In addition, we have 10 U.S. trademark registrations and 13 foreign trademark registrations.</w:t>
      </w:r>
    </w:p>
    <w:p>
      <w:pPr>
        <w:spacing w:after="0" w:line="15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6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Any intellectual property dispute or litigation could force us to do one or more of the following:</w:t>
      </w:r>
    </w:p>
    <w:p>
      <w:pPr>
        <w:spacing w:after="0" w:line="170" w:lineRule="exact"/>
        <w:rPr>
          <w:sz w:val="20"/>
          <w:szCs w:val="20"/>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3" w:name="page54"/>
    <w:bookmarkEnd w:id="53"/>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attempt to obtain a license to the relevant intellectual property from third parties, which may not be available on reasonable terms or at all.</w:t>
      </w:r>
    </w:p>
    <w:p>
      <w:pPr>
        <w:spacing w:after="0" w:line="23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diabetes market increases, the possibility of intellectual property infringement claims against us increases.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following our January 2014 voluntary recall of cartridges used with t:slim. In addition, the misuse of our products or the failure of customers to adhere to operating guidelines could cause significant harm to customers, including death, which could result in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66"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Product liability claims in excess of applicable insurance coverage could have a material adverse effect on our business, financial condition and operating results. In addition, any product liability claim brought against us, with or without merit, could result in an increase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39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Before we can market or sell a new regulated product or a significant modification to an existing product in the United States, we must obtain either clearance under Section 510(k) of the FDCA or approval of a Premarket Approval, or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and of our PMA supplement for t:slim X2 with G5 in August 2017.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8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initially received pre-market clearance for t:slim under Section 510(k) of the FDCA in November 2011. We obtained 510(k) clearances for t:connect and t:flex in February 2013 and January 2015, respectively. From time to time, we may make modifications to these products that may require a new 510(k). We have received 510(k) clearance for various modifications to t:slim and its associated cartridge. For instance, in July 2016, we received 510(k) clearance to reduce the age in our indications for use of t:slim to age six. We may pursue 510(k) clearance for additional products or product modifications in the future.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our products currently under development will require the more costly, lengthy and uncertain PMA approval process.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8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5" w:name="page56"/>
    <w:bookmarkEnd w:id="55"/>
    <w:p>
      <w:pPr>
        <w:ind w:right="140" w:firstLine="518"/>
        <w:spacing w:after="0" w:line="297" w:lineRule="auto"/>
        <w:rPr>
          <w:sz w:val="20"/>
          <w:szCs w:val="20"/>
          <w:color w:val="auto"/>
        </w:rPr>
      </w:pPr>
      <w:r>
        <w:rPr>
          <w:rFonts w:ascii="Arial" w:cs="Arial" w:eastAsia="Arial" w:hAnsi="Arial"/>
          <w:sz w:val="16"/>
          <w:szCs w:val="16"/>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5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Further, we are evaluating international expansion opportunities for a potential launch in 2018. If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and our third-party suppliers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FDA has the authority to require the recall of commercialized products in the event of material deficiencies or defects in design or manufacture or in the event that a product poses an unacceptable risk to health. The FDA has broad discretion to require the recall of a product and may do so even in circumstances where we do not believe our product poses an unacceptable risk to health. In addition, manufacturers may, under their own initiative, recall a product if any material deficiency in a product is found.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of any products that we distribute would divert managerial and financial resources, and have an adverse effect on our reputation, financial condition and operating results.</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right="220" w:firstLine="518"/>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8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040" w:right="120" w:hanging="384"/>
        <w:spacing w:after="0" w:line="25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6"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70" w:lineRule="exact"/>
        <w:rPr>
          <w:rFonts w:ascii="Arial" w:cs="Arial" w:eastAsia="Arial" w:hAnsi="Arial"/>
          <w:sz w:val="18"/>
          <w:szCs w:val="18"/>
          <w:color w:val="auto"/>
        </w:rPr>
      </w:pPr>
    </w:p>
    <w:p>
      <w:pPr>
        <w:ind w:left="1040" w:hanging="384"/>
        <w:spacing w:after="0" w:line="286"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federal and state physician referral laws, such as the federal “Stark Law,” that prohibit a physician from referring Medicare or Medicaid patients to an entity providing “designated health services,” including a company that furnishes durable medical equipment, in which the physician has an ownership or investment interest or with which the physician has entered into a compensation arrangement;</w:t>
      </w:r>
    </w:p>
    <w:p>
      <w:pPr>
        <w:spacing w:after="0" w:line="165" w:lineRule="exact"/>
        <w:rPr>
          <w:rFonts w:ascii="Arial" w:cs="Arial" w:eastAsia="Arial" w:hAnsi="Arial"/>
          <w:sz w:val="17"/>
          <w:szCs w:val="17"/>
          <w:color w:val="auto"/>
        </w:rPr>
      </w:pPr>
    </w:p>
    <w:p>
      <w:pPr>
        <w:ind w:left="1040" w:right="360" w:hanging="384"/>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 and</w:t>
      </w:r>
    </w:p>
    <w:p>
      <w:pPr>
        <w:spacing w:after="0" w:line="225" w:lineRule="exact"/>
        <w:rPr>
          <w:rFonts w:ascii="Arial" w:cs="Arial" w:eastAsia="Arial" w:hAnsi="Arial"/>
          <w:sz w:val="18"/>
          <w:szCs w:val="18"/>
          <w:color w:val="auto"/>
        </w:rPr>
      </w:pPr>
    </w:p>
    <w:p>
      <w:pPr>
        <w:ind w:left="1040" w:right="100" w:hanging="384"/>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6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DOJ, has recently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right="260" w:firstLine="518"/>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against the promotion of the off-label use of our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product liability claims, which are expensive to defend and could result in substantial damage awards against us and harm our reputation.</w:t>
      </w:r>
    </w:p>
    <w:p>
      <w:pPr>
        <w:spacing w:after="0" w:line="167"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9"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recently been proposed that could modify or repeal the PPACA. The uncertainties regarding the future of the PPACA, and other healthcare reform initiatives, may have an adverse effect on our customers’ purchasing decisions regarding our products.</w:t>
      </w:r>
    </w:p>
    <w:p>
      <w:pPr>
        <w:spacing w:after="0" w:line="154"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Beginning in 2013 through the end of 2015, the PPACA imposed, among other things, an annual excise tax of 2.3% on any entity that manufactures or imports medical devices offered for sale in the United States. Congress suspended this tax on December 18, 2015 for two years, for sales of devices during the period January 1, 2016 through December 31, 2017. We do not believe that our products were subject to this tax (prior to its suspension) based on the retail exemption under applicable Treasury Regulations. However, the availability of this exemption is subject to interpretation by the IRS, and the IRS may disagree with our analysis. The future of the medical device tax (and the PPACA generally) is uncertain. If the tax is not repealed and the two-year suspension of the tax is not extended beyond 2017,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certain of our executive officers, directors and principal stockholders will be able to exert control over our company and our significant corporate decisions.*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Based on an aggregate of 5,487,029 shares of our common stock outstanding as of September 30, 2017, our executive officers and directors, and their affiliates owned, in the aggregate, approximately 19% of the voting power of our outstanding common stock. These persons, acting together, will have the ability to significantly influence the outcome of all matters submitted to our stockholders for approval, including the election and removal of directors and any merger, consolidation, or sale of all or substantially all of our assets.</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interests of the aforementioned stockholders might not coincide with the interests of the other holders of our capital stock. This concentration of ownership may reduce the value of our common stock by, among other things:</w:t>
      </w:r>
    </w:p>
    <w:p>
      <w:pPr>
        <w:spacing w:after="0" w:line="170" w:lineRule="exact"/>
        <w:rPr>
          <w:sz w:val="20"/>
          <w:szCs w:val="20"/>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our company;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w:t>
      </w:r>
    </w:p>
    <w:p>
      <w:pPr>
        <w:spacing w:after="0" w:line="225" w:lineRule="exact"/>
        <w:rPr>
          <w:sz w:val="20"/>
          <w:szCs w:val="20"/>
          <w:color w:val="auto"/>
        </w:rPr>
      </w:pPr>
    </w:p>
    <w:p>
      <w:pPr>
        <w:jc w:val="both"/>
        <w:ind w:right="6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040" w:right="20" w:hanging="384"/>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040" w:right="260" w:hanging="384"/>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for the removal of a director only with cause and then by the affirmative vote of the holders of a majority of the outstanding shares;</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require the vote of at least two-thirds of the outstanding shares to approve amendments to the certificate of incorporation or bylaws; and</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As of December 31, 2016, we had federal net operating loss, or NOL, carryforwards of approximately $283.5 million, not considering the limitation discussed below. The federal tax loss carryforwards begin to expire in 2026, unless previously utilized. In general, if there is an “ownership change” with respect to our company, as defined under Section 382 of the Internal Revenue Code of 1986, as amended, or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73"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Although we have not completed an update of our Section 382 analysis subsequent to December 31, 2016, the offering that we conducted in March of 2017, either separately or together, with any future equity financing, may have caused or could cause an ownership change or could increase the likelihood that we undergo an ownership change for purposes of Section 382 of the Code in the future.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In addition, pursuant to our Term Loan Agreement with Capital Royalty Partners, we are precluded from paying any cash dividends. Accordingly, you may have to sell some or all of your shares of our common stock in order to generate cash flow from your investment. You may not receive a gain on your investment when you sell their shares of our common stock and may lose the entire amount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or the Dodd-Frank Act, the listing requirements of NASDAQ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We intend to take advantage of this new legislation but cannot guarantee that we will not be required to implement these requirements sooner than budgeted or planned and thereby incur unexpected expenses.</w:t>
      </w:r>
    </w:p>
    <w:p>
      <w:pPr>
        <w:spacing w:after="0" w:line="154"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right="100" w:firstLine="571"/>
        <w:spacing w:after="0" w:line="270" w:lineRule="auto"/>
        <w:rPr>
          <w:sz w:val="20"/>
          <w:szCs w:val="20"/>
          <w:color w:val="auto"/>
        </w:rPr>
      </w:pPr>
      <w:r>
        <w:rPr>
          <w:rFonts w:ascii="Arial" w:cs="Arial" w:eastAsia="Arial" w:hAnsi="Arial"/>
          <w:sz w:val="17"/>
          <w:szCs w:val="17"/>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including tantalum, tin, gold and tungsten.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Within our supply chain, we may not be able to sufficiently verify the origins of the relevant minerals used in our products through the due diligence procedures that we implement, which may harm our reputation. We continue to investigate the use of conflict materials, if any, within our supply chain.</w:t>
      </w:r>
    </w:p>
    <w:p>
      <w:pPr>
        <w:spacing w:after="0" w:line="18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124"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certain exemptions from various reporting and compliance requirements that apply to other public companies that are not “emerging growth companies.” These exemptions include the following:</w:t>
      </w:r>
    </w:p>
    <w:p>
      <w:pPr>
        <w:spacing w:after="0" w:line="181" w:lineRule="exact"/>
        <w:rPr>
          <w:sz w:val="20"/>
          <w:szCs w:val="20"/>
          <w:color w:val="auto"/>
        </w:rPr>
      </w:pPr>
    </w:p>
    <w:p>
      <w:pPr>
        <w:ind w:left="1040" w:hanging="384"/>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Sarbanes-Oxley Act;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less extensive disclosure obligations regarding executive compensation in our periodic reports and proxy statements; and</w:t>
      </w:r>
    </w:p>
    <w:p>
      <w:pPr>
        <w:spacing w:after="0" w:line="225" w:lineRule="exact"/>
        <w:rPr>
          <w:rFonts w:ascii="Arial" w:cs="Arial" w:eastAsia="Arial" w:hAnsi="Arial"/>
          <w:sz w:val="18"/>
          <w:szCs w:val="18"/>
          <w:color w:val="auto"/>
        </w:rPr>
      </w:pPr>
    </w:p>
    <w:p>
      <w:pPr>
        <w:ind w:left="1040" w:right="440" w:hanging="384"/>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exemptions from the requirements to hold a nonbinding advisory vote on executive compensation and stockholder approval of any golden parachute payments not previously approved.</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intend to take advantage of these exemptions but cannot guarantee that we will not be required to implement these requirements sooner than budgeted or planned and thereby incur unexpected expenses. We cannot predict if investors will find our common stock less attractive because of our reliance on these exemptions. If some investors find our common stock less attractive as a result, there may be a less active trading market for our common stock, which could result in a reduction in the price of our common stock.</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after we no longer qualify as an “emerging growth company,”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9"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We are required to disclose changes made to our internal control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from our November 2013 initial public offering.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w:t>
      </w:r>
    </w:p>
    <w:p>
      <w:pPr>
        <w:spacing w:after="0" w:line="225"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Our common stock is listed for trading on the NASDAQ Global Market under the symbol “TNDM.” Our stock price could be subject to wide fluctuations in response to a variety of factors, including the following:</w:t>
      </w:r>
    </w:p>
    <w:p>
      <w:pPr>
        <w:spacing w:after="0" w:line="170" w:lineRule="exact"/>
        <w:rPr>
          <w:sz w:val="20"/>
          <w:szCs w:val="20"/>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225" w:lineRule="exact"/>
        <w:rPr>
          <w:rFonts w:ascii="Arial" w:cs="Arial" w:eastAsia="Arial" w:hAnsi="Arial"/>
          <w:sz w:val="18"/>
          <w:szCs w:val="18"/>
          <w:color w:val="auto"/>
        </w:rPr>
      </w:pPr>
    </w:p>
    <w:p>
      <w:pPr>
        <w:ind w:left="1040" w:right="520" w:hanging="384"/>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 and the potential associated dilution, including as a result of the issuance of warrants in the October Financing;</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perceptions about our financial stability generally, and relative to our competitors, and our ability to sustain our business operations long term;</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reaction of investors to our conclusion that there is substantial doubt about our ability to continue as a going concern;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perceptions about the market acceptance of our products and the recognition of our brand;</w:t>
      </w:r>
    </w:p>
    <w:p>
      <w:pPr>
        <w:spacing w:after="0" w:line="225" w:lineRule="exact"/>
        <w:rPr>
          <w:rFonts w:ascii="Arial" w:cs="Arial" w:eastAsia="Arial" w:hAnsi="Arial"/>
          <w:sz w:val="18"/>
          <w:szCs w:val="18"/>
          <w:color w:val="auto"/>
        </w:rPr>
      </w:pPr>
    </w:p>
    <w:p>
      <w:pPr>
        <w:ind w:left="1040" w:right="740" w:hanging="384"/>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introduction of proposed products or technologies, or announcements of significant contracts, acquisitions or divestitures by us or our competitors, including the announcement that Johnson &amp; Johnson intends to exit the insulin pump business;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 of shares of our common stock by us or members of our management;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 and the value of the warrants.</w:t>
      </w:r>
    </w:p>
    <w:p>
      <w:pPr>
        <w:spacing w:after="0" w:line="15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or the perception of future sales, of shares of our common stock could materially reduce the market price of our common stock.*</w:t>
      </w:r>
    </w:p>
    <w:p>
      <w:pPr>
        <w:spacing w:after="0" w:line="24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Sales of our common stock, or the perception in the market that the holders of a large number of our shares intend to sell such shares, could reduce the market price of our common stock, which would impair our ability to raise future capital through the sale of additional equity securities. A substantial number of the outstanding shares of our common stock are freely tradable without restriction or further registration under the Securities Act. After taking in consideration the impact of a 1-for-10 reverse stock split that we effected on October 9, 2017, we had outstanding 10,118,659 shares of common stock as of October 23, 2017, of which approximately 1,322,789 shares are restricted securities that may be sold only in accordance with the resale restrictions under Rule 144 of the Securities Act. In addition, as of October 23, 2017, we had outstanding options to purchase 933,953 shares of common stock and warrants to purchase 9,552,753 shares of common stock that, if exercised, will result in these additional shares becoming available for sale. As of October 23, 2017, there were also 37,536 shares of our common stock reserved for future grant or issuance under our 2013 Stock Incentive Plan.</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87" w:right="259" w:bottom="1440" w:gutter="0" w:footer="0" w:header="0"/>
        </w:sectPr>
      </w:pPr>
    </w:p>
    <w:bookmarkStart w:id="62" w:name="page63"/>
    <w:bookmarkEnd w:id="62"/>
    <w:p>
      <w:pPr>
        <w:ind w:right="80" w:firstLine="518"/>
        <w:spacing w:after="0" w:line="257" w:lineRule="auto"/>
        <w:rPr>
          <w:sz w:val="20"/>
          <w:szCs w:val="20"/>
          <w:color w:val="auto"/>
        </w:rPr>
      </w:pPr>
      <w:r>
        <w:rPr>
          <w:rFonts w:ascii="Arial" w:cs="Arial" w:eastAsia="Arial" w:hAnsi="Arial"/>
          <w:sz w:val="18"/>
          <w:szCs w:val="18"/>
          <w:color w:val="auto"/>
        </w:rPr>
        <w:t>Certain holders of shares of common stock have the right, subject to various conditions and limitations, to include their shares in registration statements relating to our securities. In addition, these holders are entitled to piggyback registration rights with respect to the registration under the Securities Act of shares of our common stock. Shares of common stock registered under these registration statements can be freely sold in the public market. In the event registration rights are exercised and a large number of shares of common stock are sold in the public market, those sales could reduce the trading price of our common stock.</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the future, we may issue additional securities if we need to raise more capital. In particular, management currently believes that it will be necessary for us to raise additional funding. For example, we previously announced an up to $15 million “at-the-market” public offering of shares of our common stock. In the three months ended September 30, 2017, we had sold approximately $4.3 million of shares of common stock pursuant to our ATM offering and, accordingly, we may sell up to an additional of approximately $10.7 million shares of common stock in our ATM offering, subject to contractual limitations. The number of new shares of our common stock issued in connection with raising additional capital could constitute a material portion of the then-outstanding shares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warrants to purchase shares of our common stock.*</w:t>
      </w:r>
    </w:p>
    <w:p>
      <w:pPr>
        <w:spacing w:after="0" w:line="22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There is no established public trading market for the outstanding warrants to purchase common stock , and we do not expect a market to develop. In addition, we do not intend to apply for the listing of the warrants on any national securities exchange or other trading market. Without an active market, we expect the liquidity of the warrants will be limited.</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Holders of our warrants will generally not have rights as a common stockholder until such holders exercise their warrants and acquire our common stock.*</w:t>
      </w:r>
    </w:p>
    <w:p>
      <w:pPr>
        <w:spacing w:after="0" w:line="170"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Except as set forth in the warrants, holders of warrants acquire shares of our common stock upon exercise of the warrants, holders of warrants will generally not have rights with respect to the shares of our common stock underlying such warrants. Upon exercise of the warrants, the holders thereof will be entitled to exercise the rights of a common stockholder only as to matters for which the record date occurs after the exercise date.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to the speculative nature of warrants, there is no guarantee that it will ever be profitable for investors in the offering to exercise their warrants.*</w:t>
      </w:r>
    </w:p>
    <w:p>
      <w:pPr>
        <w:spacing w:after="0" w:line="24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Investors in the October Financing may exercise their right to acquire the shares of common stock underlying their Series A warrants at any time after the date of issuance by paying an exercise price of $3.50 per share, prior to their expiration on the date that is five years from the date of issuance, after which date any unexercised Series A warrants will expire and have no further value. Investors in the October Financing may exercise their right to acquire the shares of common stock underlying their Series B warrants at any time after the date of issuance by paying an exercise price of $3.50 per share, prior to their expiration on the date that is six months from the date of issuance, after which date any unexercised Series B warrants will expire and have no further value. There can be no assurance that the market price of our common stock will ever equal or exceed the exercise price of the warrants, and, consequently, whether it will ever be profitable for investors to exercise their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holders or beneficial holders of our common stock may not be permitted to exercise warrants that they hold.*</w:t>
      </w:r>
    </w:p>
    <w:p>
      <w:pPr>
        <w:spacing w:after="0" w:line="225" w:lineRule="exact"/>
        <w:rPr>
          <w:sz w:val="20"/>
          <w:szCs w:val="20"/>
          <w:color w:val="auto"/>
        </w:rPr>
      </w:pPr>
    </w:p>
    <w:p>
      <w:pPr>
        <w:jc w:val="both"/>
        <w:ind w:right="80" w:firstLine="571"/>
        <w:spacing w:after="0" w:line="273" w:lineRule="auto"/>
        <w:rPr>
          <w:sz w:val="20"/>
          <w:szCs w:val="20"/>
          <w:color w:val="auto"/>
        </w:rPr>
      </w:pPr>
      <w:r>
        <w:rPr>
          <w:rFonts w:ascii="Arial" w:cs="Arial" w:eastAsia="Arial" w:hAnsi="Arial"/>
          <w:sz w:val="17"/>
          <w:szCs w:val="17"/>
          <w:color w:val="auto"/>
        </w:rPr>
        <w:t>The terms of our Series A warrants and Series B warrants offered in the October Financing prohibit a holder from exercising its warrants if doing so would result in such holder (together with such holder's affiliates) beneficially owning more than 4.99% (which threshold may be decreased or increased, but not above 9.99%, at the election of the holder upon prior written notice to us) of the number of shares of common stock outstanding immediately after giving effect to the exercise, as such percentage ownership is determined in accordance with the terms of the warrants. As a result, a warrant holder may not be able to exercise the warrants for shares of our common stock at a time when it would be financially beneficial for a warrant holder to do so. In such circumstance, a warrant holder could seek to sell the warrants to realize value, but may be unable to do so.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i w:val="1"/>
          <w:iCs w:val="1"/>
          <w:color w:val="auto"/>
        </w:rPr>
        <w:t>If we are unable to comply with certain continued listing requirements of NASDAQ, our common stock would be delisted from NASDAQ.*</w:t>
      </w:r>
    </w:p>
    <w:p>
      <w:pPr>
        <w:spacing w:after="0" w:line="23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common stock is currently listed on NASDAQ. In order to maintain this listing, we must satisfy minimum continued listing requirements and standards, including a minimum closing bid price requirement for our common stock. On June 14, 2017, we received notice that we had failed to meet minimum closing bid price requirement of $1.00 per share for 30 consecutive business days, which could subject our common stock to delisting. On October 24, 2017, we received notice from NASDAQ that for the 10 consecutive business days, from October 10, 2017 to October 23, 2017, our closing bid price for our common stock had been at least $1.00 per share or greater. Accordingly, we regained compliance under the NASDAQ minimum continued listing requirements. However, due to the volatility of our stock price, we cannot assure you that we will continue to satisfy the NASDAQ continued listing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executive officers and directors may sell their shares of our common stock, and these sales could adversely affect our stock price.</w:t>
      </w:r>
    </w:p>
    <w:p>
      <w:pPr>
        <w:spacing w:after="0" w:line="23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Sales of our common stock by our executive officers and directors, or the perception that such sales may occur, could adversely affect the market price of our common stock. Our executive officers and directors may sell our common stock in the future as part of pre-arranged trading plans or otherwise.</w:t>
      </w:r>
    </w:p>
    <w:p>
      <w:pPr>
        <w:ind w:left="520"/>
        <w:spacing w:after="0"/>
        <w:rPr>
          <w:sz w:val="20"/>
          <w:szCs w:val="20"/>
          <w:color w:val="auto"/>
        </w:rPr>
      </w:pPr>
      <w:r>
        <w:rPr>
          <w:rFonts w:ascii="Arial" w:cs="Arial" w:eastAsia="Arial" w:hAnsi="Arial"/>
          <w:sz w:val="17"/>
          <w:szCs w:val="17"/>
          <w:b w:val="1"/>
          <w:bCs w:val="1"/>
          <w:i w:val="1"/>
          <w:iCs w:val="1"/>
          <w:color w:val="auto"/>
        </w:rPr>
        <w:t>Our recently implemented reverse stock split may decrease the liquidity of our common stock and result in higher transaction costs.*</w:t>
      </w:r>
    </w:p>
    <w:p>
      <w:pPr>
        <w:spacing w:after="0" w:line="222"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liquidity of our common stock may be negatively impacted by our implementation of a 1-for-10 reverse stock split on October 9, 2017, given the significantly reduced number of shares that are now issued and outstanding after the reverse stock split, and because our stock price did not increase commensurate with the ratio of the reverse stock split. In addition, as a result of our reverse stock split, we now have a greater number of stockholders who own “odd lots” of fewer than 100 shares of our common stock. Brokerage commission and other costs of transactions for the sale of odd lots are generally higher than the costs of transactions of more than 100 shares of common stock. Accordingly, a reverse stock split may not achieve the desired results of increasing marketability and liquidity of our common stock.</w:t>
      </w:r>
    </w:p>
    <w:p>
      <w:pPr>
        <w:spacing w:after="0" w:line="3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effective increase in the authorized number of shares of our common stock as a result of our reverse stock split could have anti-takeover implications and result in further dilution to our existing stockholders.*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recent implementation of the reverse stock split, we maintained the total number of authorized shares of our common stock. The combination of a reverse stock split of our issued and outstanding shares, and maintaining the number of our authorized shares, has significantly increased our authorized shares relative to our issued and outstanding shares. This effective increase in the number of authorized shares will allow us to sell additional shares of our common stock (or securities convertible or exchangeable for our common stock), which would result in further dilution of our current stockholders. In addition, the effective increase in the number of authorized shares could, under certain circumstances, have anti-takeover implications. For example, the additional shares of common stock that have become available for issuance could be used by us to oppose a hostile takeover attempt or to delay or prevent changes in control or our management. Although our reverse stock split was prompted by business and financial considerations and not by the threat of any hostile takeover attempt, stockholders should be aware that our reverse stock split could facilitate future efforts by us to deter or prevent changes in control, including transactions in which our stockholders might otherwise receive a premium for their shares over then-current market prices.</w:t>
      </w:r>
    </w:p>
    <w:p>
      <w:pPr>
        <w:spacing w:after="0" w:line="16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Exhibit Number</w:t>
      </w:r>
    </w:p>
    <w:p>
      <w:pPr>
        <w:spacing w:after="0" w:line="26"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3.1</w:t>
      </w:r>
    </w:p>
    <w:p>
      <w:pPr>
        <w:spacing w:after="0" w:line="131"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3.2</w:t>
      </w:r>
    </w:p>
    <w:p>
      <w:pPr>
        <w:spacing w:after="0" w:line="131"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10.1†</w:t>
      </w:r>
    </w:p>
    <w:p>
      <w:pPr>
        <w:spacing w:after="0" w:line="3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3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363"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32.2*</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101.INS</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101.SCH</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101.CAL</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101.DEF</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101.LAB</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135" w:lineRule="exact"/>
        <w:rPr>
          <w:sz w:val="20"/>
          <w:szCs w:val="20"/>
          <w:color w:val="auto"/>
        </w:rPr>
      </w:pPr>
    </w:p>
    <w:p>
      <w:pPr>
        <w:ind w:right="180"/>
        <w:spacing w:after="0" w:line="258" w:lineRule="auto"/>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Amended and Restated Certificate of Incorporation as</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currently in effect.</w:t>
        </w:r>
      </w:hyperlink>
    </w:p>
    <w:p>
      <w:pPr>
        <w:spacing w:after="0" w:line="1" w:lineRule="exact"/>
        <w:rPr>
          <w:sz w:val="20"/>
          <w:szCs w:val="20"/>
          <w:color w:val="auto"/>
        </w:rPr>
      </w:pPr>
    </w:p>
    <w:p>
      <w:pPr>
        <w:ind w:right="100"/>
        <w:spacing w:after="0" w:line="258" w:lineRule="auto"/>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Amended and Restated Bylaws as currently in effect.</w:t>
        </w:r>
      </w:hyperlink>
      <w:r>
        <w:rPr>
          <w:rFonts w:ascii="Arial" w:cs="Arial" w:eastAsia="Arial" w:hAnsi="Arial"/>
          <w:sz w:val="18"/>
          <w:szCs w:val="18"/>
          <w:u w:val="single" w:color="auto"/>
          <w:color w:val="0000EE"/>
        </w:rPr>
        <w:t xml:space="preserve"> </w:t>
      </w:r>
      <w:hyperlink w:anchor="page67">
        <w:r>
          <w:rPr>
            <w:rFonts w:ascii="Arial" w:cs="Arial" w:eastAsia="Arial" w:hAnsi="Arial"/>
            <w:sz w:val="18"/>
            <w:szCs w:val="18"/>
            <w:u w:val="single" w:color="auto"/>
            <w:color w:val="0000EE"/>
          </w:rPr>
          <w:t>Development Agreement, dated June 4, 2015, by and</w:t>
        </w:r>
      </w:hyperlink>
      <w:r>
        <w:rPr>
          <w:rFonts w:ascii="Arial" w:cs="Arial" w:eastAsia="Arial" w:hAnsi="Arial"/>
          <w:sz w:val="18"/>
          <w:szCs w:val="18"/>
          <w:u w:val="single" w:color="auto"/>
          <w:color w:val="0000EE"/>
        </w:rPr>
        <w:t xml:space="preserve"> </w:t>
      </w:r>
      <w:hyperlink w:anchor="page67">
        <w:r>
          <w:rPr>
            <w:rFonts w:ascii="Arial" w:cs="Arial" w:eastAsia="Arial" w:hAnsi="Arial"/>
            <w:sz w:val="18"/>
            <w:szCs w:val="18"/>
            <w:u w:val="single" w:color="auto"/>
            <w:color w:val="0000EE"/>
          </w:rPr>
          <w:t>between Tandem Diabetes Care, Inc. and Dexcom, Inc.</w:t>
        </w:r>
      </w:hyperlink>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Certification of Kim D. Blickenstaff, Chief Executive</w:t>
        </w:r>
      </w:hyperlink>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Officer, pursuant to Section 302 of the Sarbanes-Oxley</w:t>
        </w:r>
      </w:hyperlink>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Act of 2002.</w:t>
        </w:r>
      </w:hyperlink>
    </w:p>
    <w:p>
      <w:pPr>
        <w:spacing w:after="0" w:line="2" w:lineRule="exact"/>
        <w:rPr>
          <w:rFonts w:ascii="Arial" w:cs="Arial" w:eastAsia="Arial" w:hAnsi="Arial"/>
          <w:sz w:val="18"/>
          <w:szCs w:val="18"/>
          <w:u w:val="single" w:color="auto"/>
          <w:color w:val="0000EE"/>
        </w:rPr>
      </w:pPr>
    </w:p>
    <w:p>
      <w:pPr>
        <w:jc w:val="both"/>
        <w:ind w:right="180"/>
        <w:spacing w:after="0" w:line="255" w:lineRule="auto"/>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Certification of John Cajigas, Chief Financial Officer,</w:t>
        </w:r>
      </w:hyperlink>
      <w:r>
        <w:rPr>
          <w:rFonts w:ascii="Arial" w:cs="Arial" w:eastAsia="Arial" w:hAnsi="Arial"/>
          <w:sz w:val="18"/>
          <w:szCs w:val="18"/>
          <w:u w:val="single" w:color="auto"/>
          <w:color w:val="0000EE"/>
        </w:rPr>
        <w:t xml:space="preserve"> </w:t>
      </w:r>
      <w:hyperlink w:anchor="page81">
        <w:r>
          <w:rPr>
            <w:rFonts w:ascii="Arial" w:cs="Arial" w:eastAsia="Arial" w:hAnsi="Arial"/>
            <w:sz w:val="18"/>
            <w:szCs w:val="18"/>
            <w:u w:val="single" w:color="auto"/>
            <w:color w:val="0000EE"/>
          </w:rPr>
          <w:t>pursuant to Section 302 of the Sarbanes-Oxley Act of</w:t>
        </w:r>
      </w:hyperlink>
      <w:r>
        <w:rPr>
          <w:rFonts w:ascii="Arial" w:cs="Arial" w:eastAsia="Arial" w:hAnsi="Arial"/>
          <w:sz w:val="18"/>
          <w:szCs w:val="18"/>
          <w:u w:val="single" w:color="auto"/>
          <w:color w:val="0000EE"/>
        </w:rPr>
        <w:t xml:space="preserve"> </w:t>
      </w:r>
      <w:hyperlink w:anchor="page81">
        <w:r>
          <w:rPr>
            <w:rFonts w:ascii="Arial" w:cs="Arial" w:eastAsia="Arial" w:hAnsi="Arial"/>
            <w:sz w:val="18"/>
            <w:szCs w:val="18"/>
            <w:u w:val="single" w:color="auto"/>
            <w:color w:val="0000EE"/>
          </w:rPr>
          <w:t>2002.</w:t>
        </w:r>
      </w:hyperlink>
    </w:p>
    <w:p>
      <w:pPr>
        <w:spacing w:after="0" w:line="2" w:lineRule="exact"/>
        <w:rPr>
          <w:rFonts w:ascii="Arial" w:cs="Arial" w:eastAsia="Arial" w:hAnsi="Arial"/>
          <w:sz w:val="18"/>
          <w:szCs w:val="18"/>
          <w:u w:val="single" w:color="auto"/>
          <w:color w:val="0000EE"/>
        </w:rPr>
      </w:pPr>
    </w:p>
    <w:p>
      <w:pPr>
        <w:jc w:val="both"/>
        <w:ind w:right="200"/>
        <w:spacing w:after="0" w:line="254" w:lineRule="auto"/>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Certification of Kim D. Blickenstaff, Chief Executive</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Officer, pursuant to U.S.C. Section 1350, as adopted</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pursuant to Section 906 of the Sarbanes-Oxley Act of</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2002.</w:t>
        </w:r>
      </w:hyperlink>
    </w:p>
    <w:p>
      <w:pPr>
        <w:spacing w:after="0" w:line="2" w:lineRule="exact"/>
        <w:rPr>
          <w:rFonts w:ascii="Arial" w:cs="Arial" w:eastAsia="Arial" w:hAnsi="Arial"/>
          <w:sz w:val="18"/>
          <w:szCs w:val="18"/>
          <w:u w:val="single" w:color="auto"/>
          <w:color w:val="0000EE"/>
        </w:rPr>
      </w:pPr>
    </w:p>
    <w:p>
      <w:pPr>
        <w:ind w:right="40"/>
        <w:spacing w:after="0" w:line="258" w:lineRule="auto"/>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Certification of John Cajigas, Chief Financial Officer,</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pursuant to U.S.C. Section 1350, as adopted pursuant to</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Section 906 of the Sarbanes-Oxley Act of 2002.</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XBRL Instance Document.</w:t>
      </w:r>
    </w:p>
    <w:p>
      <w:pPr>
        <w:spacing w:after="0" w:line="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Document.</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Document.</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4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Document.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26"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9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b w:val="1"/>
                <w:bCs w:val="1"/>
                <w:color w:val="auto"/>
              </w:rPr>
              <w:t>Provided</w:t>
            </w:r>
          </w:p>
        </w:tc>
        <w:tc>
          <w:tcPr>
            <w:tcW w:w="0" w:type="dxa"/>
            <w:vAlign w:val="bottom"/>
          </w:tcPr>
          <w:p>
            <w:pPr>
              <w:spacing w:after="0"/>
              <w:rPr>
                <w:sz w:val="1"/>
                <w:szCs w:val="1"/>
                <w:color w:val="auto"/>
              </w:rPr>
            </w:pPr>
          </w:p>
        </w:tc>
      </w:tr>
      <w:tr>
        <w:trPr>
          <w:trHeight w:val="126"/>
        </w:trPr>
        <w:tc>
          <w:tcPr>
            <w:tcW w:w="820" w:type="dxa"/>
            <w:vAlign w:val="bottom"/>
          </w:tcPr>
          <w:p>
            <w:pPr>
              <w:spacing w:after="0"/>
              <w:rPr>
                <w:sz w:val="10"/>
                <w:szCs w:val="10"/>
                <w:color w:val="auto"/>
              </w:rPr>
            </w:pPr>
          </w:p>
        </w:tc>
        <w:tc>
          <w:tcPr>
            <w:tcW w:w="29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108"/>
        </w:trPr>
        <w:tc>
          <w:tcPr>
            <w:tcW w:w="8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4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Date of First</w:t>
            </w:r>
          </w:p>
        </w:tc>
        <w:tc>
          <w:tcPr>
            <w:tcW w:w="102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20" w:type="dxa"/>
            <w:vAlign w:val="bottom"/>
          </w:tcPr>
          <w:p>
            <w:pPr>
              <w:ind w:left="340"/>
              <w:spacing w:after="0"/>
              <w:rPr>
                <w:sz w:val="20"/>
                <w:szCs w:val="20"/>
                <w:color w:val="auto"/>
              </w:rPr>
            </w:pPr>
            <w:r>
              <w:rPr>
                <w:rFonts w:ascii="Arial" w:cs="Arial" w:eastAsia="Arial" w:hAnsi="Arial"/>
                <w:sz w:val="18"/>
                <w:szCs w:val="18"/>
                <w:b w:val="1"/>
                <w:bCs w:val="1"/>
                <w:color w:val="auto"/>
              </w:rPr>
              <w:t>Form</w:t>
            </w:r>
          </w:p>
        </w:tc>
        <w:tc>
          <w:tcPr>
            <w:tcW w:w="162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File No.</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2420" w:type="dxa"/>
            <w:vAlign w:val="bottom"/>
            <w:gridSpan w:val="2"/>
          </w:tcPr>
          <w:p>
            <w:pPr>
              <w:jc w:val="center"/>
              <w:ind w:right="133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338"/>
        </w:trPr>
        <w:tc>
          <w:tcPr>
            <w:tcW w:w="820" w:type="dxa"/>
            <w:vAlign w:val="bottom"/>
          </w:tcPr>
          <w:p>
            <w:pPr>
              <w:ind w:left="340"/>
              <w:spacing w:after="0"/>
              <w:rPr>
                <w:sz w:val="20"/>
                <w:szCs w:val="20"/>
                <w:color w:val="auto"/>
              </w:rPr>
            </w:pPr>
            <w:r>
              <w:rPr>
                <w:rFonts w:ascii="Arial" w:cs="Arial" w:eastAsia="Arial" w:hAnsi="Arial"/>
                <w:sz w:val="18"/>
                <w:szCs w:val="18"/>
                <w:color w:val="auto"/>
              </w:rPr>
              <w:t>S-1/A</w:t>
            </w:r>
          </w:p>
        </w:tc>
        <w:tc>
          <w:tcPr>
            <w:tcW w:w="162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340"/>
              <w:spacing w:after="0"/>
              <w:rPr>
                <w:sz w:val="20"/>
                <w:szCs w:val="20"/>
                <w:color w:val="auto"/>
              </w:rPr>
            </w:pPr>
            <w:r>
              <w:rPr>
                <w:rFonts w:ascii="Arial" w:cs="Arial" w:eastAsia="Arial" w:hAnsi="Arial"/>
                <w:sz w:val="18"/>
                <w:szCs w:val="18"/>
                <w:color w:val="auto"/>
              </w:rPr>
              <w:t>S-1/A</w:t>
            </w:r>
          </w:p>
        </w:tc>
        <w:tc>
          <w:tcPr>
            <w:tcW w:w="162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347"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EE"/>
        </w:rPr>
      </w:pPr>
    </w:p>
    <w:p>
      <w:pPr>
        <w:spacing w:after="0" w:line="255"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EE"/>
        </w:rPr>
      </w:pPr>
    </w:p>
    <w:p>
      <w:pPr>
        <w:spacing w:after="0" w:line="363"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EE"/>
        </w:rPr>
      </w:pPr>
    </w:p>
    <w:p>
      <w:pPr>
        <w:spacing w:after="0" w:line="363"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239"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239"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131"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131"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322" w:lineRule="exact"/>
        <w:rPr>
          <w:rFonts w:ascii="Arial" w:cs="Arial" w:eastAsia="Arial" w:hAnsi="Arial"/>
          <w:sz w:val="18"/>
          <w:szCs w:val="18"/>
          <w:u w:val="single" w:color="auto"/>
          <w:color w:val="0000EE"/>
        </w:rPr>
      </w:pPr>
    </w:p>
    <w:p>
      <w:pPr>
        <w:sectPr>
          <w:pgSz w:w="11900" w:h="16838" w:orient="portrait"/>
          <w:cols w:equalWidth="0" w:num="3">
            <w:col w:w="780" w:space="220"/>
            <w:col w:w="4060" w:space="140"/>
            <w:col w:w="6220"/>
          </w:cols>
          <w:pgMar w:left="240" w:top="121" w:right="239" w:bottom="1440" w:gutter="0" w:footer="0" w:header="0"/>
        </w:sectPr>
      </w:pPr>
    </w:p>
    <w:p>
      <w:pPr>
        <w:spacing w:after="0" w:line="254" w:lineRule="exact"/>
        <w:rPr>
          <w:rFonts w:ascii="Arial" w:cs="Arial" w:eastAsia="Arial" w:hAnsi="Arial"/>
          <w:sz w:val="18"/>
          <w:szCs w:val="18"/>
          <w:u w:val="single" w:color="auto"/>
          <w:color w:val="0000EE"/>
        </w:rPr>
      </w:pPr>
    </w:p>
    <w:p>
      <w:pPr>
        <w:ind w:left="520" w:right="160" w:hanging="512"/>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 has omitted portions of the referenced exhibit pursuant to a request for confidential treatment under Rule 24b-2 promulgated under the Exchange Act.</w:t>
      </w:r>
    </w:p>
    <w:p>
      <w:pPr>
        <w:spacing w:after="0" w:line="170" w:lineRule="exact"/>
        <w:rPr>
          <w:rFonts w:ascii="Arial" w:cs="Arial" w:eastAsia="Arial" w:hAnsi="Arial"/>
          <w:sz w:val="18"/>
          <w:szCs w:val="18"/>
          <w:u w:val="single" w:color="auto"/>
          <w:color w:val="0000EE"/>
        </w:rPr>
      </w:pPr>
    </w:p>
    <w:p>
      <w:pPr>
        <w:ind w:left="520" w:right="180" w:hanging="512"/>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39"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7440" w:type="dxa"/>
            <w:vAlign w:val="bottom"/>
            <w:gridSpan w:val="2"/>
          </w:tcPr>
          <w:p>
            <w:pPr>
              <w:ind w:left="2180"/>
              <w:spacing w:after="0"/>
              <w:rPr>
                <w:sz w:val="20"/>
                <w:szCs w:val="20"/>
                <w:color w:val="auto"/>
              </w:rPr>
            </w:pPr>
            <w:r>
              <w:rPr>
                <w:rFonts w:ascii="Arial" w:cs="Arial" w:eastAsia="Arial" w:hAnsi="Arial"/>
                <w:sz w:val="18"/>
                <w:szCs w:val="18"/>
                <w:color w:val="auto"/>
              </w:rPr>
              <w:t>Tandem Diabetes Care, Inc.</w:t>
            </w: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Dated: October 26, 2017</w:t>
            </w: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 Blickenstaff</w:t>
            </w:r>
          </w:p>
        </w:tc>
      </w:tr>
      <w:tr>
        <w:trPr>
          <w:trHeight w:val="195"/>
        </w:trPr>
        <w:tc>
          <w:tcPr>
            <w:tcW w:w="39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Kim D. Blickenstaff</w:t>
            </w:r>
          </w:p>
        </w:tc>
      </w:tr>
      <w:tr>
        <w:trPr>
          <w:trHeight w:val="216"/>
        </w:trPr>
        <w:tc>
          <w:tcPr>
            <w:tcW w:w="39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9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 behalf of the registrant and as the registrant’s</w:t>
            </w:r>
          </w:p>
        </w:tc>
      </w:tr>
      <w:tr>
        <w:trPr>
          <w:trHeight w:val="230"/>
        </w:trPr>
        <w:tc>
          <w:tcPr>
            <w:tcW w:w="39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73"/>
        </w:trPr>
        <w:tc>
          <w:tcPr>
            <w:tcW w:w="3980" w:type="dxa"/>
            <w:vAlign w:val="bottom"/>
          </w:tcPr>
          <w:p>
            <w:pPr>
              <w:spacing w:after="0"/>
              <w:rPr>
                <w:sz w:val="24"/>
                <w:szCs w:val="24"/>
                <w:color w:val="auto"/>
              </w:rPr>
            </w:pP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Cajigas</w:t>
            </w:r>
          </w:p>
        </w:tc>
      </w:tr>
      <w:tr>
        <w:trPr>
          <w:trHeight w:val="195"/>
        </w:trPr>
        <w:tc>
          <w:tcPr>
            <w:tcW w:w="39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John Cajigas</w:t>
            </w:r>
          </w:p>
        </w:tc>
      </w:tr>
      <w:tr>
        <w:trPr>
          <w:trHeight w:val="216"/>
        </w:trPr>
        <w:tc>
          <w:tcPr>
            <w:tcW w:w="39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4"/>
              </w:rPr>
              <w:t>Executive Vice President, Chief Financial Officer and Treasurer</w:t>
            </w:r>
          </w:p>
        </w:tc>
      </w:tr>
      <w:tr>
        <w:trPr>
          <w:trHeight w:val="216"/>
        </w:trPr>
        <w:tc>
          <w:tcPr>
            <w:tcW w:w="39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 behalf of the registrant and as the registrant’s</w:t>
            </w:r>
          </w:p>
        </w:tc>
      </w:tr>
      <w:tr>
        <w:trPr>
          <w:trHeight w:val="230"/>
        </w:trPr>
        <w:tc>
          <w:tcPr>
            <w:tcW w:w="39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color w:val="auto"/>
        </w:rPr>
        <w:t>Exhibit 10.1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AGREEMENT</w:t>
      </w:r>
    </w:p>
    <w:p>
      <w:pPr>
        <w:spacing w:after="0" w:line="212"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 CONFIDENTIAL PORTIONS OMITTED AND FILED SEPARATELY WITH THE COMMISSION.</w:t>
      </w:r>
    </w:p>
    <w:p>
      <w:pPr>
        <w:spacing w:after="0" w:line="200" w:lineRule="exact"/>
        <w:rPr>
          <w:sz w:val="20"/>
          <w:szCs w:val="20"/>
          <w:color w:val="auto"/>
        </w:rPr>
      </w:pPr>
    </w:p>
    <w:p>
      <w:pPr>
        <w:jc w:val="both"/>
        <w:ind w:firstLine="846"/>
        <w:spacing w:after="0" w:line="239" w:lineRule="auto"/>
        <w:rPr>
          <w:sz w:val="20"/>
          <w:szCs w:val="20"/>
          <w:color w:val="auto"/>
        </w:rPr>
      </w:pPr>
      <w:r>
        <w:rPr>
          <w:rFonts w:ascii="Arial" w:cs="Arial" w:eastAsia="Arial" w:hAnsi="Arial"/>
          <w:sz w:val="22"/>
          <w:szCs w:val="22"/>
          <w:color w:val="auto"/>
        </w:rPr>
        <w:t>This Development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on June 4, 2015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Tandem Diabetes Care, Inc., a Delaware corporation, having a principal place of business at 11045 Roselle St., San Diego, CA 92121 (“</w:t>
      </w:r>
      <w:r>
        <w:rPr>
          <w:rFonts w:ascii="Arial" w:cs="Arial" w:eastAsia="Arial" w:hAnsi="Arial"/>
          <w:sz w:val="22"/>
          <w:szCs w:val="22"/>
          <w:b w:val="1"/>
          <w:bCs w:val="1"/>
          <w:color w:val="auto"/>
        </w:rPr>
        <w:t>Tandem</w:t>
      </w:r>
      <w:r>
        <w:rPr>
          <w:rFonts w:ascii="Arial" w:cs="Arial" w:eastAsia="Arial" w:hAnsi="Arial"/>
          <w:sz w:val="22"/>
          <w:szCs w:val="22"/>
          <w:color w:val="auto"/>
        </w:rPr>
        <w:t>”) and DexCom, Inc., a Delaware corporation, having a principal place of business at 6340 Sequence Drive, San Diego, CA 92121 (“</w:t>
      </w:r>
      <w:r>
        <w:rPr>
          <w:rFonts w:ascii="Arial" w:cs="Arial" w:eastAsia="Arial" w:hAnsi="Arial"/>
          <w:sz w:val="22"/>
          <w:szCs w:val="22"/>
          <w:b w:val="1"/>
          <w:bCs w:val="1"/>
          <w:color w:val="auto"/>
        </w:rPr>
        <w:t>DexCom</w:t>
      </w:r>
      <w:r>
        <w:rPr>
          <w:rFonts w:ascii="Arial" w:cs="Arial" w:eastAsia="Arial" w:hAnsi="Arial"/>
          <w:sz w:val="22"/>
          <w:szCs w:val="22"/>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ACKGROUND</w:t>
      </w:r>
    </w:p>
    <w:p>
      <w:pPr>
        <w:spacing w:after="0" w:line="212" w:lineRule="exact"/>
        <w:rPr>
          <w:sz w:val="20"/>
          <w:szCs w:val="20"/>
          <w:color w:val="auto"/>
        </w:rPr>
      </w:pPr>
    </w:p>
    <w:p>
      <w:pPr>
        <w:ind w:left="1260" w:hanging="415"/>
        <w:spacing w:after="0" w:line="251" w:lineRule="auto"/>
        <w:tabs>
          <w:tab w:leader="none" w:pos="12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DexCom is in the business of developing and commercializing continuous glucose monitoring systems, and is currently developing the DexCom G5 System (as defined below).</w:t>
      </w:r>
    </w:p>
    <w:p>
      <w:pPr>
        <w:spacing w:after="0" w:line="173" w:lineRule="exact"/>
        <w:rPr>
          <w:rFonts w:ascii="Arial" w:cs="Arial" w:eastAsia="Arial" w:hAnsi="Arial"/>
          <w:sz w:val="22"/>
          <w:szCs w:val="22"/>
          <w:color w:val="auto"/>
        </w:rPr>
      </w:pPr>
    </w:p>
    <w:p>
      <w:pPr>
        <w:ind w:left="1260" w:hanging="415"/>
        <w:spacing w:after="0"/>
        <w:tabs>
          <w:tab w:leader="none" w:pos="12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Tandem has developed, and is developing, current and next generations of insulin infusion pump systems.</w:t>
      </w:r>
    </w:p>
    <w:p>
      <w:pPr>
        <w:spacing w:after="0" w:line="217" w:lineRule="exact"/>
        <w:rPr>
          <w:rFonts w:ascii="Arial" w:cs="Arial" w:eastAsia="Arial" w:hAnsi="Arial"/>
          <w:sz w:val="21"/>
          <w:szCs w:val="21"/>
          <w:color w:val="auto"/>
        </w:rPr>
      </w:pPr>
    </w:p>
    <w:p>
      <w:pPr>
        <w:jc w:val="both"/>
        <w:ind w:left="1260" w:hanging="415"/>
        <w:spacing w:after="0" w:line="287" w:lineRule="auto"/>
        <w:tabs>
          <w:tab w:leader="none" w:pos="12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parties believe it is in each of their best interests to enable Tandem to adapt the Tandem Display Device (defined below) to identify, receive, and display information from the DexCom G5 System, which is adapted to communicate information on a one-way basis between a DexCom Sensor (defined below) via the DexCom BT CGM Transmitter (defined below) to an external receiver or other display, such as the Tandem Display Device.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The parties therefore agree as follows:</w:t>
      </w:r>
    </w:p>
    <w:p>
      <w:pPr>
        <w:spacing w:after="0" w:line="200" w:lineRule="exact"/>
        <w:rPr>
          <w:sz w:val="20"/>
          <w:szCs w:val="20"/>
          <w:color w:val="auto"/>
        </w:rPr>
      </w:pPr>
    </w:p>
    <w:p>
      <w:pPr>
        <w:spacing w:after="0" w:line="216" w:lineRule="exact"/>
        <w:rPr>
          <w:sz w:val="20"/>
          <w:szCs w:val="20"/>
          <w:color w:val="auto"/>
        </w:rPr>
      </w:pPr>
    </w:p>
    <w:p>
      <w:pPr>
        <w:ind w:left="840" w:hanging="832"/>
        <w:spacing w:after="0"/>
        <w:tabs>
          <w:tab w:leader="none" w:pos="84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p>
    <w:p>
      <w:pPr>
        <w:spacing w:after="0" w:line="206" w:lineRule="exact"/>
        <w:rPr>
          <w:sz w:val="20"/>
          <w:szCs w:val="20"/>
          <w:color w:val="auto"/>
        </w:rPr>
      </w:pPr>
    </w:p>
    <w:p>
      <w:pPr>
        <w:jc w:val="both"/>
        <w:ind w:left="1680" w:hanging="836"/>
        <w:spacing w:after="0" w:line="237" w:lineRule="auto"/>
        <w:tabs>
          <w:tab w:leader="none" w:pos="16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Affiliates</w:t>
      </w:r>
      <w:r>
        <w:rPr>
          <w:rFonts w:ascii="Arial" w:cs="Arial" w:eastAsia="Arial" w:hAnsi="Arial"/>
          <w:sz w:val="22"/>
          <w:szCs w:val="22"/>
          <w:color w:val="auto"/>
        </w:rPr>
        <w:t>” means any corporation or other entity that is directly or indirectly controlling, controlled by or under common control with a party. For the purpose of this definition, “control” means the direct or indirect ownership of more than fifty percent (50%) of the capital stock of the subject entity entitled to vote in the election of directors (or, in the case of an entity that is not a corporation, interests entitled to vote in the election of the corresponding managing authority).</w:t>
      </w:r>
    </w:p>
    <w:p>
      <w:pPr>
        <w:spacing w:after="0" w:line="183" w:lineRule="exact"/>
        <w:rPr>
          <w:sz w:val="20"/>
          <w:szCs w:val="20"/>
          <w:color w:val="auto"/>
        </w:rPr>
      </w:pPr>
    </w:p>
    <w:p>
      <w:pPr>
        <w:ind w:left="840"/>
        <w:spacing w:after="0"/>
        <w:tabs>
          <w:tab w:leader="none" w:pos="16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 xml:space="preserve">“Communication Protocol” </w:t>
      </w:r>
      <w:r>
        <w:rPr>
          <w:rFonts w:ascii="Arial" w:cs="Arial" w:eastAsia="Arial" w:hAnsi="Arial"/>
          <w:sz w:val="19"/>
          <w:szCs w:val="19"/>
          <w:color w:val="auto"/>
        </w:rPr>
        <w:t>will have the meaning given to that term in Section 2.2 below.</w:t>
      </w:r>
    </w:p>
    <w:p>
      <w:pPr>
        <w:spacing w:after="0" w:line="206" w:lineRule="exact"/>
        <w:rPr>
          <w:sz w:val="20"/>
          <w:szCs w:val="20"/>
          <w:color w:val="auto"/>
        </w:rPr>
      </w:pPr>
    </w:p>
    <w:p>
      <w:pPr>
        <w:jc w:val="both"/>
        <w:ind w:left="1680" w:hanging="836"/>
        <w:spacing w:after="0" w:line="256" w:lineRule="auto"/>
        <w:tabs>
          <w:tab w:leader="none" w:pos="16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DexCom BT CGM Transmitter</w:t>
      </w:r>
      <w:r>
        <w:rPr>
          <w:rFonts w:ascii="Arial" w:cs="Arial" w:eastAsia="Arial" w:hAnsi="Arial"/>
          <w:sz w:val="22"/>
          <w:szCs w:val="22"/>
          <w:color w:val="auto"/>
        </w:rPr>
        <w:t>” means the transmitter component of the DexCom G5 System that is configured to transmit information from a DexCom Sensor 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ind w:left="480"/>
        <w:spacing w:after="0" w:line="328" w:lineRule="auto"/>
        <w:rPr>
          <w:sz w:val="20"/>
          <w:szCs w:val="20"/>
          <w:color w:val="auto"/>
        </w:rPr>
      </w:pPr>
      <w:r>
        <w:rPr>
          <w:rFonts w:ascii="Arial" w:cs="Arial" w:eastAsia="Arial" w:hAnsi="Arial"/>
          <w:sz w:val="19"/>
          <w:szCs w:val="19"/>
          <w:color w:val="auto"/>
        </w:rPr>
        <w:t>Bluetooth to any receiver adapted to identify, receive, and display such information, and is also controlled from an authenticated receiver, such as the DexCom Receiver, and the DexCom CGM Smartphone App.</w:t>
      </w:r>
    </w:p>
    <w:p>
      <w:pPr>
        <w:spacing w:after="0" w:line="99" w:lineRule="exact"/>
        <w:rPr>
          <w:sz w:val="20"/>
          <w:szCs w:val="20"/>
          <w:color w:val="auto"/>
        </w:rPr>
      </w:pPr>
    </w:p>
    <w:p>
      <w:pPr>
        <w:jc w:val="both"/>
        <w:ind w:left="480" w:hanging="836"/>
        <w:spacing w:after="0" w:line="284" w:lineRule="auto"/>
        <w:tabs>
          <w:tab w:leader="none" w:pos="4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DexCom CGM-Enabled Tandem Display Device</w:t>
      </w:r>
      <w:r>
        <w:rPr>
          <w:rFonts w:ascii="Arial" w:cs="Arial" w:eastAsia="Arial" w:hAnsi="Arial"/>
          <w:sz w:val="19"/>
          <w:szCs w:val="19"/>
          <w:color w:val="auto"/>
        </w:rPr>
        <w:t>” means a Tandem Display Device comprising a receiver or other component of the Tandem Insulin Infusion Pump configured to identify, receive, interpret, process and/or display DexCom Sensor Information from a DexCom BT CGM Transmitter and control the DexCom BT CGM Transmitter. A DexCom CGM-Enabled Tandem Display Device will be independently developed by Tandem pursuant to Section 2.1 and is not, and will not be, a component of a DexCom G5 System.</w:t>
      </w:r>
    </w:p>
    <w:p>
      <w:pPr>
        <w:spacing w:after="0" w:line="139" w:lineRule="exact"/>
        <w:rPr>
          <w:sz w:val="20"/>
          <w:szCs w:val="20"/>
          <w:color w:val="auto"/>
        </w:rPr>
      </w:pPr>
    </w:p>
    <w:p>
      <w:pPr>
        <w:jc w:val="both"/>
        <w:ind w:left="480" w:hanging="836"/>
        <w:spacing w:after="0" w:line="289" w:lineRule="auto"/>
        <w:tabs>
          <w:tab w:leader="none" w:pos="4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b w:val="1"/>
          <w:bCs w:val="1"/>
          <w:color w:val="auto"/>
        </w:rPr>
        <w:t>DexCom CGM Smartphone App</w:t>
      </w:r>
      <w:r>
        <w:rPr>
          <w:rFonts w:ascii="Arial" w:cs="Arial" w:eastAsia="Arial" w:hAnsi="Arial"/>
          <w:sz w:val="19"/>
          <w:szCs w:val="19"/>
          <w:color w:val="auto"/>
        </w:rPr>
        <w:t>” means the smartphone application component of the DexCom G5 System</w:t>
      </w:r>
      <w:r>
        <w:rPr>
          <w:rFonts w:ascii="Arial" w:cs="Arial" w:eastAsia="Arial" w:hAnsi="Arial"/>
          <w:sz w:val="19"/>
          <w:szCs w:val="19"/>
          <w:b w:val="1"/>
          <w:bCs w:val="1"/>
          <w:color w:val="auto"/>
        </w:rPr>
        <w:t xml:space="preserve"> </w:t>
      </w:r>
      <w:r>
        <w:rPr>
          <w:rFonts w:ascii="Arial" w:cs="Arial" w:eastAsia="Arial" w:hAnsi="Arial"/>
          <w:sz w:val="19"/>
          <w:szCs w:val="19"/>
          <w:color w:val="auto"/>
        </w:rPr>
        <w:t>that identifies, receives, deciphers and displays information transmitted by a DexCom BT CGM Transmitter from a DexCom Sensor, and also enables control of the DexCom BT CGM Transmitter by receiving and transmitting data to the DexCom G5 System, such as configuration settings and calibration values.</w:t>
      </w:r>
    </w:p>
    <w:p>
      <w:pPr>
        <w:spacing w:after="0" w:line="136" w:lineRule="exact"/>
        <w:rPr>
          <w:sz w:val="20"/>
          <w:szCs w:val="20"/>
          <w:color w:val="auto"/>
        </w:rPr>
      </w:pPr>
    </w:p>
    <w:p>
      <w:pPr>
        <w:jc w:val="both"/>
        <w:ind w:left="480" w:hanging="836"/>
        <w:spacing w:after="0" w:line="239" w:lineRule="auto"/>
        <w:tabs>
          <w:tab w:leader="none" w:pos="4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DexCom G5 System</w:t>
      </w:r>
      <w:r>
        <w:rPr>
          <w:rFonts w:ascii="Arial" w:cs="Arial" w:eastAsia="Arial" w:hAnsi="Arial"/>
          <w:sz w:val="22"/>
          <w:szCs w:val="22"/>
          <w:color w:val="auto"/>
        </w:rPr>
        <w:t>” means DexCom’s fifth generation continuous glucose monitoring system comprised of the following components, all designed, developed and manufactured by DexCom: a DexCom Sensor, a DexCom BT CGM Transmitter, DexCom Sensor Information, the Communication Protocol, a DexCom Receiver, and the DexCom CGM Smartphone App.</w:t>
      </w:r>
    </w:p>
    <w:p>
      <w:pPr>
        <w:spacing w:after="0" w:line="181" w:lineRule="exact"/>
        <w:rPr>
          <w:sz w:val="20"/>
          <w:szCs w:val="20"/>
          <w:color w:val="auto"/>
        </w:rPr>
      </w:pPr>
    </w:p>
    <w:p>
      <w:pPr>
        <w:jc w:val="both"/>
        <w:ind w:left="480" w:hanging="836"/>
        <w:spacing w:after="0" w:line="239" w:lineRule="auto"/>
        <w:tabs>
          <w:tab w:leader="none" w:pos="46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DexCom Receiver</w:t>
      </w:r>
      <w:r>
        <w:rPr>
          <w:rFonts w:ascii="Arial" w:cs="Arial" w:eastAsia="Arial" w:hAnsi="Arial"/>
          <w:sz w:val="22"/>
          <w:szCs w:val="22"/>
          <w:color w:val="auto"/>
        </w:rPr>
        <w:t>” means a component of the DexCom G5 System that identifies, receives, deciphers and displays information transmitted by a DexCom BT CGM Transmitter from a DexCom Sensor, and also enables control of the DexCom Transmitter by receiving and transmitting data to the DexCom G5 System, such as configuration settings and calibration values.</w:t>
      </w:r>
    </w:p>
    <w:p>
      <w:pPr>
        <w:spacing w:after="0" w:line="181" w:lineRule="exact"/>
        <w:rPr>
          <w:sz w:val="20"/>
          <w:szCs w:val="20"/>
          <w:color w:val="auto"/>
        </w:rPr>
      </w:pPr>
    </w:p>
    <w:p>
      <w:pPr>
        <w:jc w:val="both"/>
        <w:ind w:left="480" w:hanging="836"/>
        <w:spacing w:after="0" w:line="237" w:lineRule="auto"/>
        <w:tabs>
          <w:tab w:leader="none" w:pos="46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DexCom Sensor</w:t>
      </w:r>
      <w:r>
        <w:rPr>
          <w:rFonts w:ascii="Arial" w:cs="Arial" w:eastAsia="Arial" w:hAnsi="Arial"/>
          <w:sz w:val="22"/>
          <w:szCs w:val="22"/>
          <w:color w:val="auto"/>
        </w:rPr>
        <w:t>” means the component of the DexCom G5 System comprising a continuous glucose monitoring electrode sensor, adapted to (i) penetrate the patient’s skin to come into contact with the patient’s interstitial fluid, (ii) measure interstitial fluid glucose level, and (iii) be operably coupled to a DexCom BT CGM Transmitter to communicate the blood glucose value as measured by the DexCom Sensor to a separate receiver.</w:t>
      </w:r>
    </w:p>
    <w:p>
      <w:pPr>
        <w:spacing w:after="0" w:line="183" w:lineRule="exact"/>
        <w:rPr>
          <w:sz w:val="20"/>
          <w:szCs w:val="20"/>
          <w:color w:val="auto"/>
        </w:rPr>
      </w:pPr>
    </w:p>
    <w:p>
      <w:pPr>
        <w:jc w:val="both"/>
        <w:ind w:left="480" w:hanging="836"/>
        <w:spacing w:after="0" w:line="236" w:lineRule="auto"/>
        <w:tabs>
          <w:tab w:leader="none" w:pos="46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DexCom Sensor Information</w:t>
      </w:r>
      <w:r>
        <w:rPr>
          <w:rFonts w:ascii="Arial" w:cs="Arial" w:eastAsia="Arial" w:hAnsi="Arial"/>
          <w:sz w:val="22"/>
          <w:szCs w:val="22"/>
          <w:color w:val="auto"/>
        </w:rPr>
        <w:t>” consists of a DexCom BT CGM Transmitter interface spec that specifies contents of the transmitter broadcast message and the available control functions (the “</w:t>
      </w:r>
      <w:r>
        <w:rPr>
          <w:rFonts w:ascii="Arial" w:cs="Arial" w:eastAsia="Arial" w:hAnsi="Arial"/>
          <w:sz w:val="22"/>
          <w:szCs w:val="22"/>
          <w:b w:val="1"/>
          <w:bCs w:val="1"/>
          <w:color w:val="auto"/>
        </w:rPr>
        <w:t>Specification</w:t>
      </w:r>
      <w:r>
        <w:rPr>
          <w:rFonts w:ascii="Arial" w:cs="Arial" w:eastAsia="Arial" w:hAnsi="Arial"/>
          <w:sz w:val="22"/>
          <w:szCs w:val="22"/>
          <w:color w:val="auto"/>
        </w:rPr>
        <w:t>”). The transmitter broadcast message will contains items such as estimated glucose value, device display time stamp information, the trend arrow and calibration confidence intervals as stored in the DexCom BT CGM Transmitter. The control functions provide the commands required to start session, stop session and calibrate. Any additional sensor information to be shared must be</w:t>
      </w:r>
    </w:p>
    <w:p>
      <w:pPr>
        <w:spacing w:after="0" w:line="18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0" w:right="239" w:bottom="1440" w:gutter="0" w:footer="0" w:header="0"/>
        </w:sectPr>
      </w:pPr>
    </w:p>
    <w:bookmarkStart w:id="68" w:name="page69"/>
    <w:bookmarkEnd w:id="68"/>
    <w:p>
      <w:pPr>
        <w:jc w:val="both"/>
        <w:ind w:left="1680"/>
        <w:spacing w:after="0"/>
        <w:rPr>
          <w:sz w:val="20"/>
          <w:szCs w:val="20"/>
          <w:color w:val="auto"/>
        </w:rPr>
      </w:pPr>
      <w:r>
        <w:rPr>
          <w:rFonts w:ascii="Arial" w:cs="Arial" w:eastAsia="Arial" w:hAnsi="Arial"/>
          <w:sz w:val="22"/>
          <w:szCs w:val="22"/>
          <w:color w:val="auto"/>
        </w:rPr>
        <w:t>agreed in writing by both parties or shall be the result of DexCom’s updating of the Specification, which shall be permitted without requiring compliance with Section 10.7. The term “DexCom Sensor Information” shall in no way be construed to include the Raw Data.</w:t>
      </w:r>
    </w:p>
    <w:p>
      <w:pPr>
        <w:spacing w:after="0" w:line="180" w:lineRule="exact"/>
        <w:rPr>
          <w:sz w:val="20"/>
          <w:szCs w:val="20"/>
          <w:color w:val="auto"/>
        </w:rPr>
      </w:pPr>
    </w:p>
    <w:p>
      <w:pPr>
        <w:ind w:left="840"/>
        <w:spacing w:after="0"/>
        <w:tabs>
          <w:tab w:leader="none" w:pos="166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is the date set forth in the preamble above.</w:t>
      </w:r>
    </w:p>
    <w:p>
      <w:pPr>
        <w:spacing w:after="0" w:line="206" w:lineRule="exact"/>
        <w:rPr>
          <w:sz w:val="20"/>
          <w:szCs w:val="20"/>
          <w:color w:val="auto"/>
        </w:rPr>
      </w:pPr>
    </w:p>
    <w:p>
      <w:pPr>
        <w:jc w:val="both"/>
        <w:ind w:left="1680" w:hanging="836"/>
        <w:spacing w:after="0" w:line="243" w:lineRule="auto"/>
        <w:tabs>
          <w:tab w:leader="none" w:pos="166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Integrated System</w:t>
      </w:r>
      <w:r>
        <w:rPr>
          <w:rFonts w:ascii="Arial" w:cs="Arial" w:eastAsia="Arial" w:hAnsi="Arial"/>
          <w:sz w:val="22"/>
          <w:szCs w:val="22"/>
          <w:color w:val="auto"/>
        </w:rPr>
        <w:t>" shall mean a Tandem System that implements the Communication Protocol and is capable, among other things, of receiving and displaying continuous glucose monitoring data generated by the DexCom G5 System.</w:t>
      </w:r>
    </w:p>
    <w:p>
      <w:pPr>
        <w:spacing w:after="0" w:line="177" w:lineRule="exact"/>
        <w:rPr>
          <w:sz w:val="20"/>
          <w:szCs w:val="20"/>
          <w:color w:val="auto"/>
        </w:rPr>
      </w:pPr>
    </w:p>
    <w:p>
      <w:pPr>
        <w:jc w:val="both"/>
        <w:ind w:left="1680" w:hanging="836"/>
        <w:spacing w:after="0" w:line="247" w:lineRule="auto"/>
        <w:tabs>
          <w:tab w:leader="none" w:pos="166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Intellectual Property Rights</w:t>
      </w:r>
      <w:r>
        <w:rPr>
          <w:rFonts w:ascii="Arial" w:cs="Arial" w:eastAsia="Arial" w:hAnsi="Arial"/>
          <w:sz w:val="21"/>
          <w:szCs w:val="21"/>
          <w:color w:val="auto"/>
        </w:rPr>
        <w:t>" means (collectively): copyright rights (including, without limitation, the exclusive right to use, reproduce, modify, distribute, publicly display and publicly perform the copyrighted work), trademark rights (including, without limitation trade names, trademarks, service marks, and trade dress), patent rights (including, without limitation, the exclusive right to make, have made, import, use, sell and offer to sell), trade secrets, rights of publicity, authors’ and moral rights, goodwill and all other intellectual and industrial property rights as may exist now and/or hereafter come into existence and all renewals, reissues and extensions thereof, regardless of whether such rights arise under the laws of the United States or any other U.S. state or other country or jurisdiction.</w:t>
      </w:r>
    </w:p>
    <w:p>
      <w:pPr>
        <w:spacing w:after="0" w:line="173" w:lineRule="exact"/>
        <w:rPr>
          <w:sz w:val="20"/>
          <w:szCs w:val="20"/>
          <w:color w:val="auto"/>
        </w:rPr>
      </w:pPr>
    </w:p>
    <w:p>
      <w:pPr>
        <w:jc w:val="both"/>
        <w:ind w:left="1680" w:right="20" w:hanging="836"/>
        <w:spacing w:after="0" w:line="280" w:lineRule="auto"/>
        <w:tabs>
          <w:tab w:leader="none" w:pos="166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Raw Data</w:t>
      </w:r>
      <w:r>
        <w:rPr>
          <w:rFonts w:ascii="Arial" w:cs="Arial" w:eastAsia="Arial" w:hAnsi="Arial"/>
          <w:sz w:val="21"/>
          <w:szCs w:val="21"/>
          <w:color w:val="auto"/>
        </w:rPr>
        <w:t>” means any raw data used by the DexCom G5 System or any other data generated or stored by the DexCom G5 System that is not included in the definition of DexCom Sensor Information.</w:t>
      </w:r>
    </w:p>
    <w:p>
      <w:pPr>
        <w:spacing w:after="0" w:line="139" w:lineRule="exact"/>
        <w:rPr>
          <w:sz w:val="20"/>
          <w:szCs w:val="20"/>
          <w:color w:val="auto"/>
        </w:rPr>
      </w:pPr>
    </w:p>
    <w:p>
      <w:pPr>
        <w:jc w:val="both"/>
        <w:ind w:left="1680" w:hanging="836"/>
        <w:spacing w:after="0" w:line="243" w:lineRule="auto"/>
        <w:tabs>
          <w:tab w:leader="none" w:pos="166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Tandem Display Device</w:t>
      </w:r>
      <w:r>
        <w:rPr>
          <w:rFonts w:ascii="Arial" w:cs="Arial" w:eastAsia="Arial" w:hAnsi="Arial"/>
          <w:sz w:val="22"/>
          <w:szCs w:val="22"/>
          <w:color w:val="auto"/>
        </w:rPr>
        <w:t>” means a device used in connection with, or component of the, Tandem Insulin Infusion Pump that communicates with and controls the Tandem Insulin Infusion Pump and which also stores and processes data related to the Tandem System.</w:t>
      </w:r>
    </w:p>
    <w:p>
      <w:pPr>
        <w:spacing w:after="0" w:line="177" w:lineRule="exact"/>
        <w:rPr>
          <w:sz w:val="20"/>
          <w:szCs w:val="20"/>
          <w:color w:val="auto"/>
        </w:rPr>
      </w:pPr>
    </w:p>
    <w:p>
      <w:pPr>
        <w:jc w:val="both"/>
        <w:ind w:left="1680" w:hanging="836"/>
        <w:spacing w:after="0" w:line="256" w:lineRule="auto"/>
        <w:tabs>
          <w:tab w:leader="none" w:pos="166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Tandem Insulin Infusion Pump</w:t>
      </w:r>
      <w:r>
        <w:rPr>
          <w:rFonts w:ascii="Arial" w:cs="Arial" w:eastAsia="Arial" w:hAnsi="Arial"/>
          <w:sz w:val="22"/>
          <w:szCs w:val="22"/>
          <w:color w:val="auto"/>
        </w:rPr>
        <w:t>” means a subcutaneous infusion pump for insulin delivery, either alone or together with other medicaments.</w:t>
      </w:r>
    </w:p>
    <w:p>
      <w:pPr>
        <w:spacing w:after="0" w:line="163" w:lineRule="exact"/>
        <w:rPr>
          <w:sz w:val="20"/>
          <w:szCs w:val="20"/>
          <w:color w:val="auto"/>
        </w:rPr>
      </w:pPr>
    </w:p>
    <w:p>
      <w:pPr>
        <w:jc w:val="both"/>
        <w:ind w:left="1680" w:hanging="836"/>
        <w:spacing w:after="0" w:line="256" w:lineRule="auto"/>
        <w:tabs>
          <w:tab w:leader="none" w:pos="166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Tandem System</w:t>
      </w:r>
      <w:r>
        <w:rPr>
          <w:rFonts w:ascii="Arial" w:cs="Arial" w:eastAsia="Arial" w:hAnsi="Arial"/>
          <w:sz w:val="22"/>
          <w:szCs w:val="22"/>
          <w:color w:val="auto"/>
        </w:rPr>
        <w:t>” means a subcutaneous infusion system comprised of the following components: a Tandem Insulin Infusion Pump and a Tandem Display Device.</w:t>
      </w:r>
    </w:p>
    <w:p>
      <w:pPr>
        <w:spacing w:after="0" w:line="379" w:lineRule="exact"/>
        <w:rPr>
          <w:sz w:val="20"/>
          <w:szCs w:val="20"/>
          <w:color w:val="auto"/>
        </w:rPr>
      </w:pPr>
    </w:p>
    <w:p>
      <w:pPr>
        <w:ind w:left="840" w:hanging="832"/>
        <w:spacing w:after="0"/>
        <w:tabs>
          <w:tab w:leader="none" w:pos="84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EVELOPMENT</w:t>
      </w:r>
      <w:r>
        <w:rPr>
          <w:rFonts w:ascii="Arial" w:cs="Arial" w:eastAsia="Arial" w:hAnsi="Arial"/>
          <w:sz w:val="22"/>
          <w:szCs w:val="22"/>
          <w:b w:val="1"/>
          <w:bCs w:val="1"/>
          <w:color w:val="auto"/>
        </w:rPr>
        <w:t xml:space="preserve"> &amp; R</w:t>
      </w:r>
      <w:r>
        <w:rPr>
          <w:rFonts w:ascii="Arial" w:cs="Arial" w:eastAsia="Arial" w:hAnsi="Arial"/>
          <w:sz w:val="14"/>
          <w:szCs w:val="14"/>
          <w:b w:val="1"/>
          <w:bCs w:val="1"/>
          <w:color w:val="auto"/>
        </w:rPr>
        <w:t>EGULATORY</w:t>
      </w:r>
    </w:p>
    <w:p>
      <w:pPr>
        <w:spacing w:after="0" w:line="212" w:lineRule="exact"/>
        <w:rPr>
          <w:sz w:val="20"/>
          <w:szCs w:val="20"/>
          <w:color w:val="auto"/>
        </w:rPr>
      </w:pPr>
    </w:p>
    <w:p>
      <w:pPr>
        <w:jc w:val="both"/>
        <w:ind w:left="1680" w:hanging="836"/>
        <w:spacing w:after="0" w:line="287" w:lineRule="auto"/>
        <w:tabs>
          <w:tab w:leader="none" w:pos="16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Tandem Responsibilities</w:t>
      </w:r>
      <w:r>
        <w:rPr>
          <w:rFonts w:ascii="Arial" w:cs="Arial" w:eastAsia="Arial" w:hAnsi="Arial"/>
          <w:sz w:val="19"/>
          <w:szCs w:val="19"/>
          <w:color w:val="auto"/>
        </w:rPr>
        <w:t>. At Tandem’s sole cost, Tandem intends to develop a version of the Tandem System</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comprising a DexCom CGM-Enabled Tandem Display Device. Tandem shall be solely responsible for all design, development, regulatory and commercialization activities associated with such DexCom CGM-Enabled Tandem Display Device. Tandem shall ensure that any DexCom CGM-Enabled Tandem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9" w:name="page70"/>
    <w:bookmarkEnd w:id="69"/>
    <w:p>
      <w:pPr>
        <w:jc w:val="both"/>
        <w:ind w:left="1680"/>
        <w:spacing w:after="0"/>
        <w:rPr>
          <w:sz w:val="20"/>
          <w:szCs w:val="20"/>
          <w:color w:val="auto"/>
        </w:rPr>
      </w:pPr>
      <w:r>
        <w:rPr>
          <w:rFonts w:ascii="Arial" w:cs="Arial" w:eastAsia="Arial" w:hAnsi="Arial"/>
          <w:sz w:val="22"/>
          <w:szCs w:val="22"/>
          <w:color w:val="auto"/>
        </w:rPr>
        <w:t>Device shall not interfere with the ability of the DexCom BT CGM Transmitter to remain paired and communicate with the DexCom CGM Smartphone App at all times, notwithstanding any pairing with the Tandem System.</w:t>
      </w:r>
    </w:p>
    <w:p>
      <w:pPr>
        <w:spacing w:after="0" w:line="186" w:lineRule="exact"/>
        <w:rPr>
          <w:sz w:val="20"/>
          <w:szCs w:val="20"/>
          <w:color w:val="auto"/>
        </w:rPr>
      </w:pPr>
    </w:p>
    <w:p>
      <w:pPr>
        <w:jc w:val="both"/>
        <w:ind w:left="1680" w:hanging="836"/>
        <w:spacing w:after="0" w:line="273" w:lineRule="auto"/>
        <w:tabs>
          <w:tab w:leader="none" w:pos="16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DexCom Responsibilities</w:t>
      </w:r>
      <w:r>
        <w:rPr>
          <w:rFonts w:ascii="Arial" w:cs="Arial" w:eastAsia="Arial" w:hAnsi="Arial"/>
          <w:sz w:val="19"/>
          <w:szCs w:val="19"/>
          <w:color w:val="auto"/>
        </w:rPr>
        <w:t>. At DexCom’s sole cost, DexCom intends to develop a DexCom G5</w:t>
      </w:r>
      <w:r>
        <w:rPr>
          <w:rFonts w:ascii="Arial" w:cs="Arial" w:eastAsia="Arial" w:hAnsi="Arial"/>
          <w:sz w:val="19"/>
          <w:szCs w:val="19"/>
          <w:u w:val="single" w:color="auto"/>
          <w:color w:val="auto"/>
        </w:rPr>
        <w:t xml:space="preserve"> </w:t>
      </w:r>
      <w:r>
        <w:rPr>
          <w:rFonts w:ascii="Arial" w:cs="Arial" w:eastAsia="Arial" w:hAnsi="Arial"/>
          <w:sz w:val="19"/>
          <w:szCs w:val="19"/>
          <w:color w:val="auto"/>
        </w:rPr>
        <w:t>System. DexCom shall be solely responsible for all design, development, regulatory and commercialization activities associated with such DexCom G5 System. Upon completion of such development, DexCom will provide Tandem with a communication protocol that permits a DexCom CGM-Enabled Tandem Display Device to identify, receive and display DexCom Sensor Information and to control the DexCom BT CGM Transmitter (the “</w:t>
      </w:r>
      <w:r>
        <w:rPr>
          <w:rFonts w:ascii="Arial" w:cs="Arial" w:eastAsia="Arial" w:hAnsi="Arial"/>
          <w:sz w:val="19"/>
          <w:szCs w:val="19"/>
          <w:b w:val="1"/>
          <w:bCs w:val="1"/>
          <w:color w:val="auto"/>
        </w:rPr>
        <w:t>Communication Protocol</w:t>
      </w:r>
      <w:r>
        <w:rPr>
          <w:rFonts w:ascii="Arial" w:cs="Arial" w:eastAsia="Arial" w:hAnsi="Arial"/>
          <w:sz w:val="19"/>
          <w:szCs w:val="19"/>
          <w:color w:val="auto"/>
        </w:rPr>
        <w:t>”). Upon request, DexCom agrees to provide commercially reasonable assistance in response to questions from Tandem to facilitate Tandem’s implementation of the Communication Protocol. In addition, if reasonably necessary for Tandem to secure regulatory approval for the commercialization of a Tandem System, or a component thereof, DexCom agrees to permit Tandem to reference DexCom’s own regulatory filings for the DexCom G5 System.</w:t>
      </w:r>
    </w:p>
    <w:p>
      <w:pPr>
        <w:spacing w:after="0" w:line="162" w:lineRule="exact"/>
        <w:rPr>
          <w:sz w:val="20"/>
          <w:szCs w:val="20"/>
          <w:color w:val="auto"/>
        </w:rPr>
      </w:pPr>
    </w:p>
    <w:p>
      <w:pPr>
        <w:ind w:left="840"/>
        <w:spacing w:after="0"/>
        <w:tabs>
          <w:tab w:leader="none" w:pos="16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Costs</w:t>
      </w:r>
      <w:r>
        <w:rPr>
          <w:rFonts w:ascii="Arial" w:cs="Arial" w:eastAsia="Arial" w:hAnsi="Arial"/>
          <w:sz w:val="19"/>
          <w:szCs w:val="19"/>
          <w:color w:val="auto"/>
        </w:rPr>
        <w:t>. Each party shall bear its own costs.</w:t>
      </w:r>
    </w:p>
    <w:p>
      <w:pPr>
        <w:spacing w:after="0" w:line="200" w:lineRule="exact"/>
        <w:rPr>
          <w:sz w:val="20"/>
          <w:szCs w:val="20"/>
          <w:color w:val="auto"/>
        </w:rPr>
      </w:pPr>
    </w:p>
    <w:p>
      <w:pPr>
        <w:spacing w:after="0" w:line="216" w:lineRule="exact"/>
        <w:rPr>
          <w:sz w:val="20"/>
          <w:szCs w:val="20"/>
          <w:color w:val="auto"/>
        </w:rPr>
      </w:pPr>
    </w:p>
    <w:p>
      <w:pPr>
        <w:ind w:left="840" w:hanging="832"/>
        <w:spacing w:after="0"/>
        <w:tabs>
          <w:tab w:leader="none" w:pos="84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WNERSHIP</w:t>
      </w:r>
      <w:r>
        <w:rPr>
          <w:rFonts w:ascii="Arial" w:cs="Arial" w:eastAsia="Arial" w:hAnsi="Arial"/>
          <w:sz w:val="22"/>
          <w:szCs w:val="22"/>
          <w:b w:val="1"/>
          <w:bCs w:val="1"/>
          <w:color w:val="auto"/>
        </w:rPr>
        <w:t xml:space="preserve"> &amp; L</w:t>
      </w:r>
      <w:r>
        <w:rPr>
          <w:rFonts w:ascii="Arial" w:cs="Arial" w:eastAsia="Arial" w:hAnsi="Arial"/>
          <w:sz w:val="14"/>
          <w:szCs w:val="14"/>
          <w:b w:val="1"/>
          <w:bCs w:val="1"/>
          <w:color w:val="auto"/>
        </w:rPr>
        <w:t>ICENSE</w:t>
      </w:r>
    </w:p>
    <w:p>
      <w:pPr>
        <w:spacing w:after="0" w:line="212" w:lineRule="exact"/>
        <w:rPr>
          <w:sz w:val="20"/>
          <w:szCs w:val="20"/>
          <w:color w:val="auto"/>
        </w:rPr>
      </w:pPr>
    </w:p>
    <w:p>
      <w:pPr>
        <w:jc w:val="both"/>
        <w:ind w:left="1680" w:hanging="836"/>
        <w:spacing w:after="0" w:line="236" w:lineRule="auto"/>
        <w:tabs>
          <w:tab w:leader="none" w:pos="16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u w:val="single" w:color="auto"/>
          <w:color w:val="auto"/>
        </w:rPr>
        <w:t>Ownership</w:t>
      </w:r>
      <w:r>
        <w:rPr>
          <w:rFonts w:ascii="Arial" w:cs="Arial" w:eastAsia="Arial" w:hAnsi="Arial"/>
          <w:sz w:val="22"/>
          <w:szCs w:val="22"/>
          <w:color w:val="auto"/>
        </w:rPr>
        <w:t>. The parties do not intend for there to be any “joint inventions” under this Agreement and, except as</w:t>
      </w:r>
      <w:r>
        <w:rPr>
          <w:rFonts w:ascii="Arial" w:cs="Arial" w:eastAsia="Arial" w:hAnsi="Arial"/>
          <w:sz w:val="22"/>
          <w:szCs w:val="22"/>
          <w:u w:val="single" w:color="auto"/>
          <w:color w:val="auto"/>
        </w:rPr>
        <w:t xml:space="preserve"> </w:t>
      </w:r>
      <w:r>
        <w:rPr>
          <w:rFonts w:ascii="Arial" w:cs="Arial" w:eastAsia="Arial" w:hAnsi="Arial"/>
          <w:sz w:val="22"/>
          <w:szCs w:val="22"/>
          <w:color w:val="auto"/>
        </w:rPr>
        <w:t>set forth in Section 3.2, this Agreement does not comprise an assignment or license of any intellectual property, trade secrets or confidential information by either party to the other. DexCom (and/or its Affiliates) will own and retain their Intellectual Property Rights. Tandem (and/or its Affiliates) will own and retain their Intellectual Property Rights.</w:t>
      </w:r>
    </w:p>
    <w:p>
      <w:pPr>
        <w:spacing w:after="0" w:line="188" w:lineRule="exact"/>
        <w:rPr>
          <w:sz w:val="20"/>
          <w:szCs w:val="20"/>
          <w:color w:val="auto"/>
        </w:rPr>
      </w:pPr>
    </w:p>
    <w:p>
      <w:pPr>
        <w:jc w:val="both"/>
        <w:ind w:left="1680" w:hanging="836"/>
        <w:spacing w:after="0" w:line="234" w:lineRule="auto"/>
        <w:tabs>
          <w:tab w:leader="none" w:pos="16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u w:val="single" w:color="auto"/>
          <w:color w:val="auto"/>
        </w:rPr>
        <w:t>License</w:t>
      </w:r>
      <w:r>
        <w:rPr>
          <w:rFonts w:ascii="Arial" w:cs="Arial" w:eastAsia="Arial" w:hAnsi="Arial"/>
          <w:sz w:val="22"/>
          <w:szCs w:val="22"/>
          <w:color w:val="auto"/>
        </w:rPr>
        <w:t>. DexCom hereby grants Tandem a royalty-free, worldwide, non-exclusive license to (i) use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Communication Protocol for the purpose of developing and commercializing a DexCom CGM-Enabled Tandem Display Device, including the right to make, have made, use, sell, offer to sell, have sold and import the DexCom CGM-Enabled Tandem Display Device; and (ii) use the trademarks, trade names and other marketing names used by DexCom for the DexCom G5 System solely in connection with Tandem’s advertising, promotion, marketing and sale of the Tandem System, and in related brochures and other materials, in full accordance with all guidelines and instructions as DexCom may deliver to Tandem from time to time in DexCom’s sole discretion.</w:t>
      </w:r>
    </w:p>
    <w:p>
      <w:pPr>
        <w:spacing w:after="0" w:line="188" w:lineRule="exact"/>
        <w:rPr>
          <w:sz w:val="20"/>
          <w:szCs w:val="20"/>
          <w:color w:val="auto"/>
        </w:rPr>
      </w:pPr>
    </w:p>
    <w:p>
      <w:pPr>
        <w:jc w:val="both"/>
        <w:ind w:left="1680" w:hanging="836"/>
        <w:spacing w:after="0"/>
        <w:tabs>
          <w:tab w:leader="none" w:pos="16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u w:val="single" w:color="auto"/>
          <w:color w:val="auto"/>
        </w:rPr>
        <w:t>Limitations on Use</w:t>
      </w:r>
      <w:r>
        <w:rPr>
          <w:rFonts w:ascii="Arial" w:cs="Arial" w:eastAsia="Arial" w:hAnsi="Arial"/>
          <w:sz w:val="22"/>
          <w:szCs w:val="22"/>
          <w:color w:val="auto"/>
        </w:rPr>
        <w:t>. Tandem agrees not to distribute, license, sublicense or otherwise transfer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Communication Protocol to any third party. Tandem shall have no right under this Agreement to in any way distribute the Communication Protocol, or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0" w:name="page71"/>
    <w:bookmarkEnd w:id="70"/>
    <w:p>
      <w:pPr>
        <w:jc w:val="both"/>
        <w:ind w:left="1680"/>
        <w:spacing w:after="0" w:line="275" w:lineRule="auto"/>
        <w:rPr>
          <w:sz w:val="20"/>
          <w:szCs w:val="20"/>
          <w:color w:val="auto"/>
        </w:rPr>
      </w:pPr>
      <w:r>
        <w:rPr>
          <w:rFonts w:ascii="Arial" w:cs="Arial" w:eastAsia="Arial" w:hAnsi="Arial"/>
          <w:sz w:val="19"/>
          <w:szCs w:val="19"/>
          <w:color w:val="auto"/>
        </w:rPr>
        <w:t>intercept, propagate, reverse engineer, disassemble, de-encrypt, or derive the source code for the software or bios included in any DexCom G5 System, or any component thereof. Tandem is not granted any right to the Raw Data received or generated by any DexCom G5 System and/or used by it to produce output such as timestamps, measurements or other data, and will not try to derive, de-encrypt or intercept any of such Raw Data. Tandem shall not access or use any information within the DexCom G5 System other than the information contained in the Specification. Tandem shall be prohibited from using the Communication Protocol for any purposes other than as set forth in this Agreement. DexCom shall not access or use any information within the Tandem System other than as set forth in this Agreement.</w:t>
      </w:r>
    </w:p>
    <w:p>
      <w:pPr>
        <w:spacing w:after="0" w:line="158" w:lineRule="exact"/>
        <w:rPr>
          <w:sz w:val="20"/>
          <w:szCs w:val="20"/>
          <w:color w:val="auto"/>
        </w:rPr>
      </w:pPr>
    </w:p>
    <w:p>
      <w:pPr>
        <w:jc w:val="both"/>
        <w:ind w:left="1680" w:hanging="836"/>
        <w:spacing w:after="0" w:line="249" w:lineRule="auto"/>
        <w:tabs>
          <w:tab w:leader="none" w:pos="16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u w:val="single" w:color="auto"/>
          <w:color w:val="auto"/>
        </w:rPr>
        <w:t>No Other Restrictions</w:t>
      </w:r>
      <w:r>
        <w:rPr>
          <w:rFonts w:ascii="Arial" w:cs="Arial" w:eastAsia="Arial" w:hAnsi="Arial"/>
          <w:sz w:val="21"/>
          <w:szCs w:val="21"/>
          <w:color w:val="auto"/>
        </w:rPr>
        <w:t>. For the avoidance of doubt, except as expressly agreed by the parties in writing, (i)</w:t>
      </w:r>
      <w:r>
        <w:rPr>
          <w:rFonts w:ascii="Arial" w:cs="Arial" w:eastAsia="Arial" w:hAnsi="Arial"/>
          <w:sz w:val="21"/>
          <w:szCs w:val="21"/>
          <w:u w:val="single" w:color="auto"/>
          <w:color w:val="auto"/>
        </w:rPr>
        <w:t xml:space="preserve"> </w:t>
      </w:r>
      <w:r>
        <w:rPr>
          <w:rFonts w:ascii="Arial" w:cs="Arial" w:eastAsia="Arial" w:hAnsi="Arial"/>
          <w:sz w:val="21"/>
          <w:szCs w:val="21"/>
          <w:color w:val="auto"/>
        </w:rPr>
        <w:t>DexCom will not be restricted from distributing, licensing, transferring, or otherwise exploiting the DexCom G5 System or any component thereof, or any Intellectual Property Rights therein, and (ii) Tandem will not be restricted from distributing, licensing, transferring, or otherwise exploiting the Tandem System or any component thereof, or any Tandem Intellectual Property Rights therein.</w:t>
      </w:r>
    </w:p>
    <w:p>
      <w:pPr>
        <w:spacing w:after="0" w:line="389" w:lineRule="exact"/>
        <w:rPr>
          <w:sz w:val="20"/>
          <w:szCs w:val="20"/>
          <w:color w:val="auto"/>
        </w:rPr>
      </w:pPr>
    </w:p>
    <w:p>
      <w:pPr>
        <w:ind w:left="840" w:hanging="832"/>
        <w:spacing w:after="0"/>
        <w:tabs>
          <w:tab w:leader="none" w:pos="84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OMMERCIALIZATION</w:t>
      </w:r>
    </w:p>
    <w:p>
      <w:pPr>
        <w:spacing w:after="0" w:line="212" w:lineRule="exact"/>
        <w:rPr>
          <w:sz w:val="20"/>
          <w:szCs w:val="20"/>
          <w:color w:val="auto"/>
        </w:rPr>
      </w:pPr>
    </w:p>
    <w:p>
      <w:pPr>
        <w:jc w:val="both"/>
        <w:ind w:left="1680" w:hanging="836"/>
        <w:spacing w:after="0"/>
        <w:tabs>
          <w:tab w:leader="none" w:pos="16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DexCom shall have sole discretion to decide whether to complete development of and commercialize the DexCom G5 System and shall be under no obligation to complete such development or commercialization as a result of this Agreement.</w:t>
      </w:r>
    </w:p>
    <w:p>
      <w:pPr>
        <w:spacing w:after="0" w:line="186" w:lineRule="exact"/>
        <w:rPr>
          <w:sz w:val="20"/>
          <w:szCs w:val="20"/>
          <w:color w:val="auto"/>
        </w:rPr>
      </w:pPr>
    </w:p>
    <w:p>
      <w:pPr>
        <w:jc w:val="both"/>
        <w:ind w:left="1680" w:hanging="836"/>
        <w:spacing w:after="0" w:line="247" w:lineRule="auto"/>
        <w:tabs>
          <w:tab w:leader="none" w:pos="16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Tandem shall have sole discretion to decide whether to complete development of and commercialize a version of the Tandem System comprising a DexCom CGM-Enabled Tandem Display Device and shall be under no obligation to complete such development or commercialization as a result of this Agreement. Tandem and DexCom will use commercially reasonable efforts to develop a mutually acceptable written plan to provide training and customer and technical support for any mutual customers prior to Tandem’s submission of any application to regulatory authorities to secure regulatory approval for the commercialization of a DexCom CGM-Enabled Tandem Display Device.</w:t>
      </w:r>
    </w:p>
    <w:p>
      <w:pPr>
        <w:spacing w:after="0" w:line="178" w:lineRule="exact"/>
        <w:rPr>
          <w:sz w:val="20"/>
          <w:szCs w:val="20"/>
          <w:color w:val="auto"/>
        </w:rPr>
      </w:pPr>
    </w:p>
    <w:p>
      <w:pPr>
        <w:jc w:val="both"/>
        <w:ind w:left="1680" w:hanging="836"/>
        <w:spacing w:after="0" w:line="297" w:lineRule="auto"/>
        <w:tabs>
          <w:tab w:leader="none" w:pos="166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If DexCom and Tandem, respectively, complete the development and commercialization of (i) the DexCom G5 System, and (ii) a DexCom CGM-Enabled Tandem Display Device, then the parties will use commercially reasonable efforts to develop a plan to cooperate on marketing such products to their respective customers.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1" w:name="page72"/>
    <w:bookmarkEnd w:id="71"/>
    <w:p>
      <w:pPr>
        <w:ind w:left="832"/>
        <w:spacing w:after="0"/>
        <w:tabs>
          <w:tab w:leader="none" w:pos="1652"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Tandem hereby acknowledges that DexCom may discontinue its support of the DexCom G5 System [***].</w:t>
      </w:r>
    </w:p>
    <w:p>
      <w:pPr>
        <w:spacing w:after="0" w:line="8" w:lineRule="exact"/>
        <w:rPr>
          <w:sz w:val="20"/>
          <w:szCs w:val="20"/>
          <w:color w:val="auto"/>
        </w:rPr>
      </w:pPr>
    </w:p>
    <w:p>
      <w:pPr>
        <w:ind w:left="1672"/>
        <w:spacing w:after="0"/>
        <w:rPr>
          <w:sz w:val="20"/>
          <w:szCs w:val="20"/>
          <w:color w:val="auto"/>
        </w:rPr>
      </w:pPr>
      <w:r>
        <w:rPr>
          <w:rFonts w:ascii="Arial" w:cs="Arial" w:eastAsia="Arial" w:hAnsi="Arial"/>
          <w:sz w:val="22"/>
          <w:szCs w:val="22"/>
          <w:color w:val="auto"/>
        </w:rPr>
        <w:t>DexCom agrees to [***]. Tandem further acknowledges that DexCom has no obligation to [***].</w:t>
      </w:r>
    </w:p>
    <w:p>
      <w:pPr>
        <w:spacing w:after="0" w:line="398" w:lineRule="exact"/>
        <w:rPr>
          <w:sz w:val="20"/>
          <w:szCs w:val="20"/>
          <w:color w:val="auto"/>
        </w:rPr>
      </w:pPr>
    </w:p>
    <w:p>
      <w:pPr>
        <w:ind w:left="832" w:hanging="832"/>
        <w:spacing w:after="0"/>
        <w:tabs>
          <w:tab w:leader="none" w:pos="832"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w:t>
      </w:r>
    </w:p>
    <w:p>
      <w:pPr>
        <w:spacing w:after="0" w:line="212" w:lineRule="exact"/>
        <w:rPr>
          <w:sz w:val="20"/>
          <w:szCs w:val="20"/>
          <w:color w:val="auto"/>
        </w:rPr>
      </w:pPr>
    </w:p>
    <w:p>
      <w:pPr>
        <w:jc w:val="both"/>
        <w:ind w:left="1672" w:hanging="836"/>
        <w:spacing w:after="0" w:line="249" w:lineRule="auto"/>
        <w:tabs>
          <w:tab w:leader="none" w:pos="1652"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u w:val="single" w:color="auto"/>
          <w:color w:val="auto"/>
        </w:rPr>
        <w:t>By Tandem</w:t>
      </w:r>
      <w:r>
        <w:rPr>
          <w:rFonts w:ascii="Arial" w:cs="Arial" w:eastAsia="Arial" w:hAnsi="Arial"/>
          <w:sz w:val="21"/>
          <w:szCs w:val="21"/>
          <w:color w:val="auto"/>
        </w:rPr>
        <w:t>. Tandem warrants and represents to DexCom that (i) Tandem has the full right and authority to</w:t>
      </w:r>
      <w:r>
        <w:rPr>
          <w:rFonts w:ascii="Arial" w:cs="Arial" w:eastAsia="Arial" w:hAnsi="Arial"/>
          <w:sz w:val="21"/>
          <w:szCs w:val="21"/>
          <w:u w:val="single" w:color="auto"/>
          <w:color w:val="auto"/>
        </w:rPr>
        <w:t xml:space="preserve"> </w:t>
      </w:r>
      <w:r>
        <w:rPr>
          <w:rFonts w:ascii="Arial" w:cs="Arial" w:eastAsia="Arial" w:hAnsi="Arial"/>
          <w:sz w:val="21"/>
          <w:szCs w:val="21"/>
          <w:color w:val="auto"/>
        </w:rPr>
        <w:t>enter into this Agreement and grant the rights granted herein; (ii) Tandem has not previously granted and will not grant any right in conflict with any of the rights granted herein; (iii) to Tandem’s knowledge on the Effective Date, there is no existing or threatened action, suit or claim pending against it with respect to its right to enter into and perform any of its obligations under this Agreement.</w:t>
      </w:r>
    </w:p>
    <w:p>
      <w:pPr>
        <w:spacing w:after="0" w:line="179" w:lineRule="exact"/>
        <w:rPr>
          <w:sz w:val="20"/>
          <w:szCs w:val="20"/>
          <w:color w:val="auto"/>
        </w:rPr>
      </w:pPr>
    </w:p>
    <w:p>
      <w:pPr>
        <w:jc w:val="both"/>
        <w:ind w:left="1672" w:hanging="836"/>
        <w:spacing w:after="0" w:line="249" w:lineRule="auto"/>
        <w:tabs>
          <w:tab w:leader="none" w:pos="1652"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u w:val="single" w:color="auto"/>
          <w:color w:val="auto"/>
        </w:rPr>
        <w:t>By DexCom</w:t>
      </w:r>
      <w:r>
        <w:rPr>
          <w:rFonts w:ascii="Arial" w:cs="Arial" w:eastAsia="Arial" w:hAnsi="Arial"/>
          <w:sz w:val="21"/>
          <w:szCs w:val="21"/>
          <w:color w:val="auto"/>
        </w:rPr>
        <w:t>. DexCom warrants and represents to Tandem that (i) DexCom has the full right and authority to</w:t>
      </w:r>
      <w:r>
        <w:rPr>
          <w:rFonts w:ascii="Arial" w:cs="Arial" w:eastAsia="Arial" w:hAnsi="Arial"/>
          <w:sz w:val="21"/>
          <w:szCs w:val="21"/>
          <w:u w:val="single" w:color="auto"/>
          <w:color w:val="auto"/>
        </w:rPr>
        <w:t xml:space="preserve"> </w:t>
      </w:r>
      <w:r>
        <w:rPr>
          <w:rFonts w:ascii="Arial" w:cs="Arial" w:eastAsia="Arial" w:hAnsi="Arial"/>
          <w:sz w:val="21"/>
          <w:szCs w:val="21"/>
          <w:color w:val="auto"/>
        </w:rPr>
        <w:t>enter into this Agreement and grant the rights granted herein; (ii) DexCom has not previously granted and will not grant any right in conflict with any of the rights granted herein; (iii) to DexCom’s knowledge on the Effective Date, there is no existing or threatened action, suit or claim pending against it with respect to its right to enter into and perform its obligations under this Agreement.</w:t>
      </w:r>
    </w:p>
    <w:p>
      <w:pPr>
        <w:spacing w:after="0" w:line="179" w:lineRule="exact"/>
        <w:rPr>
          <w:sz w:val="20"/>
          <w:szCs w:val="20"/>
          <w:color w:val="auto"/>
        </w:rPr>
      </w:pPr>
    </w:p>
    <w:p>
      <w:pPr>
        <w:jc w:val="both"/>
        <w:ind w:left="1672" w:hanging="836"/>
        <w:spacing w:after="0" w:line="249" w:lineRule="auto"/>
        <w:tabs>
          <w:tab w:leader="none" w:pos="1652"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1"/>
          <w:szCs w:val="21"/>
          <w:u w:val="single" w:color="auto"/>
          <w:color w:val="auto"/>
        </w:rPr>
        <w:t>Disclaimer of Warranties</w:t>
      </w:r>
      <w:r>
        <w:rPr>
          <w:rFonts w:ascii="Arial" w:cs="Arial" w:eastAsia="Arial" w:hAnsi="Arial"/>
          <w:sz w:val="21"/>
          <w:szCs w:val="21"/>
          <w:color w:val="auto"/>
        </w:rPr>
        <w:t>. EXCEPT AS EXPRESSLY SET FORTH IN THIS SECTION 5, EACH OF</w:t>
      </w:r>
      <w:r>
        <w:rPr>
          <w:rFonts w:ascii="Arial" w:cs="Arial" w:eastAsia="Arial" w:hAnsi="Arial"/>
          <w:sz w:val="21"/>
          <w:szCs w:val="21"/>
          <w:u w:val="single" w:color="auto"/>
          <w:color w:val="auto"/>
        </w:rPr>
        <w:t xml:space="preserve"> </w:t>
      </w:r>
      <w:r>
        <w:rPr>
          <w:rFonts w:ascii="Arial" w:cs="Arial" w:eastAsia="Arial" w:hAnsi="Arial"/>
          <w:sz w:val="21"/>
          <w:szCs w:val="21"/>
          <w:color w:val="auto"/>
        </w:rPr>
        <w:t>TANDEM AND DEXCOM MAKES NO REPRESENTATIONS OR WARRANTIES UNDER THIS AGREEMENT, AND EXPRESSLY DISCLAIMS ANY WARRANTIES EXPRESS, IMPLIED, STATUTORY OR OTHERWISE, INCLUDING, WITHOUT LIMITATION, ANY WARRANTY OF MERCHANTABILITY, FITNESS FOR A PARTICULAR PURPOSE, VALIDITY, AND NON-INFRINGEMENT.</w:t>
      </w:r>
    </w:p>
    <w:p>
      <w:pPr>
        <w:spacing w:after="0" w:line="389" w:lineRule="exact"/>
        <w:rPr>
          <w:sz w:val="20"/>
          <w:szCs w:val="20"/>
          <w:color w:val="auto"/>
        </w:rPr>
      </w:pPr>
    </w:p>
    <w:p>
      <w:pPr>
        <w:ind w:left="832" w:hanging="832"/>
        <w:spacing w:after="0"/>
        <w:tabs>
          <w:tab w:leader="none" w:pos="832"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ONFIDENTIALITY</w:t>
      </w:r>
    </w:p>
    <w:p>
      <w:pPr>
        <w:spacing w:after="0" w:line="212" w:lineRule="exact"/>
        <w:rPr>
          <w:sz w:val="20"/>
          <w:szCs w:val="20"/>
          <w:color w:val="auto"/>
        </w:rPr>
      </w:pPr>
    </w:p>
    <w:p>
      <w:pPr>
        <w:jc w:val="both"/>
        <w:ind w:left="1672" w:hanging="836"/>
        <w:spacing w:after="0" w:line="246" w:lineRule="auto"/>
        <w:tabs>
          <w:tab w:leader="none" w:pos="1652"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Except as expressly provided in this Agreement, during the Term and for [***], any</w:t>
      </w:r>
      <w:r>
        <w:rPr>
          <w:rFonts w:ascii="Arial" w:cs="Arial" w:eastAsia="Arial" w:hAnsi="Arial"/>
          <w:sz w:val="21"/>
          <w:szCs w:val="21"/>
          <w:u w:val="single" w:color="auto"/>
          <w:color w:val="auto"/>
        </w:rPr>
        <w:t xml:space="preserve"> </w:t>
      </w:r>
      <w:r>
        <w:rPr>
          <w:rFonts w:ascii="Arial" w:cs="Arial" w:eastAsia="Arial" w:hAnsi="Arial"/>
          <w:sz w:val="21"/>
          <w:szCs w:val="21"/>
          <w:color w:val="auto"/>
        </w:rPr>
        <w:t>party receiving Confidential Information, as defined below (the “</w:t>
      </w:r>
      <w:r>
        <w:rPr>
          <w:rFonts w:ascii="Arial" w:cs="Arial" w:eastAsia="Arial" w:hAnsi="Arial"/>
          <w:sz w:val="21"/>
          <w:szCs w:val="21"/>
          <w:b w:val="1"/>
          <w:bCs w:val="1"/>
          <w:color w:val="auto"/>
        </w:rPr>
        <w:t>Receiving Party</w:t>
      </w:r>
      <w:r>
        <w:rPr>
          <w:rFonts w:ascii="Arial" w:cs="Arial" w:eastAsia="Arial" w:hAnsi="Arial"/>
          <w:sz w:val="21"/>
          <w:szCs w:val="21"/>
          <w:color w:val="auto"/>
        </w:rPr>
        <w:t>”), will not publish or otherwise disclose and will not use such Confidential Information for any purpose other than carrying out Receiving Party’s obligations under this Agreement. For purposes of this Agreement, “</w:t>
      </w:r>
      <w:r>
        <w:rPr>
          <w:rFonts w:ascii="Arial" w:cs="Arial" w:eastAsia="Arial" w:hAnsi="Arial"/>
          <w:sz w:val="21"/>
          <w:szCs w:val="21"/>
          <w:b w:val="1"/>
          <w:bCs w:val="1"/>
          <w:color w:val="auto"/>
        </w:rPr>
        <w:t>Confidential</w:t>
      </w:r>
      <w:r>
        <w:rPr>
          <w:rFonts w:ascii="Arial" w:cs="Arial" w:eastAsia="Arial" w:hAnsi="Arial"/>
          <w:sz w:val="21"/>
          <w:szCs w:val="21"/>
          <w:color w:val="auto"/>
        </w:rPr>
        <w:t xml:space="preserve"> </w:t>
      </w:r>
      <w:r>
        <w:rPr>
          <w:rFonts w:ascii="Arial" w:cs="Arial" w:eastAsia="Arial" w:hAnsi="Arial"/>
          <w:sz w:val="21"/>
          <w:szCs w:val="21"/>
          <w:b w:val="1"/>
          <w:bCs w:val="1"/>
          <w:color w:val="auto"/>
        </w:rPr>
        <w:t>Information</w:t>
      </w:r>
      <w:r>
        <w:rPr>
          <w:rFonts w:ascii="Arial" w:cs="Arial" w:eastAsia="Arial" w:hAnsi="Arial"/>
          <w:sz w:val="21"/>
          <w:szCs w:val="21"/>
          <w:color w:val="auto"/>
        </w:rPr>
        <w:t>” means any information furnished by a party (the “</w:t>
      </w:r>
      <w:r>
        <w:rPr>
          <w:rFonts w:ascii="Arial" w:cs="Arial" w:eastAsia="Arial" w:hAnsi="Arial"/>
          <w:sz w:val="21"/>
          <w:szCs w:val="21"/>
          <w:b w:val="1"/>
          <w:bCs w:val="1"/>
          <w:color w:val="auto"/>
        </w:rPr>
        <w:t>Disclosing Party</w:t>
      </w:r>
      <w:r>
        <w:rPr>
          <w:rFonts w:ascii="Arial" w:cs="Arial" w:eastAsia="Arial" w:hAnsi="Arial"/>
          <w:sz w:val="21"/>
          <w:szCs w:val="21"/>
          <w:color w:val="auto"/>
        </w:rPr>
        <w:t>”) pursuant to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confidential or proprietary to the Disclosing Party, including, without limitation, the Specifications. Notwithstanding the foregoing, Confidential Information will not include information that, in each case as demonstrated by the Receiving Party with reliable written documentation: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982" w:right="239" w:bottom="1440" w:gutter="0" w:footer="0" w:header="0"/>
        </w:sectPr>
      </w:pPr>
    </w:p>
    <w:bookmarkStart w:id="72" w:name="page73"/>
    <w:bookmarkEnd w:id="72"/>
    <w:p>
      <w:pPr>
        <w:jc w:val="both"/>
        <w:ind w:left="2540" w:hanging="836"/>
        <w:spacing w:after="0" w:line="251" w:lineRule="auto"/>
        <w:tabs>
          <w:tab w:leader="none" w:pos="252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22"/>
          <w:szCs w:val="22"/>
          <w:color w:val="auto"/>
        </w:rPr>
        <w:t>was already known to the Receiving Party, other than under an obligation of confidentiality, at the time of disclosure;</w:t>
      </w:r>
    </w:p>
    <w:p>
      <w:pPr>
        <w:spacing w:after="0" w:line="173" w:lineRule="exact"/>
        <w:rPr>
          <w:sz w:val="20"/>
          <w:szCs w:val="20"/>
          <w:color w:val="auto"/>
        </w:rPr>
      </w:pPr>
    </w:p>
    <w:p>
      <w:pPr>
        <w:jc w:val="both"/>
        <w:ind w:left="2540" w:hanging="836"/>
        <w:spacing w:after="0" w:line="251" w:lineRule="auto"/>
        <w:tabs>
          <w:tab w:leader="none" w:pos="252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22"/>
          <w:szCs w:val="22"/>
          <w:color w:val="auto"/>
        </w:rPr>
        <w:t>was generally available to the public or otherwise part of the public domain at the time of its disclosure to the Receiving party;</w:t>
      </w:r>
    </w:p>
    <w:p>
      <w:pPr>
        <w:spacing w:after="0" w:line="173" w:lineRule="exact"/>
        <w:rPr>
          <w:sz w:val="20"/>
          <w:szCs w:val="20"/>
          <w:color w:val="auto"/>
        </w:rPr>
      </w:pPr>
    </w:p>
    <w:p>
      <w:pPr>
        <w:jc w:val="both"/>
        <w:ind w:left="2540" w:hanging="836"/>
        <w:spacing w:after="0"/>
        <w:tabs>
          <w:tab w:leader="none" w:pos="252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22"/>
          <w:szCs w:val="22"/>
          <w:color w:val="auto"/>
        </w:rPr>
        <w:t>became generally available to the public or otherwise part of the public domain after its disclosure hereunder and other than through any act or omission of the Receiving Party in breach of this Agreement; or</w:t>
      </w:r>
    </w:p>
    <w:p>
      <w:pPr>
        <w:spacing w:after="0" w:line="186" w:lineRule="exact"/>
        <w:rPr>
          <w:sz w:val="20"/>
          <w:szCs w:val="20"/>
          <w:color w:val="auto"/>
        </w:rPr>
      </w:pPr>
    </w:p>
    <w:p>
      <w:pPr>
        <w:jc w:val="both"/>
        <w:ind w:left="2540" w:hanging="836"/>
        <w:spacing w:after="0"/>
        <w:tabs>
          <w:tab w:leader="none" w:pos="252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22"/>
          <w:szCs w:val="22"/>
          <w:color w:val="auto"/>
        </w:rPr>
        <w:t>was subsequently lawfully disclosed to the Receiving Party by a person without breaching a duty of confidentiality or developed by the Receiving Party without use of, reliance on, or reference to any information or materials disclosed by the Disclosing Party.</w:t>
      </w:r>
    </w:p>
    <w:p>
      <w:pPr>
        <w:spacing w:after="0" w:line="186" w:lineRule="exact"/>
        <w:rPr>
          <w:sz w:val="20"/>
          <w:szCs w:val="20"/>
          <w:color w:val="auto"/>
        </w:rPr>
      </w:pPr>
    </w:p>
    <w:p>
      <w:pPr>
        <w:jc w:val="both"/>
        <w:ind w:left="1680" w:hanging="836"/>
        <w:spacing w:after="0" w:line="277" w:lineRule="auto"/>
        <w:tabs>
          <w:tab w:leader="none" w:pos="166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Permitted Disclosures</w:t>
      </w:r>
      <w:r>
        <w:rPr>
          <w:rFonts w:ascii="Arial" w:cs="Arial" w:eastAsia="Arial" w:hAnsi="Arial"/>
          <w:sz w:val="19"/>
          <w:szCs w:val="19"/>
          <w:color w:val="auto"/>
        </w:rPr>
        <w:t>. Notwithstanding Section 6.1, a Receiving Party may use or disclose Confidential</w:t>
      </w:r>
      <w:r>
        <w:rPr>
          <w:rFonts w:ascii="Arial" w:cs="Arial" w:eastAsia="Arial" w:hAnsi="Arial"/>
          <w:sz w:val="19"/>
          <w:szCs w:val="19"/>
          <w:u w:val="single" w:color="auto"/>
          <w:color w:val="auto"/>
        </w:rPr>
        <w:t xml:space="preserve"> </w:t>
      </w:r>
      <w:r>
        <w:rPr>
          <w:rFonts w:ascii="Arial" w:cs="Arial" w:eastAsia="Arial" w:hAnsi="Arial"/>
          <w:sz w:val="19"/>
          <w:szCs w:val="19"/>
          <w:color w:val="auto"/>
        </w:rPr>
        <w:t>Information solely to the extent such use or disclosure is reasonably necessary in complying with an order of a court of law, prosecuting or defending litigation, complying with applicable governmental regulations, submitting information to tax or other governmental authorities, or conducting clinical trials, provided that if a Receiving Party is required to make any such disclosure of Confidential Information, it will give the other party reasonable advanced notice of the disclosure, and use its reasonable efforts to secure confidential treatment of the information prior to its disclosure (whether through protective orders or otherwise).</w:t>
      </w:r>
    </w:p>
    <w:p>
      <w:pPr>
        <w:spacing w:after="0" w:line="153" w:lineRule="exact"/>
        <w:rPr>
          <w:sz w:val="20"/>
          <w:szCs w:val="20"/>
          <w:color w:val="auto"/>
        </w:rPr>
      </w:pPr>
    </w:p>
    <w:p>
      <w:pPr>
        <w:jc w:val="both"/>
        <w:ind w:left="1680" w:hanging="836"/>
        <w:spacing w:after="0" w:line="236" w:lineRule="auto"/>
        <w:tabs>
          <w:tab w:leader="none" w:pos="166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u w:val="single" w:color="auto"/>
          <w:color w:val="auto"/>
        </w:rPr>
        <w:t>Return of Confidential Information</w:t>
      </w:r>
      <w:r>
        <w:rPr>
          <w:rFonts w:ascii="Arial" w:cs="Arial" w:eastAsia="Arial" w:hAnsi="Arial"/>
          <w:sz w:val="22"/>
          <w:szCs w:val="22"/>
          <w:color w:val="auto"/>
        </w:rPr>
        <w:t>. Within 30 days after the effective date of any termination of this</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except to the extent reasonably necessary for a party to exercise any rights that expressly survive the termination of the Agreement, each party will return to the other party (where practicable), or at the Receiving Party’s option, destroy and provide written certification of the destruction of, all tangible materials that contain the Disclosing Party’s Confidential Information.</w:t>
      </w:r>
    </w:p>
    <w:p>
      <w:pPr>
        <w:spacing w:after="0" w:line="188" w:lineRule="exact"/>
        <w:rPr>
          <w:sz w:val="20"/>
          <w:szCs w:val="20"/>
          <w:color w:val="auto"/>
        </w:rPr>
      </w:pPr>
    </w:p>
    <w:p>
      <w:pPr>
        <w:jc w:val="both"/>
        <w:ind w:left="1680" w:hanging="836"/>
        <w:spacing w:after="0" w:line="252" w:lineRule="auto"/>
        <w:tabs>
          <w:tab w:leader="none" w:pos="166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1"/>
          <w:szCs w:val="21"/>
          <w:u w:val="single" w:color="auto"/>
          <w:color w:val="auto"/>
        </w:rPr>
        <w:t>Confidentiality of Agreement; No Press Release</w:t>
      </w:r>
      <w:r>
        <w:rPr>
          <w:rFonts w:ascii="Arial" w:cs="Arial" w:eastAsia="Arial" w:hAnsi="Arial"/>
          <w:sz w:val="21"/>
          <w:szCs w:val="21"/>
          <w:color w:val="auto"/>
        </w:rPr>
        <w:t>. Except to the extent required to comply with applicable law,</w:t>
      </w:r>
      <w:r>
        <w:rPr>
          <w:rFonts w:ascii="Arial" w:cs="Arial" w:eastAsia="Arial" w:hAnsi="Arial"/>
          <w:sz w:val="21"/>
          <w:szCs w:val="21"/>
          <w:u w:val="single" w:color="auto"/>
          <w:color w:val="auto"/>
        </w:rPr>
        <w:t xml:space="preserve"> </w:t>
      </w:r>
      <w:r>
        <w:rPr>
          <w:rFonts w:ascii="Arial" w:cs="Arial" w:eastAsia="Arial" w:hAnsi="Arial"/>
          <w:sz w:val="21"/>
          <w:szCs w:val="21"/>
          <w:color w:val="auto"/>
        </w:rPr>
        <w:t>and subject to the requirements of Section 6.2, neither party will make any disclosure to any third party, and no press release will issue, relating to the existence of this Agreement, any term hereof, or any transaction contemplated herein without prior written agreement of the other party.</w:t>
      </w:r>
    </w:p>
    <w:p>
      <w:pPr>
        <w:spacing w:after="0" w:line="384" w:lineRule="exact"/>
        <w:rPr>
          <w:sz w:val="20"/>
          <w:szCs w:val="20"/>
          <w:color w:val="auto"/>
        </w:rPr>
      </w:pPr>
    </w:p>
    <w:p>
      <w:pPr>
        <w:ind w:left="840" w:hanging="832"/>
        <w:spacing w:after="0"/>
        <w:tabs>
          <w:tab w:leader="none" w:pos="84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NDEMNIFICATION AND</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EFENSE OF</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NFRINGEMENT</w:t>
      </w:r>
    </w:p>
    <w:p>
      <w:pPr>
        <w:spacing w:after="0" w:line="212" w:lineRule="exact"/>
        <w:rPr>
          <w:sz w:val="20"/>
          <w:szCs w:val="20"/>
          <w:color w:val="auto"/>
        </w:rPr>
      </w:pPr>
    </w:p>
    <w:p>
      <w:pPr>
        <w:jc w:val="both"/>
        <w:ind w:left="1680" w:hanging="836"/>
        <w:spacing w:after="0" w:line="238" w:lineRule="auto"/>
        <w:tabs>
          <w:tab w:leader="none" w:pos="16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DexCom will defend and indemnify Tandem, its Affiliates, and each of its directors, officers, employees, agents, successors and assigns (collectively, “</w:t>
      </w:r>
      <w:r>
        <w:rPr>
          <w:rFonts w:ascii="Arial" w:cs="Arial" w:eastAsia="Arial" w:hAnsi="Arial"/>
          <w:sz w:val="22"/>
          <w:szCs w:val="22"/>
          <w:b w:val="1"/>
          <w:bCs w:val="1"/>
          <w:color w:val="auto"/>
        </w:rPr>
        <w:t>Tandem Indemnitees</w:t>
      </w:r>
      <w:r>
        <w:rPr>
          <w:rFonts w:ascii="Arial" w:cs="Arial" w:eastAsia="Arial" w:hAnsi="Arial"/>
          <w:sz w:val="22"/>
          <w:szCs w:val="22"/>
          <w:color w:val="auto"/>
        </w:rPr>
        <w:t>”), against all third-party claims, suits and proceedings, and will hold the Tandem Indemnitees harmless against all judgments, settlements, costs, liabilities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3" w:name="page74"/>
    <w:bookmarkEnd w:id="73"/>
    <w:p>
      <w:pPr>
        <w:jc w:val="both"/>
        <w:ind w:left="1680"/>
        <w:spacing w:after="0" w:line="239" w:lineRule="auto"/>
        <w:rPr>
          <w:sz w:val="20"/>
          <w:szCs w:val="20"/>
          <w:color w:val="auto"/>
        </w:rPr>
      </w:pPr>
      <w:r>
        <w:rPr>
          <w:rFonts w:ascii="Arial" w:cs="Arial" w:eastAsia="Arial" w:hAnsi="Arial"/>
          <w:sz w:val="22"/>
          <w:szCs w:val="22"/>
          <w:color w:val="auto"/>
        </w:rPr>
        <w:t>expenses (including without limitation, reasonable attorneys’ fees and litigation costs) (collectively, “</w:t>
      </w:r>
      <w:r>
        <w:rPr>
          <w:rFonts w:ascii="Arial" w:cs="Arial" w:eastAsia="Arial" w:hAnsi="Arial"/>
          <w:sz w:val="22"/>
          <w:szCs w:val="22"/>
          <w:b w:val="1"/>
          <w:bCs w:val="1"/>
          <w:color w:val="auto"/>
        </w:rPr>
        <w:t>Losses</w:t>
      </w:r>
      <w:r>
        <w:rPr>
          <w:rFonts w:ascii="Arial" w:cs="Arial" w:eastAsia="Arial" w:hAnsi="Arial"/>
          <w:sz w:val="22"/>
          <w:szCs w:val="22"/>
          <w:color w:val="auto"/>
        </w:rPr>
        <w:t>”) payable to third parties in connection with such claims, suits and proceedings, to the extent arising from or occurring as a result of: (i) DexCom’s breach of the [***], (ii) the [***], or (iii) physical injury (including death) and/or property damage [***], excluding [***].</w:t>
      </w:r>
    </w:p>
    <w:p>
      <w:pPr>
        <w:spacing w:after="0" w:line="187" w:lineRule="exact"/>
        <w:rPr>
          <w:sz w:val="20"/>
          <w:szCs w:val="20"/>
          <w:color w:val="auto"/>
        </w:rPr>
      </w:pPr>
    </w:p>
    <w:p>
      <w:pPr>
        <w:jc w:val="both"/>
        <w:ind w:left="1680" w:hanging="836"/>
        <w:spacing w:after="0" w:line="271" w:lineRule="auto"/>
        <w:tabs>
          <w:tab w:leader="none" w:pos="16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Tandem will defend and indemnify DexCom, its Affiliates, and each of its directors, officers, employees, agents, successors and assigns (collectively, “</w:t>
      </w:r>
      <w:r>
        <w:rPr>
          <w:rFonts w:ascii="Arial" w:cs="Arial" w:eastAsia="Arial" w:hAnsi="Arial"/>
          <w:sz w:val="19"/>
          <w:szCs w:val="19"/>
          <w:b w:val="1"/>
          <w:bCs w:val="1"/>
          <w:color w:val="auto"/>
        </w:rPr>
        <w:t>DexCom Indemnitees</w:t>
      </w:r>
      <w:r>
        <w:rPr>
          <w:rFonts w:ascii="Arial" w:cs="Arial" w:eastAsia="Arial" w:hAnsi="Arial"/>
          <w:sz w:val="19"/>
          <w:szCs w:val="19"/>
          <w:color w:val="auto"/>
        </w:rPr>
        <w:t>”), against all third-party claims, suits and proceedings, and will hold the DexCom Indemnitees harmless against all Losses payable to third parties in connection with such claims, suits and proceedings, to the extent arising from or occurring as a result of:</w:t>
      </w:r>
    </w:p>
    <w:p>
      <w:pPr>
        <w:spacing w:after="0" w:line="4" w:lineRule="exact"/>
        <w:rPr>
          <w:sz w:val="20"/>
          <w:szCs w:val="20"/>
          <w:color w:val="auto"/>
        </w:rPr>
      </w:pPr>
    </w:p>
    <w:p>
      <w:pPr>
        <w:ind w:left="1680" w:right="20" w:firstLine="3"/>
        <w:spacing w:after="0" w:line="237" w:lineRule="auto"/>
        <w:tabs>
          <w:tab w:leader="none" w:pos="1937" w:val="left"/>
        </w:tabs>
        <w:numPr>
          <w:ilvl w:val="0"/>
          <w:numId w:val="49"/>
        </w:numPr>
        <w:rPr>
          <w:rFonts w:ascii="Arial" w:cs="Arial" w:eastAsia="Arial" w:hAnsi="Arial"/>
          <w:sz w:val="22"/>
          <w:szCs w:val="22"/>
          <w:color w:val="auto"/>
        </w:rPr>
      </w:pPr>
      <w:r>
        <w:rPr>
          <w:rFonts w:ascii="Arial" w:cs="Arial" w:eastAsia="Arial" w:hAnsi="Arial"/>
          <w:sz w:val="22"/>
          <w:szCs w:val="22"/>
          <w:color w:val="auto"/>
        </w:rPr>
        <w:t>Tandem’s breach of the [***], (ii) the [***], or (iii) physical injury (including death) and/or property damage [***], excluding [***].</w:t>
      </w:r>
    </w:p>
    <w:p>
      <w:pPr>
        <w:spacing w:after="0" w:line="185" w:lineRule="exact"/>
        <w:rPr>
          <w:sz w:val="20"/>
          <w:szCs w:val="20"/>
          <w:color w:val="auto"/>
        </w:rPr>
      </w:pPr>
    </w:p>
    <w:p>
      <w:pPr>
        <w:jc w:val="both"/>
        <w:ind w:left="1680" w:hanging="836"/>
        <w:spacing w:after="0" w:line="287" w:lineRule="auto"/>
        <w:tabs>
          <w:tab w:leader="none" w:pos="166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If the manufacture or use of the Integrated System results in a claim, suit or proceeding in which DexCom and Tandem are both entitled to indemnification by the other party pursuant to Sections 7.1 and 7.2, then the parties will discuss in good faith their cooperation in connection with such matter, and shall discuss in good faith an equitable allocation of each party’s indemnification obligations under this Section 7.</w:t>
      </w:r>
    </w:p>
    <w:p>
      <w:pPr>
        <w:spacing w:after="0" w:line="143" w:lineRule="exact"/>
        <w:rPr>
          <w:sz w:val="20"/>
          <w:szCs w:val="20"/>
          <w:color w:val="auto"/>
        </w:rPr>
      </w:pPr>
    </w:p>
    <w:p>
      <w:pPr>
        <w:jc w:val="both"/>
        <w:ind w:left="1680" w:hanging="836"/>
        <w:spacing w:after="0" w:line="247" w:lineRule="auto"/>
        <w:tabs>
          <w:tab w:leader="none" w:pos="166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1"/>
          <w:szCs w:val="21"/>
          <w:color w:val="auto"/>
        </w:rPr>
        <w:t>If the manufacture or use of the Integrated System results in a third-party claim, suit, allegation, action or proceeding against Tandem or DexCom alleging infringement of a claim of a patent or alleges infringement or misappropriation of some other intellectual property right of such third party and neither DexCom nor Tandem is entitled to indemnification pursuant to Sections 7.1 and 7.2 (an "</w:t>
      </w:r>
      <w:r>
        <w:rPr>
          <w:rFonts w:ascii="Arial" w:cs="Arial" w:eastAsia="Arial" w:hAnsi="Arial"/>
          <w:sz w:val="21"/>
          <w:szCs w:val="21"/>
          <w:b w:val="1"/>
          <w:bCs w:val="1"/>
          <w:color w:val="auto"/>
        </w:rPr>
        <w:t>Integrated System Infringement Action</w:t>
      </w:r>
      <w:r>
        <w:rPr>
          <w:rFonts w:ascii="Arial" w:cs="Arial" w:eastAsia="Arial" w:hAnsi="Arial"/>
          <w:sz w:val="21"/>
          <w:szCs w:val="21"/>
          <w:color w:val="auto"/>
        </w:rPr>
        <w:t>"), such party will promptly notify the other party in writing. The parties will [***]and [***] of any Integrated System Infringement Action. The parties will [***] concerning any Integrated System Infringement Action and, in the [***] that the [***], the parties [***].</w:t>
      </w:r>
    </w:p>
    <w:p>
      <w:pPr>
        <w:spacing w:after="0" w:line="172" w:lineRule="exact"/>
        <w:rPr>
          <w:sz w:val="20"/>
          <w:szCs w:val="20"/>
          <w:color w:val="auto"/>
        </w:rPr>
      </w:pPr>
    </w:p>
    <w:p>
      <w:pPr>
        <w:jc w:val="both"/>
        <w:ind w:left="1680" w:hanging="836"/>
        <w:spacing w:after="0" w:line="254" w:lineRule="auto"/>
        <w:tabs>
          <w:tab w:leader="none" w:pos="166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1"/>
          <w:szCs w:val="21"/>
          <w:color w:val="auto"/>
        </w:rPr>
        <w:t>Any party seeking indemnification hereunder (the “</w:t>
      </w:r>
      <w:r>
        <w:rPr>
          <w:rFonts w:ascii="Arial" w:cs="Arial" w:eastAsia="Arial" w:hAnsi="Arial"/>
          <w:sz w:val="21"/>
          <w:szCs w:val="21"/>
          <w:b w:val="1"/>
          <w:bCs w:val="1"/>
          <w:color w:val="auto"/>
        </w:rPr>
        <w:t>Indemnitee</w:t>
      </w:r>
      <w:r>
        <w:rPr>
          <w:rFonts w:ascii="Arial" w:cs="Arial" w:eastAsia="Arial" w:hAnsi="Arial"/>
          <w:sz w:val="21"/>
          <w:szCs w:val="21"/>
          <w:color w:val="auto"/>
        </w:rPr>
        <w:t>”) will promptly notify the indemnifying party (the “</w:t>
      </w:r>
      <w:r>
        <w:rPr>
          <w:rFonts w:ascii="Arial" w:cs="Arial" w:eastAsia="Arial" w:hAnsi="Arial"/>
          <w:sz w:val="21"/>
          <w:szCs w:val="21"/>
          <w:b w:val="1"/>
          <w:bCs w:val="1"/>
          <w:color w:val="auto"/>
        </w:rPr>
        <w:t>Indemnitor</w:t>
      </w:r>
      <w:r>
        <w:rPr>
          <w:rFonts w:ascii="Arial" w:cs="Arial" w:eastAsia="Arial" w:hAnsi="Arial"/>
          <w:sz w:val="21"/>
          <w:szCs w:val="21"/>
          <w:color w:val="auto"/>
        </w:rPr>
        <w:t>”) of any claim, loss, or expense likely to lead to a claim for indemnification, along with all material related information. The Indemnitor will [***], except that [***]. The Indemnitee may [***]. The Indemnitee will [***]. The Indemnitee may [***]. In addition, the Indemnitee may [***].</w:t>
      </w:r>
    </w:p>
    <w:p>
      <w:pPr>
        <w:spacing w:after="0" w:line="172" w:lineRule="exact"/>
        <w:rPr>
          <w:sz w:val="20"/>
          <w:szCs w:val="20"/>
          <w:color w:val="auto"/>
        </w:rPr>
      </w:pPr>
    </w:p>
    <w:p>
      <w:pPr>
        <w:jc w:val="both"/>
        <w:ind w:left="1680" w:hanging="836"/>
        <w:spacing w:after="0" w:line="251" w:lineRule="auto"/>
        <w:tabs>
          <w:tab w:leader="none" w:pos="166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22"/>
          <w:szCs w:val="22"/>
          <w:color w:val="auto"/>
        </w:rPr>
        <w:t>Notwithstanding the foregoing, an Indemnitor under this Section 7 has no obligation for any Losses to the extent resulting from (i) [***], or (ii) [***].</w:t>
      </w:r>
    </w:p>
    <w:p>
      <w:pPr>
        <w:spacing w:after="0" w:line="383" w:lineRule="exact"/>
        <w:rPr>
          <w:sz w:val="20"/>
          <w:szCs w:val="20"/>
          <w:color w:val="auto"/>
        </w:rPr>
      </w:pPr>
    </w:p>
    <w:p>
      <w:pPr>
        <w:ind w:left="840" w:hanging="832"/>
        <w:spacing w:after="0"/>
        <w:tabs>
          <w:tab w:leader="none" w:pos="84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 AND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ERMINATION</w:t>
      </w:r>
    </w:p>
    <w:p>
      <w:pPr>
        <w:spacing w:after="0" w:line="212" w:lineRule="exact"/>
        <w:rPr>
          <w:sz w:val="20"/>
          <w:szCs w:val="20"/>
          <w:color w:val="auto"/>
        </w:rPr>
      </w:pPr>
    </w:p>
    <w:p>
      <w:pPr>
        <w:jc w:val="both"/>
        <w:ind w:left="1680" w:hanging="836"/>
        <w:spacing w:after="0"/>
        <w:tabs>
          <w:tab w:leader="none" w:pos="166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u w:val="single" w:color="auto"/>
          <w:color w:val="auto"/>
        </w:rPr>
        <w:t>Term</w:t>
      </w:r>
      <w:r>
        <w:rPr>
          <w:rFonts w:ascii="Arial" w:cs="Arial" w:eastAsia="Arial" w:hAnsi="Arial"/>
          <w:sz w:val="22"/>
          <w:szCs w:val="22"/>
          <w:color w:val="auto"/>
        </w:rPr>
        <w:t>. The initial term of this Agreement will commence on the Effective Date and will continue for five (5)</w:t>
      </w:r>
      <w:r>
        <w:rPr>
          <w:rFonts w:ascii="Arial" w:cs="Arial" w:eastAsia="Arial" w:hAnsi="Arial"/>
          <w:sz w:val="22"/>
          <w:szCs w:val="22"/>
          <w:u w:val="single" w:color="auto"/>
          <w:color w:val="auto"/>
        </w:rPr>
        <w:t xml:space="preserve"> </w:t>
      </w:r>
      <w:r>
        <w:rPr>
          <w:rFonts w:ascii="Arial" w:cs="Arial" w:eastAsia="Arial" w:hAnsi="Arial"/>
          <w:sz w:val="22"/>
          <w:szCs w:val="22"/>
          <w:color w:val="auto"/>
        </w:rPr>
        <w:t>years thereafter (the “</w:t>
      </w:r>
      <w:r>
        <w:rPr>
          <w:rFonts w:ascii="Arial" w:cs="Arial" w:eastAsia="Arial" w:hAnsi="Arial"/>
          <w:sz w:val="22"/>
          <w:szCs w:val="22"/>
          <w:b w:val="1"/>
          <w:bCs w:val="1"/>
          <w:color w:val="auto"/>
        </w:rPr>
        <w:t>Initial Term</w:t>
      </w:r>
      <w:r>
        <w:rPr>
          <w:rFonts w:ascii="Arial" w:cs="Arial" w:eastAsia="Arial" w:hAnsi="Arial"/>
          <w:sz w:val="22"/>
          <w:szCs w:val="22"/>
          <w:color w:val="auto"/>
        </w:rPr>
        <w:t>”). Subsequent to the Initial Term, the term of this Agreement shall automatically renew and be extended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4" w:name="page75"/>
    <w:bookmarkEnd w:id="74"/>
    <w:p>
      <w:pPr>
        <w:jc w:val="both"/>
        <w:ind w:left="1680"/>
        <w:spacing w:after="0" w:line="328" w:lineRule="auto"/>
        <w:rPr>
          <w:sz w:val="20"/>
          <w:szCs w:val="20"/>
          <w:color w:val="auto"/>
        </w:rPr>
      </w:pPr>
      <w:r>
        <w:rPr>
          <w:rFonts w:ascii="Arial" w:cs="Arial" w:eastAsia="Arial" w:hAnsi="Arial"/>
          <w:sz w:val="19"/>
          <w:szCs w:val="19"/>
          <w:color w:val="auto"/>
        </w:rPr>
        <w:t>additional one (1) year periods, unless either party notifies the other at least ninety (90) days prior to the expiration of the then current term (the total period during which this Agreement is effective being the “</w:t>
      </w:r>
      <w:r>
        <w:rPr>
          <w:rFonts w:ascii="Arial" w:cs="Arial" w:eastAsia="Arial" w:hAnsi="Arial"/>
          <w:sz w:val="19"/>
          <w:szCs w:val="19"/>
          <w:b w:val="1"/>
          <w:bCs w:val="1"/>
          <w:color w:val="auto"/>
        </w:rPr>
        <w:t>Term</w:t>
      </w:r>
      <w:r>
        <w:rPr>
          <w:rFonts w:ascii="Arial" w:cs="Arial" w:eastAsia="Arial" w:hAnsi="Arial"/>
          <w:sz w:val="19"/>
          <w:szCs w:val="19"/>
          <w:color w:val="auto"/>
        </w:rPr>
        <w:t>”).</w:t>
      </w:r>
    </w:p>
    <w:p>
      <w:pPr>
        <w:spacing w:after="0" w:line="105" w:lineRule="exact"/>
        <w:rPr>
          <w:sz w:val="20"/>
          <w:szCs w:val="20"/>
          <w:color w:val="auto"/>
        </w:rPr>
      </w:pPr>
    </w:p>
    <w:p>
      <w:pPr>
        <w:jc w:val="both"/>
        <w:ind w:left="1680" w:hanging="836"/>
        <w:spacing w:after="0" w:line="235" w:lineRule="auto"/>
        <w:tabs>
          <w:tab w:leader="none" w:pos="166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u w:val="single" w:color="auto"/>
          <w:color w:val="auto"/>
        </w:rPr>
        <w:t>Termination With Cause or Due to Bankruptcy</w:t>
      </w:r>
      <w:r>
        <w:rPr>
          <w:rFonts w:ascii="Arial" w:cs="Arial" w:eastAsia="Arial" w:hAnsi="Arial"/>
          <w:sz w:val="22"/>
          <w:szCs w:val="22"/>
          <w:color w:val="auto"/>
        </w:rPr>
        <w:t>. Either DexCom or Tandem may terminate this Agreement by</w:t>
      </w:r>
      <w:r>
        <w:rPr>
          <w:rFonts w:ascii="Arial" w:cs="Arial" w:eastAsia="Arial" w:hAnsi="Arial"/>
          <w:sz w:val="22"/>
          <w:szCs w:val="22"/>
          <w:u w:val="single" w:color="auto"/>
          <w:color w:val="auto"/>
        </w:rPr>
        <w:t xml:space="preserve"> </w:t>
      </w:r>
      <w:r>
        <w:rPr>
          <w:rFonts w:ascii="Arial" w:cs="Arial" w:eastAsia="Arial" w:hAnsi="Arial"/>
          <w:sz w:val="22"/>
          <w:szCs w:val="22"/>
          <w:color w:val="auto"/>
        </w:rPr>
        <w:t>written notice if the other materially breaches or defaults in the performance of any of its material obligations hereunder, and such default continues for [***] after the non-breaching party provides written notice of the breach to the breaching party. Either party may terminate this Agreement immediately if the other party: (i) liquidates or dissolves, or (ii) becomes subject to any bankruptcy or insolvency proceeding under federal or state law that is not dismissed within [***].</w:t>
      </w:r>
    </w:p>
    <w:p>
      <w:pPr>
        <w:spacing w:after="0" w:line="188" w:lineRule="exact"/>
        <w:rPr>
          <w:sz w:val="20"/>
          <w:szCs w:val="20"/>
          <w:color w:val="auto"/>
        </w:rPr>
      </w:pPr>
    </w:p>
    <w:p>
      <w:pPr>
        <w:ind w:left="840"/>
        <w:spacing w:after="0"/>
        <w:tabs>
          <w:tab w:leader="none" w:pos="166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06" w:lineRule="exact"/>
        <w:rPr>
          <w:sz w:val="20"/>
          <w:szCs w:val="20"/>
          <w:color w:val="auto"/>
        </w:rPr>
      </w:pPr>
    </w:p>
    <w:p>
      <w:pPr>
        <w:jc w:val="both"/>
        <w:ind w:left="2540" w:hanging="836"/>
        <w:spacing w:after="0"/>
        <w:tabs>
          <w:tab w:leader="none" w:pos="252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2"/>
          <w:szCs w:val="22"/>
          <w:u w:val="single" w:color="auto"/>
          <w:color w:val="auto"/>
        </w:rPr>
        <w:t>Accrued Rights and Obligations</w:t>
      </w:r>
      <w:r>
        <w:rPr>
          <w:rFonts w:ascii="Arial" w:cs="Arial" w:eastAsia="Arial" w:hAnsi="Arial"/>
          <w:sz w:val="22"/>
          <w:szCs w:val="22"/>
          <w:color w:val="auto"/>
        </w:rPr>
        <w:t>. Termination of this Agreement will not relieve either party for</w:t>
      </w:r>
      <w:r>
        <w:rPr>
          <w:rFonts w:ascii="Arial" w:cs="Arial" w:eastAsia="Arial" w:hAnsi="Arial"/>
          <w:sz w:val="22"/>
          <w:szCs w:val="22"/>
          <w:u w:val="single" w:color="auto"/>
          <w:color w:val="auto"/>
        </w:rPr>
        <w:t xml:space="preserve"> </w:t>
      </w:r>
      <w:r>
        <w:rPr>
          <w:rFonts w:ascii="Arial" w:cs="Arial" w:eastAsia="Arial" w:hAnsi="Arial"/>
          <w:sz w:val="22"/>
          <w:szCs w:val="22"/>
          <w:color w:val="auto"/>
        </w:rPr>
        <w:t>liabilities or obligations incurred pursuant to the terms and conditions of this Agreement prior to termination.</w:t>
      </w:r>
    </w:p>
    <w:p>
      <w:pPr>
        <w:spacing w:after="0" w:line="186" w:lineRule="exact"/>
        <w:rPr>
          <w:sz w:val="20"/>
          <w:szCs w:val="20"/>
          <w:color w:val="auto"/>
        </w:rPr>
      </w:pPr>
    </w:p>
    <w:p>
      <w:pPr>
        <w:jc w:val="both"/>
        <w:ind w:left="2540" w:hanging="836"/>
        <w:spacing w:after="0" w:line="249" w:lineRule="auto"/>
        <w:tabs>
          <w:tab w:leader="none" w:pos="2520" w:val="left"/>
        </w:tabs>
        <w:rPr>
          <w:sz w:val="20"/>
          <w:szCs w:val="20"/>
          <w:color w:val="auto"/>
        </w:rPr>
      </w:pPr>
      <w:r>
        <w:rPr>
          <w:rFonts w:ascii="Arial" w:cs="Arial" w:eastAsia="Arial" w:hAnsi="Arial"/>
          <w:sz w:val="22"/>
          <w:szCs w:val="22"/>
          <w:color w:val="auto"/>
        </w:rPr>
        <w:t>8.3.2.</w:t>
      </w:r>
      <w:r>
        <w:rPr>
          <w:sz w:val="20"/>
          <w:szCs w:val="20"/>
          <w:color w:val="auto"/>
        </w:rPr>
        <w:tab/>
      </w:r>
      <w:r>
        <w:rPr>
          <w:rFonts w:ascii="Arial" w:cs="Arial" w:eastAsia="Arial" w:hAnsi="Arial"/>
          <w:sz w:val="21"/>
          <w:szCs w:val="21"/>
          <w:u w:val="single" w:color="auto"/>
          <w:color w:val="auto"/>
        </w:rPr>
        <w:t>Survival</w:t>
      </w:r>
      <w:r>
        <w:rPr>
          <w:rFonts w:ascii="Arial" w:cs="Arial" w:eastAsia="Arial" w:hAnsi="Arial"/>
          <w:sz w:val="21"/>
          <w:szCs w:val="21"/>
          <w:color w:val="auto"/>
        </w:rPr>
        <w:t>. In addition, Articles 1, 3.1, 3.3, 3.4, 4.4, 5, 6, 7, 8, 9 and 10 will survive expiration or</w:t>
      </w:r>
      <w:r>
        <w:rPr>
          <w:rFonts w:ascii="Arial" w:cs="Arial" w:eastAsia="Arial" w:hAnsi="Arial"/>
          <w:sz w:val="21"/>
          <w:szCs w:val="21"/>
          <w:u w:val="single" w:color="auto"/>
          <w:color w:val="auto"/>
        </w:rPr>
        <w:t xml:space="preserve"> </w:t>
      </w:r>
      <w:r>
        <w:rPr>
          <w:rFonts w:ascii="Arial" w:cs="Arial" w:eastAsia="Arial" w:hAnsi="Arial"/>
          <w:sz w:val="21"/>
          <w:szCs w:val="21"/>
          <w:color w:val="auto"/>
        </w:rPr>
        <w:t>termination of this Agreement. Further, Section 3.2 will survive expiration or termination of this Agreement to the extent reasonably necessary for Tandem to satisfy ongoing warranty obligations and to provide ongoing service and support to any customer who originally acquired a DexCom CGM-Enabled Tandem Display Device during the Term of this Agreement.</w:t>
      </w:r>
    </w:p>
    <w:p>
      <w:pPr>
        <w:spacing w:after="0" w:line="389" w:lineRule="exact"/>
        <w:rPr>
          <w:sz w:val="20"/>
          <w:szCs w:val="20"/>
          <w:color w:val="auto"/>
        </w:rPr>
      </w:pPr>
    </w:p>
    <w:p>
      <w:pPr>
        <w:ind w:left="840" w:hanging="832"/>
        <w:spacing w:after="0"/>
        <w:tabs>
          <w:tab w:leader="none" w:pos="84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IMITATION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IABILITY</w:t>
      </w:r>
    </w:p>
    <w:p>
      <w:pPr>
        <w:spacing w:after="0" w:line="212" w:lineRule="exact"/>
        <w:rPr>
          <w:sz w:val="20"/>
          <w:szCs w:val="20"/>
          <w:color w:val="auto"/>
        </w:rPr>
      </w:pPr>
    </w:p>
    <w:p>
      <w:pPr>
        <w:jc w:val="both"/>
        <w:ind w:left="860"/>
        <w:spacing w:after="0" w:line="245" w:lineRule="auto"/>
        <w:rPr>
          <w:sz w:val="20"/>
          <w:szCs w:val="20"/>
          <w:color w:val="auto"/>
        </w:rPr>
      </w:pPr>
      <w:r>
        <w:rPr>
          <w:rFonts w:ascii="Arial" w:cs="Arial" w:eastAsia="Arial" w:hAnsi="Arial"/>
          <w:sz w:val="21"/>
          <w:szCs w:val="21"/>
          <w:color w:val="auto"/>
        </w:rPr>
        <w:t>EXCEPT WITH RESPECT TO A BREACH OF AN OBLIGATION UNDER SECTION 6 OR 10.7, OR CLAIMS REQUIRING INDEMNIFICATION PURSUANT TO SECTIONS 7.1, 7.2, 7.3 OR 7.4, IN NO EVENT SHALL EITHER PARTY BE LIABLE TO THE OTHER OR ANY OTHER ENTITY FOR COSTS OF PROCUREMENT OF SUBSTITUTE GOODS, LOST PROFITS, OR ANY OTHER SPECIAL, CONSEQUENTIAL, OR INCIDENTAL DAMAGES, HOWEVER CAUSED AND UNDER ANY THEORY OF LIABILITY ARISING OUT OF THIS AGREEMENT WHETHER BASED IN CONTRACT, TORT (INCLUDING NEGLIGENCE), OR OTHERWISE. THESE LIMITATIONS SHALL APPLY WHETHER OR NOT THE BREACHING PARTY HAS BEEN ADVISED OF THE POSSIBILITY OF SUCH DAMAGES AND NOTWITHSTANDING ANY FAILURE OF ESSENTIAL PURPOSE OF ANY LIMITED REMEDY PROVIDED HEREIN.</w:t>
      </w:r>
    </w:p>
    <w:p>
      <w:pPr>
        <w:spacing w:after="0" w:line="185" w:lineRule="exact"/>
        <w:rPr>
          <w:sz w:val="20"/>
          <w:szCs w:val="20"/>
          <w:color w:val="auto"/>
        </w:rPr>
      </w:pPr>
    </w:p>
    <w:p>
      <w:pPr>
        <w:jc w:val="both"/>
        <w:ind w:left="860"/>
        <w:spacing w:after="0" w:line="238" w:lineRule="auto"/>
        <w:rPr>
          <w:sz w:val="20"/>
          <w:szCs w:val="20"/>
          <w:color w:val="auto"/>
        </w:rPr>
      </w:pPr>
      <w:r>
        <w:rPr>
          <w:rFonts w:ascii="Arial" w:cs="Arial" w:eastAsia="Arial" w:hAnsi="Arial"/>
          <w:sz w:val="22"/>
          <w:szCs w:val="22"/>
          <w:color w:val="auto"/>
        </w:rPr>
        <w:t>IF EITHER PARTY TERMINATES THIS AGREEMENT IN ACCORDANCE WITH ANY OF ITS PROVISIONS, NEITHER PARTY SHALL BE LIABLE TO THE OTHER, BECAUSE OF SUCH TERMINATION, FOR COMPENSATION, REIMBURSEMENT OR DAMAGES ON ACCOUNT OF THE LOSS OF PROSPECTIVE PROFITS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5" w:name="page76"/>
    <w:bookmarkEnd w:id="75"/>
    <w:p>
      <w:pPr>
        <w:ind w:left="860" w:right="20"/>
        <w:spacing w:after="0" w:line="274" w:lineRule="auto"/>
        <w:rPr>
          <w:sz w:val="20"/>
          <w:szCs w:val="20"/>
          <w:color w:val="auto"/>
        </w:rPr>
      </w:pPr>
      <w:r>
        <w:rPr>
          <w:rFonts w:ascii="Arial" w:cs="Arial" w:eastAsia="Arial" w:hAnsi="Arial"/>
          <w:sz w:val="21"/>
          <w:szCs w:val="21"/>
          <w:color w:val="auto"/>
        </w:rPr>
        <w:t>ANTICIPATED SALES OR ON ACCOUNT OF EXPENDITURES, INVENTORY, INVESTMENTS, LEASES OR COMMITMENTS IN CONNECTION WITH THE BUSINESS OR GOODWILL OF TANDEM OR DEXCOM.</w:t>
      </w:r>
    </w:p>
    <w:p>
      <w:pPr>
        <w:spacing w:after="0" w:line="361" w:lineRule="exact"/>
        <w:rPr>
          <w:sz w:val="20"/>
          <w:szCs w:val="20"/>
          <w:color w:val="auto"/>
        </w:rPr>
      </w:pPr>
    </w:p>
    <w:p>
      <w:pPr>
        <w:ind w:left="840" w:hanging="832"/>
        <w:spacing w:after="0"/>
        <w:tabs>
          <w:tab w:leader="none" w:pos="84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p>
    <w:p>
      <w:pPr>
        <w:spacing w:after="0" w:line="212" w:lineRule="exact"/>
        <w:rPr>
          <w:sz w:val="20"/>
          <w:szCs w:val="20"/>
          <w:color w:val="auto"/>
        </w:rPr>
      </w:pPr>
    </w:p>
    <w:p>
      <w:pPr>
        <w:jc w:val="both"/>
        <w:ind w:left="1680" w:right="20" w:hanging="836"/>
        <w:spacing w:after="0" w:line="236" w:lineRule="auto"/>
        <w:tabs>
          <w:tab w:leader="none" w:pos="166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u w:val="single" w:color="auto"/>
          <w:color w:val="auto"/>
        </w:rPr>
        <w:t>Subcontractors</w:t>
      </w:r>
      <w:r>
        <w:rPr>
          <w:rFonts w:ascii="Arial" w:cs="Arial" w:eastAsia="Arial" w:hAnsi="Arial"/>
          <w:sz w:val="22"/>
          <w:szCs w:val="22"/>
          <w:color w:val="auto"/>
        </w:rPr>
        <w:t>. Either party may subcontract the performance of its obligations under this Agreement to third</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parties, provided that such third parties are bound by terms and conditions consistent with this Agreement, including restrictions with respect to the protection and use of Confidential Information which are no less stringent than those set forth in this Agreement and each party shall be fully responsible for the performance of its subcontractor(s).</w:t>
      </w:r>
    </w:p>
    <w:p>
      <w:pPr>
        <w:spacing w:after="0" w:line="188" w:lineRule="exact"/>
        <w:rPr>
          <w:sz w:val="20"/>
          <w:szCs w:val="20"/>
          <w:color w:val="auto"/>
        </w:rPr>
      </w:pPr>
    </w:p>
    <w:p>
      <w:pPr>
        <w:jc w:val="both"/>
        <w:ind w:left="1680" w:right="20" w:hanging="836"/>
        <w:spacing w:after="0" w:line="238" w:lineRule="auto"/>
        <w:tabs>
          <w:tab w:leader="none" w:pos="166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u w:val="single" w:color="auto"/>
          <w:color w:val="auto"/>
        </w:rPr>
        <w:t>Force Majeure</w:t>
      </w:r>
      <w:r>
        <w:rPr>
          <w:rFonts w:ascii="Arial" w:cs="Arial" w:eastAsia="Arial" w:hAnsi="Arial"/>
          <w:sz w:val="22"/>
          <w:szCs w:val="22"/>
          <w:color w:val="auto"/>
        </w:rPr>
        <w:t>. Nonperformance of any party (except for payment obligations) will be excused to the extent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that performance is rendered impossible by strike, fire, earthquake, flood, governmental acts or orders or restrictions, or any other reason where failure to perform is beyond the reasonable control and not caused by the gross negligence or willful misconduct of the nonperforming party.</w:t>
      </w:r>
    </w:p>
    <w:p>
      <w:pPr>
        <w:spacing w:after="0" w:line="185" w:lineRule="exact"/>
        <w:rPr>
          <w:sz w:val="20"/>
          <w:szCs w:val="20"/>
          <w:color w:val="auto"/>
        </w:rPr>
      </w:pPr>
    </w:p>
    <w:p>
      <w:pPr>
        <w:jc w:val="both"/>
        <w:ind w:left="1680" w:right="20" w:hanging="836"/>
        <w:spacing w:after="0" w:line="252" w:lineRule="auto"/>
        <w:tabs>
          <w:tab w:leader="none" w:pos="166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1"/>
          <w:szCs w:val="21"/>
          <w:u w:val="single" w:color="auto"/>
          <w:color w:val="auto"/>
        </w:rPr>
        <w:t>No Implied Waivers; Rights Cumulative</w:t>
      </w:r>
      <w:r>
        <w:rPr>
          <w:rFonts w:ascii="Arial" w:cs="Arial" w:eastAsia="Arial" w:hAnsi="Arial"/>
          <w:sz w:val="21"/>
          <w:szCs w:val="21"/>
          <w:color w:val="auto"/>
        </w:rPr>
        <w:t>. No failure on the part of DexCom or Tandem to exercise and no delay</w:t>
      </w:r>
      <w:r>
        <w:rPr>
          <w:rFonts w:ascii="Arial" w:cs="Arial" w:eastAsia="Arial" w:hAnsi="Arial"/>
          <w:sz w:val="21"/>
          <w:szCs w:val="21"/>
          <w:u w:val="single" w:color="auto"/>
          <w:color w:val="auto"/>
        </w:rPr>
        <w:t xml:space="preserve"> </w:t>
      </w:r>
      <w:r>
        <w:rPr>
          <w:rFonts w:ascii="Arial" w:cs="Arial" w:eastAsia="Arial" w:hAnsi="Arial"/>
          <w:sz w:val="21"/>
          <w:szCs w:val="21"/>
          <w:color w:val="auto"/>
        </w:rPr>
        <w:t>in exercising any right under this Agreement, or provided by statute or at law or in equity or otherwise, will impair, prejudice or constitute a waiver of any such right, nor will any partial exercise of any such right preclude any other or further exercise thereof or the exercise of any other right.</w:t>
      </w:r>
    </w:p>
    <w:p>
      <w:pPr>
        <w:spacing w:after="0" w:line="174" w:lineRule="exact"/>
        <w:rPr>
          <w:sz w:val="20"/>
          <w:szCs w:val="20"/>
          <w:color w:val="auto"/>
        </w:rPr>
      </w:pPr>
    </w:p>
    <w:p>
      <w:pPr>
        <w:jc w:val="both"/>
        <w:ind w:left="1680" w:right="40" w:hanging="836"/>
        <w:spacing w:after="0" w:line="287" w:lineRule="auto"/>
        <w:tabs>
          <w:tab w:leader="none" w:pos="166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Independent Contractors</w:t>
      </w:r>
      <w:r>
        <w:rPr>
          <w:rFonts w:ascii="Arial" w:cs="Arial" w:eastAsia="Arial" w:hAnsi="Arial"/>
          <w:sz w:val="19"/>
          <w:szCs w:val="19"/>
          <w:color w:val="auto"/>
        </w:rPr>
        <w:t>. Nothing contained in this Agreement is intended implicitly, or is to be construed,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constitute DexCom or Tandem as partners in the legal sense. No party hereto will have any express or implied right or authority to assume or create any obligations on behalf of or in the name of any other party or to bind any other party to any contract, agreement or undertaking with any third party.</w:t>
      </w:r>
    </w:p>
    <w:p>
      <w:pPr>
        <w:spacing w:after="0" w:line="143" w:lineRule="exact"/>
        <w:rPr>
          <w:sz w:val="20"/>
          <w:szCs w:val="20"/>
          <w:color w:val="auto"/>
        </w:rPr>
      </w:pPr>
    </w:p>
    <w:p>
      <w:pPr>
        <w:jc w:val="both"/>
        <w:ind w:left="1680" w:right="20" w:hanging="836"/>
        <w:spacing w:after="0" w:line="238" w:lineRule="auto"/>
        <w:tabs>
          <w:tab w:leader="none" w:pos="166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and other communications hereunder will be in writing and will be personally</w:t>
      </w:r>
      <w:r>
        <w:rPr>
          <w:rFonts w:ascii="Arial" w:cs="Arial" w:eastAsia="Arial" w:hAnsi="Arial"/>
          <w:sz w:val="22"/>
          <w:szCs w:val="22"/>
          <w:u w:val="single" w:color="auto"/>
          <w:color w:val="auto"/>
        </w:rPr>
        <w:t xml:space="preserve"> </w:t>
      </w:r>
      <w:r>
        <w:rPr>
          <w:rFonts w:ascii="Arial" w:cs="Arial" w:eastAsia="Arial" w:hAnsi="Arial"/>
          <w:sz w:val="22"/>
          <w:szCs w:val="22"/>
          <w:color w:val="auto"/>
        </w:rPr>
        <w:t>delivered or sent by registered or certified mail, return receipt requested, postage prepaid, in each case to the respective address specified below, or such other address as may be specified in writing to the other parties hereto: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00" w:type="dxa"/>
            <w:vAlign w:val="bottom"/>
          </w:tcPr>
          <w:p>
            <w:pPr>
              <w:ind w:left="1700"/>
              <w:spacing w:after="0"/>
              <w:rPr>
                <w:sz w:val="20"/>
                <w:szCs w:val="20"/>
                <w:color w:val="auto"/>
              </w:rPr>
            </w:pPr>
            <w:r>
              <w:rPr>
                <w:rFonts w:ascii="Arial" w:cs="Arial" w:eastAsia="Arial" w:hAnsi="Arial"/>
                <w:sz w:val="22"/>
                <w:szCs w:val="22"/>
                <w:color w:val="auto"/>
              </w:rPr>
              <w:t>Tandem:</w:t>
            </w:r>
          </w:p>
        </w:tc>
        <w:tc>
          <w:tcPr>
            <w:tcW w:w="7640" w:type="dxa"/>
            <w:vAlign w:val="bottom"/>
          </w:tcPr>
          <w:p>
            <w:pPr>
              <w:ind w:left="1280"/>
              <w:spacing w:after="0"/>
              <w:rPr>
                <w:sz w:val="20"/>
                <w:szCs w:val="20"/>
                <w:color w:val="auto"/>
              </w:rPr>
            </w:pPr>
            <w:r>
              <w:rPr>
                <w:rFonts w:ascii="Arial" w:cs="Arial" w:eastAsia="Arial" w:hAnsi="Arial"/>
                <w:sz w:val="22"/>
                <w:szCs w:val="22"/>
                <w:color w:val="auto"/>
              </w:rPr>
              <w:t>Tandem Diabetes Care</w:t>
            </w:r>
          </w:p>
        </w:tc>
      </w:tr>
      <w:tr>
        <w:trPr>
          <w:trHeight w:val="243"/>
        </w:trPr>
        <w:tc>
          <w:tcPr>
            <w:tcW w:w="3800" w:type="dxa"/>
            <w:vAlign w:val="bottom"/>
          </w:tcPr>
          <w:p>
            <w:pPr>
              <w:spacing w:after="0"/>
              <w:rPr>
                <w:sz w:val="21"/>
                <w:szCs w:val="21"/>
                <w:color w:val="auto"/>
              </w:rPr>
            </w:pPr>
          </w:p>
        </w:tc>
        <w:tc>
          <w:tcPr>
            <w:tcW w:w="7640" w:type="dxa"/>
            <w:vAlign w:val="bottom"/>
          </w:tcPr>
          <w:p>
            <w:pPr>
              <w:ind w:left="1280"/>
              <w:spacing w:after="0" w:line="243" w:lineRule="exact"/>
              <w:rPr>
                <w:sz w:val="20"/>
                <w:szCs w:val="20"/>
                <w:color w:val="auto"/>
              </w:rPr>
            </w:pPr>
            <w:r>
              <w:rPr>
                <w:rFonts w:ascii="Arial" w:cs="Arial" w:eastAsia="Arial" w:hAnsi="Arial"/>
                <w:sz w:val="22"/>
                <w:szCs w:val="22"/>
                <w:color w:val="auto"/>
              </w:rPr>
              <w:t>11045 Roselle St.</w:t>
            </w:r>
          </w:p>
        </w:tc>
      </w:tr>
      <w:tr>
        <w:trPr>
          <w:trHeight w:val="243"/>
        </w:trPr>
        <w:tc>
          <w:tcPr>
            <w:tcW w:w="3800" w:type="dxa"/>
            <w:vAlign w:val="bottom"/>
          </w:tcPr>
          <w:p>
            <w:pPr>
              <w:spacing w:after="0"/>
              <w:rPr>
                <w:sz w:val="21"/>
                <w:szCs w:val="21"/>
                <w:color w:val="auto"/>
              </w:rPr>
            </w:pPr>
          </w:p>
        </w:tc>
        <w:tc>
          <w:tcPr>
            <w:tcW w:w="7640" w:type="dxa"/>
            <w:vAlign w:val="bottom"/>
          </w:tcPr>
          <w:p>
            <w:pPr>
              <w:ind w:left="1280"/>
              <w:spacing w:after="0" w:line="243" w:lineRule="exact"/>
              <w:rPr>
                <w:sz w:val="20"/>
                <w:szCs w:val="20"/>
                <w:color w:val="auto"/>
              </w:rPr>
            </w:pPr>
            <w:r>
              <w:rPr>
                <w:rFonts w:ascii="Arial" w:cs="Arial" w:eastAsia="Arial" w:hAnsi="Arial"/>
                <w:sz w:val="22"/>
                <w:szCs w:val="22"/>
                <w:color w:val="auto"/>
              </w:rPr>
              <w:t>San Diego, CA 92121</w:t>
            </w:r>
          </w:p>
        </w:tc>
      </w:tr>
      <w:tr>
        <w:trPr>
          <w:trHeight w:val="243"/>
        </w:trPr>
        <w:tc>
          <w:tcPr>
            <w:tcW w:w="3800" w:type="dxa"/>
            <w:vAlign w:val="bottom"/>
          </w:tcPr>
          <w:p>
            <w:pPr>
              <w:spacing w:after="0"/>
              <w:rPr>
                <w:sz w:val="21"/>
                <w:szCs w:val="21"/>
                <w:color w:val="auto"/>
              </w:rPr>
            </w:pPr>
          </w:p>
        </w:tc>
        <w:tc>
          <w:tcPr>
            <w:tcW w:w="7640" w:type="dxa"/>
            <w:vAlign w:val="bottom"/>
          </w:tcPr>
          <w:p>
            <w:pPr>
              <w:ind w:left="1280"/>
              <w:spacing w:after="0" w:line="243" w:lineRule="exact"/>
              <w:rPr>
                <w:sz w:val="20"/>
                <w:szCs w:val="20"/>
                <w:color w:val="auto"/>
              </w:rPr>
            </w:pPr>
            <w:r>
              <w:rPr>
                <w:rFonts w:ascii="Arial" w:cs="Arial" w:eastAsia="Arial" w:hAnsi="Arial"/>
                <w:sz w:val="22"/>
                <w:szCs w:val="22"/>
                <w:color w:val="auto"/>
              </w:rPr>
              <w:t>Attn: Chief Executive Officer</w:t>
            </w:r>
          </w:p>
        </w:tc>
      </w:tr>
      <w:tr>
        <w:trPr>
          <w:trHeight w:val="275"/>
        </w:trPr>
        <w:tc>
          <w:tcPr>
            <w:tcW w:w="3800" w:type="dxa"/>
            <w:vAlign w:val="bottom"/>
          </w:tcPr>
          <w:p>
            <w:pPr>
              <w:spacing w:after="0"/>
              <w:rPr>
                <w:sz w:val="23"/>
                <w:szCs w:val="23"/>
                <w:color w:val="auto"/>
              </w:rPr>
            </w:pPr>
          </w:p>
        </w:tc>
        <w:tc>
          <w:tcPr>
            <w:tcW w:w="7640" w:type="dxa"/>
            <w:vAlign w:val="bottom"/>
          </w:tcPr>
          <w:p>
            <w:pPr>
              <w:ind w:left="1280"/>
              <w:spacing w:after="0"/>
              <w:rPr>
                <w:sz w:val="20"/>
                <w:szCs w:val="20"/>
                <w:color w:val="auto"/>
              </w:rPr>
            </w:pPr>
            <w:r>
              <w:rPr>
                <w:rFonts w:ascii="Arial" w:cs="Arial" w:eastAsia="Arial" w:hAnsi="Arial"/>
                <w:sz w:val="22"/>
                <w:szCs w:val="22"/>
                <w:color w:val="auto"/>
              </w:rPr>
              <w:t>with copy to: General Counsel</w:t>
            </w:r>
          </w:p>
        </w:tc>
      </w:tr>
      <w:tr>
        <w:trPr>
          <w:trHeight w:val="459"/>
        </w:trPr>
        <w:tc>
          <w:tcPr>
            <w:tcW w:w="3800" w:type="dxa"/>
            <w:vAlign w:val="bottom"/>
          </w:tcPr>
          <w:p>
            <w:pPr>
              <w:ind w:left="1700"/>
              <w:spacing w:after="0"/>
              <w:rPr>
                <w:sz w:val="20"/>
                <w:szCs w:val="20"/>
                <w:color w:val="auto"/>
              </w:rPr>
            </w:pPr>
            <w:r>
              <w:rPr>
                <w:rFonts w:ascii="Arial" w:cs="Arial" w:eastAsia="Arial" w:hAnsi="Arial"/>
                <w:sz w:val="22"/>
                <w:szCs w:val="22"/>
                <w:color w:val="auto"/>
              </w:rPr>
              <w:t>DexCom:</w:t>
            </w:r>
          </w:p>
        </w:tc>
        <w:tc>
          <w:tcPr>
            <w:tcW w:w="7640" w:type="dxa"/>
            <w:vAlign w:val="bottom"/>
          </w:tcPr>
          <w:p>
            <w:pPr>
              <w:ind w:left="1280"/>
              <w:spacing w:after="0"/>
              <w:rPr>
                <w:sz w:val="20"/>
                <w:szCs w:val="20"/>
                <w:color w:val="auto"/>
              </w:rPr>
            </w:pPr>
            <w:r>
              <w:rPr>
                <w:rFonts w:ascii="Arial" w:cs="Arial" w:eastAsia="Arial" w:hAnsi="Arial"/>
                <w:sz w:val="22"/>
                <w:szCs w:val="22"/>
                <w:color w:val="auto"/>
              </w:rPr>
              <w:t>DexCom, Inc.</w:t>
            </w:r>
          </w:p>
        </w:tc>
      </w:tr>
      <w:tr>
        <w:trPr>
          <w:trHeight w:val="459"/>
        </w:trPr>
        <w:tc>
          <w:tcPr>
            <w:tcW w:w="3800" w:type="dxa"/>
            <w:vAlign w:val="bottom"/>
          </w:tcPr>
          <w:p>
            <w:pPr>
              <w:spacing w:after="0"/>
              <w:rPr>
                <w:sz w:val="24"/>
                <w:szCs w:val="24"/>
                <w:color w:val="auto"/>
              </w:rPr>
            </w:pPr>
          </w:p>
        </w:tc>
        <w:tc>
          <w:tcPr>
            <w:tcW w:w="7640" w:type="dxa"/>
            <w:vAlign w:val="bottom"/>
          </w:tcPr>
          <w:p>
            <w:pPr>
              <w:ind w:left="1780"/>
              <w:spacing w:after="0"/>
              <w:rPr>
                <w:sz w:val="20"/>
                <w:szCs w:val="20"/>
                <w:color w:val="auto"/>
              </w:rPr>
            </w:pPr>
            <w:r>
              <w:rPr>
                <w:rFonts w:ascii="Arial" w:cs="Arial" w:eastAsia="Arial" w:hAnsi="Arial"/>
                <w:sz w:val="22"/>
                <w:szCs w:val="22"/>
                <w:color w:val="auto"/>
              </w:rPr>
              <w:t>10.</w:t>
            </w:r>
          </w:p>
        </w:tc>
      </w:tr>
      <w:tr>
        <w:trPr>
          <w:trHeight w:val="105"/>
        </w:trPr>
        <w:tc>
          <w:tcPr>
            <w:tcW w:w="3800" w:type="dxa"/>
            <w:vAlign w:val="bottom"/>
            <w:tcBorders>
              <w:bottom w:val="single" w:sz="8" w:color="9A9A9A"/>
            </w:tcBorders>
          </w:tcPr>
          <w:p>
            <w:pPr>
              <w:spacing w:after="0"/>
              <w:rPr>
                <w:sz w:val="9"/>
                <w:szCs w:val="9"/>
                <w:color w:val="auto"/>
              </w:rPr>
            </w:pPr>
          </w:p>
        </w:tc>
        <w:tc>
          <w:tcPr>
            <w:tcW w:w="7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76" w:name="page77"/>
    <w:bookmarkEnd w:id="76"/>
    <w:p>
      <w:pPr>
        <w:ind w:left="3880"/>
        <w:spacing w:after="0"/>
        <w:rPr>
          <w:sz w:val="20"/>
          <w:szCs w:val="20"/>
          <w:color w:val="auto"/>
        </w:rPr>
      </w:pPr>
      <w:r>
        <w:rPr>
          <w:rFonts w:ascii="Arial" w:cs="Arial" w:eastAsia="Arial" w:hAnsi="Arial"/>
          <w:sz w:val="22"/>
          <w:szCs w:val="22"/>
          <w:color w:val="auto"/>
        </w:rPr>
        <w:t>6340 Sequence Drive</w:t>
      </w:r>
    </w:p>
    <w:p>
      <w:pPr>
        <w:ind w:left="3880"/>
        <w:spacing w:after="0" w:line="238" w:lineRule="auto"/>
        <w:rPr>
          <w:sz w:val="20"/>
          <w:szCs w:val="20"/>
          <w:color w:val="auto"/>
        </w:rPr>
      </w:pPr>
      <w:r>
        <w:rPr>
          <w:rFonts w:ascii="Arial" w:cs="Arial" w:eastAsia="Arial" w:hAnsi="Arial"/>
          <w:sz w:val="22"/>
          <w:szCs w:val="22"/>
          <w:color w:val="auto"/>
        </w:rPr>
        <w:t>San Diego, CA 92121</w:t>
      </w:r>
    </w:p>
    <w:p>
      <w:pPr>
        <w:ind w:left="3880"/>
        <w:spacing w:after="0"/>
        <w:rPr>
          <w:sz w:val="20"/>
          <w:szCs w:val="20"/>
          <w:color w:val="auto"/>
        </w:rPr>
      </w:pPr>
      <w:r>
        <w:rPr>
          <w:rFonts w:ascii="Arial" w:cs="Arial" w:eastAsia="Arial" w:hAnsi="Arial"/>
          <w:sz w:val="22"/>
          <w:szCs w:val="22"/>
          <w:color w:val="auto"/>
        </w:rPr>
        <w:t>Attn: Legal Department</w:t>
      </w:r>
    </w:p>
    <w:p>
      <w:pPr>
        <w:spacing w:after="0" w:line="188" w:lineRule="exact"/>
        <w:rPr>
          <w:sz w:val="20"/>
          <w:szCs w:val="20"/>
          <w:color w:val="auto"/>
        </w:rPr>
      </w:pPr>
    </w:p>
    <w:p>
      <w:pPr>
        <w:jc w:val="both"/>
        <w:ind w:left="480" w:hanging="836"/>
        <w:spacing w:after="0" w:line="279" w:lineRule="auto"/>
        <w:tabs>
          <w:tab w:leader="none" w:pos="46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will not be assignable by either party to any third party without the written</w:t>
      </w:r>
      <w:r>
        <w:rPr>
          <w:rFonts w:ascii="Arial" w:cs="Arial" w:eastAsia="Arial" w:hAnsi="Arial"/>
          <w:sz w:val="19"/>
          <w:szCs w:val="19"/>
          <w:u w:val="single" w:color="auto"/>
          <w:color w:val="auto"/>
        </w:rPr>
        <w:t xml:space="preserve"> </w:t>
      </w:r>
      <w:r>
        <w:rPr>
          <w:rFonts w:ascii="Arial" w:cs="Arial" w:eastAsia="Arial" w:hAnsi="Arial"/>
          <w:sz w:val="19"/>
          <w:szCs w:val="19"/>
          <w:color w:val="auto"/>
        </w:rPr>
        <w:t>consent of the other party hereto; provided that either party may assign this Agreement to a third party acquiring all or substantially all of the business or assets of such party, including by way of merger, sale of assets, consolidation, change of control or operation of law upon written notice to the other party to this Agreement; provided further however, that Tandem shall make no such assignment to a competitor of DexCom without DexCom’s written consent, which determination and consent shall be made by DexCom in its sole discretion.</w:t>
      </w:r>
    </w:p>
    <w:p>
      <w:pPr>
        <w:spacing w:after="0" w:line="151" w:lineRule="exact"/>
        <w:rPr>
          <w:sz w:val="20"/>
          <w:szCs w:val="20"/>
          <w:color w:val="auto"/>
        </w:rPr>
      </w:pPr>
    </w:p>
    <w:p>
      <w:pPr>
        <w:jc w:val="both"/>
        <w:ind w:left="480" w:hanging="836"/>
        <w:spacing w:after="0" w:line="270" w:lineRule="auto"/>
        <w:tabs>
          <w:tab w:leader="none" w:pos="46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u w:val="single" w:color="auto"/>
          <w:color w:val="auto"/>
        </w:rPr>
        <w:t>Standstill</w:t>
      </w:r>
      <w:r>
        <w:rPr>
          <w:rFonts w:ascii="Arial" w:cs="Arial" w:eastAsia="Arial" w:hAnsi="Arial"/>
          <w:sz w:val="19"/>
          <w:szCs w:val="19"/>
          <w:color w:val="auto"/>
        </w:rPr>
        <w:t>. Except as permitted by the last sentence of this Section 10.7, during the Term of this Agreement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for a period of twelve (12) months thereafter, without the prior written consent of the Board of Directors of Tandem, DexCom and its officers, directors and Affiliates, will not directly or indirectly in any manner: (i) acquire, announce an intention to acquire, or agree to acquire, directly or indirectly, alone or in concert with others, by purchase, gift or otherwise, any direct or indirect beneficial ownership (within the meaning of Rule 13d-3 under the Securities Exchange Act of 1934 (the “</w:t>
      </w:r>
      <w:r>
        <w:rPr>
          <w:rFonts w:ascii="Arial" w:cs="Arial" w:eastAsia="Arial" w:hAnsi="Arial"/>
          <w:sz w:val="19"/>
          <w:szCs w:val="19"/>
          <w:b w:val="1"/>
          <w:bCs w:val="1"/>
          <w:color w:val="auto"/>
        </w:rPr>
        <w:t>Exchange Act</w:t>
      </w:r>
      <w:r>
        <w:rPr>
          <w:rFonts w:ascii="Arial" w:cs="Arial" w:eastAsia="Arial" w:hAnsi="Arial"/>
          <w:sz w:val="19"/>
          <w:szCs w:val="19"/>
          <w:color w:val="auto"/>
        </w:rPr>
        <w:t>”)) or interest in any securities or direct or indirect rights, warrants or options to acquire, or securities convertible into or exchangeable for, any securities of Tandem (ii) make, or in any way participate in, directly or indirectly, alone or in concert with others, any “solicitation” of “proxies” to vote (as such terms are used in the proxy rules of the SEC promulgated pursuant to Section 14 of the Exchange Act) any securities of Tandem with respect to any business combination, restructuring, recapitalization or similar transaction; (iii) form, join or in any way participate in a “group” within the meaning of Section 13(d)(3) of the Exchange Act with respect to any voting securities of Tandem; (iv) acquire, announce an intention to acquire, or agree to acquire, directly or indirectly, alone or in concert with others, by purchase, exchange or otherwise, (a) any of the assets, tangible or intangible, of Tandem or (b) direct or indirect rights, warrants or options to acquire any assets of Tandem, other than in the ordinary course of business; (v) enter into any arrangement or understanding with, or otherwise assist or encourage, others to do any of the actions restricted or prohibited under clauses (i), (ii), (iii) or (iv) of this Section 10.7; (vi) otherwise act in concert with others, to seek to offer to Tandem or any of its stockholders any business combination, restructuring, recapitalization or similar transaction to or with Tandem, or (vii) take any action to control the management, Board of Directors or policies of Tandem. Notwithstanding the above, cumulative acquisitions by DexCom, including any Affiliate of DexCom, of less than one percent (1%) of Tandem's outstanding common shares shall not be deemed a breach of this provision.</w:t>
      </w:r>
    </w:p>
    <w:p>
      <w:pPr>
        <w:spacing w:after="0" w:line="200" w:lineRule="exact"/>
        <w:rPr>
          <w:sz w:val="20"/>
          <w:szCs w:val="20"/>
          <w:color w:val="auto"/>
        </w:rPr>
      </w:pPr>
    </w:p>
    <w:p>
      <w:pPr>
        <w:spacing w:after="0" w:line="202" w:lineRule="exact"/>
        <w:rPr>
          <w:sz w:val="20"/>
          <w:szCs w:val="20"/>
          <w:color w:val="auto"/>
        </w:rPr>
      </w:pPr>
    </w:p>
    <w:p>
      <w:pPr>
        <w:jc w:val="both"/>
        <w:ind w:left="480" w:hanging="836"/>
        <w:spacing w:after="0" w:line="251" w:lineRule="auto"/>
        <w:tabs>
          <w:tab w:leader="none" w:pos="46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22"/>
          <w:szCs w:val="22"/>
          <w:u w:val="single" w:color="auto"/>
          <w:color w:val="auto"/>
        </w:rPr>
        <w:t>Modifications</w:t>
      </w:r>
      <w:r>
        <w:rPr>
          <w:rFonts w:ascii="Arial" w:cs="Arial" w:eastAsia="Arial" w:hAnsi="Arial"/>
          <w:sz w:val="22"/>
          <w:szCs w:val="22"/>
          <w:color w:val="auto"/>
        </w:rPr>
        <w:t>. No amendment or modification of any provision of this Agreement will be effective unless in</w:t>
      </w:r>
      <w:r>
        <w:rPr>
          <w:rFonts w:ascii="Arial" w:cs="Arial" w:eastAsia="Arial" w:hAnsi="Arial"/>
          <w:sz w:val="22"/>
          <w:szCs w:val="22"/>
          <w:u w:val="single" w:color="auto"/>
          <w:color w:val="auto"/>
        </w:rPr>
        <w:t xml:space="preserve"> </w:t>
      </w:r>
      <w:r>
        <w:rPr>
          <w:rFonts w:ascii="Arial" w:cs="Arial" w:eastAsia="Arial" w:hAnsi="Arial"/>
          <w:sz w:val="22"/>
          <w:szCs w:val="22"/>
          <w:color w:val="auto"/>
        </w:rPr>
        <w:t>writing signed by all parties hereto. No provision of this</w:t>
      </w:r>
    </w:p>
    <w:p>
      <w:pPr>
        <w:spacing w:after="0" w:line="17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77" w:name="page78"/>
    <w:bookmarkEnd w:id="77"/>
    <w:p>
      <w:pPr>
        <w:ind w:left="480"/>
        <w:spacing w:after="0" w:line="251" w:lineRule="auto"/>
        <w:rPr>
          <w:sz w:val="20"/>
          <w:szCs w:val="20"/>
          <w:color w:val="auto"/>
        </w:rPr>
      </w:pPr>
      <w:r>
        <w:rPr>
          <w:rFonts w:ascii="Arial" w:cs="Arial" w:eastAsia="Arial" w:hAnsi="Arial"/>
          <w:sz w:val="22"/>
          <w:szCs w:val="22"/>
          <w:color w:val="auto"/>
        </w:rPr>
        <w:t>Agreement will be varied, contradicted or explained by any oral agreement, course of dealing or performance or any other matter not set forth in an agreement in writing and signed by all parties.</w:t>
      </w:r>
    </w:p>
    <w:p>
      <w:pPr>
        <w:spacing w:after="0" w:line="173" w:lineRule="exact"/>
        <w:rPr>
          <w:sz w:val="20"/>
          <w:szCs w:val="20"/>
          <w:color w:val="auto"/>
        </w:rPr>
      </w:pPr>
    </w:p>
    <w:p>
      <w:pPr>
        <w:jc w:val="both"/>
        <w:ind w:left="480" w:hanging="836"/>
        <w:spacing w:after="0" w:line="287" w:lineRule="auto"/>
        <w:tabs>
          <w:tab w:leader="none" w:pos="46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hereof should be held invalid, illegal or unenforceable in any jurisdiction, all</w:t>
      </w:r>
      <w:r>
        <w:rPr>
          <w:rFonts w:ascii="Arial" w:cs="Arial" w:eastAsia="Arial" w:hAnsi="Arial"/>
          <w:sz w:val="19"/>
          <w:szCs w:val="19"/>
          <w:u w:val="single" w:color="auto"/>
          <w:color w:val="auto"/>
        </w:rPr>
        <w:t xml:space="preserve"> </w:t>
      </w:r>
      <w:r>
        <w:rPr>
          <w:rFonts w:ascii="Arial" w:cs="Arial" w:eastAsia="Arial" w:hAnsi="Arial"/>
          <w:sz w:val="19"/>
          <w:szCs w:val="19"/>
          <w:color w:val="auto"/>
        </w:rPr>
        <w:t>other provisions hereof will remain in full force and effect in such jurisdiction and will be liberally construed in order to carry out the intentions of the parties hereto as nearly as may be possible. Such invalidity, illegality or unenforceability will not affect the validity, legality or enforceability of such provision in any other jurisdiction.</w:t>
      </w:r>
    </w:p>
    <w:p>
      <w:pPr>
        <w:spacing w:after="0" w:line="143" w:lineRule="exact"/>
        <w:rPr>
          <w:sz w:val="20"/>
          <w:szCs w:val="20"/>
          <w:color w:val="auto"/>
        </w:rPr>
      </w:pPr>
    </w:p>
    <w:p>
      <w:pPr>
        <w:jc w:val="both"/>
        <w:ind w:left="480" w:hanging="836"/>
        <w:spacing w:after="0"/>
        <w:tabs>
          <w:tab w:leader="none" w:pos="460" w:val="left"/>
        </w:tabs>
        <w:rPr>
          <w:sz w:val="20"/>
          <w:szCs w:val="20"/>
          <w:color w:val="auto"/>
        </w:rPr>
      </w:pPr>
      <w:r>
        <w:rPr>
          <w:rFonts w:ascii="Arial" w:cs="Arial" w:eastAsia="Arial" w:hAnsi="Arial"/>
          <w:sz w:val="22"/>
          <w:szCs w:val="22"/>
          <w:color w:val="auto"/>
        </w:rPr>
        <w:t>10.10.</w:t>
      </w:r>
      <w:r>
        <w:rPr>
          <w:sz w:val="20"/>
          <w:szCs w:val="20"/>
          <w:color w:val="auto"/>
        </w:rPr>
        <w:tab/>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dispute arising from the performance or breach hereof will be</w:t>
      </w:r>
      <w:r>
        <w:rPr>
          <w:rFonts w:ascii="Arial" w:cs="Arial" w:eastAsia="Arial" w:hAnsi="Arial"/>
          <w:sz w:val="22"/>
          <w:szCs w:val="22"/>
          <w:u w:val="single" w:color="auto"/>
          <w:color w:val="auto"/>
        </w:rPr>
        <w:t xml:space="preserve"> </w:t>
      </w:r>
      <w:r>
        <w:rPr>
          <w:rFonts w:ascii="Arial" w:cs="Arial" w:eastAsia="Arial" w:hAnsi="Arial"/>
          <w:sz w:val="22"/>
          <w:szCs w:val="22"/>
          <w:color w:val="auto"/>
        </w:rPr>
        <w:t>governed by and construed and enforced in accordance with, the laws of the State of Delaware without regard for conflicts of laws principles.</w:t>
      </w:r>
    </w:p>
    <w:p>
      <w:pPr>
        <w:spacing w:after="0" w:line="186" w:lineRule="exact"/>
        <w:rPr>
          <w:sz w:val="20"/>
          <w:szCs w:val="20"/>
          <w:color w:val="auto"/>
        </w:rPr>
      </w:pPr>
    </w:p>
    <w:p>
      <w:pPr>
        <w:jc w:val="both"/>
        <w:ind w:left="480" w:hanging="836"/>
        <w:spacing w:after="0" w:line="251" w:lineRule="auto"/>
        <w:tabs>
          <w:tab w:leader="none" w:pos="460" w:val="left"/>
        </w:tabs>
        <w:rPr>
          <w:sz w:val="20"/>
          <w:szCs w:val="20"/>
          <w:color w:val="auto"/>
        </w:rPr>
      </w:pPr>
      <w:r>
        <w:rPr>
          <w:rFonts w:ascii="Arial" w:cs="Arial" w:eastAsia="Arial" w:hAnsi="Arial"/>
          <w:sz w:val="22"/>
          <w:szCs w:val="22"/>
          <w:color w:val="auto"/>
        </w:rPr>
        <w:t>10.11.</w:t>
      </w:r>
      <w:r>
        <w:rPr>
          <w:sz w:val="20"/>
          <w:szCs w:val="20"/>
          <w:color w:val="auto"/>
        </w:rPr>
        <w:tab/>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will be deemed an</w:t>
      </w:r>
      <w:r>
        <w:rPr>
          <w:rFonts w:ascii="Arial" w:cs="Arial" w:eastAsia="Arial" w:hAnsi="Arial"/>
          <w:sz w:val="22"/>
          <w:szCs w:val="22"/>
          <w:u w:val="single" w:color="auto"/>
          <w:color w:val="auto"/>
        </w:rPr>
        <w:t xml:space="preserve"> </w:t>
      </w:r>
      <w:r>
        <w:rPr>
          <w:rFonts w:ascii="Arial" w:cs="Arial" w:eastAsia="Arial" w:hAnsi="Arial"/>
          <w:sz w:val="22"/>
          <w:szCs w:val="22"/>
          <w:color w:val="auto"/>
        </w:rPr>
        <w:t>original, and all of which together, will constitute one and the same instrument.</w:t>
      </w:r>
    </w:p>
    <w:p>
      <w:pPr>
        <w:spacing w:after="0" w:line="173" w:lineRule="exact"/>
        <w:rPr>
          <w:sz w:val="20"/>
          <w:szCs w:val="20"/>
          <w:color w:val="auto"/>
        </w:rPr>
      </w:pPr>
    </w:p>
    <w:p>
      <w:pPr>
        <w:jc w:val="both"/>
        <w:ind w:left="480" w:hanging="836"/>
        <w:spacing w:after="0" w:line="251" w:lineRule="auto"/>
        <w:tabs>
          <w:tab w:leader="none" w:pos="460" w:val="left"/>
        </w:tabs>
        <w:rPr>
          <w:sz w:val="20"/>
          <w:szCs w:val="20"/>
          <w:color w:val="auto"/>
        </w:rPr>
      </w:pPr>
      <w:r>
        <w:rPr>
          <w:rFonts w:ascii="Arial" w:cs="Arial" w:eastAsia="Arial" w:hAnsi="Arial"/>
          <w:sz w:val="22"/>
          <w:szCs w:val="22"/>
          <w:color w:val="auto"/>
        </w:rPr>
        <w:t>10.12.</w:t>
      </w:r>
      <w:r>
        <w:rPr>
          <w:sz w:val="20"/>
          <w:szCs w:val="20"/>
          <w:color w:val="auto"/>
        </w:rPr>
        <w:tab/>
      </w:r>
      <w:r>
        <w:rPr>
          <w:rFonts w:ascii="Arial" w:cs="Arial" w:eastAsia="Arial" w:hAnsi="Arial"/>
          <w:sz w:val="22"/>
          <w:szCs w:val="22"/>
          <w:u w:val="single" w:color="auto"/>
          <w:color w:val="auto"/>
        </w:rPr>
        <w:t>Headings</w:t>
      </w:r>
      <w:r>
        <w:rPr>
          <w:rFonts w:ascii="Arial" w:cs="Arial" w:eastAsia="Arial" w:hAnsi="Arial"/>
          <w:sz w:val="22"/>
          <w:szCs w:val="22"/>
          <w:color w:val="auto"/>
        </w:rPr>
        <w:t>. Headings used herein are for convenience only and will not in any way affect the construction of or</w:t>
      </w:r>
      <w:r>
        <w:rPr>
          <w:rFonts w:ascii="Arial" w:cs="Arial" w:eastAsia="Arial" w:hAnsi="Arial"/>
          <w:sz w:val="22"/>
          <w:szCs w:val="22"/>
          <w:u w:val="single" w:color="auto"/>
          <w:color w:val="auto"/>
        </w:rPr>
        <w:t xml:space="preserve"> </w:t>
      </w:r>
      <w:r>
        <w:rPr>
          <w:rFonts w:ascii="Arial" w:cs="Arial" w:eastAsia="Arial" w:hAnsi="Arial"/>
          <w:sz w:val="22"/>
          <w:szCs w:val="22"/>
          <w:color w:val="auto"/>
        </w:rPr>
        <w:t>be taken into consideration in interpreting this Agreement.</w:t>
      </w:r>
    </w:p>
    <w:p>
      <w:pPr>
        <w:spacing w:after="0" w:line="173" w:lineRule="exact"/>
        <w:rPr>
          <w:sz w:val="20"/>
          <w:szCs w:val="20"/>
          <w:color w:val="auto"/>
        </w:rPr>
      </w:pPr>
    </w:p>
    <w:p>
      <w:pPr>
        <w:jc w:val="both"/>
        <w:ind w:left="480" w:hanging="836"/>
        <w:spacing w:after="0" w:line="247" w:lineRule="auto"/>
        <w:tabs>
          <w:tab w:leader="none" w:pos="460" w:val="left"/>
        </w:tabs>
        <w:rPr>
          <w:sz w:val="20"/>
          <w:szCs w:val="20"/>
          <w:color w:val="auto"/>
        </w:rPr>
      </w:pPr>
      <w:r>
        <w:rPr>
          <w:rFonts w:ascii="Arial" w:cs="Arial" w:eastAsia="Arial" w:hAnsi="Arial"/>
          <w:sz w:val="22"/>
          <w:szCs w:val="22"/>
          <w:color w:val="auto"/>
        </w:rPr>
        <w:t>10.13.</w:t>
      </w:r>
      <w:r>
        <w:rPr>
          <w:sz w:val="20"/>
          <w:szCs w:val="20"/>
          <w:color w:val="auto"/>
        </w:rPr>
        <w:tab/>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the Attachments attached hereto, constitutes the entire agreement</w:t>
      </w:r>
      <w:r>
        <w:rPr>
          <w:rFonts w:ascii="Arial" w:cs="Arial" w:eastAsia="Arial" w:hAnsi="Arial"/>
          <w:sz w:val="21"/>
          <w:szCs w:val="21"/>
          <w:u w:val="single" w:color="auto"/>
          <w:color w:val="auto"/>
        </w:rPr>
        <w:t xml:space="preserve"> </w:t>
      </w:r>
      <w:r>
        <w:rPr>
          <w:rFonts w:ascii="Arial" w:cs="Arial" w:eastAsia="Arial" w:hAnsi="Arial"/>
          <w:sz w:val="21"/>
          <w:szCs w:val="21"/>
          <w:color w:val="auto"/>
        </w:rPr>
        <w:t>with respect to the subject matter hereof, and supersedes all prior or contemporaneous understandings or agreements, whether written or oral, between DexCom and Tandem with respect to such subject matter. For the avoidance of doubt, DexCom and Tandem acknowledge and agree that this Agreement does not terminate, amend or otherwise modify either (i) the Amended and Restated Development and Commercialization Agreement between the parties dated as of January 4, 2013 or (ii) the G6 Development Agreement between the parties entered into concurrently with this Agreement.</w:t>
      </w:r>
    </w:p>
    <w:p>
      <w:pPr>
        <w:spacing w:after="0" w:line="172"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0" w:right="239" w:bottom="1440" w:gutter="0" w:footer="0" w:header="0"/>
        </w:sectPr>
      </w:pPr>
    </w:p>
    <w:bookmarkStart w:id="78" w:name="page79"/>
    <w:bookmarkEnd w:id="78"/>
    <w:p>
      <w:pPr>
        <w:ind w:left="10360"/>
        <w:spacing w:after="0"/>
        <w:rPr>
          <w:sz w:val="20"/>
          <w:szCs w:val="20"/>
          <w:color w:val="auto"/>
        </w:rPr>
      </w:pPr>
      <w:r>
        <w:rPr>
          <w:rFonts w:ascii="Arial" w:cs="Arial" w:eastAsia="Arial" w:hAnsi="Arial"/>
          <w:sz w:val="19"/>
          <w:szCs w:val="19"/>
          <w:color w:val="auto"/>
        </w:rPr>
        <w:t>Exhibit 10.1</w:t>
      </w:r>
    </w:p>
    <w:p>
      <w:pPr>
        <w:spacing w:after="0" w:line="241" w:lineRule="exact"/>
        <w:rPr>
          <w:sz w:val="20"/>
          <w:szCs w:val="20"/>
          <w:color w:val="auto"/>
        </w:rPr>
      </w:pPr>
    </w:p>
    <w:p>
      <w:pPr>
        <w:ind w:right="480" w:firstLine="846"/>
        <w:spacing w:after="0" w:line="251" w:lineRule="auto"/>
        <w:rPr>
          <w:sz w:val="20"/>
          <w:szCs w:val="20"/>
          <w:color w:val="auto"/>
        </w:rPr>
      </w:pPr>
      <w:r>
        <w:rPr>
          <w:rFonts w:ascii="Arial" w:cs="Arial" w:eastAsia="Arial" w:hAnsi="Arial"/>
          <w:sz w:val="22"/>
          <w:szCs w:val="22"/>
          <w:color w:val="auto"/>
        </w:rPr>
        <w:t>IN WITNESS WHEREOF, the parties hereto have caused this Agreement to be signed by duly authorized officers or representatives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00" w:type="dxa"/>
            <w:vAlign w:val="bottom"/>
            <w:gridSpan w:val="5"/>
          </w:tcPr>
          <w:p>
            <w:pPr>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EX</w:t>
            </w:r>
            <w:r>
              <w:rPr>
                <w:rFonts w:ascii="Arial" w:cs="Arial" w:eastAsia="Arial" w:hAnsi="Arial"/>
                <w:sz w:val="22"/>
                <w:szCs w:val="22"/>
                <w:color w:val="auto"/>
              </w:rPr>
              <w:t>C</w:t>
            </w:r>
            <w:r>
              <w:rPr>
                <w:rFonts w:ascii="Arial" w:cs="Arial" w:eastAsia="Arial" w:hAnsi="Arial"/>
                <w:sz w:val="14"/>
                <w:szCs w:val="14"/>
                <w:color w:val="auto"/>
              </w:rPr>
              <w:t>OM</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tc>
        <w:tc>
          <w:tcPr>
            <w:tcW w:w="3260" w:type="dxa"/>
            <w:vAlign w:val="bottom"/>
            <w:gridSpan w:val="7"/>
          </w:tcPr>
          <w:p>
            <w:pPr>
              <w:ind w:left="40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ANDEM</w:t>
            </w:r>
            <w:r>
              <w:rPr>
                <w:rFonts w:ascii="Arial" w:cs="Arial" w:eastAsia="Arial" w:hAnsi="Arial"/>
                <w:sz w:val="22"/>
                <w:szCs w:val="22"/>
                <w:color w:val="auto"/>
              </w:rPr>
              <w:t xml:space="preserve"> D</w:t>
            </w:r>
            <w:r>
              <w:rPr>
                <w:rFonts w:ascii="Arial" w:cs="Arial" w:eastAsia="Arial" w:hAnsi="Arial"/>
                <w:sz w:val="14"/>
                <w:szCs w:val="14"/>
                <w:color w:val="auto"/>
              </w:rPr>
              <w:t>IABETES</w:t>
            </w:r>
            <w:r>
              <w:rPr>
                <w:rFonts w:ascii="Arial" w:cs="Arial" w:eastAsia="Arial" w:hAnsi="Arial"/>
                <w:sz w:val="22"/>
                <w:szCs w:val="22"/>
                <w:color w:val="auto"/>
              </w:rPr>
              <w:t xml:space="preserve"> C</w:t>
            </w:r>
            <w:r>
              <w:rPr>
                <w:rFonts w:ascii="Arial" w:cs="Arial" w:eastAsia="Arial" w:hAnsi="Arial"/>
                <w:sz w:val="14"/>
                <w:szCs w:val="14"/>
                <w:color w:val="auto"/>
              </w:rPr>
              <w:t>ARE</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tc>
      </w:tr>
      <w:tr>
        <w:trPr>
          <w:trHeight w:val="409"/>
        </w:trPr>
        <w:tc>
          <w:tcPr>
            <w:tcW w:w="5300" w:type="dxa"/>
            <w:vAlign w:val="bottom"/>
            <w:gridSpan w:val="5"/>
          </w:tcPr>
          <w:p>
            <w:pPr>
              <w:spacing w:after="0"/>
              <w:rPr>
                <w:sz w:val="20"/>
                <w:szCs w:val="20"/>
                <w:color w:val="auto"/>
              </w:rPr>
            </w:pPr>
            <w:r>
              <w:rPr>
                <w:rFonts w:ascii="Arial" w:cs="Arial" w:eastAsia="Arial" w:hAnsi="Arial"/>
                <w:sz w:val="22"/>
                <w:szCs w:val="22"/>
                <w:color w:val="auto"/>
              </w:rPr>
              <w:t>By: /s/ Kevin Sun for Jess Roper</w:t>
            </w:r>
          </w:p>
        </w:tc>
        <w:tc>
          <w:tcPr>
            <w:tcW w:w="3260" w:type="dxa"/>
            <w:vAlign w:val="bottom"/>
            <w:gridSpan w:val="7"/>
          </w:tcPr>
          <w:p>
            <w:pPr>
              <w:ind w:left="400"/>
              <w:spacing w:after="0"/>
              <w:rPr>
                <w:sz w:val="20"/>
                <w:szCs w:val="20"/>
                <w:color w:val="auto"/>
              </w:rPr>
            </w:pPr>
            <w:r>
              <w:rPr>
                <w:rFonts w:ascii="Arial" w:cs="Arial" w:eastAsia="Arial" w:hAnsi="Arial"/>
                <w:sz w:val="22"/>
                <w:szCs w:val="22"/>
                <w:color w:val="auto"/>
              </w:rPr>
              <w:t>By: /s/Kim D. Blickenstaff</w:t>
            </w: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9"/>
        </w:trPr>
        <w:tc>
          <w:tcPr>
            <w:tcW w:w="5300" w:type="dxa"/>
            <w:vAlign w:val="bottom"/>
            <w:gridSpan w:val="5"/>
          </w:tcPr>
          <w:p>
            <w:pPr>
              <w:spacing w:after="0"/>
              <w:rPr>
                <w:sz w:val="20"/>
                <w:szCs w:val="20"/>
                <w:color w:val="auto"/>
              </w:rPr>
            </w:pPr>
            <w:r>
              <w:rPr>
                <w:rFonts w:ascii="Arial" w:cs="Arial" w:eastAsia="Arial" w:hAnsi="Arial"/>
                <w:sz w:val="22"/>
                <w:szCs w:val="22"/>
                <w:color w:val="auto"/>
                <w:w w:val="99"/>
              </w:rPr>
              <w:t>Title: Senior Vice President and Chief Financial Officer</w:t>
            </w:r>
          </w:p>
        </w:tc>
        <w:tc>
          <w:tcPr>
            <w:tcW w:w="3260" w:type="dxa"/>
            <w:vAlign w:val="bottom"/>
            <w:gridSpan w:val="7"/>
          </w:tcPr>
          <w:p>
            <w:pPr>
              <w:ind w:left="400"/>
              <w:spacing w:after="0"/>
              <w:rPr>
                <w:sz w:val="20"/>
                <w:szCs w:val="20"/>
                <w:color w:val="auto"/>
              </w:rPr>
            </w:pPr>
            <w:r>
              <w:rPr>
                <w:rFonts w:ascii="Arial" w:cs="Arial" w:eastAsia="Arial" w:hAnsi="Arial"/>
                <w:sz w:val="22"/>
                <w:szCs w:val="22"/>
                <w:color w:val="auto"/>
                <w:w w:val="92"/>
              </w:rPr>
              <w:t>Print Name: Kim D. Blickenstaff</w:t>
            </w:r>
          </w:p>
        </w:tc>
      </w:tr>
      <w:tr>
        <w:trPr>
          <w:trHeight w:val="20"/>
        </w:trPr>
        <w:tc>
          <w:tcPr>
            <w:tcW w:w="530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r>
      <w:tr>
        <w:trPr>
          <w:trHeight w:val="439"/>
        </w:trPr>
        <w:tc>
          <w:tcPr>
            <w:tcW w:w="5300" w:type="dxa"/>
            <w:vAlign w:val="bottom"/>
            <w:gridSpan w:val="5"/>
          </w:tcPr>
          <w:p>
            <w:pPr>
              <w:spacing w:after="0"/>
              <w:rPr>
                <w:sz w:val="20"/>
                <w:szCs w:val="20"/>
                <w:color w:val="auto"/>
              </w:rPr>
            </w:pPr>
            <w:r>
              <w:rPr>
                <w:rFonts w:ascii="Arial" w:cs="Arial" w:eastAsia="Arial" w:hAnsi="Arial"/>
                <w:sz w:val="22"/>
                <w:szCs w:val="22"/>
                <w:color w:val="auto"/>
              </w:rPr>
              <w:t>Date: June 4, 2015</w:t>
            </w:r>
          </w:p>
        </w:tc>
        <w:tc>
          <w:tcPr>
            <w:tcW w:w="3260" w:type="dxa"/>
            <w:vAlign w:val="bottom"/>
            <w:gridSpan w:val="7"/>
          </w:tcPr>
          <w:p>
            <w:pPr>
              <w:ind w:left="400"/>
              <w:spacing w:after="0"/>
              <w:rPr>
                <w:sz w:val="20"/>
                <w:szCs w:val="20"/>
                <w:color w:val="auto"/>
              </w:rPr>
            </w:pPr>
            <w:r>
              <w:rPr>
                <w:rFonts w:ascii="Arial" w:cs="Arial" w:eastAsia="Arial" w:hAnsi="Arial"/>
                <w:sz w:val="22"/>
                <w:szCs w:val="22"/>
                <w:color w:val="auto"/>
              </w:rPr>
              <w:t>Title: President and CEO</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60" w:type="dxa"/>
            <w:vAlign w:val="bottom"/>
            <w:gridSpan w:val="7"/>
          </w:tcPr>
          <w:p>
            <w:pPr>
              <w:ind w:left="400"/>
              <w:spacing w:after="0"/>
              <w:rPr>
                <w:sz w:val="20"/>
                <w:szCs w:val="20"/>
                <w:color w:val="auto"/>
              </w:rPr>
            </w:pPr>
            <w:r>
              <w:rPr>
                <w:rFonts w:ascii="Arial" w:cs="Arial" w:eastAsia="Arial" w:hAnsi="Arial"/>
                <w:sz w:val="22"/>
                <w:szCs w:val="22"/>
                <w:color w:val="auto"/>
              </w:rPr>
              <w:t>Date: June 4, 2015</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Kim D. Blickenstaff, certify that:</w:t>
      </w:r>
    </w:p>
    <w:p>
      <w:pPr>
        <w:spacing w:after="0" w:line="225" w:lineRule="exact"/>
        <w:rPr>
          <w:sz w:val="20"/>
          <w:szCs w:val="20"/>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40" w:hanging="372"/>
        <w:spacing w:after="0" w:line="264"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376"/>
        <w:spacing w:after="0" w:line="26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376"/>
        <w:spacing w:after="0" w:line="26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76"/>
        <w:spacing w:after="0" w:line="342" w:lineRule="auto"/>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376"/>
        <w:spacing w:after="0" w:line="26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376"/>
        <w:spacing w:after="0" w:line="342" w:lineRule="auto"/>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376"/>
        <w:spacing w:after="0" w:line="277"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Kim D. Blickenstaff</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2017</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Cajigas, certify that:</w:t>
      </w:r>
    </w:p>
    <w:p>
      <w:pPr>
        <w:spacing w:after="0" w:line="225"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40" w:hanging="372"/>
        <w:spacing w:after="0" w:line="264"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376"/>
        <w:spacing w:after="0" w:line="264"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376"/>
        <w:spacing w:after="0" w:line="264"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76"/>
        <w:spacing w:after="0" w:line="342" w:lineRule="auto"/>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376"/>
        <w:spacing w:after="0" w:line="264"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376"/>
        <w:spacing w:after="0" w:line="342" w:lineRule="auto"/>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376"/>
        <w:spacing w:after="0" w:line="277"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John Cajigas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2017</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ind w:right="180" w:firstLine="518"/>
        <w:spacing w:after="0" w:line="312"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September 30, 2017, as filed with the Securities and Exchange Commission on the date hereof (the “Report”), I, Kim D. Blickenstaff, President and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700" w:hanging="17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7"/>
          <w:szCs w:val="17"/>
          <w:color w:val="auto"/>
        </w:rPr>
        <w:t>/s/ Kim D. Blickenstaff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September 30, 2017, as filed with the Securities and Exchange Commission on the date hereof (the “Report”), I, John Cajigas,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700" w:hanging="17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6"/>
          <w:szCs w:val="16"/>
          <w:color w:val="auto"/>
        </w:rPr>
        <w:t>/s/ John Cajigas</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8"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amp;"/>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upperLetter"/>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2"/>
    </w:lvl>
  </w:abstractNum>
  <w:abstractNum w:abstractNumId="43">
    <w:nsid w:val="749ABB43"/>
    <w:multiLevelType w:val="hybridMultilevel"/>
    <w:lvl w:ilvl="0">
      <w:lvlJc w:val="left"/>
      <w:lvlText w:val="%1."/>
      <w:numFmt w:val="decimal"/>
      <w:start w:val="3"/>
    </w:lvl>
  </w:abstractNum>
  <w:abstractNum w:abstractNumId="44">
    <w:nsid w:val="3DC240FB"/>
    <w:multiLevelType w:val="hybridMultilevel"/>
    <w:lvl w:ilvl="0">
      <w:lvlJc w:val="left"/>
      <w:lvlText w:val="%1."/>
      <w:numFmt w:val="decimal"/>
      <w:start w:val="4"/>
    </w:lvl>
  </w:abstractNum>
  <w:abstractNum w:abstractNumId="45">
    <w:nsid w:val="1BA026FA"/>
    <w:multiLevelType w:val="hybridMultilevel"/>
    <w:lvl w:ilvl="0">
      <w:lvlJc w:val="left"/>
      <w:lvlText w:val="%1."/>
      <w:numFmt w:val="decimal"/>
      <w:start w:val="5"/>
    </w:lvl>
  </w:abstractNum>
  <w:abstractNum w:abstractNumId="46">
    <w:nsid w:val="79A1DEAA"/>
    <w:multiLevelType w:val="hybridMultilevel"/>
    <w:lvl w:ilvl="0">
      <w:lvlJc w:val="left"/>
      <w:lvlText w:val="%1."/>
      <w:numFmt w:val="decimal"/>
      <w:start w:val="6"/>
    </w:lvl>
  </w:abstractNum>
  <w:abstractNum w:abstractNumId="47">
    <w:nsid w:val="75C6C33A"/>
    <w:multiLevelType w:val="hybridMultilevel"/>
    <w:lvl w:ilvl="0">
      <w:lvlJc w:val="left"/>
      <w:lvlText w:val="%1."/>
      <w:numFmt w:val="decimal"/>
      <w:start w:val="7"/>
    </w:lvl>
  </w:abstractNum>
  <w:abstractNum w:abstractNumId="48">
    <w:nsid w:val="12E685FB"/>
    <w:multiLevelType w:val="hybridMultilevel"/>
    <w:lvl w:ilvl="0">
      <w:lvlJc w:val="left"/>
      <w:lvlText w:val="(%1)"/>
      <w:numFmt w:val="lowerRoman"/>
      <w:start w:val="1"/>
    </w:lvl>
  </w:abstractNum>
  <w:abstractNum w:abstractNumId="49">
    <w:nsid w:val="70C6A529"/>
    <w:multiLevelType w:val="hybridMultilevel"/>
    <w:lvl w:ilvl="0">
      <w:lvlJc w:val="left"/>
      <w:lvlText w:val="%1."/>
      <w:numFmt w:val="decimal"/>
      <w:start w:val="8"/>
    </w:lvl>
  </w:abstractNum>
  <w:abstractNum w:abstractNumId="50">
    <w:nsid w:val="520EEDD1"/>
    <w:multiLevelType w:val="hybridMultilevel"/>
    <w:lvl w:ilvl="0">
      <w:lvlJc w:val="left"/>
      <w:lvlText w:val="%1."/>
      <w:numFmt w:val="decimal"/>
      <w:start w:val="9"/>
    </w:lvl>
  </w:abstractNum>
  <w:abstractNum w:abstractNumId="51">
    <w:nsid w:val="374A3FE6"/>
    <w:multiLevelType w:val="hybridMultilevel"/>
    <w:lvl w:ilvl="0">
      <w:lvlJc w:val="left"/>
      <w:lvlText w:val="%1."/>
      <w:numFmt w:val="decimal"/>
      <w:start w:val="10"/>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86" Type="http://schemas.openxmlformats.org/officeDocument/2006/relationships/hyperlink" Target="http://www.sec.gov/Archives/edgar/data/1438133/000119312513423605/d576419dex34.htm" TargetMode="External"/><Relationship Id="rId87" Type="http://schemas.openxmlformats.org/officeDocument/2006/relationships/hyperlink" Target="http://www.sec.gov/Archives/edgar/data/1438133/000119312513423605/d576419dex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2019-12-29T04:18:42Z</dcterms:created>
  <dcterms:modified xsi:type="dcterms:W3CDTF">2019-12-29T04:18:42Z</dcterms:modified>
</cp:coreProperties>
</file>