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128" w:lineRule="exact"/>
        <w:rPr>
          <w:sz w:val="24"/>
          <w:szCs w:val="24"/>
          <w:color w:val="auto"/>
        </w:rPr>
      </w:pPr>
    </w:p>
    <w:p>
      <w:pPr>
        <w:ind w:left="600" w:hanging="457"/>
        <w:spacing w:after="0"/>
        <w:tabs>
          <w:tab w:leader="none" w:pos="6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 w:lineRule="exact"/>
        <w:rPr>
          <w:rFonts w:ascii="MS PGothic" w:cs="MS PGothic" w:eastAsia="MS PGothic" w:hAnsi="MS PGothic"/>
          <w:sz w:val="21"/>
          <w:szCs w:val="21"/>
          <w:color w:val="auto"/>
        </w:rPr>
      </w:pPr>
    </w:p>
    <w:p>
      <w:pPr>
        <w:ind w:left="562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 w:lineRule="exact"/>
        <w:rPr>
          <w:rFonts w:ascii="MS PGothic" w:cs="MS PGothic" w:eastAsia="MS PGothic" w:hAnsi="MS PGothic"/>
          <w:sz w:val="21"/>
          <w:szCs w:val="21"/>
          <w:color w:val="auto"/>
        </w:rPr>
      </w:pPr>
    </w:p>
    <w:p>
      <w:pPr>
        <w:ind w:left="562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36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001-36189</w:t>
      </w:r>
    </w:p>
    <w:p>
      <w:pPr>
        <w:spacing w:after="0" w:line="8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Tandem Diabetes Care,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123"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6040" w:type="dxa"/>
            <w:vAlign w:val="bottom"/>
          </w:tcPr>
          <w:p>
            <w:pPr>
              <w:jc w:val="center"/>
              <w:ind w:right="35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20-4327508</w:t>
            </w:r>
          </w:p>
        </w:tc>
      </w:tr>
      <w:tr>
        <w:trPr>
          <w:trHeight w:val="148"/>
        </w:trPr>
        <w:tc>
          <w:tcPr>
            <w:tcW w:w="6040" w:type="dxa"/>
            <w:vAlign w:val="bottom"/>
          </w:tcPr>
          <w:p>
            <w:pPr>
              <w:jc w:val="center"/>
              <w:ind w:right="35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60" w:type="dxa"/>
            <w:vAlign w:val="bottom"/>
          </w:tcPr>
          <w:p>
            <w:pPr>
              <w:jc w:val="center"/>
              <w:ind w:left="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40" w:type="dxa"/>
            <w:vAlign w:val="bottom"/>
          </w:tcPr>
          <w:p>
            <w:pPr>
              <w:jc w:val="center"/>
              <w:ind w:right="35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6040" w:type="dxa"/>
            <w:vAlign w:val="bottom"/>
          </w:tcPr>
          <w:p>
            <w:pPr>
              <w:jc w:val="center"/>
              <w:ind w:right="3579"/>
              <w:spacing w:after="0"/>
              <w:rPr>
                <w:sz w:val="20"/>
                <w:szCs w:val="20"/>
                <w:color w:val="auto"/>
              </w:rPr>
            </w:pPr>
            <w:r>
              <w:rPr>
                <w:rFonts w:ascii="Times New Roman" w:cs="Times New Roman" w:eastAsia="Times New Roman" w:hAnsi="Times New Roman"/>
                <w:sz w:val="18"/>
                <w:szCs w:val="18"/>
                <w:b w:val="1"/>
                <w:bCs w:val="1"/>
                <w:color w:val="auto"/>
                <w:w w:val="99"/>
              </w:rPr>
              <w:t>12400 High Bluff Drive</w:t>
            </w:r>
          </w:p>
        </w:tc>
        <w:tc>
          <w:tcPr>
            <w:tcW w:w="17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92130</w:t>
            </w:r>
          </w:p>
        </w:tc>
      </w:tr>
      <w:tr>
        <w:trPr>
          <w:trHeight w:val="230"/>
        </w:trPr>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040" w:type="dxa"/>
            <w:vAlign w:val="bottom"/>
          </w:tcPr>
          <w:p>
            <w:pPr>
              <w:jc w:val="center"/>
              <w:ind w:right="35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60" w:type="dxa"/>
            <w:vAlign w:val="bottom"/>
          </w:tcPr>
          <w:p>
            <w:pPr>
              <w:spacing w:after="0"/>
              <w:rPr>
                <w:sz w:val="16"/>
                <w:szCs w:val="16"/>
                <w:color w:val="auto"/>
              </w:rPr>
            </w:pPr>
          </w:p>
        </w:tc>
      </w:tr>
      <w:tr>
        <w:trPr>
          <w:trHeight w:val="309"/>
        </w:trPr>
        <w:tc>
          <w:tcPr>
            <w:tcW w:w="6040" w:type="dxa"/>
            <w:vAlign w:val="bottom"/>
          </w:tcPr>
          <w:p>
            <w:pPr>
              <w:jc w:val="right"/>
              <w:ind w:right="1619"/>
              <w:spacing w:after="0"/>
              <w:rPr>
                <w:sz w:val="20"/>
                <w:szCs w:val="20"/>
                <w:color w:val="auto"/>
              </w:rPr>
            </w:pPr>
            <w:r>
              <w:rPr>
                <w:rFonts w:ascii="Times New Roman" w:cs="Times New Roman" w:eastAsia="Times New Roman" w:hAnsi="Times New Roman"/>
                <w:sz w:val="18"/>
                <w:szCs w:val="18"/>
                <w:b w:val="1"/>
                <w:bCs w:val="1"/>
                <w:color w:val="auto"/>
              </w:rPr>
              <w:t>(858) 366-6900</w:t>
            </w:r>
          </w:p>
        </w:tc>
        <w:tc>
          <w:tcPr>
            <w:tcW w:w="1760" w:type="dxa"/>
            <w:vAlign w:val="bottom"/>
          </w:tcPr>
          <w:p>
            <w:pPr>
              <w:spacing w:after="0"/>
              <w:rPr>
                <w:sz w:val="24"/>
                <w:szCs w:val="24"/>
                <w:color w:val="auto"/>
              </w:rPr>
            </w:pPr>
          </w:p>
        </w:tc>
      </w:tr>
      <w:tr>
        <w:trPr>
          <w:trHeight w:val="190"/>
        </w:trPr>
        <w:tc>
          <w:tcPr>
            <w:tcW w:w="6040" w:type="dxa"/>
            <w:vAlign w:val="bottom"/>
          </w:tcPr>
          <w:p>
            <w:pPr>
              <w:jc w:val="center"/>
              <w:ind w:left="14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bl>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8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64"/>
        </w:trPr>
        <w:tc>
          <w:tcPr>
            <w:tcW w:w="37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420" w:type="dxa"/>
            <w:vAlign w:val="bottom"/>
          </w:tcPr>
          <w:p>
            <w:pPr>
              <w:spacing w:after="0"/>
              <w:rPr>
                <w:sz w:val="22"/>
                <w:szCs w:val="22"/>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TNDM</w:t>
            </w:r>
          </w:p>
        </w:tc>
        <w:tc>
          <w:tcPr>
            <w:tcW w:w="8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7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4" w:lineRule="exact"/>
        <w:rPr>
          <w:sz w:val="24"/>
          <w:szCs w:val="24"/>
          <w:color w:val="auto"/>
        </w:rPr>
      </w:pPr>
    </w:p>
    <w:p>
      <w:pPr>
        <w:ind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20" w:type="dxa"/>
            <w:vAlign w:val="bottom"/>
          </w:tcPr>
          <w:p>
            <w:pPr>
              <w:ind w:left="1340"/>
              <w:spacing w:after="0"/>
              <w:rPr>
                <w:sz w:val="20"/>
                <w:szCs w:val="20"/>
                <w:color w:val="auto"/>
              </w:rPr>
            </w:pPr>
            <w:r>
              <w:rPr>
                <w:rFonts w:ascii="Wingdings" w:cs="Wingdings" w:eastAsia="Wingdings" w:hAnsi="Wingdings"/>
                <w:sz w:val="14"/>
                <w:szCs w:val="14"/>
                <w:b w:val="1"/>
                <w:bCs w:val="1"/>
                <w:color w:val="auto"/>
              </w:rPr>
              <w:t>x</w:t>
            </w:r>
          </w:p>
        </w:tc>
        <w:tc>
          <w:tcPr>
            <w:tcW w:w="40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2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6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0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6" w:lineRule="exact"/>
        <w:rPr>
          <w:sz w:val="24"/>
          <w:szCs w:val="24"/>
          <w:color w:val="auto"/>
        </w:rPr>
      </w:pPr>
    </w:p>
    <w:p>
      <w:pPr>
        <w:jc w:val="both"/>
        <w:ind w:right="5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4"/>
          <w:szCs w:val="14"/>
          <w:color w:val="auto"/>
        </w:rPr>
        <w:t>As of November 1, 2024, there were 65,676,532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12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22"/>
        </w:trPr>
        <w:tc>
          <w:tcPr>
            <w:tcW w:w="760" w:type="dxa"/>
            <w:vAlign w:val="bottom"/>
          </w:tcPr>
          <w:p>
            <w:pPr>
              <w:spacing w:after="0"/>
              <w:rPr>
                <w:sz w:val="10"/>
                <w:szCs w:val="10"/>
                <w:color w:val="auto"/>
              </w:rPr>
            </w:pPr>
          </w:p>
        </w:tc>
        <w:tc>
          <w:tcPr>
            <w:tcW w:w="10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9"/>
        </w:trPr>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Financial Information</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shd w:val="clear" w:color="auto" w:fill="CCEEFF"/>
          </w:tcPr>
          <w:p>
            <w:pPr>
              <w:spacing w:after="0"/>
              <w:rPr>
                <w:sz w:val="16"/>
                <w:szCs w:val="16"/>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at September 30, 2024 (Unaudited) and December 31, 2023</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shd w:val="clear" w:color="auto" w:fill="CCEEFF"/>
          </w:tcPr>
          <w:p>
            <w:pPr>
              <w:spacing w:after="0"/>
              <w:rPr>
                <w:sz w:val="18"/>
                <w:szCs w:val="18"/>
                <w:color w:val="auto"/>
              </w:rPr>
            </w:pPr>
          </w:p>
        </w:tc>
      </w:tr>
      <w:tr>
        <w:trPr>
          <w:trHeight w:val="176"/>
        </w:trPr>
        <w:tc>
          <w:tcPr>
            <w:tcW w:w="760" w:type="dxa"/>
            <w:vAlign w:val="bottom"/>
            <w:tcBorders>
              <w:top w:val="single" w:sz="8" w:color="CCEEFF"/>
            </w:tcBorders>
          </w:tcPr>
          <w:p>
            <w:pPr>
              <w:spacing w:after="0"/>
              <w:rPr>
                <w:sz w:val="15"/>
                <w:szCs w:val="15"/>
                <w:color w:val="auto"/>
              </w:rPr>
            </w:pPr>
          </w:p>
        </w:tc>
        <w:tc>
          <w:tcPr>
            <w:tcW w:w="10120" w:type="dxa"/>
            <w:vAlign w:val="bottom"/>
            <w:tcBorders>
              <w:top w:val="single" w:sz="8" w:color="CCEEFF"/>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and Nine Months Ended September 30,</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203"/>
        </w:trPr>
        <w:tc>
          <w:tcPr>
            <w:tcW w:w="760" w:type="dxa"/>
            <w:vAlign w:val="bottom"/>
          </w:tcPr>
          <w:p>
            <w:pPr>
              <w:spacing w:after="0"/>
              <w:rPr>
                <w:sz w:val="17"/>
                <w:szCs w:val="17"/>
                <w:color w:val="auto"/>
              </w:rPr>
            </w:pPr>
          </w:p>
        </w:tc>
        <w:tc>
          <w:tcPr>
            <w:tcW w:w="10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2024 and 2023 (Unaudited)</w:t>
            </w:r>
          </w:p>
        </w:tc>
        <w:tc>
          <w:tcPr>
            <w:tcW w:w="1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1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10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Stockholders’ Equity for the Three and Nine Months Ended September 30, 2024 and 2023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3"/>
        </w:trPr>
        <w:tc>
          <w:tcPr>
            <w:tcW w:w="760" w:type="dxa"/>
            <w:vAlign w:val="bottom"/>
            <w:shd w:val="clear" w:color="auto" w:fill="CCEEFF"/>
          </w:tcPr>
          <w:p>
            <w:pPr>
              <w:spacing w:after="0"/>
              <w:rPr>
                <w:sz w:val="17"/>
                <w:szCs w:val="17"/>
                <w:color w:val="auto"/>
              </w:rPr>
            </w:pPr>
          </w:p>
        </w:tc>
        <w:tc>
          <w:tcPr>
            <w:tcW w:w="101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gridSpan w:val="3"/>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88"/>
              </w:rPr>
              <w:t>3</w:t>
            </w:r>
          </w:p>
        </w:tc>
        <w:tc>
          <w:tcPr>
            <w:tcW w:w="180" w:type="dxa"/>
            <w:vAlign w:val="bottom"/>
            <w:shd w:val="clear" w:color="auto" w:fill="CCEEFF"/>
          </w:tcPr>
          <w:p>
            <w:pPr>
              <w:spacing w:after="0"/>
              <w:rPr>
                <w:sz w:val="17"/>
                <w:szCs w:val="17"/>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2024 and 2023 (Unaudited)</w:t>
            </w:r>
          </w:p>
        </w:tc>
        <w:tc>
          <w:tcPr>
            <w:tcW w:w="18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18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180" w:type="dxa"/>
            <w:vAlign w:val="bottom"/>
            <w:shd w:val="clear" w:color="auto" w:fill="CCEEFF"/>
          </w:tcPr>
          <w:p>
            <w:pPr>
              <w:spacing w:after="0"/>
              <w:rPr>
                <w:sz w:val="16"/>
                <w:szCs w:val="16"/>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01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10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1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1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76</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76</w:t>
            </w: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360" w:type="dxa"/>
            <w:vAlign w:val="bottom"/>
            <w:gridSpan w:val="4"/>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77</w:t>
            </w:r>
          </w:p>
        </w:tc>
      </w:tr>
      <w:tr>
        <w:trPr>
          <w:trHeight w:val="1452"/>
        </w:trPr>
        <w:tc>
          <w:tcPr>
            <w:tcW w:w="760" w:type="dxa"/>
            <w:vAlign w:val="bottom"/>
            <w:tcBorders>
              <w:top w:val="single" w:sz="8" w:color="CCEEFF"/>
              <w:bottom w:val="single" w:sz="8" w:color="9A9A9A"/>
            </w:tcBorders>
          </w:tcPr>
          <w:p>
            <w:pPr>
              <w:spacing w:after="0"/>
              <w:rPr>
                <w:sz w:val="24"/>
                <w:szCs w:val="24"/>
                <w:color w:val="auto"/>
              </w:rPr>
            </w:pPr>
          </w:p>
        </w:tc>
        <w:tc>
          <w:tcPr>
            <w:tcW w:w="10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(Note 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58,868</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409,044</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157,937</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747,989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87,791</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957,730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952,658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49,586</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43,430</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convertible senior notes,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195,258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 long-term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285,035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639,026</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6"/>
        </w:trPr>
        <w:tc>
          <w:tcPr>
            <w:tcW w:w="8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200,000 shares authorized, 65,646 and 65,552 shares issued and outstanding</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September 30, 2024 and December 31, 2023, 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1,263,997</w:t>
            </w:r>
          </w:p>
        </w:tc>
      </w:tr>
      <w:tr>
        <w:trPr>
          <w:trHeight w:val="230"/>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3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(951,800)</w:t>
            </w:r>
          </w:p>
        </w:tc>
      </w:tr>
      <w:tr>
        <w:trPr>
          <w:trHeight w:val="22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313,632</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952,658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2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550,922</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95,869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276,527</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266,752</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121,298</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430,664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472,565</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(198,170)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(188,944)</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65,538</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65,117</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65,287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64,834</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2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5"/>
                <w:szCs w:val="5"/>
                <w:color w:val="auto"/>
              </w:rPr>
            </w:pPr>
          </w:p>
        </w:tc>
        <w:tc>
          <w:tcPr>
            <w:tcW w:w="1160" w:type="dxa"/>
            <w:vAlign w:val="bottom"/>
            <w:vMerge w:val="restart"/>
          </w:tcPr>
          <w:p>
            <w:pPr>
              <w:jc w:val="center"/>
              <w:ind w:right="12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65,435</w:t>
            </w:r>
          </w:p>
        </w:tc>
        <w:tc>
          <w:tcPr>
            <w:tcW w:w="1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1,260,392</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(1,025,329)</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233,875</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26,481</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gains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(23,251)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(23,251)</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65,646</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1,282,354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(1,048,580)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237,710</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2024</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8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5"/>
                <w:szCs w:val="5"/>
                <w:color w:val="auto"/>
              </w:rPr>
            </w:pPr>
          </w:p>
        </w:tc>
        <w:tc>
          <w:tcPr>
            <w:tcW w:w="1180" w:type="dxa"/>
            <w:vAlign w:val="bottom"/>
            <w:vMerge w:val="restart"/>
          </w:tcPr>
          <w:p>
            <w:pPr>
              <w:jc w:val="center"/>
              <w:ind w:right="10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65,552</w:t>
            </w: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1,263,997</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(951,800)</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313,632</w:t>
            </w:r>
          </w:p>
        </w:tc>
        <w:tc>
          <w:tcPr>
            <w:tcW w:w="0" w:type="dxa"/>
            <w:vAlign w:val="bottom"/>
          </w:tcPr>
          <w:p>
            <w:pPr>
              <w:spacing w:after="0"/>
              <w:rPr>
                <w:sz w:val="1"/>
                <w:szCs w:val="1"/>
                <w:color w:val="auto"/>
              </w:rPr>
            </w:pPr>
          </w:p>
        </w:tc>
      </w:tr>
      <w:tr>
        <w:trPr>
          <w:trHeight w:val="19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repurchase and retirement of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135"/>
        </w:trPr>
        <w:tc>
          <w:tcPr>
            <w:tcW w:w="37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(17,124)</w:t>
            </w:r>
          </w:p>
        </w:tc>
        <w:tc>
          <w:tcPr>
            <w:tcW w:w="0" w:type="dxa"/>
            <w:vAlign w:val="bottom"/>
          </w:tcPr>
          <w:p>
            <w:pPr>
              <w:spacing w:after="0"/>
              <w:rPr>
                <w:sz w:val="1"/>
                <w:szCs w:val="1"/>
                <w:color w:val="auto"/>
              </w:rPr>
            </w:pPr>
          </w:p>
        </w:tc>
      </w:tr>
      <w:tr>
        <w:trPr>
          <w:trHeight w:val="19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Plan</w:t>
            </w:r>
          </w:p>
        </w:tc>
        <w:tc>
          <w:tcPr>
            <w:tcW w:w="9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73,018</w:t>
            </w: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Purchase of capped call options related to convertible notes</w:t>
            </w: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due 2029</w:t>
            </w:r>
          </w:p>
        </w:tc>
        <w:tc>
          <w:tcPr>
            <w:tcW w:w="1080" w:type="dxa"/>
            <w:vAlign w:val="bottom"/>
            <w:gridSpan w:val="2"/>
            <w:vMerge w:val="continue"/>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4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Unwind of capped call options related to convertible notes</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due 2025</w:t>
            </w:r>
          </w:p>
        </w:tc>
        <w:tc>
          <w:tcPr>
            <w:tcW w:w="10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19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gains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(96,780)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(96,780)</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65,646</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1,282,354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(1,048,580)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237,710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82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3"/>
                <w:szCs w:val="3"/>
                <w:color w:val="auto"/>
              </w:rPr>
            </w:pPr>
          </w:p>
        </w:tc>
        <w:tc>
          <w:tcPr>
            <w:tcW w:w="1360" w:type="dxa"/>
            <w:vAlign w:val="bottom"/>
            <w:gridSpan w:val="2"/>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3"/>
                <w:szCs w:val="3"/>
                <w:color w:val="auto"/>
              </w:rPr>
            </w:pPr>
          </w:p>
        </w:tc>
        <w:tc>
          <w:tcPr>
            <w:tcW w:w="1180" w:type="dxa"/>
            <w:vAlign w:val="bottom"/>
            <w:gridSpan w:val="2"/>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1160" w:type="dxa"/>
            <w:vAlign w:val="bottom"/>
            <w:vMerge w:val="restart"/>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65,062</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(888,837)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329,234</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46"/>
        </w:trPr>
        <w:tc>
          <w:tcPr>
            <w:tcW w:w="38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20,579</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0" w:type="dxa"/>
            <w:vAlign w:val="bottom"/>
          </w:tcPr>
          <w:p>
            <w:pPr>
              <w:spacing w:after="0"/>
              <w:rPr>
                <w:sz w:val="1"/>
                <w:szCs w:val="1"/>
                <w:color w:val="auto"/>
              </w:rPr>
            </w:pPr>
          </w:p>
        </w:tc>
      </w:tr>
      <w:tr>
        <w:trPr>
          <w:trHeight w:val="196"/>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(32,961)</w:t>
            </w: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314,000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2023</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4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7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3"/>
                <w:szCs w:val="3"/>
                <w:color w:val="auto"/>
              </w:rPr>
            </w:pPr>
          </w:p>
        </w:tc>
        <w:tc>
          <w:tcPr>
            <w:tcW w:w="13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3"/>
                <w:szCs w:val="3"/>
                <w:color w:val="auto"/>
              </w:rPr>
            </w:pPr>
          </w:p>
        </w:tc>
        <w:tc>
          <w:tcPr>
            <w:tcW w:w="11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3"/>
                <w:szCs w:val="3"/>
                <w:color w:val="auto"/>
              </w:rPr>
            </w:pPr>
          </w:p>
        </w:tc>
        <w:tc>
          <w:tcPr>
            <w:tcW w:w="1160" w:type="dxa"/>
            <w:vAlign w:val="bottom"/>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1,170,888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(729,189)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439,947</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w:t>
            </w: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0" w:type="dxa"/>
            <w:vAlign w:val="bottom"/>
          </w:tcPr>
          <w:p>
            <w:pPr>
              <w:spacing w:after="0"/>
              <w:rPr>
                <w:sz w:val="1"/>
                <w:szCs w:val="1"/>
                <w:color w:val="auto"/>
              </w:rPr>
            </w:pPr>
          </w:p>
        </w:tc>
      </w:tr>
      <w:tr>
        <w:trPr>
          <w:trHeight w:val="16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65,485</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(192,609)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(192,609)</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65,191</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1,237,939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(921,798)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(96,780)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(192,609)</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11,684</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termination and other impairment charges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14,099</w:t>
            </w: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(amortization) of discount or premium on short-term investments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65,335</w:t>
            </w:r>
          </w:p>
        </w:tc>
      </w:tr>
      <w:tr>
        <w:trPr>
          <w:trHeight w:val="206"/>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in-process research and development expenses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9,872</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(32,714)</w:t>
            </w: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r>
      <w:tr>
        <w:trPr>
          <w:trHeight w:val="192"/>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(4,574)</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Employee-related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w:t>
            </w: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leases and other 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10,745</w:t>
            </w: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37"/>
        </w:trPr>
        <w:tc>
          <w:tcPr>
            <w:tcW w:w="8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(24,594)</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(251,361)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(391,025)</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and redemptions of short-term investments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415,485</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(21,605)</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acquired</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(69,496)</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intangible assets and strategic investments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(28,492)</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(69,156)</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senior notes due 2029, net of $9,400 debt issuance costs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$246,740 principal amount of convertible senior notes due 2025</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(246,123)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for capped call transactions related to convertible senior notes due 2029</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Company stock plans, net of cash used to settle withholding taxes on vested restricted stock</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(92,906)</w:t>
            </w:r>
          </w:p>
        </w:tc>
      </w:tr>
      <w:tr>
        <w:trPr>
          <w:trHeight w:val="37"/>
        </w:trPr>
        <w:tc>
          <w:tcPr>
            <w:tcW w:w="8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172,517</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49,039</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79,611</w:t>
            </w:r>
          </w:p>
        </w:tc>
      </w:tr>
      <w:tr>
        <w:trPr>
          <w:trHeight w:val="37"/>
        </w:trPr>
        <w:tc>
          <w:tcPr>
            <w:tcW w:w="8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6"/>
        </w:trPr>
        <w:tc>
          <w:tcPr>
            <w:tcW w:w="84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0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24"/>
        </w:trPr>
        <w:tc>
          <w:tcPr>
            <w:tcW w:w="8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6"/>
        </w:trPr>
        <w:tc>
          <w:tcPr>
            <w:tcW w:w="84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0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obligations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 w:name="page8"/>
    <w:bookmarkEnd w:id="7"/>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spacing w:after="0" w:line="13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manufactures, sells, and supports insulin pump products that are designed to address the evolving needs and preferences of differentiated segments of the insulin-dependent diabetes market. The Company recently expanded its insulin pump portfolio, which now includes both the t:slim X2 and the Tandem Mobi. Both pumps feature Control-IQ technology, which is the Company’s advanced algorithm for managing insulin delivery, using information received from integrated continuous glucose monitoring (CGM) sensors. New software for the insulin pumps may be updated remotely by the individual users as new advancements become available and are compatible with other complementary digital health offerings, such as the mobile application and cloud-based diabetes management applications. The Company’s insulin pump systems products are generally considered durable medical equipment and have an expected lifespan of at least four years. In addition to insulin pumps, the Company sells single-use components that are used together with the pumps and are replaced every few days, including cartridges for storing and delivering insulin, and infusion sets that connect the insulin pump to a user’s body.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spacing w:after="0" w:line="183" w:lineRule="exact"/>
        <w:rPr>
          <w:sz w:val="20"/>
          <w:szCs w:val="20"/>
          <w:color w:val="auto"/>
        </w:rPr>
      </w:pPr>
    </w:p>
    <w:p>
      <w:pPr>
        <w:jc w:val="both"/>
        <w:ind w:right="240" w:firstLine="648"/>
        <w:spacing w:after="0" w:line="258"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2023 (Annual Report), from which the consolidated balance sheet presented as of December 31, 2023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during the nine months ended September 30, 2024, as compared to those disclosed in the Annual Report.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Right-of-Use Assets and Liabilities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intangible asset impairment losses during the three and nine months ended September 30,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held equity investments totaling $30.4 million and $10.1 million in private companies at September 30, 2024 and December 31, 2023, respectively. The investments were included as a component of other long-term assets on the condensed consolidated balance sheets at September 30, 2024 and December 31, 2023. The investments were carried at cost minus impairment, if any, adjusted for changes in observable prices. The Company monitors these investments to evaluate whether any increase or decline in its value has occurred, based on the implied value of recent company financings, public market prices of comparable companies and general market conditions.</w:t>
      </w:r>
    </w:p>
    <w:p>
      <w:pPr>
        <w:spacing w:after="0" w:line="1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the Company signed an investment agreement with one of its private company investees. Per the agreement, the Company will invest an additional $46.4 million. The investment is expected to close in the fourth quarter of 2024, and represent a cumulative investment of more than 20% of the private company’s outstanding equity. The investment will be recorded using the equity method and will be included in long-term assets on the Company’s consolidated balance sheet.</w:t>
      </w:r>
    </w:p>
    <w:p>
      <w:pPr>
        <w:spacing w:after="0" w:line="13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Company did not record any impairment charges related to its strategic investments in the three months ended September 30, 2024. During the nine months ended September 30, 2024, the Company recorded an impairment charge of $2.0 million related to one of its investments in a private company. The Company did not record any impairment charges related to its strategic investments in the three and nine months ended September 30, 2023.</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9" w:name="page10"/>
    <w:bookmarkEnd w:id="9"/>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Approximately $22.2 million of the total strategic investments balance was previously held in the form of subordinated convertible notes of one private investee company. The subordinated notes were converted into equity of the private company at final maturity, which occurred in June 2024. As a result of the note conversion, the Company received shares of the private investee company. As of September 30, 2024, and December 31, 2023, each of the Company’s equity investments in private companies represented less than 15% of the outstanding equity of the respective private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and returns.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 for Arrangements with Multiple Performance Obligations</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considers the individual deliverables in its product offerings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 for Tandem Choice Program</w:t>
      </w:r>
    </w:p>
    <w:p>
      <w:pPr>
        <w:spacing w:after="0" w:line="18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September 2022, the Company launched a new technology access program referred to as Tandem Choice, that provides eligible, in-warranty t:slim X2 customers in the United States with the flexibility to obtain the newest hardware platform, Tandem Mobi, when commercially available. Participating customers have the right to purchase the alternative Tandem pump for a fee, referred to as a choice right. The program was determined to create a material right for which a portion of each t:slim X2 pump transaction price was allocated and deferred.</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w:t>
      </w:r>
    </w:p>
    <w:p>
      <w:pPr>
        <w:spacing w:after="0" w:line="13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began selling Tandem Mobi insulin pumps in the first quarter of 2024 and eligibility for the Tandem Choice program ended in February 2024. Consequently, the Company ceased to allocate and defer a portion of the transaction price for the material right for pumps sold after that date. Eligible customers who purchased a t:slim X2 insulin pump during the program period will have until December 31, 2024 to exercise the option to switch to the Tandem Mobi for a stated fee.</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will recognize the deferred sales when the obligations under the Tandem Choice program are satisfied. If a customer elects to participate in the program, the Company will recognize upgrade fees received, and the associated cost of goods sold at the time of fulfilling the obligation. Any remaining deferrals will be recognized at program expiration on December 31, 2024, provided all obligations under the Tandem Choice program are satisfied. For the nine months ended September 30, 2024, the net effect of Tandem Choice deferrals and fulfillments was negligible.</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current deferred revenue balance was $30.1 million and $30.6 million, respectively, related to the Tandem Choice program.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i w:val="1"/>
          <w:iCs w:val="1"/>
          <w:color w:val="auto"/>
        </w:rPr>
        <w:t>Sales Rebates</w:t>
      </w:r>
    </w:p>
    <w:p>
      <w:pPr>
        <w:spacing w:after="0" w:line="20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rebates on pricing programs with managed care organizations, such as governmental and third-party commercial payors. The Company estimates provisions for rebates based on contractual arrangements, estimates of products sold subject to rebate, known events or trends and channel inventory data. Estimated sales rebates included in other long-term liabilities have an estimated payment due date beyond twelve months from the balance sheet date. Accordingly, actual rebates paid may differ from estimated amounts recorded in the accompanying condensed consolidated financial statements.</w:t>
      </w:r>
    </w:p>
    <w:p>
      <w:pPr>
        <w:spacing w:after="0" w:line="14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total estimated sales rebates were included in the following condensed consolidated balance sheet accounts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sales rebate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single-use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using historical experience. Insulin pumps returned to the Company may be refurbished and redeployed. Experience has shown that initial data for any given pump version or pump platform may be insufficient. Therefore, the Company’s process relies on long-term historical averages of existing platforms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condensed consolidated statements of operations.</w:t>
      </w:r>
    </w:p>
    <w:p>
      <w:pPr>
        <w:spacing w:after="0" w:line="15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product warranty liabilities for the three and nine months ended September 30, 2024 and 2023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2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 issued during the period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26,889</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 (decreases) in warranty estimates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48"/>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total product warranty reserves were included in the following condensed consolidated balance sheet accounts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w:t>
            </w:r>
          </w:p>
        </w:tc>
      </w:tr>
      <w:tr>
        <w:trPr>
          <w:trHeight w:val="248"/>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warranty reserve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the employees’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w:t>
      </w:r>
    </w:p>
    <w:p>
      <w:pPr>
        <w:spacing w:after="0" w:line="16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there was no difference in the weighted average number of shares used to calculate basic and diluted net loss per share due to the Company’s net loss position for each of the periods presented.</w:t>
      </w:r>
    </w:p>
    <w:p>
      <w:pPr>
        <w:spacing w:after="0" w:line="121"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33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3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 under the ESPP</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(if-converted)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to improve the information that a public entity discloses about reportable segments and to address investor requests for more information about reportable segment expenses. The pronouncement requires a public entity to report a measure of segment profit or loss that the chief operating decision maker (CODM) uses to assess segment performance and make decisions about allocating resources. ASU 2023-07 also requires other specified segment items and amounts, such as depreciation, amortization, and depletion expense, to be disclosed under certain circumstances. The amendments in ASU 2023-07 are effective for fiscal years beginning after December 15, 2023 and interim periods within fiscal years beginning after December 15, 2024, adopted retrospectively. The Company is currently evaluating the effect of adoption of ASU 2023-07 on the Company’s consolidated financial statements or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Short-Term Investments</w:t>
      </w:r>
    </w:p>
    <w:p>
      <w:pPr>
        <w:spacing w:after="0" w:line="202"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at September 30, 2024 and December 31, 2023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September 30, 2024</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Gain</w:t>
            </w:r>
          </w:p>
        </w:tc>
        <w:tc>
          <w:tcPr>
            <w:tcW w:w="160" w:type="dxa"/>
            <w:vAlign w:val="bottom"/>
          </w:tcPr>
          <w:p>
            <w:pPr>
              <w:spacing w:after="0"/>
              <w:rPr>
                <w:sz w:val="15"/>
                <w:szCs w:val="15"/>
                <w:color w:val="auto"/>
              </w:rPr>
            </w:pPr>
          </w:p>
        </w:tc>
        <w:tc>
          <w:tcPr>
            <w:tcW w:w="15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5"/>
                <w:szCs w:val="15"/>
                <w:color w:val="auto"/>
              </w:rPr>
            </w:pPr>
          </w:p>
        </w:tc>
        <w:tc>
          <w:tcPr>
            <w:tcW w:w="130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United States Government-sponsored enterprises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Gain</w:t>
            </w:r>
          </w:p>
        </w:tc>
        <w:tc>
          <w:tcPr>
            <w:tcW w:w="160" w:type="dxa"/>
            <w:vAlign w:val="bottom"/>
          </w:tcPr>
          <w:p>
            <w:pPr>
              <w:spacing w:after="0"/>
              <w:rPr>
                <w:sz w:val="15"/>
                <w:szCs w:val="15"/>
                <w:color w:val="auto"/>
              </w:rPr>
            </w:pPr>
          </w:p>
        </w:tc>
        <w:tc>
          <w:tcPr>
            <w:tcW w:w="15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5"/>
                <w:szCs w:val="15"/>
                <w:color w:val="auto"/>
              </w:rPr>
            </w:pPr>
          </w:p>
        </w:tc>
        <w:tc>
          <w:tcPr>
            <w:tcW w:w="130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United States Government-sponsored enterprises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available-for-sale debt securities as of September 30, 2024,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6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At September 30, 2024</w:t>
            </w:r>
          </w:p>
        </w:tc>
        <w:tc>
          <w:tcPr>
            <w:tcW w:w="160" w:type="dxa"/>
            <w:vAlign w:val="bottom"/>
          </w:tcPr>
          <w:p>
            <w:pPr>
              <w:spacing w:after="0"/>
              <w:rPr>
                <w:sz w:val="15"/>
                <w:szCs w:val="15"/>
                <w:color w:val="auto"/>
              </w:rPr>
            </w:pPr>
          </w:p>
        </w:tc>
        <w:tc>
          <w:tcPr>
            <w:tcW w:w="150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Within One Year</w:t>
            </w:r>
          </w:p>
        </w:tc>
        <w:tc>
          <w:tcPr>
            <w:tcW w:w="140" w:type="dxa"/>
            <w:vAlign w:val="bottom"/>
          </w:tcPr>
          <w:p>
            <w:pPr>
              <w:spacing w:after="0"/>
              <w:rPr>
                <w:sz w:val="15"/>
                <w:szCs w:val="15"/>
                <w:color w:val="auto"/>
              </w:rPr>
            </w:pPr>
          </w:p>
        </w:tc>
        <w:tc>
          <w:tcPr>
            <w:tcW w:w="15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One to Two Years</w:t>
            </w:r>
          </w:p>
        </w:tc>
        <w:tc>
          <w:tcPr>
            <w:tcW w:w="100" w:type="dxa"/>
            <w:vAlign w:val="bottom"/>
          </w:tcPr>
          <w:p>
            <w:pPr>
              <w:spacing w:after="0"/>
              <w:rPr>
                <w:sz w:val="15"/>
                <w:szCs w:val="15"/>
                <w:color w:val="auto"/>
              </w:rPr>
            </w:pPr>
          </w:p>
        </w:tc>
        <w:tc>
          <w:tcPr>
            <w:tcW w:w="1460" w:type="dxa"/>
            <w:vAlign w:val="bottom"/>
          </w:tcPr>
          <w:p>
            <w:pPr>
              <w:jc w:val="right"/>
              <w:ind w:right="11"/>
              <w:spacing w:after="0" w:line="175" w:lineRule="exact"/>
              <w:rPr>
                <w:sz w:val="20"/>
                <w:szCs w:val="20"/>
                <w:color w:val="auto"/>
              </w:rPr>
            </w:pPr>
            <w:r>
              <w:rPr>
                <w:rFonts w:ascii="Times New Roman" w:cs="Times New Roman" w:eastAsia="Times New Roman" w:hAnsi="Times New Roman"/>
                <w:sz w:val="16"/>
                <w:szCs w:val="16"/>
                <w:b w:val="1"/>
                <w:bCs w:val="1"/>
                <w:color w:val="auto"/>
                <w:w w:val="98"/>
              </w:rPr>
              <w:t>Two to Three Years</w:t>
            </w:r>
          </w:p>
        </w:tc>
        <w:tc>
          <w:tcPr>
            <w:tcW w:w="100" w:type="dxa"/>
            <w:vAlign w:val="bottom"/>
          </w:tcPr>
          <w:p>
            <w:pPr>
              <w:spacing w:after="0"/>
              <w:rPr>
                <w:sz w:val="15"/>
                <w:szCs w:val="15"/>
                <w:color w:val="auto"/>
              </w:rPr>
            </w:pPr>
          </w:p>
        </w:tc>
        <w:tc>
          <w:tcPr>
            <w:tcW w:w="15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Government-sponsored enterprises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168,110</w:t>
            </w: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112,609</w:t>
            </w: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116,966</w:t>
            </w: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bonds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23"/>
        </w:trPr>
        <w:tc>
          <w:tcPr>
            <w:tcW w:w="20" w:type="dxa"/>
            <w:vAlign w:val="bottom"/>
          </w:tcPr>
          <w:p>
            <w:pPr>
              <w:spacing w:after="0"/>
              <w:rPr>
                <w:sz w:val="19"/>
                <w:szCs w:val="19"/>
                <w:color w:val="auto"/>
              </w:rPr>
            </w:pP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87,396</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424,266</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3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portfolio of available-for-sale debt securities quarterly to determine if any investment is impaired due to changes in credit risk or other potential valuation concerns. Unrealized losses on available-for-sale debt securities at September 30, 2024 were primarily due to an increase in market interest rates after certain debt securities were purchased, and the balance was not material to the Company’s quarterly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Composition of Certain Financial Statement Items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at September 30, 2024 and December 31, 2023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82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110,453</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the allowance for estimated accounts receivable credit losses for the three and nine months ended September 30, 2024 and 2023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600" w:type="dxa"/>
            <w:vAlign w:val="bottom"/>
            <w:gridSpan w:val="5"/>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7"/>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7,302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adjustments, net of recoveries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2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6,061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20" w:type="dxa"/>
            <w:vAlign w:val="bottom"/>
            <w:gridSpan w:val="9"/>
          </w:tcPr>
          <w:p>
            <w:pPr>
              <w:ind w:left="820"/>
              <w:spacing w:after="0"/>
              <w:rPr>
                <w:sz w:val="20"/>
                <w:szCs w:val="20"/>
                <w:color w:val="auto"/>
              </w:rPr>
            </w:pPr>
            <w:r>
              <w:rPr>
                <w:rFonts w:ascii="Times New Roman" w:cs="Times New Roman" w:eastAsia="Times New Roman" w:hAnsi="Times New Roman"/>
                <w:sz w:val="18"/>
                <w:szCs w:val="18"/>
                <w:color w:val="auto"/>
              </w:rPr>
              <w:t>Inventories consisted of the following at September 30, 2024 and December 31, 2023 (in thousands):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gridSpan w:val="5"/>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gridSpan w:val="3"/>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71,128</w:t>
            </w:r>
          </w:p>
        </w:tc>
        <w:tc>
          <w:tcPr>
            <w:tcW w:w="0" w:type="dxa"/>
            <w:vAlign w:val="bottom"/>
          </w:tcPr>
          <w:p>
            <w:pPr>
              <w:spacing w:after="0"/>
              <w:rPr>
                <w:sz w:val="1"/>
                <w:szCs w:val="1"/>
                <w:color w:val="auto"/>
              </w:rPr>
            </w:pPr>
          </w:p>
        </w:tc>
      </w:tr>
      <w:tr>
        <w:trPr>
          <w:trHeight w:val="22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157,937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w:t>
      </w:r>
    </w:p>
    <w:p>
      <w:pPr>
        <w:spacing w:after="0" w:line="1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of September 30, 2024 and December 31, 2023, and indicates the fair value hierarchy of the valuation techniques used by the Company to determine such fair value (in thousands):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4"/>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Government-sponsored enterprises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311,657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74"/>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4"/>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Government-sponsored enterprises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Generally, cash equivalents include money market funds and investments with a maturity of three months or less from the date of purchase.</w:t>
      </w:r>
    </w:p>
    <w:p>
      <w:pPr>
        <w:spacing w:after="0" w:line="21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Company’s Level 1 financial instruments, which are in active markets, are valued using unadjusted quoted market prices for identical instruments.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into or out of Level 3 assets during the three months ended September 30, 2024 and 2023, respectively.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Company’s convertible senior notes are carried at amortized cost on the condensed consolidated balance sheets (see Note 7, “Debt”). The Company estimated the fair value of its convertible senior notes based on Level 2 quoted market prices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072"/>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r>
      <w:tr>
        <w:trPr>
          <w:trHeight w:val="211"/>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271,688</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458,043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outstanding convertible senior notes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applicable as no notes were outstanding at this date.</w:t>
      </w:r>
    </w:p>
    <w:p>
      <w:pPr>
        <w:spacing w:after="0" w:line="23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March 2024, the Company issued $316.3 million aggregate principal amount of the Company’s Convertible Senior Notes Due 2029, and repurchased $246.7 million of principal of the Company’s Convertible Senior Notes due 2025 (see Note 7,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consist of operating leases for general office space,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Impairment Charge</w:t>
      </w:r>
    </w:p>
    <w:p>
      <w:pPr>
        <w:spacing w:after="0" w:line="189"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In 2023, the Company consolidated facilities by moving the administrative functions and other operations from the leased space on Vista Sorrento Parkway in San Diego, California (Vista Sorrento Lease) to the Company’s new headquarters, located on High Bluff Drive in San Diego, California. In connection with permanently ceasing use of the Vista Sorrento Lease, the Company recorded a $14.1 million impairment charge as the carrying amount of the assets related to the Vista Sorrento Lease exceeded its fair value based on the Company’s estimate of future discounted cash flows related to the leased facility. The $14.1 million charge was comprised of an $11.2 million impairment of operating lease right-of-use assets and a $2.9 million write-off of fixed assets, and was recorded as a component of selling, general and administrative expenses in the condensed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Lease Disclosure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costs recorded in the condensed consolidated statements of operations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3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4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6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176"/>
        </w:trPr>
        <w:tc>
          <w:tcPr>
            <w:tcW w:w="4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lease termination and right-of-use asset impairment</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0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23,768</w:t>
            </w:r>
          </w:p>
        </w:tc>
      </w:tr>
      <w:tr>
        <w:trPr>
          <w:trHeight w:val="20"/>
        </w:trPr>
        <w:tc>
          <w:tcPr>
            <w:tcW w:w="4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44"/>
        </w:trPr>
        <w:tc>
          <w:tcPr>
            <w:tcW w:w="4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at September 30, 2024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164,476</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109,479</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gridSpan w:val="4"/>
            <w:vMerge w:val="restart"/>
          </w:tcPr>
          <w:p>
            <w:pPr>
              <w:ind w:left="660"/>
              <w:spacing w:after="0"/>
              <w:rPr>
                <w:sz w:val="20"/>
                <w:szCs w:val="20"/>
                <w:color w:val="auto"/>
              </w:rPr>
            </w:pPr>
            <w:r>
              <w:rPr>
                <w:rFonts w:ascii="Times New Roman" w:cs="Times New Roman" w:eastAsia="Times New Roman" w:hAnsi="Times New Roman"/>
                <w:sz w:val="18"/>
                <w:szCs w:val="18"/>
                <w:color w:val="212529"/>
              </w:rPr>
              <w:t>The weighted-average remaining lease term and weighted-average discount rate for operating leases were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26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980" w:type="dxa"/>
            <w:vAlign w:val="bottom"/>
          </w:tcPr>
          <w:p>
            <w:pPr>
              <w:spacing w:after="0"/>
              <w:rPr>
                <w:sz w:val="24"/>
                <w:szCs w:val="24"/>
                <w:color w:val="auto"/>
              </w:rPr>
            </w:pPr>
          </w:p>
        </w:tc>
        <w:tc>
          <w:tcPr>
            <w:tcW w:w="22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24"/>
                <w:szCs w:val="24"/>
                <w:color w:val="auto"/>
              </w:rPr>
            </w:pPr>
          </w:p>
        </w:tc>
        <w:tc>
          <w:tcPr>
            <w:tcW w:w="17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used to determine operating lease liabilities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Cash amounts paid included in the measurement of lease liabilities, representing operating cash flows, were $13.3 million and $9.2 million for the nine months ended September 30, 2024 and 2023,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2029</w:t>
      </w:r>
    </w:p>
    <w:p>
      <w:pPr>
        <w:spacing w:after="0" w:line="18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On March 8, 2024, the Company completed an offering of $316.3 million aggregate principal amount of 1.50% Convertible Senior Notes due 2029 (the 2029 Notes). The proceeds from the issuance of the 2029 Notes were $306.8 million, net of debt issuance costs. The Company used approximately $246.1 million of the net proceeds to repurchase approximately $246.7 million in aggregate principal amount of its Convertible Senior Notes Due 2025 (the 2025 Notes) concurrently with the pricing of the 2029 Notes in privately negotiated transactions.</w:t>
      </w:r>
    </w:p>
    <w:p>
      <w:pPr>
        <w:spacing w:after="0" w:line="13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also paid $1.3 million of accrued interest due at time of the note repurchase. As a result of the repurchase, the Company recognized a $1.3 million loss on extinguishment of debt in the condensed consolidated statement of operations for the nine months ended September 30, 2024. The loss on extinguishment of debt included the unamortized debt issuance costs related to the portion of the 2025 Notes repurchased.</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spacing w:after="0" w:line="135"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7" w:name="page18"/>
    <w:bookmarkEnd w:id="17"/>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2029 Notes before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spacing w:after="0" w:line="15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Holders of the 2029 Notes may convert all or a portion of their 2029 Notes at their option before December 15, 2028, in multiples of $1,000 principal amounts, only under the following circumstances:</w:t>
      </w:r>
    </w:p>
    <w:p>
      <w:pPr>
        <w:spacing w:after="0" w:line="121" w:lineRule="exact"/>
        <w:rPr>
          <w:sz w:val="20"/>
          <w:szCs w:val="20"/>
          <w:color w:val="auto"/>
        </w:rPr>
      </w:pPr>
    </w:p>
    <w:p>
      <w:pPr>
        <w:ind w:left="1300" w:right="220" w:hanging="482"/>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1300" w:right="140" w:hanging="482"/>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spacing w:after="0" w:line="202" w:lineRule="exact"/>
        <w:rPr>
          <w:rFonts w:ascii="Times New Roman" w:cs="Times New Roman" w:eastAsia="Times New Roman" w:hAnsi="Times New Roman"/>
          <w:sz w:val="18"/>
          <w:szCs w:val="18"/>
          <w:color w:val="auto"/>
        </w:rPr>
      </w:pPr>
    </w:p>
    <w:p>
      <w:pPr>
        <w:ind w:left="1300" w:right="80" w:hanging="482"/>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before the close of business on the scheduled trading day immediately preceding the redemption date, but only with respect to the 2029 Notes called (or deemed called) for redemption; or</w:t>
      </w:r>
    </w:p>
    <w:p>
      <w:pPr>
        <w:spacing w:after="0" w:line="188"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2025</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May 2020, the Company completed an offering of $287.5 million aggregate principal amount of 1.50% Convertible Senior Notes due 2025 (the 2025 Notes). The proceeds from the issuance of the Notes were $244.6 million, net of debt issuance costs and cash used to pay the cost of the capped call transactions (Capped Call Transactions) discussed below.</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March 2024, the Company repurchased for cash $246.7 million in aggregate principal amount of the 2025 Notes, concurrently with the pricing of the 2029 Notes in privately negotiated transactions.</w:t>
      </w:r>
    </w:p>
    <w:p>
      <w:pPr>
        <w:spacing w:after="0" w:line="121"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The 2025 Notes are the Company’s senior unsecured obligations. Interest is payable in cash semi-annually in arrears beginning on November 1, 2020 at a rate of 1.50% per year. The 2025 Notes mature on May 1, 2025 unless repurchased, redeemed, or converted in accordance with their terms before the maturity date. As of September 30, 2024 the outstanding balance of the 2025 Notes was classified in current liabilities on the Company’s condensed consolidated balance sheets.</w:t>
      </w:r>
    </w:p>
    <w:p>
      <w:pPr>
        <w:spacing w:after="0" w:line="207" w:lineRule="exact"/>
        <w:rPr>
          <w:sz w:val="20"/>
          <w:szCs w:val="20"/>
          <w:color w:val="auto"/>
        </w:rPr>
      </w:pPr>
    </w:p>
    <w:p>
      <w:pPr>
        <w:ind w:right="160" w:firstLine="810"/>
        <w:spacing w:after="0" w:line="261" w:lineRule="auto"/>
        <w:rPr>
          <w:sz w:val="20"/>
          <w:szCs w:val="20"/>
          <w:color w:val="auto"/>
        </w:rPr>
      </w:pPr>
      <w:r>
        <w:rPr>
          <w:rFonts w:ascii="Times New Roman" w:cs="Times New Roman" w:eastAsia="Times New Roman" w:hAnsi="Times New Roman"/>
          <w:sz w:val="18"/>
          <w:szCs w:val="18"/>
          <w:color w:val="auto"/>
        </w:rPr>
        <w:t>The 2025 Notes are convertible into cash, shares of the Company’s common stock, or a combination of cash and shares of the Company’s common stock, at the Company’s election, at an initial conversion rate of 8.8836 shares of common stock per $1,000 principal amount of the 2025 Notes, which is equivalent to an initial conversion price of $112.57 (2025 Notes Conversion Price) per share of the Company’s common stock. The conversion rate is subject to customary adjustments for certain events as described in the indenture governing the 2025 Notes.</w:t>
      </w:r>
    </w:p>
    <w:p>
      <w:pPr>
        <w:spacing w:after="0" w:line="207"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The Company has the option to redeem for cash all or any portion of the 2025 Notes on or after May 6, 2023 if the last reported sale price of the Company’s common stock has been at least 130% of the 2025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2025 Notes to be redeemed, plus accrued and unpaid interest. No sinking fund is provided for the 2025 Notes.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18" w:name="page19"/>
    <w:bookmarkEnd w:id="18"/>
    <w:p>
      <w:pPr>
        <w:ind w:right="160" w:firstLine="810"/>
        <w:spacing w:after="0" w:line="282" w:lineRule="auto"/>
        <w:rPr>
          <w:sz w:val="20"/>
          <w:szCs w:val="20"/>
          <w:color w:val="auto"/>
        </w:rPr>
      </w:pPr>
      <w:r>
        <w:rPr>
          <w:rFonts w:ascii="Times New Roman" w:cs="Times New Roman" w:eastAsia="Times New Roman" w:hAnsi="Times New Roman"/>
          <w:sz w:val="18"/>
          <w:szCs w:val="18"/>
          <w:color w:val="auto"/>
        </w:rPr>
        <w:t>Holders of the 2025 Notes had the right to convert all or a portion of their 2025 Notes at their option before November 1, 2024, in multiples of $1,000 principal amounts, under certain circumstances outlined in the offering agreement.</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On or after November 1, 2024, until the close of business on the second scheduled trading day immediately preceding the maturity date, holders may convert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2025 Notes.</w:t>
      </w:r>
    </w:p>
    <w:p>
      <w:pPr>
        <w:spacing w:after="0" w:line="15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Holders of the 2025 Notes who convert in connection with a make-whole fundamental change or in connection with a redemption are entitled to an increase in the conversion rate. Additionally, in the event of a fundamental change, holders of the 2025 Notes may require us to repurchase all or a portion of the 2025 Notes at a price equal to 100% of the principal amount of the Notes, plus any accrued and unpaid interest.</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net carrying amount of the Company’s convertible senior notes on the condensed consolidated balance sheets consisted of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2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0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316,250</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285,035</w:t>
            </w: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senior convertible notes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307,829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285,035</w:t>
            </w:r>
          </w:p>
        </w:tc>
      </w:tr>
      <w:tr>
        <w:trPr>
          <w:trHeight w:val="21"/>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applicable as no notes were outstanding at this date.</w:t>
      </w:r>
    </w:p>
    <w:p>
      <w:pPr>
        <w:spacing w:after="0" w:line="185"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if-converted value of the 2025 Notes did not exceed the principal amount. As of September 30, 2024, the if-converted value of the 2029 Notes exceeded the principal amount by $71.8 million.</w:t>
      </w:r>
    </w:p>
    <w:p>
      <w:pPr>
        <w:spacing w:after="0" w:line="13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Company was notified that additional interest beyond the 1.50% per annum had been accruing on the 2025 Notes since May 2021, under the terms of the indenture. This additional interest accrued at a rate of 0.50% per annum on the outstanding principal amount of the Notes, and as of September 30, 2023 amounted to about $3.1 million in the aggregate. The additional accrued interest was fully paid in November 2023.</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effective interest rates for each of our convertible senior notes for the periods shown: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8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applicable as no notes were outstanding at this date.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interest expense related to the Notes recognized for the three and nine months ended September 30, 2024, and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5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5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Contractual interest expense</w:t>
            </w:r>
            <w:r>
              <w:rPr>
                <w:rFonts w:ascii="Times New Roman" w:cs="Times New Roman" w:eastAsia="Times New Roman" w:hAnsi="Times New Roman"/>
                <w:sz w:val="23"/>
                <w:szCs w:val="23"/>
                <w:b w:val="1"/>
                <w:bCs w:val="1"/>
                <w:color w:val="auto"/>
                <w:vertAlign w:val="superscript"/>
              </w:rPr>
              <w:t>(1)</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2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48"/>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interest expense for the three and nine months ended September 30, 2023 includes $3.1 million of additional interest as discussed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Capped Call Transactions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$42.0128 per share, and is subject to certain adjustments under the terms of the 2029 Capped Call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Capped Call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Capped Call Transactions in May 2020 with certain counterparties at a net cost of $34.1 million (2025 Capped Call Transactions). The 2025 Capped Call Transactions are expected generally to reduce potential dilution to the Common Stock upon any conversion of the 2025 Notes and/or offset any cash payments the Company is required to make in excess of the principal amount of converted 2025 Notes, as the case may be, with such reduction or offset subject to a cap. The cap price of the 2025 Capped Call Transactions is initially $173.18 per share of the Company’s common stock, and is subject to certain adjustments under the terms of the 2025 Capped Call Transactions.</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repurchase of certain 2025 Notes, the Company entered into unwind agreements with the existing option counterparties on March 5,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in respect of the portion of the existing 2025 Capped Call Transactions that were unwound. The amount received was based generally on the termination values of the unwound portions of the existing 2025 Capped Call Transactions.</w:t>
      </w:r>
    </w:p>
    <w:p>
      <w:pPr>
        <w:spacing w:after="0" w:line="210"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For accounting purposes, each of the capped call transactions described above are separate transactions, and not part of the terms of the 2029 Notes or the 2025 Notes. As these transactions met certain criteria under the applicable accounting guidance, each of the capped call transactions were recorded in stockholders' equity and were not accounted for as derivatives. The cost of the transactions was recorded as a reduction of the Company’s additional paid-in capital in the Company’s condensed consolidated balance sheet and will not be remeasured.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tc>
        <w:tc>
          <w:tcPr>
            <w:tcW w:w="1320" w:type="dxa"/>
            <w:vAlign w:val="bottom"/>
          </w:tcPr>
          <w:p>
            <w:pPr>
              <w:spacing w:after="0"/>
              <w:rPr>
                <w:sz w:val="20"/>
                <w:szCs w:val="20"/>
                <w:color w:val="auto"/>
              </w:rPr>
            </w:pPr>
          </w:p>
        </w:tc>
      </w:tr>
      <w:tr>
        <w:trPr>
          <w:trHeight w:val="405"/>
        </w:trPr>
        <w:tc>
          <w:tcPr>
            <w:tcW w:w="9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shares of the Company's common stock were reserved for future issuance at September 30, 2024 (in thousands):</w:t>
            </w:r>
          </w:p>
        </w:tc>
        <w:tc>
          <w:tcPr>
            <w:tcW w:w="1320" w:type="dxa"/>
            <w:vAlign w:val="bottom"/>
          </w:tcPr>
          <w:p>
            <w:pPr>
              <w:spacing w:after="0"/>
              <w:rPr>
                <w:sz w:val="24"/>
                <w:szCs w:val="24"/>
                <w:color w:val="auto"/>
              </w:rPr>
            </w:pPr>
          </w:p>
        </w:tc>
      </w:tr>
      <w:tr>
        <w:trPr>
          <w:trHeight w:val="108"/>
        </w:trPr>
        <w:tc>
          <w:tcPr>
            <w:tcW w:w="99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upon conversion of Convertible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unvested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authorized for issuance pursuant to awards granted under the ESPP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authorized for future equity award grants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48"/>
        </w:trPr>
        <w:tc>
          <w:tcPr>
            <w:tcW w:w="9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to purchase shares of the Company's common stock as of September 30, 2024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 of Warrants Outstanding</w:t>
            </w:r>
          </w:p>
        </w:tc>
        <w:tc>
          <w:tcPr>
            <w:tcW w:w="0" w:type="dxa"/>
            <w:vAlign w:val="bottom"/>
          </w:tcPr>
          <w:p>
            <w:pPr>
              <w:spacing w:after="0"/>
              <w:rPr>
                <w:sz w:val="1"/>
                <w:szCs w:val="1"/>
                <w:color w:val="auto"/>
              </w:rPr>
            </w:pPr>
          </w:p>
        </w:tc>
      </w:tr>
      <w:tr>
        <w:trPr>
          <w:trHeight w:val="214"/>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193,788</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180" w:firstLine="648"/>
        <w:spacing w:after="0" w:line="461" w:lineRule="auto"/>
        <w:rPr>
          <w:sz w:val="20"/>
          <w:szCs w:val="20"/>
          <w:color w:val="auto"/>
        </w:rPr>
      </w:pPr>
      <w:r>
        <w:rPr>
          <w:rFonts w:ascii="Times New Roman" w:cs="Times New Roman" w:eastAsia="Times New Roman" w:hAnsi="Times New Roman"/>
          <w:sz w:val="18"/>
          <w:szCs w:val="18"/>
          <w:color w:val="auto"/>
        </w:rPr>
        <w:t xml:space="preserve">Each warrant allows the holder to purchase one share of common stock at the per share exercise price of the warrant. </w:t>
      </w:r>
      <w:r>
        <w:rPr>
          <w:rFonts w:ascii="Times New Roman" w:cs="Times New Roman" w:eastAsia="Times New Roman" w:hAnsi="Times New Roman"/>
          <w:sz w:val="18"/>
          <w:szCs w:val="18"/>
          <w:b w:val="1"/>
          <w:bCs w:val="1"/>
          <w:i w:val="1"/>
          <w:iCs w:val="1"/>
          <w:color w:val="auto"/>
        </w:rPr>
        <w:t>Stock Incentive Plans</w:t>
      </w:r>
    </w:p>
    <w:p>
      <w:pPr>
        <w:spacing w:after="0" w:line="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then employees, officers, directors or consultants of the Company. The 2023 Plan replaced the Company’s Amended and Restated 2013 Stock Incentive Plan (2013 Plan), and no further equity awards will be granted under the 2013 Plan. In May 2024, the Company’s stockholders approved the 2023 Long-Term Incentive Plan, as amended, to increase the number of shares authorized for issuance under the plan by 3,000,000 shares.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expense included in the condensed consolidated statements of operations for all stock-based compensation arrangements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8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7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41,448</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r>
      <w:tr>
        <w:trPr>
          <w:trHeight w:val="22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65,335</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expense capitalized as part of the cost of the Company’s inventories was $1.8 million at September 30, 2024, and $2.0 million at December 31, 2023.</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units (RSUs) have a grant value equal to the closing price of the Company’s common stock on the award date.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total number of RSUs granted and the respective weighted average grant date fair value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6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1,997,907</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r>
    </w:tbl>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May 2024, the Company's stockholders approved the 2013 Employee Stock Purchase Plan, as amended, to increase the number of shares authorized for issuance under the plan by 3,000,000 shares. 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33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2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12.52</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401(k) Plan</w:t>
      </w:r>
    </w:p>
    <w:p>
      <w:pPr>
        <w:spacing w:after="0" w:line="2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hire or entry date. Under the terms of the plan, employees may make voluntary contributions as a percent of compensation and the Company may elect to match a discretionary percentage of employee contributions.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income tax expense of $0.6 million and $4.9 million, respectively, on a pre-tax loss of $22.6 million and $91.9 million, respectively. The Company calculated the provision for income taxes for the three and nine months ended September 30, 2024 by applying an estimate of the annual effective tax rate for the full year to ordinary income (loss) adjusted by the tax impact of discrete items. Income tax expense for the three and nine months ended September 30, 2024 was primarily attributable to federal, state and foreign income tax expense as a result of current taxable income in certain jurisdictions.</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recognized income tax expense of $2.2 million and $3.7 million, respectively, on a pre-tax loss of $30.7 million and $188.9 million, respectively. Income tax expense for the three and nine months ended September 30, 2023 was primarily attributable to federal, state and foreign income tax expense as a result of current taxable income in certain jurisdictions. The Company calculated the provision for three and nine months ended September 30, 2023 by applying an estimate of the annual effective tax rate for the full year to ordinary income (loss) adjusted by the tax impact of discrete items.</w:t>
      </w:r>
    </w:p>
    <w:p>
      <w:pPr>
        <w:spacing w:after="0" w:line="1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continues to maintain a full valuation allowance against its net deferred tax assets as of September 30, 2024, based on the current assessment that it is not more likely than not these future benefits will be realized before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11. Business Segment and Geographic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0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Region and Customer Sales Channel</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40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6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403,964</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146,958</w:t>
            </w:r>
          </w:p>
        </w:tc>
      </w:tr>
      <w:tr>
        <w:trPr>
          <w:trHeight w:val="248"/>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Sales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243,971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Sales to distributors accounted for 61% and 62% of the Company’s United States sales for the three and nine months ended September 30, 2024, respectively, and 64% and 64% of the Company’s United States sales for the three and nine months ended September 30, 2023, respectively. Sales to distributors accounted for the vast majority of the Company’s sales outside the United States for the three and nine-month periods ended September 30, 2024 and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Product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sales by product were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274,415</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289,075</w:t>
            </w:r>
          </w:p>
        </w:tc>
      </w:tr>
      <w:tr>
        <w:trPr>
          <w:trHeight w:val="184"/>
        </w:trPr>
        <w:tc>
          <w:tcPr>
            <w:tcW w:w="4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revenue recognized (deferred) for Tandem Choice</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(12,568)</w:t>
            </w: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Sales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657,555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550,922</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12. Acquisitions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AMF Medical Acquisition</w:t>
      </w:r>
    </w:p>
    <w:p>
      <w:pPr>
        <w:spacing w:after="0" w:line="18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spacing w:after="0" w:line="1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January 19, 2023, the Company completed the acquisition of AMF Medical under the terms of the Purchase Agreement. The total aggregate consideration for the Transaction included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two years following the closing date of the Transaction, and a payment of up to CHF 91.2 million upon obtaining regulatory clearance from the FDA of an automated controller enabled (ACE) pump. The contingent consideration will be recognized as each contingency is resolved and the respective consideration is paid or becomes payable. As of September 30, 2024, the contingencies related to the earnout milestones were not yet resolved and, therefore, the related amounts were not included in the fair value of the asset acquired and were not recognized as a liability on the consolidated balance sheet at September 30, 2024. The Company funded the initial closing payment using existing cash balances.</w:t>
      </w:r>
    </w:p>
    <w:p>
      <w:pPr>
        <w:spacing w:after="0" w:line="16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included the operating results of AMF Medical since the date of acquisition.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Matters</w:t>
      </w:r>
    </w:p>
    <w:p>
      <w:pPr>
        <w:spacing w:after="0" w:line="18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On September 8, 2023, a purported stockholder of the Company filed a putative securities class action complaint (captioned </w:t>
      </w:r>
      <w:r>
        <w:rPr>
          <w:rFonts w:ascii="Times New Roman" w:cs="Times New Roman" w:eastAsia="Times New Roman" w:hAnsi="Times New Roman"/>
          <w:sz w:val="18"/>
          <w:szCs w:val="18"/>
          <w:i w:val="1"/>
          <w:iCs w:val="1"/>
          <w:color w:val="auto"/>
        </w:rPr>
        <w:t>Lowe v. Tandem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Diabetes Care, Inc., et al., </w:t>
      </w:r>
      <w:r>
        <w:rPr>
          <w:rFonts w:ascii="Times New Roman" w:cs="Times New Roman" w:eastAsia="Times New Roman" w:hAnsi="Times New Roman"/>
          <w:sz w:val="18"/>
          <w:szCs w:val="18"/>
          <w:color w:val="auto"/>
        </w:rPr>
        <w:t>Case No. 23-cv-1657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in the United States District Court for the Southern District of California against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of the Company’s current executive officers (“defendants”). On December 6, 2023, the court appointed Mason Raines, Thomas O. Martel, and Linna Rae Martel to serve as co-lead plaintiffs (“plaintiffs”). On February 1, 2024, the plaintiffs filed their amended complaint. In the amended complaint, the plaintiffs alleged violations of the Securities Exchange Act of 1934, as amended, based on alleged materially false and misleading statements relating to our sales trends and financial forecasts. The plaintiffs sought to represent a class of persons who purchased or otherwise acquired Tandem common stock during the period between August 3, 2022, and November 2, 2022, inclusive. The plaintiffs also sought unspecified monetary damages, pre- and post-judgment interest, costs and fees, including attorneys’ fees and expert fees, and other relief. The defendants filed their motion to dismiss the amended complaint on March 11, 2024. The plaintiffs filed a response in opposition to defendants’ motion to dismiss on March 27, 2024, and on April 10, 2024, defendants filed their reply. On April 29, 2024, the court granted defendants’ motion to dismiss with leave to file a second amended complaint within 30 days. The plaintiffs did not file a second amended complaint within 30 days. On June 4, 2024, the Court entered final judgment dismissing the action in its entirety with prejudice. On July 5, 2024, the plaintiffs’ deadline to appeal the final judgment expired.</w:t>
      </w: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Two shareholder derivative cases were filed in the United States District Court for the Southern District of California on March 29, 2024</w:t>
      </w:r>
    </w:p>
    <w:p>
      <w:pPr>
        <w:spacing w:after="0" w:line="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 xml:space="preserve">(captioned </w:t>
      </w:r>
      <w:r>
        <w:rPr>
          <w:rFonts w:ascii="Times New Roman" w:cs="Times New Roman" w:eastAsia="Times New Roman" w:hAnsi="Times New Roman"/>
          <w:sz w:val="17"/>
          <w:szCs w:val="17"/>
          <w:i w:val="1"/>
          <w:iCs w:val="1"/>
          <w:color w:val="auto"/>
        </w:rPr>
        <w:t>Bushansky v. John F. Sheridan et al.</w:t>
      </w:r>
      <w:r>
        <w:rPr>
          <w:rFonts w:ascii="Times New Roman" w:cs="Times New Roman" w:eastAsia="Times New Roman" w:hAnsi="Times New Roman"/>
          <w:sz w:val="17"/>
          <w:szCs w:val="17"/>
          <w:color w:val="auto"/>
        </w:rPr>
        <w:t xml:space="preserve">, Case No. 24-cv-608) and on April 23, 2024 (captioned </w:t>
      </w:r>
      <w:r>
        <w:rPr>
          <w:rFonts w:ascii="Times New Roman" w:cs="Times New Roman" w:eastAsia="Times New Roman" w:hAnsi="Times New Roman"/>
          <w:sz w:val="17"/>
          <w:szCs w:val="17"/>
          <w:i w:val="1"/>
          <w:iCs w:val="1"/>
          <w:color w:val="auto"/>
        </w:rPr>
        <w:t>Amersi v. John F. Sheridan et al.</w:t>
      </w:r>
      <w:r>
        <w:rPr>
          <w:rFonts w:ascii="Times New Roman" w:cs="Times New Roman" w:eastAsia="Times New Roman" w:hAnsi="Times New Roman"/>
          <w:sz w:val="17"/>
          <w:szCs w:val="17"/>
          <w:color w:val="auto"/>
        </w:rPr>
        <w:t>, Case No. 24-cv-</w:t>
      </w:r>
    </w:p>
    <w:p>
      <w:pPr>
        <w:spacing w:after="0" w:line="7" w:lineRule="exact"/>
        <w:rPr>
          <w:sz w:val="20"/>
          <w:szCs w:val="20"/>
          <w:color w:val="auto"/>
        </w:rPr>
      </w:pPr>
    </w:p>
    <w:p>
      <w:pPr>
        <w:ind w:right="20" w:firstLine="8"/>
        <w:spacing w:after="0" w:line="234"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the individual members of Tandem’s Board of Directors and the Company. These shareholder derivative lawsuits piggybacked on the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xml:space="preserve"> case, and alleged that Tandem’s Board breached its fiduciary duties by failing to properly oversee and monitor the risks affecting the Company’s business, which resulted in reduced guidance, an associated stock drop, and the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xml:space="preserve"> case. On May 16, 2024, the parties in the derivative actions filed a joint motion regarding consolidation and appointment of counsel. On June 13, 2024, the joint motion was granted and the derivative actions were consolidated. On July 12, 2024, the parties filed a joint request for voluntary dismissal of the consolidated derivative actions without prejudice. On the same day, July 12, 2024, the court granted the parties’ joint request and dismissed the consolidated derivative actions without prejudice.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4" w:name="page25"/>
    <w:bookmarkEnd w:id="24"/>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September 30, 2024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25" w:name="page26"/>
    <w:bookmarkEnd w:id="25"/>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financial statements and related notes in Part I, Item 1 of this Quarterly Report on Form 10-Q for the quarter ended September 30, 2024 (Quarterly Report).</w:t>
      </w:r>
    </w:p>
    <w:p>
      <w:pPr>
        <w:spacing w:after="0" w:line="13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42"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46" w:lineRule="exact"/>
        <w:rPr>
          <w:sz w:val="20"/>
          <w:szCs w:val="20"/>
          <w:color w:val="auto"/>
        </w:rPr>
      </w:pPr>
    </w:p>
    <w:p>
      <w:pPr>
        <w:ind w:right="12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 qualify all of our forward-looking statements by these cautionary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medical device company focused on the design, development and commercialization of technology solutions for people living with diabetes. We consider our primary addressable market to be people who live with type 1 diabetes. Through our product development efforts, we are seeking to expand our addressable market to include people living with type 2 diabetes who require intensive insulin therapy. Diabetes management can vary greatly from person-to-person, creating multiple market segments based on clinical needs and personal preferences. Our goal is to address the individual needs of people with insulin-dependent diabetes and their care team, by offering flexibility and choice in intelligent insulin delivery systems, through an accessible portfolio of market-leading pumps, applications, and insights.</w:t>
      </w:r>
    </w:p>
    <w:p>
      <w:pPr>
        <w:spacing w:after="0" w:line="14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From inception in 2012 through June 2018, we derived nearly all of our sales from the shipment of insulin pumps and associated supplies to customers in the United States. Starting in the third quarter of 2018, we began selling in select geographies outside the United States and our technology solutions are now available in approximately 25 countries worldwide.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6" w:name="page27"/>
    <w:bookmarkEnd w:id="26"/>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Through our portfolio approach, we offer people living with diabetes a choice in their therapy management system based on their individual needs and preferences. In support of this strategy, we recently expanded our portfolio which now includes both the t:slim X2 and the Tandem Mobi insulin pumps. The Tandem Mobi insulin pump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Since the beginning of 2024, we scaled the commercial release of Tandem Mobi in the United States, first offering integration with the Dexcom G6 sensor beginning in February followed by the Dexcom G7 beginning in June.</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vast majority of our customers use their insulin pump with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including three publications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have demonstrated that use of Control-IQ technology provides people across all demographics with improved clinical outcomes that are both immediate and sustained.</w:t>
      </w:r>
    </w:p>
    <w:p>
      <w:pPr>
        <w:spacing w:after="0" w:line="14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t:slim X2 was the first pump in the industry on which remote software updates were made commercially available in the United States and is now also available in the countries we serve worldwide. This has allowed our t:slim X2 and Tandem Mobi customers to update their own pump software. We believe this offering is a competitive advantage that allows us to bring our customers clinical and lifestyle enhancements within their warranty cycle without having to purchase a new pump. These enhancements include new developments in our AID technology, CGM integrations and mobile app features. For example, in 2024 we offered pump software updates to allow Tandem pump users access to integrate with new CGM sensors.</w:t>
      </w:r>
    </w:p>
    <w:p>
      <w:pPr>
        <w:spacing w:after="0" w:line="1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more than a decade we have offered our customers, their caregivers and healthcare providers a data management application to provide a fast, easy and visual way to display diabetes therapy management data from our pumps and integrated CGMs. In the second quarter of 2023, we expanded our digital technology solutions with the launch of Tandem Source in the United States. In addition to displaying diabetes therapy management data, Tandem Source is also designed to serve as a portal for supplies reordering and pump software updates. In the second quarter of 2024, we began a scaled launch of Tandem Source outside the United States.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&amp; Future Technology</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Diabetes management can vary greatly from person-to-person, creating multiple market segments based on clinical needs and personal preferences. Our goal is to address the individual needs of people with insulin-dependent diabetes and their care team, by providing flexibility and choice in intelligent insulin delivery systems through an accessible portfolio of market-leading pumps, applications, and insights.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support of this strategy, our portfolio of future technologies includes: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t:slim X3</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Advancing our flagship t:slim platform, the t:slim X3 is planned to include enhanced technology, such as greater processing power and capacity to support our advanced algorithms, as well as increased battery life and improved durability.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Mobi: Tubeless</w:t>
      </w:r>
    </w:p>
    <w:p>
      <w:pPr>
        <w:spacing w:after="0" w:line="20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This offering is intended to provide an alternative tubeless infusion site option for Tandem Mobi pump users. It will allow a Tandem Mobi pump to be worn completely on the user’s body with no tubing, while still providing the benefit of detachability. A goal of this design is to allow people living with diabetes to customize the way they wear their pump with each cartridge change, switching between tubed and tubeless wear configurations, to best suit their personal preferences and lifestyle</w:t>
      </w:r>
      <w:r>
        <w:rPr>
          <w:rFonts w:ascii="Calibri" w:cs="Calibri" w:eastAsia="Calibri" w:hAnsi="Calibri"/>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Sigi</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ergonomic, rechargeable and detachable Sigi Patch Pump is intended to reduce the burden of managing diabetes through its use of pre-filled insulin cartridges and compatibility with AID technology.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i w:val="1"/>
          <w:iCs w:val="1"/>
          <w:color w:val="auto"/>
        </w:rPr>
        <w:t>Extended Wear Infusion Sets</w:t>
      </w:r>
    </w:p>
    <w:p>
      <w:pPr>
        <w:spacing w:after="0" w:line="200"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Infusion sets provide additional choice and flexibility to people living with diabetes. We are currently developing extended wear infusion set technology. Our goals for future infusion set innovations include solutions that enhance user experience, while reducing occlusions, body burden and waste.</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Control-IQ Advancements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continuing to drive innovation in our algorithms, emphasizing automation, personalization and simplification to continue to improve therapeutic outcomes and provide a positive patient experience. In late 2023, an enhanced version of our Control-IQ technology was cleared with additional features for people with type 1 diabetes age 2 and older. In the third quarter of 2024, we completed a pivotal study to support expanding indications to include people living with type 2 diabetes. We are also pursuing the use of different insulins with our Control-IQ technology. For example, in the first half of 2024 we received approval for both the addition of Trurapi U-100 in Canada and Lyumjev in the European Union as compatible insulins that can be used with our t:slim X2 pump with Control-IQ technology.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Pump Reimbursement Cycle</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take on average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spacing w:after="0" w:line="15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At the end of 2023, we had approximately 450,000 users in our in-warranty installed base, approximately one-third of whom live outside the United States.</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into new geographies and variability due to supply chain logistics, particularly during the global pandemic. This also influences the timing in which renewal eligibility begins for existing customers, which may not initially be consistent with trends in the United States market. We recently began completing full four-year reimbursement cycles in an increasing number of our markets outside of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Uncertainties Impacting Financial Results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financial condition and operating results have historically fluctuated on a quarterly or annual basis. We expect these periodic fluctuations will continue to be impacted by a number of trends and uncertainties, including the following: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Regulatory Approvals and Actions</w:t>
      </w:r>
    </w:p>
    <w:p>
      <w:pPr>
        <w:spacing w:after="0" w:line="185" w:lineRule="exact"/>
        <w:rPr>
          <w:sz w:val="20"/>
          <w:szCs w:val="20"/>
          <w:color w:val="auto"/>
        </w:rPr>
      </w:pPr>
    </w:p>
    <w:p>
      <w:pPr>
        <w:ind w:left="1300" w:right="100" w:hanging="320"/>
        <w:spacing w:after="0" w:line="261"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w:t>
      </w:r>
    </w:p>
    <w:p>
      <w:pPr>
        <w:spacing w:after="0" w:line="139"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event involving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Markets, Seasonality, Competition, and Product Launches</w:t>
      </w:r>
    </w:p>
    <w:p>
      <w:pPr>
        <w:spacing w:after="0" w:line="198" w:lineRule="exact"/>
        <w:rPr>
          <w:sz w:val="20"/>
          <w:szCs w:val="20"/>
          <w:color w:val="auto"/>
        </w:rPr>
      </w:pPr>
    </w:p>
    <w:p>
      <w:pPr>
        <w:ind w:left="640" w:right="80" w:hanging="320"/>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Tandem Choice program, and its related financial and accounting impact, may continue to materially impact our business until the conclusion of the program.</w:t>
      </w:r>
    </w:p>
    <w:p>
      <w:pPr>
        <w:spacing w:after="0" w:line="193" w:lineRule="exact"/>
        <w:rPr>
          <w:rFonts w:ascii="Times New Roman" w:cs="Times New Roman" w:eastAsia="Times New Roman" w:hAnsi="Times New Roman"/>
          <w:sz w:val="18"/>
          <w:szCs w:val="18"/>
          <w:color w:val="auto"/>
        </w:rPr>
      </w:pPr>
    </w:p>
    <w:p>
      <w:pPr>
        <w:ind w:left="640" w:hanging="320"/>
        <w:spacing w:after="0"/>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second half of the year due to the nature of the reimbursement environment. Other factors that may impact sales across the year include the timing of winter, summer and other seasonal holidays, particularly in our markets outside the United States.</w:t>
      </w:r>
    </w:p>
    <w:p>
      <w:pPr>
        <w:spacing w:after="0" w:line="211" w:lineRule="exact"/>
        <w:rPr>
          <w:rFonts w:ascii="Times New Roman" w:cs="Times New Roman" w:eastAsia="Times New Roman" w:hAnsi="Times New Roman"/>
          <w:sz w:val="18"/>
          <w:szCs w:val="18"/>
          <w:color w:val="auto"/>
        </w:rPr>
      </w:pPr>
    </w:p>
    <w:p>
      <w:pPr>
        <w:ind w:left="640" w:right="40" w:hanging="320"/>
        <w:spacing w:after="0" w:line="24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July 2023 announcement of U.S. Food and Drug Administration (FDA) clearance of Tandem Mobi and its anticipated launch impacted the timing of purchasing decisions by our current and prospective customers in the second half of 2023 up through the United States commercial availability of Tandem Mobi in February 2024, resulting in delays that were unlike historical seasonal patterns or purchasing behaviors. Regulatory approval and/or upcoming launches of other new Tandem or competitor products could also adversely impact timing of purchasing decisions.</w:t>
      </w:r>
    </w:p>
    <w:p>
      <w:pPr>
        <w:spacing w:after="0" w:line="211" w:lineRule="exact"/>
        <w:rPr>
          <w:rFonts w:ascii="Times New Roman" w:cs="Times New Roman" w:eastAsia="Times New Roman" w:hAnsi="Times New Roman"/>
          <w:sz w:val="18"/>
          <w:szCs w:val="18"/>
          <w:color w:val="auto"/>
        </w:rPr>
      </w:pPr>
    </w:p>
    <w:p>
      <w:pPr>
        <w:jc w:val="both"/>
        <w:ind w:left="640" w:right="140" w:hanging="320"/>
        <w:spacing w:after="0" w:line="250"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periods following new product launches, particularly with new hardware platforms, our cost of sales may increase on a per unit basis until the new products achieve manufacturing scale and operating expenses may be elevated by increased sales and marketing spend to support the product launches.</w:t>
      </w:r>
    </w:p>
    <w:p>
      <w:pPr>
        <w:spacing w:after="0" w:line="203" w:lineRule="exact"/>
        <w:rPr>
          <w:rFonts w:ascii="Times New Roman" w:cs="Times New Roman" w:eastAsia="Times New Roman" w:hAnsi="Times New Roman"/>
          <w:sz w:val="18"/>
          <w:szCs w:val="18"/>
          <w:color w:val="auto"/>
        </w:rPr>
      </w:pPr>
    </w:p>
    <w:p>
      <w:pPr>
        <w:jc w:val="both"/>
        <w:ind w:left="640" w:right="80" w:hanging="320"/>
        <w:spacing w:after="0"/>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our business and launched new products in select geographies outside the United States. The ordering patterns of our distributors outside the United States has historically been highly variable from period to period. For example, we began operations of a European distribution center which led to a reduction of inventory levels at our distributors, significantly impacting sales patterns in the second half of 2022 and first half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w:t>
      </w:r>
    </w:p>
    <w:p>
      <w:pPr>
        <w:spacing w:after="0" w:line="185" w:lineRule="exact"/>
        <w:rPr>
          <w:sz w:val="20"/>
          <w:szCs w:val="20"/>
          <w:color w:val="auto"/>
        </w:rPr>
      </w:pPr>
    </w:p>
    <w:p>
      <w:pPr>
        <w:ind w:left="640" w:right="140" w:hanging="320"/>
        <w:spacing w:after="0" w:line="277"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insulin pump products are generally considered durable medical equipment (DME)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Because of the DME classification, our pumps and supplies are typically reimbursed through a medical benefit. As our portfolio expands, we are pursuing a multi-channel managed care strategy and are in discussions to begin serving Mobi customers through the pharmacy channel.</w:t>
      </w:r>
    </w:p>
    <w:p>
      <w:pPr>
        <w:spacing w:after="0" w:line="127" w:lineRule="exact"/>
        <w:rPr>
          <w:rFonts w:ascii="Times New Roman" w:cs="Times New Roman" w:eastAsia="Times New Roman" w:hAnsi="Times New Roman"/>
          <w:sz w:val="17"/>
          <w:szCs w:val="17"/>
          <w:color w:val="auto"/>
        </w:rPr>
      </w:pPr>
    </w:p>
    <w:p>
      <w:pPr>
        <w:ind w:left="640" w:right="100" w:hanging="320"/>
        <w:spacing w:after="0" w:line="26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have had broad insurance coverage for our current products from third-party payors. Our revenue and results of operations may be impacted by the failure to secure or retain adequate coverage, changes in reimbursement structures or availability of affordable options for our customers.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Macroeconomic Factors</w:t>
      </w:r>
    </w:p>
    <w:p>
      <w:pPr>
        <w:spacing w:after="0" w:line="185" w:lineRule="exact"/>
        <w:rPr>
          <w:sz w:val="20"/>
          <w:szCs w:val="20"/>
          <w:color w:val="auto"/>
        </w:rPr>
      </w:pPr>
    </w:p>
    <w:p>
      <w:pPr>
        <w:ind w:left="640" w:right="200" w:hanging="320"/>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uncertainty, such as recessionary concerns, changes in discretionary spending and increased interest rates have impacted our customers’ purchasing decisions and the buying patterns of our distributors.</w:t>
      </w:r>
    </w:p>
    <w:p>
      <w:pPr>
        <w:spacing w:after="0" w:line="121" w:lineRule="exact"/>
        <w:rPr>
          <w:rFonts w:ascii="Times New Roman" w:cs="Times New Roman" w:eastAsia="Times New Roman" w:hAnsi="Times New Roman"/>
          <w:sz w:val="18"/>
          <w:szCs w:val="18"/>
          <w:color w:val="auto"/>
        </w:rPr>
      </w:pPr>
    </w:p>
    <w:p>
      <w:pPr>
        <w:ind w:left="640" w:right="20" w:hanging="320"/>
        <w:spacing w:after="0" w:line="26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inflation, fluctuations in foreign currency valuations and the effects of other macroeconomic factors and concerns has disrupted and may continue to disrupt our relationships with suppliers, third-party manufacturers, healthcare providers, distributors and our existing or potential customers.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80" w:top="1282"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Results—Seasonality” above.</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From September 2022 through February 2024, we offered the Tandem Choice program to eligible t:slim X2 customers to provide a pathway to ownership of our newest hardware platform, Tandem Mobi, for a fee when available. Eligible customers who purchased a t:slim X2 insulin pump during the program period have until December 31, 2024 to exercise the option to switch to the Tandem Mobi for a stated fee. The accounting treatment for Tandem Choice is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If a customer elects to participate in Tandem Choice, we will recognize the existing sales deferral, incremental fees received and the associated costs of goods sold for the new insulin pump, Tandem Mobi, at the time of fulfillment. Qualifying customers were able to elect participation in Tandem Choice starting near the end of the second quarter of 2024. Any remaining deferrals will be recognized when the program ends on December 31, 2024, provided all obligation under the Tandem Choice program are satisfied. The balance of the Tandem Choice deferral was $30.1 million as of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w:t>
      </w:r>
    </w:p>
    <w:p>
      <w:pPr>
        <w:spacing w:after="0" w:line="20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Acquired IPR&amp;D reflects costs of external research and development projects acquired directly in a transaction other than a business combination, that do not have an alternative future use.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Other income and expense primarily consists of interest earned on our cash equivalents and short-term investments, foreign currency transaction gains and losses and interest expense which includes the amortization of debt issuance costs related to our convertible senior notes.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October 2023, we were notified that $3.1 million of additional interest beyond the 1.50% per annum had been accruing on the 2025 Notes since May 2021, pursuant to the terms of the indenture (see Note 7,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4"/>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CFF0FC"/>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171,650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130,222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458,122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403,964</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55,400</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199,433</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146,958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243,971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185,622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657,555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550,922</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119,318</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95,869</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325,436</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276,527</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124,653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89,753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332,119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274,395</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99,639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79,328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283,987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266,752</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51,107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41,970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146,677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127,063</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78,750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150,746</w:t>
            </w: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121,298</w:t>
            </w: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430,664</w:t>
            </w: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472,565</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(26,093)</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(31,545)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(98,545)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(198,170)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5,656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17,305</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(22,614)</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(30,729)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(91,886)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(188,944)</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2,232</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(23,251)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(32,961)</w:t>
            </w: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(96,780)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(192,609)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September 30, 2024, we shipped more than 31,000 pumps worldwide. Sales were $244.0 million, which included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$72.3 million of sales outside the United States. Sales were $185.6 million for the three months ended September 30, 2023, which included $55.4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sales outside the United States. For the three months ended September 30, 2024, we recognized incremental pump sales of $1.0 million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Tandem Choice fulfillments. For the three months ended September 30, 2023, our revenues were reduced by $8.2 million for pump sales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deferrals related to Tandem Choice. The Tandem Choice program launched in the United States in September of 2022 and eligibility to participate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(and our associated sales deferrals) ended in February 2024 in conjunction with the launch of Tandem Mobi.</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by product in the United States were as follows (in thousands):</w:t>
      </w:r>
    </w:p>
    <w:p>
      <w:pPr>
        <w:spacing w:after="0" w:line="138"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Pump</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66,365</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Supplies and other</w:t>
            </w:r>
          </w:p>
        </w:tc>
        <w:tc>
          <w:tcPr>
            <w:tcW w:w="1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72,093</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 recognized (deferred) for Tandem Choice program</w:t>
            </w:r>
          </w:p>
        </w:tc>
        <w:tc>
          <w:tcPr>
            <w:tcW w:w="1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in the United States</w:t>
            </w:r>
          </w:p>
        </w:tc>
        <w:tc>
          <w:tcPr>
            <w:tcW w:w="122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171,650</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130,222</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Pump sales in the United States were $86.7 million for the third quarter of 2024, compared to $66.4 million in the third quarter of 2023. Our pump shipments in the United States increased more than 20% to nearly 21,000 pumps in the third quarter of 2024 compared to the third quarter of 2023. We also benefited from an increase in average selling prices across all product lines due to price increases, customer mix and a continued shift to a higher percent of direct sales versus in our distribution channel. Sales to distributors accounted for 61% and 64% of the Company’s United States sales for the three months ended September 30, 2024 and 2023, respectively. Sales of pump-related supplies increased primarily due to a year-over-year increase in our installed base of customers in the United States, as well as an increase in average selling prices. Tandem Choice fulfillments in the third quarter of 2024 resulted in incremental sales of $1.0 million. Sales in the United States for the three months ended September 30, 2023 were reduced by $8.2 million in sales deferrals related to Tandem Choice.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by product outside the United States were as follows (in thousands):</w:t>
      </w:r>
    </w:p>
    <w:p>
      <w:pPr>
        <w:spacing w:after="0" w:line="138"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13335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Pump</w:t>
            </w: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w:t>
            </w:r>
          </w:p>
        </w:tc>
      </w:tr>
      <w:tr>
        <w:trPr>
          <w:trHeight w:val="229"/>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Supplies and other</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Outside the United States</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Pump sales outside the United States were $28.1 million for the third quarter of 2024, compared to $21.7 million in the third quarter of 2023. Our pump shipments outside the United States increased by over 30% to nearly 11,000 pumps for the third quarter of 2024 compared to the third quarter of 2023. We also benefited from an increase in average selling prices due primarily to geographical mix. Sales of pump-related supplies increased due to a year-over-year increase in our installed base of customers outside the United States.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 and Gross Profit</w:t>
      </w:r>
    </w:p>
    <w:p>
      <w:pPr>
        <w:spacing w:after="0" w:line="20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cost of sales for the three months ended September 30, 2024 was $119.3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resulting in gross profit of $124.7 million, compared to cost of sales of $95.9 million and gross profit of $89.8 million for the same period in 2023. Cost of sales for the three months ended September 30, 2024 included a charge of $0.7 million for Tandem Choice fulfillments. There was no comparable charge during the same period in 2023. The gross margin for the three-month periods ended September 30, 2024 and 2023 was 51% and 48%,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2" w:name="page33"/>
    <w:bookmarkEnd w:id="32"/>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effect of our Tandem Choice program on gross profit and gross margin was negligible for the three months ended September 30, 2024. Gross profit for the three months ended September 30, 2023 was reduced by $8.2 million, or approximately two percentage points of gross margin due to Tandem Choice. The impact on gross margin from Tandem Choice will continue to fluctuate through the end of the program based on the number of eligible customers who ultimately elect to participate.</w:t>
      </w:r>
    </w:p>
    <w:p>
      <w:pPr>
        <w:spacing w:after="0" w:line="15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Excluding the impact of Tandem Choice, gross margin was flat compared to the prior year period. Gross margin benefited from pricing improvement across all product lines and lower pump materials cost, offset by higher labor and overhead on a per-unit basis as we continued to scale the launch of Tandem Mobi. Gross margin was positively impacted by product mix. Pump sales, which have the highest gross margin, were 47% of total worldwide sales in the third quarter of 2024, compared to 43% in the third quarter of 2023. Excluding the impact of Tandem Choice, pump sales for the third quarter of 2024 were 47% of worldwide sales and 45% of worldwide sales for the third quarter of 2023.</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for the three months ended September 30, 2024 were $150.7 million, compared to $121.3 million for the three months ended September 30, 2023. The $29.4 million increase was primarily driven by increased development efforts for pipeline products as well as the ramp up of sales and marketing for Mobi.</w:t>
      </w:r>
    </w:p>
    <w:p>
      <w:pPr>
        <w:spacing w:after="0" w:line="14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were $99.6 million for the three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$79.3 million for the same period in 2023. The $20.3 million increase was largely driven by higher employee-related expenses of $12.7 million due to increased headcount and overall higher cost of salaries and benefits. We also experienced a $7.6 million increase in outside consulting and services largely to support business growth.</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to $51.1 million for the three months ended September 30, 2024, from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2023. The increase in R&amp;D expenses was primarily the result of an increase of $6.0 million in employee benefits and salaries due to an increase in personnel to support our product development efforts. We also experienced an increase in other non-employee discretionary spending, including clinical trial expenses, supplies and equipment costs.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other income (expense), net for the three months ended September 30, 2024 was $3.5 million income, compared to $0.8 million income in the same period in 2023. Other income, net for the three months ended September 30, 2024 primarily consisted of $5.6 million of interest income earned on our cash equivalents and short-term investments, and $1.9 million of interest expense which included the amortization of debt issuance costs related to our convertible senior notes due 2025 and 2029 (the 2025 Notes and the 2029 Notes, respectively). Other income, net for the three months ended September 30, 2023 primarily consisted of $5.9 million of interest income earned on our cash equivalents and short-term investments partially offset by $4.8 million of interest expense which included $3.1 million of additional accrued interest as discussed above, as well as the amortization of debt issuance costs related to the 2025 Notes.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recognized income tax expense of $0.6 million on a pre-tax loss of $22.6 million for the three months ended September 30, 2024, compared to income tax expense of $2.2 million on a pre-tax loss of $30.7 million for the three months ended September 30, 2023. Income tax expense for the three months ended September 30, 2024 and 2023 was primarily attributable to state and foreign income tax expense as a result of current taxable income in certain jurisdictions.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we shipped nearly 87,000 pumps worldwide. Sales were $657.6 million, which included $199.4 million of sales outside the United States. For the nine months ended September 30, 2024, there was negligible net impact to our revenues as a result of sales deferrals and fulfillments related to our Tandem Choice program. Pump sales that occurred after February 2024 were not eligible for Tandem Choice. Sales were $550.9 million for the same period in 2023, which included $147.0 million of sales outside the United States. For the nine months ended September 30, 2023, we deferred $12.6 million of pump sales as the result of Tandem Choice.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3" w:name="page34"/>
    <w:bookmarkEnd w:id="33"/>
    <w:p>
      <w:pPr>
        <w:ind w:left="740"/>
        <w:spacing w:after="0"/>
        <w:rPr>
          <w:sz w:val="20"/>
          <w:szCs w:val="20"/>
          <w:color w:val="auto"/>
        </w:rPr>
      </w:pPr>
      <w:r>
        <w:rPr>
          <w:rFonts w:ascii="Times New Roman" w:cs="Times New Roman" w:eastAsia="Times New Roman" w:hAnsi="Times New Roman"/>
          <w:sz w:val="18"/>
          <w:szCs w:val="18"/>
          <w:color w:val="auto"/>
        </w:rPr>
        <w:t>Sales by product in the United States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Pump</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207,180</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Supplies and other</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209,352</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 recognized (deferred) for Tandem Choice program</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(12,568)</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in the United States</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458,122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403,964</w:t>
            </w:r>
          </w:p>
        </w:tc>
      </w:tr>
      <w:tr>
        <w:trPr>
          <w:trHeight w:val="21"/>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Pump sales in the United States were $230.2 million for the nine months ended September 30, 2024 compared to $207.2 million for the same period in 2023. Our pump shipments in the United States increased by nearly 10% to more than 56,000 pumps for the nine months ended September 30, 2024, compared to the nine months ended September 30, 2023. The scaled launch of Tandem Mobi has impacted, and may continue to impact, the timing of customer purchases across the quarters. For example, Tandem Mobi became commercially available in the United States in February 2024 initially with Dexcom G6 sensor integration, followed by Dexcom G7 sensor integration in June 2024. We also benefited from an increase in average selling prices across all product lines due to price increases, customer mix and a continued shift to a higher percent of direct sales versus in our distribution channel. Sales of pump-related supplies increased primarily due to a year-over-year increase in our ending estimated installed base of customers in the United States, as well as increase in average selling prices. The net sales impact from revenue deferrals and fulfillments of our Tandem Choice program in the United States for the nine months ended September 30, 2024 was negligible. For the nine months ended September 30, 2023, revenues were reduced by $12.6 million as the result of sales deferrals related to Tandem Choice. The decrease in the net revenue deferral for Tandem Choice in 2024 as compared to 2023 was primarily due to the cessation of the sales deferral period in February 2024, which coincided with the launch of Tandem Mobi. Pump sales that occurred after February 2024 were not eligible for Tandem Choice, nor subject to a sales deferral.</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by product outside the United States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16"/>
                <w:szCs w:val="16"/>
                <w:color w:val="auto"/>
              </w:rPr>
            </w:pPr>
          </w:p>
        </w:tc>
      </w:tr>
      <w:tr>
        <w:trPr>
          <w:trHeight w:val="23"/>
        </w:trPr>
        <w:tc>
          <w:tcPr>
            <w:tcW w:w="7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Pump</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67,235</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 and other</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79,723</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Outside the United States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146,958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pump shipments outside the United States increased by over 20% to more than 30,000 pumps for the nine months ended September 30, 2024 compared to the nine months ended September 30, 2023. Pump sales outside the United States were $79.8 million for the nine months ended September 30, 2024, compared to $67.2 million for the same period in 2023. Throughout 2024, we have seen increased customer demand for our products. In the first half of 2023, pump and supply shipments were impacted by an operational transition to a centralized European distribution center which resulted in significant disruption in distributor ordering patterns. The transition was completed by the second half of 2023. The increase in pump sales was offset by a slight decrease in pump average selling prices due primarily to geographical mix. In addition to the distribution center transition, sales of pump-related supplies outside the United States increased due to growth in our installed base of customers. Sales to distributors accounted for the overwhelming majority of our total sales outside the United States for the nine-month periods ended September 30, 2024, and 2023.</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 and Gross Profit</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cost of sales for the nine months ended September 30, 2024 was $325.4 million resulting in gross profit of $332.1 million, compared to cost of sales of $276.5 million and gross profit of $274.4 million for the same period in 2023. The gross margin for the nine months ended September 30, 2024 was 51% compared to 50% in the same period in 2023.</w:t>
      </w:r>
    </w:p>
    <w:p>
      <w:pPr>
        <w:spacing w:after="0" w:line="14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effect of Tandem Choice was negligible for the nine months ended September 30, 2024 compared to a gross margin reduction of approximately 1 percentage point for the nine months ended September 30, 2023. The impact on gross margin from our Tandem Choice program will fluctuate through the expiration of the program based on the number and timing of eligible customers who ultimately elect to participate.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4" w:name="page35"/>
    <w:bookmarkEnd w:id="34"/>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Gross margin benefited from pricing improvement and lower materials cost, offset by higher labor and overhead costs on a per-unit basis as we continue to scale the launch of Tandem Mobi. Gross margin was negatively impacted by product mix. Pump sales, which have the highest gross margin, were 47% of total worldwide sales for the nine months ended September 30, 2024, compared to 48% of worldwide sales for the first nine months of 2023. Excluding the impact of Tandem Choice, pump sales for the nine months ended September 30, 2024 were 47% of total worldwide sales compared to 49% in the first nine months of 2023.</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for the nine months ended September 30, 2024 were $430.7 million, compared to $472.6 million for the nine months ended September 30, 2023. The $41.9 million decrease was primarily driven by $78.8 million of acquired in-process research and development expenses incurred in 2023 in connection with our acquisition of AMF Medical, for which there was no comparable expense in 2024. In 2023, we also incurred a non-recurring operating lease impairment charge in SG&amp;A of $14.1 million as a result of a facilities consolidation (see Note 6, “Leases”), and employee severance costs of $2.7 million. These non-recurring expenses from 2023 were partially offset by higher operating expenses in 2024 related to development efforts for pipeline products as well as the ramp up of sales and marketing for Tandem Mobi.</w:t>
      </w:r>
    </w:p>
    <w:p>
      <w:pPr>
        <w:spacing w:after="0" w:line="14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6% to $284.0 million for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$266.8 million for the same period in 2023. Expenses for the nine months ended September 30, 2023 included non-recurring expenses of $14.1 million related to lease impairment charges and $2.1 million in severance costs in 2023. Expenses for the nine months ended September 30, 2024 increased mainly due to higher employee-related, marketing and consulting expenses which related to new product launches.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15% to $146.7 million for the nine months ended September 30, 2024,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million for the same period in 2023. The increase in R&amp;D expenses was primarily the result of an increase in salaries and related benefits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an increase in personnel to support our product development efforts. We also experienced an increase in other non-employee discretionary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spending, including clinical trials costs and equipment expenses.</w:t>
      </w:r>
    </w:p>
    <w:p>
      <w:pPr>
        <w:spacing w:after="0" w:line="164"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Acquired In-Process Research and Development Expenses. </w:t>
      </w:r>
      <w:r>
        <w:rPr>
          <w:rFonts w:ascii="Times New Roman" w:cs="Times New Roman" w:eastAsia="Times New Roman" w:hAnsi="Times New Roman"/>
          <w:sz w:val="18"/>
          <w:szCs w:val="18"/>
          <w:color w:val="auto"/>
        </w:rPr>
        <w:t>Acquired IPR&amp;D expenses of $78.8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represented the value of assets acquired, and acquisition related expenses, in connection with our acquisition of AMF Medical (see Note 12, “Acquisitions”).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other income (expense), net for the nine months ended September 30, 2024 was $6.7 million income, compared to $9.2 million income in the same period in 2023. Other income, net for the nine months ended September 30, 2024 primarily consisted of $16.7 million of interest income earned on our cash equivalents and short-term investments, partially offset by $5.6 million of interest expense which included the amortization of debt issuance costs related to our 2025 Notes and 2029 Notes. Other income, net for the nine months ended September 30, 2023 primarily consisted of $15.2 million of interest income earned on our cash equivalents and short-term investments, and $2.0 million in foreign currency transaction gains, partially offset by $8.1 million of interest expense which included $3.1 million of additional interest as discussed above and the amortization of debt issuance costs related to our 2025 Notes.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recognized income tax expense of $4.9 million on a pre-tax loss of $91.9 million for the nine months ended September 30, 2024, compared to income tax expense of $3.7 million on a pre-tax loss of $188.9 million for the nine months ended September 30, 2023. Income tax expense for the nine months ended September 30, 2024 and 2023 was primarily attributable to federal, state and foreign income tax expense as a result of current taxable income in certain jurisdictions.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we had $473.3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5" w:name="page36"/>
    <w:bookmarkEnd w:id="35"/>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spacing w:after="0" w:line="14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September 30, 2024, and 2023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w:t>
            </w:r>
          </w:p>
        </w:tc>
      </w:tr>
      <w:tr>
        <w:trPr>
          <w:trHeight w:val="229"/>
        </w:trPr>
        <w:tc>
          <w:tcPr>
            <w:tcW w:w="8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(69,156)</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9"/>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(92,906)</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was $13.5 million for the nine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$24.6 million cash used in the same period in 2023. For the nine months ended September 30, 2024, net loss was $96.8 million, net non-cash adjustments were $98.8 million, and change in working capital balances was an increase of $11.5 million. For the nine months ended September 30, 2023, net loss was $192.6 million, net non-cash adjustments were $177.4 million and change in working capital balances was a decrease of $9.4 million. For the nine months ended September 30, 2023, net non-cash adjustments included $78.8 million of acquired in-process research and development expenses related to our acquisition of AMF Medical, and a $14.1 million operating lease impairment charge.</w:t>
      </w:r>
    </w:p>
    <w:p>
      <w:pPr>
        <w:spacing w:after="0" w:line="14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$28.5 million for the nine months ended September 30, 2024,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$251.4 million of purchases of short-term investments, and $16.2 million in purchases of property and equipment, offset by $239.0 million in proceeds from maturities and redemptions of short-term investments. Net cash used in investing activities was 69.2 million for the nine months ended September 30, 2023, which was primarily related to $391.0 million of purchases of short-term investments, $69.5 million for the acquisition of AMF Medical, including transaction costs (see Note 12, “Acquisitions”), and $21.6 million in purchases of property and equipment, of which $8.7 million was associated with improvements to the new headquarters lease facility, completed in 2023, offset by $415.5 million in proceeds from maturities and redemptions of short-term investments.</w:t>
      </w:r>
    </w:p>
    <w:p>
      <w:pPr>
        <w:spacing w:after="0" w:line="14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$6.1 million for the nine months ended September 30, 2024,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net proceeds of $306.9 million from the issuance of the 2029 Notes which was partially offset by $246.1 million used in the repurchase of 2025 Notes, $30.0 million used in the repurchase and retirement of common stock and $15.8 million used to purchase Capped Call Options related to the 2029 Notes. In addition, $9.0 million was used in payments for tax withholdings related to the issuance of common stock under our stock plans, net of proceeds received from common stock issuances for the period. Net cash provided by financing activities was $1.5 million for the nine months ended September 30, 2023, which primarily consisted of proceeds from the issuance of common stock under our stock plans, net of payments for related tax withholdings.</w:t>
      </w:r>
    </w:p>
    <w:p>
      <w:pPr>
        <w:spacing w:after="0" w:line="15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liquidity position and capital requirements are subject to fluctuation based on a number of factors. In particular, our cash inflows and outflows are principally impacted by the following:</w:t>
      </w:r>
    </w:p>
    <w:p>
      <w:pPr>
        <w:spacing w:after="0" w:line="162"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sales, the timing of those sales, the mix of products sold and the collection of receivables from period to period;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debt obligations, including periodic interest payments;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additional financings, and the net proceeds raised from such financings;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proceeds from the issuance of equity awards pursuant to employee stock plans;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6" w:name="page37"/>
    <w:bookmarkEnd w:id="36"/>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gross and operating margins; and</w:t>
      </w:r>
    </w:p>
    <w:p>
      <w:pPr>
        <w:spacing w:after="0" w:line="225"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including changes in accounts receivable, inventories, accounts payable, employee-related liabilities, and operating lease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Both our primary short-term and long-term capital needs are expected to include expenditures related to:</w:t>
      </w:r>
    </w:p>
    <w:p>
      <w:pPr>
        <w:spacing w:after="0" w:line="225"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our commercialization efforts related to our current and future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customer support resources for our growing installed customer base;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product development efforts, including clinical trial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contingent earnout payments that become payable upon the achievement of certain milestones;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or licensing of equipment, technology, intellectual property and other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facilities leases and related tenant improvements;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for the development, improvement and acquisition of manufacturing, testing and packaging equipment to support business growth and increase capacity;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development and commercialization agreements;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costs related to acquisitions of businesses, products and technologies.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quantitative and qualitative disclosures about market risk during the nine months ended September 30, 2024. See Part II, Item 7A of our Annual Report on Form 10-K for the fiscal year ended December 31, 2023 for a detailed discussion of our market risks.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$357.0 million aggregate principal amount outstanding under our 2025 Notes and our 2029 Notes, which convertible senior notes both bear interest at a fixed rate of 1.50% per year. Accordingly, we are not subject to interest rate fluctuation risk related to our convertible senior notes (see Note 7, “Debt”).</w:t>
      </w:r>
    </w:p>
    <w:p>
      <w:pPr>
        <w:spacing w:after="0" w:line="1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September 30, 2024.</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quarter ended September 30, 2024 that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above under the caption “Commitments and Contingencies - Legal and Regulatory Matters” in Part I, Notes to Unaudited Condensed Consolidated Financial Statements, Note 13 of this Quarterly Report, as of September 30, 2024, we do not believe there are any material pending legal proceedings to which we or any of our subsidiaries are a party or of which any of our property is subject. See also “Patent litigation in the medical device industry is common, and we may be subject to litigation that could cause us to incur substantial costs and divert the attention of management from our business” in Part II, Item 1A of this Quarterly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under the heading “Risk Factors” in Part II, Item 1A of this Quarterly Report, and should be carefully considered, together with other information in this Quarterly Report and the Annual Report, before making investment decisions regarding our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significant operating losses since inception and cannot assure you that we will achieve sustained profitability.</w:t>
      </w:r>
    </w:p>
    <w:p>
      <w:pPr>
        <w:spacing w:after="0" w:line="18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and grow our revenue depends in part on retaining a high percentage of our customer base.</w:t>
      </w:r>
    </w:p>
    <w:p>
      <w:pPr>
        <w:spacing w:after="0" w:line="197"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Competing products, therapeutic techniques or other technological developments and breakthroughs for the monitoring, treatment or prevention of diabetes may render our products obsolete or less desirable.</w:t>
      </w:r>
    </w:p>
    <w:p>
      <w:pPr>
        <w:spacing w:after="0" w:line="186"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spacing w:after="0" w:line="186" w:lineRule="exact"/>
        <w:rPr>
          <w:rFonts w:ascii="Arial" w:cs="Arial" w:eastAsia="Arial" w:hAnsi="Arial"/>
          <w:sz w:val="22"/>
          <w:szCs w:val="22"/>
          <w:color w:val="auto"/>
        </w:rPr>
      </w:pPr>
    </w:p>
    <w:p>
      <w:pPr>
        <w:ind w:left="660" w:right="30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8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concerns regarding the safety or efficacy of our products could limit sales and cause unforeseen negative effects to our business prospects and financial results.</w:t>
      </w:r>
    </w:p>
    <w:p>
      <w:pPr>
        <w:spacing w:after="0" w:line="186"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86" w:lineRule="exact"/>
        <w:rPr>
          <w:rFonts w:ascii="Arial" w:cs="Arial" w:eastAsia="Arial" w:hAnsi="Arial"/>
          <w:sz w:val="22"/>
          <w:szCs w:val="22"/>
          <w:color w:val="auto"/>
        </w:rPr>
      </w:pPr>
    </w:p>
    <w:p>
      <w:pPr>
        <w:ind w:left="660" w:right="100" w:hanging="328"/>
        <w:spacing w:after="0" w:line="246"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spacing w:after="0" w:line="180"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spacing w:after="0" w:line="186"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depend on the knowledge and skills of our senior management and other key employees, and if we are unable to retain and motivate them or recruit additional qualified personnel, our business may suffer.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16" w:lineRule="exact"/>
        <w:rPr>
          <w:sz w:val="20"/>
          <w:szCs w:val="20"/>
          <w:color w:val="auto"/>
        </w:rPr>
      </w:pPr>
    </w:p>
    <w:p>
      <w:pPr>
        <w:ind w:left="660" w:right="40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Commercializing our products outside of the United States may result in a variety of risks associated with international operations that could materially adversely affect our business.</w:t>
      </w:r>
    </w:p>
    <w:p>
      <w:pPr>
        <w:spacing w:after="0" w:line="186" w:lineRule="exact"/>
        <w:rPr>
          <w:rFonts w:ascii="Arial" w:cs="Arial" w:eastAsia="Arial" w:hAnsi="Arial"/>
          <w:sz w:val="22"/>
          <w:szCs w:val="22"/>
          <w:color w:val="auto"/>
        </w:rPr>
      </w:pPr>
    </w:p>
    <w:p>
      <w:pPr>
        <w:ind w:left="660" w:right="48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obtain any required regulatory authorization, clearance or certification in foreign jurisdictions will prevent us from marketing our products in international markets.</w:t>
      </w:r>
    </w:p>
    <w:p>
      <w:pPr>
        <w:spacing w:after="0" w:line="186" w:lineRule="exact"/>
        <w:rPr>
          <w:rFonts w:ascii="Arial" w:cs="Arial" w:eastAsia="Arial" w:hAnsi="Arial"/>
          <w:sz w:val="22"/>
          <w:szCs w:val="22"/>
          <w:color w:val="auto"/>
        </w:rPr>
      </w:pPr>
    </w:p>
    <w:p>
      <w:pPr>
        <w:ind w:left="660" w:right="180" w:hanging="328"/>
        <w:spacing w:after="0" w:line="24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Because our business is global, our sales and profits may fluctuate or decline in response to changes in foreign currency exchange rates or other international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 and External Factors</w:t>
      </w:r>
    </w:p>
    <w:p>
      <w:pPr>
        <w:spacing w:after="0" w:line="216" w:lineRule="exact"/>
        <w:rPr>
          <w:sz w:val="20"/>
          <w:szCs w:val="20"/>
          <w:color w:val="auto"/>
        </w:rPr>
      </w:pPr>
    </w:p>
    <w:p>
      <w:pPr>
        <w:ind w:left="660" w:right="48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86" w:lineRule="exact"/>
        <w:rPr>
          <w:rFonts w:ascii="Arial" w:cs="Arial" w:eastAsia="Arial" w:hAnsi="Arial"/>
          <w:sz w:val="22"/>
          <w:szCs w:val="22"/>
          <w:color w:val="auto"/>
        </w:rPr>
      </w:pPr>
    </w:p>
    <w:p>
      <w:pPr>
        <w:ind w:left="660" w:right="40" w:hanging="328"/>
        <w:spacing w:after="0" w:line="234"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Public health threats, epidemics, or pandemics could have a material adverse effect on our operations, the operations of our business partners, and the global economy as a whole.</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Climate change or other extreme weather conditions and related regulations may have a long-term impact on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Financings and Financial Results</w:t>
      </w:r>
    </w:p>
    <w:p>
      <w:pPr>
        <w:spacing w:after="0" w:line="216" w:lineRule="exact"/>
        <w:rPr>
          <w:sz w:val="20"/>
          <w:szCs w:val="20"/>
          <w:color w:val="auto"/>
        </w:rPr>
      </w:pPr>
    </w:p>
    <w:p>
      <w:pPr>
        <w:ind w:left="660" w:right="2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may need to raise additional funds in the future and if we are unable to raise additional funds when necessary or desirable, we may not be able to achieve our strategic objectives.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may fluctuate significantly from quarter to quarter.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Security</w:t>
      </w:r>
    </w:p>
    <w:p>
      <w:pPr>
        <w:spacing w:after="0" w:line="216" w:lineRule="exact"/>
        <w:rPr>
          <w:sz w:val="20"/>
          <w:szCs w:val="20"/>
          <w:color w:val="auto"/>
        </w:rPr>
      </w:pPr>
    </w:p>
    <w:p>
      <w:pPr>
        <w:ind w:left="660" w:right="60" w:hanging="328"/>
        <w:spacing w:after="0" w:line="243"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If our information technology systems or those third parties upon which we rely,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spacing w:after="0" w:line="181"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Intellectual Property</w:t>
      </w:r>
    </w:p>
    <w:p>
      <w:pPr>
        <w:spacing w:after="0" w:line="1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comprehensively protect our intellectual property and proprietary technology is uncertain.</w:t>
      </w:r>
    </w:p>
    <w:p>
      <w:pPr>
        <w:spacing w:after="0" w:line="184" w:lineRule="exact"/>
        <w:rPr>
          <w:rFonts w:ascii="Arial" w:cs="Arial" w:eastAsia="Arial" w:hAnsi="Arial"/>
          <w:sz w:val="22"/>
          <w:szCs w:val="22"/>
          <w:color w:val="auto"/>
        </w:rPr>
      </w:pPr>
    </w:p>
    <w:p>
      <w:pPr>
        <w:ind w:left="660" w:right="20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Patent litigation in the medical device industry is common, and we may be subject to litigation that could cause us to incur substantial costs and divert the attention of management from our business.</w:t>
      </w:r>
    </w:p>
    <w:p>
      <w:pPr>
        <w:spacing w:after="0" w:line="186" w:lineRule="exact"/>
        <w:rPr>
          <w:rFonts w:ascii="Arial" w:cs="Arial" w:eastAsia="Arial" w:hAnsi="Arial"/>
          <w:sz w:val="22"/>
          <w:szCs w:val="22"/>
          <w:color w:val="auto"/>
        </w:rPr>
      </w:pPr>
    </w:p>
    <w:p>
      <w:pPr>
        <w:ind w:left="660" w:right="72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subject to damages resulting from claims that we, or our employees, have wrongfully used or disclosed trade secrets or other proprietary information of our competitors.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16" w:lineRule="exact"/>
        <w:rPr>
          <w:sz w:val="20"/>
          <w:szCs w:val="20"/>
          <w:color w:val="auto"/>
        </w:rPr>
      </w:pPr>
    </w:p>
    <w:p>
      <w:pPr>
        <w:ind w:left="660" w:hanging="328"/>
        <w:spacing w:after="0" w:line="24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products and operations are subject to extensive governmental regulation, and failure to comply with applicable requirements could cause our business to suffer.</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40" w:name="page41"/>
    <w:bookmarkEnd w:id="40"/>
    <w:p>
      <w:pPr>
        <w:ind w:left="660" w:right="34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New products or modifications to our existing products may require new 510(k) clearances, PMAs or certifications, or may require us to cease marketing or recall the modified products until clearances, certifications or approvals are obtained.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 recall or suspension of our products, or the discovery of serious safety issues with our products, could have a significant negative impact on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price of our common stock may continue to fluctuate significantly.</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184"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16" w:lineRule="exact"/>
        <w:rPr>
          <w:sz w:val="20"/>
          <w:szCs w:val="20"/>
          <w:color w:val="auto"/>
        </w:rPr>
      </w:pPr>
    </w:p>
    <w:p>
      <w:pPr>
        <w:ind w:left="660" w:right="280" w:hanging="328"/>
        <w:spacing w:after="0" w:line="239"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Servicing the Notes will require a significant amount of cash, and we may not have sufficient cash flow from our business to repay the Notes.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We may take actions which could limit our ability to make payments on the Notes.</w:t>
      </w:r>
    </w:p>
    <w:p>
      <w:pPr>
        <w:spacing w:after="0" w:line="23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“Cautionary Note Regarding Forward-Looking Statements” at the beginning of this Quarterly Report and Part I, Item 2, Management’s Discussion and Analysis of Financial Condition and Results of Operations of this Quarterly Report.</w:t>
      </w:r>
    </w:p>
    <w:p>
      <w:pPr>
        <w:spacing w:after="0" w:line="207" w:lineRule="exact"/>
        <w:rPr>
          <w:sz w:val="20"/>
          <w:szCs w:val="20"/>
          <w:color w:val="auto"/>
        </w:rPr>
      </w:pPr>
    </w:p>
    <w:p>
      <w:pPr>
        <w:ind w:right="2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The risk factors set forth below marked with an asterisk (*) next to the title did not appear as separate risk factors in, or contain changes to the similarly titled risk factor included in, Part I, Item 1A of our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cannot assure you that we will achieve sustained profitability.*</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in January 2006, we have incurred a significant net loss. As of September 30, 2024, we had an accumulated deficit of $1.0 billion.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2023 and 2022, we had net losses from operations in those years, and we may continue to incur net losses from operations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more than 25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sustain profitability.</w:t>
      </w:r>
    </w:p>
    <w:p>
      <w:pPr>
        <w:spacing w:after="0" w:line="13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generate nearly all of our revenue from the sale of our insulin pumps and the related insulin cartridges and infusion sets, including our recently launched Tandem Mobi insulin pump. Sales of these products may be negatively impacted by many factors, including:</w:t>
      </w:r>
    </w:p>
    <w:p>
      <w:pPr>
        <w:spacing w:after="0" w:line="162" w:lineRule="exact"/>
        <w:rPr>
          <w:sz w:val="20"/>
          <w:szCs w:val="20"/>
          <w:color w:val="auto"/>
        </w:rPr>
      </w:pPr>
    </w:p>
    <w:p>
      <w:pPr>
        <w:ind w:left="1300" w:right="80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insulin pumps and related products manufactured and sold by our key competitors, including Insulet, Medtronic, Ypsomed and Beta Bionics;</w:t>
      </w:r>
    </w:p>
    <w:p>
      <w:pPr>
        <w:spacing w:after="0" w:line="161"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breakthroughs for the monitoring, treatment or prevention of diabetes may render our insulin pumps obsolete or less desirable;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products, or similar products or technologies of our competitors;</w:t>
      </w:r>
    </w:p>
    <w:p>
      <w:pPr>
        <w:spacing w:after="0" w:line="225"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Tandem Device Updater to accurately and timely provide customers with remote access to new product features and functionality as anticipated, or our failure to obtain regulatory clearance, certification, or approval for any such updates;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or policies relating to insulin pumps or similar products or technologies by third-party payors;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and attrition rates of consumers who cease using our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contracts with third-party payors on a timely basis and on acceptable terms;</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arising from the expansion of our manufacturing capabilities and commercial operations, or destruction, loss, or temporary shutdown of our manufacturing facilities;</w:t>
      </w:r>
    </w:p>
    <w:p>
      <w:pPr>
        <w:spacing w:after="0" w:line="161"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any of our products, or any component thereof, infringes on patent rights or other intellectual property rights of third parties.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42" w:name="page43"/>
    <w:bookmarkEnd w:id="42"/>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Because we currently rely on sales of our insulin pumps,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9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impact our financial results.</w:t>
      </w:r>
    </w:p>
    <w:p>
      <w:pPr>
        <w:spacing w:after="0" w:line="1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grow our revenue depends in part on retaining a high percentage of our customer base.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including our Tandem Choice Program, aimed at our customers, their caregivers and healthcare providers, which include discounts,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spacing w:after="0" w:line="1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3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1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43" w:name="page44"/>
    <w:bookmarkEnd w:id="43"/>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primary competitors are major medical device companies, primarily Insulet, Medtronic, Ypsomed and Beta Bionics. There are also a number of other companies developing and marketing their own insulin delivery systems and/or related software applications, including insulin pumps and Bluetooth-enabled insulin pens to support MDI therapy. Our primary competitors may enjoy several competitive advantages over us, including:</w:t>
      </w:r>
    </w:p>
    <w:p>
      <w:pPr>
        <w:spacing w:after="0" w:line="176"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sales and marketing, product development, customer service and clinical resources;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respond to competitive pressures, regulatory uncertainty, or challenges within the financial markets;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providers, third-party payors and regulatory agencies;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reputation and name recognition among healthcare providers and other key opinion leaders in the medical industry generally and the diabetes industry in particular;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distribution networks;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cross-sell products or provide incentives to healthcare providers to use their products;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conducting R&amp;D, manufacturing, clinical trials, and obtaining regulatory approval or clearance.</w:t>
      </w:r>
    </w:p>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We have also entered into agreements with Abbott to develop and commercialize integrated diabetes solutions using Abbott’s glucose sensors.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spacing w:after="0" w:line="14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Competing products, therapeutic techniques or other technological developments and breakthroughs for the monitoring, treatment or prevention of diabetes may render our products obsolete or less desirable.*</w:t>
      </w:r>
    </w:p>
    <w:p>
      <w:pPr>
        <w:spacing w:after="0" w:line="132"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4" w:name="page45"/>
    <w:bookmarkEnd w:id="44"/>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4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current business and growth strategy is highly dependent on our insulin pumps and related products achieving and maintaining market acceptance. For us to sell our products to people with insulin-dependent diabetes, we must demonstrate to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competing products. If we are not successful in educating existing and potential customers of the benefits of our products, or if we are not able to achieve the support of caregivers and healthcare providers for our products, our sales may decline or we may achieve sales below our expectations.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 acceptance of our products could be negatively impacted by many factors, including:</w:t>
      </w:r>
    </w:p>
    <w:p>
      <w:pPr>
        <w:spacing w:after="0" w:line="225" w:lineRule="exact"/>
        <w:rPr>
          <w:sz w:val="20"/>
          <w:szCs w:val="20"/>
          <w:color w:val="auto"/>
        </w:rPr>
      </w:pPr>
    </w:p>
    <w:p>
      <w:pPr>
        <w:ind w:left="1300" w:right="44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54"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safety, effectiveness, ease-of-use or other perceived benefits of our products over competing products or other currently available insulin treatment methodologies;</w:t>
      </w:r>
    </w:p>
    <w:p>
      <w:pPr>
        <w:ind w:left="1300" w:right="160" w:hanging="320"/>
        <w:spacing w:after="0" w:line="243"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or uncertainties associated with the use of our products, or components thereof (including due to any product recalls), or of similar products or technologies of our competitors;</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insulin pump products or similar products or technologies;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studies relating to our existing products or products under development or similar competitive products.</w:t>
      </w:r>
    </w:p>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3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5" w:name="page46"/>
    <w:bookmarkEnd w:id="4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3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pursuing a multi-channel managed care strategy and are in discussions to offer Mobi through the pharmacy channel. However, the commercial opportunity in the pharmacy channel will be limited unless a substantial portion of the sales price for Mobi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Mobi under the Medicare Part D prescription drug program, which requires negotiating with third-party payors to provide Mobi through the pharmacy channel in the United States. If our efforts to enter into additional contracts with intermediaries and third-party payors are not successful, our ability to offer Mobi through the pharmacy channel will be limited.</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currently have contracts establishing reimbursement for our insulin pump products with a number of national and regional third-party payors in the United States. While we may enter into additional contracts both in the United States and the more than 25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4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3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3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6" w:name="page47"/>
    <w:bookmarkEnd w:id="46"/>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spacing w:after="0" w:line="14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began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in the event of general labor shortages in the United States.</w:t>
      </w:r>
    </w:p>
    <w:p>
      <w:pPr>
        <w:spacing w:after="0" w:line="14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spacing w:after="0" w:line="1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two independent distributors each accounted for more than 10% of our worldwide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7" w:name="page48"/>
    <w:bookmarkEnd w:id="4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spacing w:after="0" w:line="13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w:t>
      </w:r>
    </w:p>
    <w:p>
      <w:pPr>
        <w:spacing w:after="0" w:line="14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spacing w:after="0" w:line="13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spacing w:after="0" w:line="1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48" w:name="page49"/>
    <w:bookmarkEnd w:id="48"/>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 competitive and rapidly evolving market. Important industry changes, such as FDA approval, authorization by comparable foreign authorities or CE Certification by Notified Bodies and the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include our ability to:</w:t>
      </w:r>
    </w:p>
    <w:p>
      <w:pPr>
        <w:spacing w:after="0" w:line="225"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execute our business strategy;</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of our products and increase awareness of our brand among people with insulin-dependent diabetes, their caregivers and healthcare providers;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 broad range of regulatory requirements within a highly regulated industry;</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manufacturing capabilities, increase production of products efficiently while maintaining quality standards, and adapt our manufacturing facilities to the production of new products;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 and developments;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products and develop proposed products;</w:t>
      </w:r>
    </w:p>
    <w:p>
      <w:pPr>
        <w:spacing w:after="0" w:line="225"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cybersecurity and other technological risks associated with our expanding portfolio of digital health products, and align these products to a dynamic threat landscape;</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 certification, or approval to enhance our existing products and commercialize proposed products;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clinical trials and other studies with respect to our existing products and proposed products;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qualified personnel in various areas of our business.</w:t>
      </w:r>
    </w:p>
    <w:p>
      <w:pPr>
        <w:spacing w:after="0" w:line="18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or other risks, we may not be able to execute key components of our business strategy, and our business, financial condition and operating results may suffer.</w:t>
      </w:r>
    </w:p>
    <w:p>
      <w:pPr>
        <w:spacing w:after="0" w:line="13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1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49" w:name="page50"/>
    <w:bookmarkEnd w:id="49"/>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products, which could negatively impact our sales and operating margins.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76"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reliability defects in product components that we source from third-party suppliers;</w:t>
      </w:r>
    </w:p>
    <w:p>
      <w:pPr>
        <w:spacing w:after="0" w:line="22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suppliers for components in a timely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maintaining acceptable quality systems while experiencing rapid growth;</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increase production of products to meet demand;</w:t>
      </w:r>
    </w:p>
    <w:p>
      <w:pPr>
        <w:spacing w:after="0" w:line="225"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multiple products simultaneously while utilizing common manufacturing equipment;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government-mandated or voluntary closures of, or operational limitations impacting, our manufacturing facilities;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or destruction of our manufacturing equipment or manufacturing facilities.</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0" w:name="page51"/>
    <w:bookmarkEnd w:id="50"/>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5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If we and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spacing w:after="0" w:line="131"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spacing w:after="0" w:line="9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1" w:name="page52"/>
    <w:bookmarkEnd w:id="51"/>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at one of our facilities could adversely affect our business and operating results.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experience the anticipated operating efficiencies of our manufacturing and warehousing operations.</w:t>
      </w:r>
    </w:p>
    <w:p>
      <w:pPr>
        <w:spacing w:after="0" w:line="20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continue to scale our business operations and add manufacturing requirements for products currently under development. We have outsourced the majority of our t:slim cartridge manufacturing demand to an experienced third-party contract manufacturer.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4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3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2" w:name="page53"/>
    <w:bookmarkEnd w:id="52"/>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1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6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3" w:name="page54"/>
    <w:bookmarkEnd w:id="5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3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5"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4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76"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maintaining or operating the acquired products or technologies;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liabilities, impairment charges or write-offs associated with acquisitions or investments;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to comply with regulatory requirements or other compliance matters.</w:t>
      </w:r>
    </w:p>
    <w:p>
      <w:pPr>
        <w:spacing w:after="0" w:line="18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Commercializing our products outside of the United States may result in a variety of risks associated with international operations that could materially adversely affect our business.*</w:t>
      </w:r>
    </w:p>
    <w:p>
      <w:pPr>
        <w:spacing w:after="0" w:line="11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sales in the approximately 25 countries in which our products are offered outside the United States, which accounted for approximately 26% of our total sales during 2023, are accompanied by certain financial and other risks related to international business markets, including:</w:t>
      </w:r>
    </w:p>
    <w:p>
      <w:pPr>
        <w:spacing w:after="0" w:line="189"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differing regulatory requirements for product clearances, certifications, or approvals;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medical device import and export rules;</w:t>
      </w:r>
    </w:p>
    <w:p>
      <w:pPr>
        <w:spacing w:after="0" w:line="252"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privacy and security laws relating to personal information of end-users and employees, including GDPR and other E.U. Member State national legislation;</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intellectual property rights in certain countries outside the United States than exists in the United States;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and workforce instability, and political instability in foreign economies and markets;</w:t>
      </w:r>
    </w:p>
    <w:p>
      <w:pPr>
        <w:spacing w:after="0" w:line="252"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such as the Foreign Corrupt Practices Act and comparable foreign legislation;</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foreign legal systems, including increased costs associated with enforcing contractual obligations in foreign jurisdictions;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252"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relationships, including any relationships that we establish with foreign partners, distributors, or sales or marketing agents;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and payroll taxes;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w:t>
      </w:r>
    </w:p>
    <w:p>
      <w:pPr>
        <w:spacing w:after="0" w:line="252"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5" w:name="page56"/>
    <w:bookmarkEnd w:id="5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any required regulatory authorization, clearance or certification in foreign jurisdictions will prevent us from marketing our products in international markets.</w:t>
      </w:r>
    </w:p>
    <w:p>
      <w:pPr>
        <w:spacing w:after="0" w:line="13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sell our products in approximately 25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and similar worldwide anti-bribery laws could materially adversely affect our business and result in civil and/or criminal sanctions.</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pacing w:after="0" w:line="15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global our sales and profits may fluctuate or decline in response to changes in foreign currency exchange rates or other international risks.</w:t>
      </w:r>
    </w:p>
    <w:p>
      <w:pPr>
        <w:spacing w:after="0" w:line="11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Activities outside the United States accounted for approximately 26% of our total sales during 2023.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 and External Factors</w:t>
      </w:r>
    </w:p>
    <w:p>
      <w:pPr>
        <w:spacing w:after="0" w:line="19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1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6" w:name="page57"/>
    <w:bookmarkEnd w:id="56"/>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October 2023, Hamas initiated an attack against Israel, provoking a state of war and subsequently a larger regional conflict. While we cannot predict the broader consequences, these conflicts and retaliatory and counter-retaliatory actions could materially adversely affect global trade, currency exchange rates, inflation, regional economies, and the global economy, which in turn may disrupt sales through our local distributor in Israel.</w:t>
      </w:r>
    </w:p>
    <w:p>
      <w:pPr>
        <w:spacing w:after="0" w:line="1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threats, epidemics, or pandemics could have a material adverse effect on our operations, the operations of our business partners, and the global economy as a whole.</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other extreme weather conditions and related regulations may have a long-term impact on our business.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148"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Financings and Financial Results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we had $473.3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60" w:lineRule="exact"/>
        <w:rPr>
          <w:sz w:val="20"/>
          <w:szCs w:val="20"/>
          <w:color w:val="auto"/>
        </w:rPr>
      </w:pPr>
    </w:p>
    <w:p>
      <w:pPr>
        <w:jc w:val="center"/>
        <w:ind w:left="5540" w:right="1580" w:hanging="4560"/>
        <w:spacing w:after="0" w:line="923" w:lineRule="auto"/>
        <w:tabs>
          <w:tab w:leader="none" w:pos="13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as well as the gross profits and gross margin we realize from such sales;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7" w:name="page58"/>
    <w:bookmarkEnd w:id="57"/>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expanding an appropriate sales, marketing, clinical and customer service infrastructure;</w:t>
      </w:r>
    </w:p>
    <w:p>
      <w:pPr>
        <w:spacing w:after="0" w:line="198"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developing and commercializing our proposed products or technologies, including capital expenditures we make to maintain or enhance our manufacturing operations and distribution capabilities;</w:t>
      </w:r>
    </w:p>
    <w:p>
      <w:pPr>
        <w:spacing w:after="0" w:line="121"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regulatory clearance, certification, or approval for our products and our manufacturing facilities, and of ongoing compliance with other legal and regulatory requirements;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incur in connection with current or future litigation or governmental investigations;</w:t>
      </w:r>
    </w:p>
    <w:p>
      <w:pPr>
        <w:spacing w:after="0" w:line="198"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may incur or other financial commitments we may make in connection with current and potential new acquisitions, investments, business or commercial collaborations, development agreements or licensing arrangements; and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6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53" w:lineRule="exact"/>
        <w:rPr>
          <w:sz w:val="20"/>
          <w:szCs w:val="20"/>
          <w:color w:val="auto"/>
        </w:rPr>
      </w:pPr>
    </w:p>
    <w:p>
      <w:pPr>
        <w:ind w:left="1300" w:right="14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mix of our products sold in each quarter;</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people with insulin-dependent diabetes, their caregivers, healthcare providers and third-party payors;</w:t>
      </w:r>
    </w:p>
    <w:p>
      <w:pPr>
        <w:spacing w:after="0" w:line="198"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competing products, including the use of discounts, rebates or other financial incentives by us or our competitors;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third-party coverage and reimbursement policies;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infrastructure;</w:t>
      </w:r>
    </w:p>
    <w:p>
      <w:pPr>
        <w:spacing w:after="0" w:line="198"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and the timing of the payment for, insurance deductibles required to be paid by our customers and potential customers under their existing insurance plans;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simultaneously manufacture multiple products that meet quality, reliability and regulatory requirements;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8" w:name="page59"/>
    <w:bookmarkEnd w:id="58"/>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other factors affecting the timing of purchases of our products;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and future products;</w:t>
      </w:r>
    </w:p>
    <w:p>
      <w:pPr>
        <w:spacing w:after="0" w:line="184"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 that meet our requirements for product quality and reliability;</w:t>
      </w:r>
    </w:p>
    <w:p>
      <w:pPr>
        <w:spacing w:after="0" w:line="134" w:lineRule="exact"/>
        <w:rPr>
          <w:rFonts w:ascii="Times New Roman" w:cs="Times New Roman" w:eastAsia="Times New Roman" w:hAnsi="Times New Roman"/>
          <w:sz w:val="18"/>
          <w:szCs w:val="18"/>
          <w:color w:val="auto"/>
        </w:rPr>
      </w:pPr>
    </w:p>
    <w:p>
      <w:pPr>
        <w:ind w:left="1300" w:right="860" w:hanging="320"/>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clearances, certifications, or approvals, or adverse regulatory or legal actions, affecting our products or those of our competitors; and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 recognition associated with our product sales pursuant to applicable accounting standards.</w:t>
      </w:r>
    </w:p>
    <w:p>
      <w:pPr>
        <w:spacing w:after="0" w:line="18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Security</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4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spacing w:after="0" w:line="14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There are a number of laws in the United States governing the privacy and security of personal data, including data breach notification laws, data privacy laws, consumer protection laws (e.g., Section 5 of the Federal Trade Commission Act), and other similar laws at the federal and state levels (e.g., wiretapping laws). For example, the United States Health Insurance Portability and Accountability Act of 1996 (“HIPAA”) as amended by the Health Information Technology for Economic and Clinical Health Act (“HITECH”), imposes specific requirements relating to the privacy of protected health information.</w:t>
      </w:r>
    </w:p>
    <w:p>
      <w:pPr>
        <w:spacing w:after="0" w:line="143"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As another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U.S. dollars per violation imposed through private litigation or by state authorities.</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numerous United States states—including California, Virginia, Colorado, Connecticut, and Utah—have enacted comprehensive data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as per the California Consumer Privacy Act of 2018 (CCPA), as amended by the California Privacy Rights Act of 2020 (CPRA) (collectively, “CCPA”), noncompliance may carry fines of up to 7,500 U.S. dollars per intentional violation; the CCPA also allows private litigants affected by certain data breaches to recover significant statutory damages. While these laws generally exempt some data processed in the context of clinical trials and data governed by HIPAA, these developments further complicate compliance efforts, and increase legal risk and compliance costs for us, the third parties with whom we work, and our customers. Similar laws are being considered in several other states, as well as at the federal and local levels, and we expect more states to pass similar laws in the future.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9" w:name="page60"/>
    <w:bookmarkEnd w:id="59"/>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PIPEDA and various related provincial laws, as well as Canada’s Anti-Spam Legislation (“CASL”), may apply to our operations.</w:t>
      </w:r>
    </w:p>
    <w:p>
      <w:pPr>
        <w:spacing w:after="0" w:line="143"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other United States state comprehensive data privacy laws, the GDPR, and the UK Age Appropriate Design Code, impose various obligations on companies that process children data, including requiring certain consents to process such data and extending certain rights to children and their parents with respect to that personal data. Some of these obligations have wide ranging applications, including for services that do not intentionally target child users (defined in some circumstances as a user under the age of 18 years old). These laws may be, or in some cases have already been, subject to legal challenges and changing interpretations, which may further complicate our efforts to comply with these laws.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employees and personnel may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development and use of AI/Machine Learning (“ML”) technologies present various data privacy risks that may impact our business. AI/ML are subject to data privacy laws, as well as increasing regulation and scrutiny. Several jurisdictions around the globe, including the European Union and certain U.S. states, have proposed or enacted, or are considering, laws governing the development and use of AI/ML. For example, European regulators have proposed a stringent AI regulation, and we expect other jurisdictions will adopt similar laws. Additionally, certain data privacy laws extend rights to consumers (such as the right to delete certain personal data) and regulate automated decision-making, which may prove to be incompatible with our desired uses of AI/ML. These obligations may make it harder for us to conduct our business using AI/ML, require us to change our business practices and/or retrain our AI/ML, prevent or limit our use of AI/ML, or lead to regulatory fines or penalties. For example, the FTC has required other companies to turn over (or disgorge) valuable insights or trainings generated through the use of AI/ML where they allege the company has violated data privacy and consumer protection laws. If we cannot use AI/ML or that use is restricted, our business may be less efficient, or we may be at a competitive disadvantage.</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certain new laws governing the privacy of consumer health data. For example, Washington’s My Health My Data Act (“MHMD”) broadly defines consumer health data, places restrictions on processing such data (including imposing stringent requirements for consent), provides consumers certain rights with respect to their health data, and creates a private right of action to allow individuals to sue for violations of the law. Other states are considering and may adopt similar laws.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0" w:name="page61"/>
    <w:bookmarkEnd w:id="60"/>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organizations based in the United States who self-certify and participate in the Framework),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obligations. Additionally,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EU personal data to the United States.</w:t>
      </w:r>
    </w:p>
    <w:p>
      <w:pPr>
        <w:spacing w:after="0" w:line="16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by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data privacy laws, we are contractually subject to industry standards adopted by industry groups. For example,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U.S. dollars per month by credit card companies, litigation, damage to our reputation, and revenue losses.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1" w:name="page62"/>
    <w:bookmarkEnd w:id="61"/>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 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spacing w:after="0" w:line="162"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3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spacing w:after="0" w:line="14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efficient operation of our business depends on our information technology and communication systems, as well as those of our suppliers, contract manufacturers, distributors and other third parties with whom we work. We and the third parties with whom we work collect, receive, store, process, use, generate, disclose, make accessible, protect, secure, dispose of, share, and transmit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These systems and the underlying data are vulnerable to damage or interruption from a number of causes, including earthquakes, fires, floods and other natural disasters, terrorist attacks, attacks by computer viruses or hackers, malware, ransomware or other destructive software, cyber-attacks, social-engineering attacks (including phishing and deep fakes, which may be increasingly more difficult to identify as fake), malicious code, denial-of-service attacks, credential harvesting, supply chain attacks, power losses, and computer system, data network failures, and other similar threats.</w:t>
      </w:r>
    </w:p>
    <w:p>
      <w:pPr>
        <w:spacing w:after="0" w:line="16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significantly disrupt our systems and operations, supply chain, and ability to produce, sell and distribute our goods and services.</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systems, those of the third parties with whom we work, and the underlying data are vulnerable to damage or interruption from a number of causes, including earthquakes, fires, floods and other natural disasters, terrorist attacks. We and the third parties with whom we work are also subject to a variety of evolving threats, including but not limited to,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and can lead to significant interruptions in our operations, impact our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2" w:name="page63"/>
    <w:bookmarkEnd w:id="62"/>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our insulin pumps and other products rely on software and hardware, some of which is developed by third-party service providers or other third parties with whom we work, that could contain vulnerabilities. We take steps designed to detect, mitigate and remediate vulnerabilities in our information systems (such as our hardware and/or software, including that of third parties with whom we work),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use of our Tandem Device Updater is designed to give us the ability to quickly recover from certain risks and/or vulnerabilities, the use of mobile applications enables third parties to store their information on mobile devices that we do not control. Vulnerabilities could be exploited and result in a security incident. In addition to vulnerabilities, the reliance of our insulin pumps and other products on software and hardware exposes us and our customers to risks that may impact the performance of our products. For example, in March 2024, we issued a recall of our Apple iOS t:connect mobile app in the United States relating to an issue that could cause rapid depletion of a user’s t:slim X2 insulin pump battery (the “March 2024 Recall”). On August 20, 2024, we released an updated version of the impacted app to correct the issue described in the March 2024 recall.</w:t>
      </w:r>
    </w:p>
    <w:p>
      <w:pPr>
        <w:spacing w:after="0" w:line="1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and risks could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platform/products/services.</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spacing w:after="0" w:line="151"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Moreover, remote work has become more common and has increased risks to our information technology systems and data, as more of our employees use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Whether or not our security measures and those of the third parties with whom we work are ultimately successful, our expenditures on those measures could have an adverse impact on our financial condition and results of operations, and divert management’s attention from pursuing our strategic objectives. Certain data privacy and security obligations may require us to implement and maintain reasonable or specific security measures or industry standards to protect our information technology systems and sensitive information.</w:t>
      </w:r>
    </w:p>
    <w:p>
      <w:pPr>
        <w:spacing w:after="0" w:line="14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 or the failure to comply with applicable requirements could lead to adverse consequences. It may be difficult and/or costly to detect, investigate, mitigate, contain, and remediate a security incident. Whether a security incident is reportable to our investors may not be straightforward, may take considerable time to determine, and may be subject to change as the investigation of the incident progresses, including changes that may significantly alter any initial disclosure that we provide. 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3" w:name="page64"/>
    <w:bookmarkEnd w:id="63"/>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(such as the phishing attack we experienced in 2020)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w:t>
      </w:r>
    </w:p>
    <w:p>
      <w:pPr>
        <w:spacing w:after="0" w:line="165"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failure of our information technology systems or those of the third parties with whom we work, or of our pumps’ software or other mobile or cloud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or ability to provide our products and services. For example, we market our Tandem Device Updater as having the unique capability to deploy software updates to our pumps, which allows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or errors, vulnerabilities or viruses embedded within the software being transmitted, or the failure of our customers to properly use the system to complete the update, could result in decreased sales, increased warranty costs, and harm to our reputation, any of which could have a material adverse effect on our business, financial condition and operating results.</w:t>
      </w:r>
    </w:p>
    <w:p>
      <w:pPr>
        <w:spacing w:after="0" w:line="16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sensitive information could be leaked, disclosed, or revealed as a result of or in connection with our employees’, personnel’s, or vendors’ (or other third parties upon whom we rely)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Additionally, where AI/ML technologies ingest personal data and makes connections using such data, those technologies may reveal other personal or sensitive information generated by the model.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AI-based outputs are deemed to be biased, we could face adverse consequences, including exposure to reputational and competitive harm, customer loss, and legal liability.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experienced a breach of our information technology systems in January 2020.*</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17, 2020, we learned that an unauthorized person gained access to a few employees’ email accounts through a cyber-attack commonly known as “phishing.” As a result, we defended a lawsuit entitled </w:t>
      </w:r>
      <w:r>
        <w:rPr>
          <w:rFonts w:ascii="Times New Roman" w:cs="Times New Roman" w:eastAsia="Times New Roman" w:hAnsi="Times New Roman"/>
          <w:sz w:val="18"/>
          <w:szCs w:val="18"/>
          <w:i w:val="1"/>
          <w:iCs w:val="1"/>
          <w:color w:val="auto"/>
        </w:rPr>
        <w:t>Joseph Deluna et al. v. Tandem Diabetes Care, Inc.</w:t>
      </w:r>
      <w:r>
        <w:rPr>
          <w:rFonts w:ascii="Times New Roman" w:cs="Times New Roman" w:eastAsia="Times New Roman" w:hAnsi="Times New Roman"/>
          <w:sz w:val="18"/>
          <w:szCs w:val="18"/>
          <w:color w:val="auto"/>
        </w:rPr>
        <w:t>, which was filed in the Superior Court of the State of California in the County of San Bernardino. On November 28, 2022, the court granted our motion for summary adjudication on the plaintiffs’ allegations that we violated the Confidentiality of Medical Information Act. On February 8, 2023, the plaintiffs asked the court to dismiss their remaining two claims with prejudice, which terminated the case at the Superior Court. On March 7, 2023, the plaintiffs filed a notice of appeal of the Court’s order granting the Company’s motion for summary adjudication. On August 15, 2023, the parties reached a settlement and on August 21, 2023, the Court issued an order dismissing the appeal. The risks posed by any future similar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Risks Related to Legal and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comprehensively protect our intellectual property and proprietary technology is uncertain.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5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43" w:lineRule="exact"/>
        <w:rPr>
          <w:sz w:val="20"/>
          <w:szCs w:val="20"/>
          <w:color w:val="auto"/>
        </w:rPr>
      </w:pPr>
    </w:p>
    <w:p>
      <w:pPr>
        <w:ind w:right="60" w:firstLine="729"/>
        <w:spacing w:after="0" w:line="256" w:lineRule="auto"/>
        <w:rPr>
          <w:sz w:val="20"/>
          <w:szCs w:val="20"/>
          <w:color w:val="auto"/>
        </w:rPr>
      </w:pPr>
      <w:r>
        <w:rPr>
          <w:rFonts w:ascii="Times New Roman" w:cs="Times New Roman" w:eastAsia="Times New Roman" w:hAnsi="Times New Roman"/>
          <w:sz w:val="18"/>
          <w:szCs w:val="18"/>
          <w:color w:val="auto"/>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spacing w:after="0" w:line="14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litigation in the medical device industry is common, and we may be subject to litigation that could cause us to incur substantial costs and divert the attention of management from our business.*</w:t>
      </w:r>
    </w:p>
    <w:p>
      <w:pPr>
        <w:spacing w:after="0" w:line="13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w:t>
      </w:r>
    </w:p>
    <w:p>
      <w:pPr>
        <w:ind w:right="220"/>
        <w:spacing w:after="0" w:line="256" w:lineRule="auto"/>
        <w:rPr>
          <w:sz w:val="20"/>
          <w:szCs w:val="20"/>
          <w:color w:val="auto"/>
        </w:rPr>
      </w:pPr>
      <w:r>
        <w:rPr>
          <w:rFonts w:ascii="Times New Roman" w:cs="Times New Roman" w:eastAsia="Times New Roman" w:hAnsi="Times New Roman"/>
          <w:sz w:val="18"/>
          <w:szCs w:val="18"/>
          <w:color w:val="auto"/>
        </w:rPr>
        <w:t>products do not infringe existing patents or patents that may be granted in the future. 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spacing w:after="0" w:line="14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78" w:right="399" w:bottom="1440" w:gutter="0" w:footer="0" w:header="0"/>
        </w:sectPr>
      </w:pPr>
    </w:p>
    <w:bookmarkStart w:id="65" w:name="page66"/>
    <w:bookmarkEnd w:id="65"/>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current products, developing new products or using technology that allegedly infringes on third-party intellectual property;</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 to obtain a license to intellectual property from the third parties, which may not be available on reasonable terms or at all;</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 to re-design our products around third-party intellectual property;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royalty payments and legal expenses; or</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are allegedly infringing.</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in November 2023, at the Unified Patent Court (“UPC”), Paris Central Division (the “UPC Paris”), we filed a revocation action and an action for a declaration of non-infringement of EP Patent No. 2 196 231 B1 (the “’231 patent”) against Roche Diabetes Care GmbH. While Roche contends that Tandem’s t:slim X2 pump infringes the ‘231 patent, we contend that our t:slim X2 pump does not infringe the ‘231 patent. Furthermore, we contend that the claims of the ‘231 patent are invalid over the prior art and should be revoked. In February 2024, Roche filed an infringement action against Tandem and its distributor in Germany at the UPC, Hamburg Local Division (“UPC Hamburg”) contending that Tandem’s t:slim X2 pump, and the offering, marketing, using, importing, possessing, and supplying of such devices, infringes the ‘231 patent. Roche seeks, among other things, damages and other monetary relief, costs and expenses of the legal proceedings, and an order to cease and desist the allegedly infringing activities. At the UPC Hamburg, Tandem has asserted that the t:slim X2 pump does not infringe the claims of the ‘231 patent and Tandem’s distributor has asserted that the t:slim X2 pump does not infringe the claims of the ‘231 patent and that the claims of the ‘231 patent are invalid and should be revoked. On November 6, 2024, the UPC Paris will hold a hearing on Tandem’s action to revoke the claims of the ‘231 patent.</w:t>
      </w:r>
    </w:p>
    <w:p>
      <w:pPr>
        <w:spacing w:after="0" w:line="1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December 2023, F. Hoffman-La Roche AG and Roche Diabetes Care GmbH (collectively, “Roche”), filed an infringement action at the UPC, Dusseldorf Division (“UPC Dusseldorf”) against Tandem Diabetes Care, Inc. and Tandem Diabetes Care Europe B.V. and Tandem’s distributors in Germany, France, the Netherlands and Denmark. Roche alleges our t:slim X2 insulin pump, and the offering, marketing, using, importing, possessing, and supplying of such devices, infringe EP Patent No. 1 970 677 B1 (the “‘677 patent”). While Roche contends that Tandem’s t:slim X2 pump infringes the ‘677 patent, we contend that our t:slim X2 pump does not infringe the ‘677 patent. Furthermore, we contend that the claims of the ‘677 patent are invalid over the prior art and should be revoked. Roche seeks, among other things, damages and other monetary relief, costs and expenses of the legal proceedings, and an order to cease and desist the allegedly infringing activities. On April 9, 2025, the UPC Dusseldorf will hold a hearing on Roche’s action asserting infringement of the ‘677 patent, Tandem and its distributors’ counterclaims that the t:slim X2 pump does not infringe the ‘677 patent, and Tandem and its distributors’ actions to revoke the claims of the ‘677 patent.</w:t>
      </w:r>
    </w:p>
    <w:p>
      <w:pPr>
        <w:spacing w:after="0" w:line="16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the UPC is a new court system that came into effect in 2023, enforcement and litigation under the UPC is new and we cannot accurately predict the outcome of such proceedings.</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any of our products are found to infringe Roche’s patents and Roche’s patents are also found to be valid, we could be required to redesign our technology or obtain a license from Roche to continue importing, marketing and selling our dosing devices in certain countries in Europe. However, we may not be successful in the redesign of our technology or able to obtain any such license on commercially reasonable terms or at all. We also could be forced, including by court order, to cease importing, marketing and selling certain of our products in certain countries in Europe that are found to be infringing until the patents expire. Even if we were ultimately to prevail, litigation with Roche could require us to divert substantial financial and management resources that we would otherwise be able to devote to our business. We cannot reasonably estimate the final outcome, including any potential liability or any range of potential future charges associated with litigation.</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6" w:name="page67"/>
    <w:bookmarkEnd w:id="66"/>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trade secrets or other proprietary information of our competitors.</w:t>
      </w:r>
    </w:p>
    <w:p>
      <w:pPr>
        <w:spacing w:after="0" w:line="13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189"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3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spacing w:after="0" w:line="143"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testing and trials;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packaging and storage;</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manufacturing, sales and distribution;</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certification, or approval;</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post-market surveillance;</w:t>
      </w:r>
    </w:p>
    <w:p>
      <w:pPr>
        <w:sectPr>
          <w:pgSz w:w="11900" w:h="16838" w:orient="portrait"/>
          <w:cols w:equalWidth="0" w:num="1">
            <w:col w:w="11220"/>
          </w:cols>
          <w:pgMar w:left="320" w:top="127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type w:val="continuous"/>
        </w:sectPr>
      </w:pPr>
    </w:p>
    <w:bookmarkStart w:id="67" w:name="page68"/>
    <w:bookmarkEnd w:id="67"/>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spacing w:after="0" w:line="147" w:lineRule="exact"/>
        <w:rPr>
          <w:sz w:val="20"/>
          <w:szCs w:val="20"/>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safe and effective for their intended users;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or clinical trials may be insufficient to support clearance, certification, or approval; or</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manufacturing process or facilities we use to meet applicable requirements.</w:t>
      </w:r>
    </w:p>
    <w:p>
      <w:pPr>
        <w:spacing w:after="0" w:line="18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spacing w:after="0" w:line="1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4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products or modifications to our existing products may require new 510(k) clearances, PMAs or certifications, or may require us to cease marketing or recall the modified products until clearances, certifications or approvals are obtained.</w:t>
      </w:r>
    </w:p>
    <w:p>
      <w:pPr>
        <w:spacing w:after="0" w:line="11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8" w:name="page69"/>
    <w:bookmarkEnd w:id="68"/>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those medical devices sold in the EU and for which we have obtained a CE Certificate of Conformity by a Notified Body, we must notify our Notified Body if significant changes are made to the products or if there are substantial changes to our quality assurance systems affecting those products.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or suspension of our products, or the discovery of serious safety issues with our products, could have a significant negative impact on us.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adverse event involving any products that we distribute could result in future voluntary corrective actions, such as recalls or customer notifications, or regulatory authority action, which could include inspection, mandatory recall or other enforcement action. For example, the Australian Therapeutic Goods Administration (TGA) temporarily suspended our pump product sales in Australia starting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discontinued sales of earlier generation products in Australia and we started offering our Control-IQ technology in Australia. There can be no assurance that the TGA will not reimpose the suspension of our pump product sales or impose other regulatory restrictions in the future. In addition, other regulatory authorities may take similar actions against us, and any regulatory challenges we encounter could have a negative impact on our product sales and harm our reputation. Any corrective actions we take in response to this action or future matters with the TGA or other regulatory authorities,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9" w:name="page70"/>
    <w:bookmarkEnd w:id="69"/>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spacing w:after="0" w:line="13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spacing w:after="0" w:line="13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Healthcare fraud and abuse regulations are complex and evolving. Minor irregularities can potentially give rise to claims. The laws that may affect our ability to operate include:</w:t>
      </w:r>
    </w:p>
    <w:p>
      <w:pPr>
        <w:spacing w:after="0" w:line="121" w:lineRule="exact"/>
        <w:rPr>
          <w:sz w:val="20"/>
          <w:szCs w:val="20"/>
          <w:color w:val="auto"/>
        </w:rPr>
      </w:pPr>
    </w:p>
    <w:p>
      <w:pPr>
        <w:ind w:left="1300" w:right="40" w:hanging="320"/>
        <w:spacing w:after="0" w:line="258"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56"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false claims laws which prohibit, among other things, persons from knowingly presenting, or causing to be presented, false or fraudulent claims for payment to Medicare, state Medicaid programs, or other third-party payors;</w:t>
      </w:r>
    </w:p>
    <w:p>
      <w:pPr>
        <w:spacing w:after="0" w:line="121"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spacing w:after="0" w:line="139"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52"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enacted as part of HIPAA that prohibit, among other things, executing a scheme to defraud any healthcare benefit program or making false statements relating to healthcare matters;</w:t>
      </w:r>
    </w:p>
    <w:p>
      <w:pPr>
        <w:spacing w:after="0" w:line="121"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spacing w:after="0" w:line="139"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the use, disclosure and security of personal information, including protected health information, such as HIPAA and the HITECH; and</w:t>
      </w:r>
    </w:p>
    <w:p>
      <w:pPr>
        <w:spacing w:after="0" w:line="134"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United States state law equivalents of each of the above federal laws which may apply to items or services reimbursed by any third-party payor, including commercial insurers.</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70" w:name="page71"/>
    <w:bookmarkEnd w:id="70"/>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spacing w:after="0" w:line="16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we engage in the promotion of the off-label use of our products.*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or other foreign regulatory authorities determine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authority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6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advertising and promotion of medical devices in the EU is subject to Regulation 2017/745 on medical devices, Regulation 2017/746 on in vitro diagnostic medical devices, the related national law of individual EU Member States, or MDR, Directive 2006/114/EC concerning misleading and comparative advertising, and Directive 2005/29/EC on unfair commercial practices, as well as other national legislation of individual EU Member States governing the advertising and promotion of medical devices.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71" w:name="page72"/>
    <w:bookmarkEnd w:id="71"/>
    <w:p>
      <w:pPr>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w:t>
      </w:r>
    </w:p>
    <w:p>
      <w:pPr>
        <w:spacing w:after="0" w:line="13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EU,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w:t>
      </w:r>
    </w:p>
    <w:p>
      <w:pPr>
        <w:spacing w:after="0" w:line="1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will apply as of January 2025. It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2" w:name="page73"/>
    <w:bookmarkEnd w:id="72"/>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addition, the exit of the UK from the EU, commonly referred to as “Brexit” could lead to further regulatory divergence between the EU and the UK. On May 26, 2021, the MDR became applicable in the EU. However, the MDR is not applicable in the UK. In the UK, medical devices are governed by the Medical Devices Regulations 2002 (SI 2002 No 618, as amended) (UK MDR 2002) which, for the time being, retains a regulatory framework similar to the framework set out by the MDD. The government plans to introduce new legislation governing medical devices with an aim for core aspects of the future regime for medical devices to apply from July 1, 2025. New legislation has been proposed and is also anticipated for adoption during 2024 to bring into force strengthened post-market surveillance requirements ahead of the wider future regulatory regime.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spacing w:after="0" w:line="16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reimbursement approval and rebate policies, which may adversely affect our ability to generate revenue.</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For example, in August 2023, a rebate agreement with the French Comité économique des produits de santé (CEPS) for sales of our t:slim X2 with Control-IQ pump in France went into effect. The rebate agreement with CEPS provides for specified reimbursements and requires specified rebates be paid, and we are currently in the process of determining the impact and allocation of such reimbursements and rebates under the agreement. While we currently cannot estimate the amount of such reimbursements and rebates that will be allocable to us, we may ultimately determine that we need to pay all or a portion of the rebates. Any such rebates that we are required to pay could adversely affect our ability to generate revenue from sales of t:slim X2 with Control-IQ in France.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continue to fluctuate significantly.</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trading price of our common stock has been and will continue to be volatile in response to a variety of factors, including the following:</w:t>
      </w:r>
    </w:p>
    <w:p>
      <w:pPr>
        <w:spacing w:after="0" w:line="198" w:lineRule="exact"/>
        <w:rPr>
          <w:sz w:val="20"/>
          <w:szCs w:val="20"/>
          <w:color w:val="auto"/>
        </w:rPr>
      </w:pPr>
    </w:p>
    <w:p>
      <w:pPr>
        <w:ind w:left="1780" w:hanging="476"/>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 from period to period;</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products and products under development, and the recognition of our brand;</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proposed products, technologies or treatment techniques by us or our competitors;</w:t>
      </w:r>
    </w:p>
    <w:p>
      <w:pPr>
        <w:spacing w:after="0" w:line="198" w:lineRule="exact"/>
        <w:rPr>
          <w:rFonts w:ascii="Times New Roman" w:cs="Times New Roman" w:eastAsia="Times New Roman" w:hAnsi="Times New Roman"/>
          <w:sz w:val="18"/>
          <w:szCs w:val="18"/>
          <w:color w:val="auto"/>
        </w:rPr>
      </w:pPr>
    </w:p>
    <w:p>
      <w:pPr>
        <w:ind w:left="1800" w:right="520" w:hanging="496"/>
        <w:spacing w:after="0" w:line="282" w:lineRule="auto"/>
        <w:tabs>
          <w:tab w:leader="none" w:pos="1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acquisitions, divestitures or partnerships by us, our competitors or our collaboration partners;</w:t>
      </w:r>
    </w:p>
    <w:p>
      <w:pPr>
        <w:spacing w:after="0" w:line="121" w:lineRule="exact"/>
        <w:rPr>
          <w:rFonts w:ascii="Times New Roman" w:cs="Times New Roman" w:eastAsia="Times New Roman" w:hAnsi="Times New Roman"/>
          <w:sz w:val="18"/>
          <w:szCs w:val="18"/>
          <w:color w:val="auto"/>
        </w:rPr>
      </w:pPr>
    </w:p>
    <w:p>
      <w:pPr>
        <w:ind w:left="1800" w:right="160" w:hanging="496"/>
        <w:spacing w:after="0" w:line="282" w:lineRule="auto"/>
        <w:tabs>
          <w:tab w:leader="none" w:pos="1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certification, or approval of our products or the products of our competitors or collaboration partners, or the failure to obtain such clearances, certifications, or approvals on the projected timeline or at all;</w:t>
      </w:r>
    </w:p>
    <w:p>
      <w:pPr>
        <w:spacing w:after="0" w:line="121" w:lineRule="exact"/>
        <w:rPr>
          <w:rFonts w:ascii="Times New Roman" w:cs="Times New Roman" w:eastAsia="Times New Roman" w:hAnsi="Times New Roman"/>
          <w:sz w:val="18"/>
          <w:szCs w:val="18"/>
          <w:color w:val="auto"/>
        </w:rPr>
      </w:pPr>
    </w:p>
    <w:p>
      <w:pPr>
        <w:ind w:left="1800" w:right="640" w:hanging="496"/>
        <w:spacing w:after="0" w:line="282" w:lineRule="auto"/>
        <w:tabs>
          <w:tab w:leader="none" w:pos="1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a product recall, suspension or other safety notice associated with our products or the products of our competitors, or other similar regulatory enforcement actions;</w:t>
      </w:r>
    </w:p>
    <w:p>
      <w:pPr>
        <w:spacing w:after="0" w:line="134" w:lineRule="exact"/>
        <w:rPr>
          <w:rFonts w:ascii="Times New Roman" w:cs="Times New Roman" w:eastAsia="Times New Roman" w:hAnsi="Times New Roman"/>
          <w:sz w:val="18"/>
          <w:szCs w:val="18"/>
          <w:color w:val="auto"/>
        </w:rPr>
      </w:pPr>
    </w:p>
    <w:p>
      <w:pPr>
        <w:ind w:left="1800" w:right="200" w:hanging="496"/>
        <w:spacing w:after="0" w:line="282" w:lineRule="auto"/>
        <w:tabs>
          <w:tab w:leader="none" w:pos="1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results relative to the expectations of securities analysts and other market participants and the issuance of securities analysts’ reports or recommendations;</w:t>
      </w:r>
    </w:p>
    <w:p>
      <w:pPr>
        <w:spacing w:after="0" w:line="12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regulatory proceedings, or government investigations;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3" w:name="page74"/>
    <w:bookmarkEnd w:id="73"/>
    <w:p>
      <w:pPr>
        <w:ind w:left="1780" w:hanging="476"/>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or economic conditions.</w:t>
      </w:r>
    </w:p>
    <w:p>
      <w:pPr>
        <w:spacing w:after="0" w:line="198" w:lineRule="exact"/>
        <w:rPr>
          <w:sz w:val="20"/>
          <w:szCs w:val="20"/>
          <w:color w:val="auto"/>
        </w:rPr>
      </w:pPr>
    </w:p>
    <w:p>
      <w:pPr>
        <w:ind w:right="120" w:firstLine="810"/>
        <w:spacing w:after="0" w:line="254" w:lineRule="auto"/>
        <w:rPr>
          <w:sz w:val="20"/>
          <w:szCs w:val="20"/>
          <w:color w:val="auto"/>
        </w:rPr>
      </w:pPr>
      <w:r>
        <w:rPr>
          <w:rFonts w:ascii="Times New Roman" w:cs="Times New Roman" w:eastAsia="Times New Roman" w:hAnsi="Times New Roman"/>
          <w:sz w:val="18"/>
          <w:szCs w:val="18"/>
          <w:color w:val="auto"/>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spacing w:after="0" w:line="1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delay or prevent a change of control, which could reduce our stock price and prevent our stockholders from removing our current board of directors.*</w:t>
      </w:r>
    </w:p>
    <w:p>
      <w:pPr>
        <w:spacing w:after="0" w:line="118" w:lineRule="exact"/>
        <w:rPr>
          <w:sz w:val="20"/>
          <w:szCs w:val="20"/>
          <w:color w:val="auto"/>
        </w:rPr>
      </w:pPr>
    </w:p>
    <w:p>
      <w:pPr>
        <w:ind w:right="460" w:firstLine="81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35" w:lineRule="exact"/>
        <w:rPr>
          <w:sz w:val="20"/>
          <w:szCs w:val="20"/>
          <w:color w:val="auto"/>
        </w:rPr>
      </w:pPr>
    </w:p>
    <w:p>
      <w:pPr>
        <w:ind w:left="1800" w:right="18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21" w:lineRule="exact"/>
        <w:rPr>
          <w:rFonts w:ascii="Times New Roman" w:cs="Times New Roman" w:eastAsia="Times New Roman" w:hAnsi="Times New Roman"/>
          <w:sz w:val="18"/>
          <w:szCs w:val="18"/>
          <w:color w:val="auto"/>
        </w:rPr>
      </w:pPr>
    </w:p>
    <w:p>
      <w:pPr>
        <w:ind w:left="1800" w:right="84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then by the affirmative vote of the holders of a majority of the outstanding shares;</w:t>
      </w:r>
    </w:p>
    <w:p>
      <w:pPr>
        <w:spacing w:after="0" w:line="12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stockholder meetings;</w:t>
      </w:r>
    </w:p>
    <w:p>
      <w:pPr>
        <w:spacing w:after="0" w:line="198"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acting by written consent without holding a meeting of stockholders;</w:t>
      </w:r>
    </w:p>
    <w:p>
      <w:pPr>
        <w:spacing w:after="0" w:line="184" w:lineRule="exact"/>
        <w:rPr>
          <w:rFonts w:ascii="Times New Roman" w:cs="Times New Roman" w:eastAsia="Times New Roman" w:hAnsi="Times New Roman"/>
          <w:sz w:val="18"/>
          <w:szCs w:val="18"/>
          <w:color w:val="auto"/>
        </w:rPr>
      </w:pPr>
    </w:p>
    <w:p>
      <w:pPr>
        <w:ind w:left="1800" w:right="58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vote of at least two-thirds of the outstanding shares to approve amendments to the certificate of incorporation or bylaws; and</w:t>
      </w:r>
    </w:p>
    <w:p>
      <w:pPr>
        <w:spacing w:after="0" w:line="12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w:t>
      </w:r>
    </w:p>
    <w:p>
      <w:pPr>
        <w:spacing w:after="0" w:line="198"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8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Under current law, federal net operating losses (NOLs) incurred in tax years beginning after December 31, 2017, may be carried forward indefinitely, but the deductibility of such federal NOL carryforwards in a taxable year is limited to 80% of taxable income in such year. As of December 31, 2023, we had accumulated federal and state NOL carryforwards of approximately $168.0 million, and $262.4 million, respectively. Of the total federal NOL carryforwards, approximately $78.4 million were generated after January 1, 2018, and therefore do not expire under current law but can only be utilized to offset 80% of future taxable income. The remaining federal NOL carryforwards of $89.6 million will begin to expire in 2033, and state tax loss carryforwards continue to expire.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4" w:name="page75"/>
    <w:bookmarkEnd w:id="74"/>
    <w:p>
      <w:pPr>
        <w:ind w:right="100" w:firstLine="810"/>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 carryforwards, including temporary suspensions or other limitations on the use of NOL carryforwards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spacing w:after="0" w:line="16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118" w:lineRule="exact"/>
        <w:rPr>
          <w:sz w:val="20"/>
          <w:szCs w:val="20"/>
          <w:color w:val="auto"/>
        </w:rPr>
      </w:pPr>
    </w:p>
    <w:p>
      <w:pPr>
        <w:ind w:right="180" w:firstLine="810"/>
        <w:spacing w:after="0" w:line="258"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43"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67"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spacing w:after="0" w:line="147"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 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subsidiaries, such as the Netherlands and Switzerland, have enacted with effect from January 1, 2024, or are in the process of enacting, core elements of the Pillar Two rules. Based on our current understanding of the minimum revenue thresholds contained in the Pillar Two proposal, we expect that we are likely to fall within the scope of its rules in the short-to-medium term. The OECD has issued administrative guidance providing transition and safe harbor rules in relation to the implementation of the Pillar Two proposal. We are monitoring developments and evaluating the potential impacts of these new rules, including on our effective tax rates, and considering our eligibility to qualify for these safe harbor rules.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5" w:name="page76"/>
    <w:bookmarkEnd w:id="75"/>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32" w:lineRule="exact"/>
        <w:rPr>
          <w:sz w:val="20"/>
          <w:szCs w:val="20"/>
          <w:color w:val="auto"/>
        </w:rPr>
      </w:pPr>
    </w:p>
    <w:p>
      <w:pPr>
        <w:jc w:val="both"/>
        <w:ind w:right="700" w:firstLine="810"/>
        <w:spacing w:after="0" w:line="272"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98"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95"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From time to time, we have financed our liquidity needs under various credit arrangements and we may borrow additional funds in the future. For example, in May 2020, we completed the offering of $287.5 million aggregate principal amount of 1.50% Convertible Senior Notes due 2025 (the 2025 Notes), which are governed by the terms of an indenture (the 2025 indenture). In March 2024, we completed the offering of $316.25 million aggregate principal amount of 1.50% Convertible Senior Notes due 2029 (the 2029 Notes and, together with the 2025 Notes, the Notes), which are governed by the terms of an indenture (the 2029 indenture and, together with the 2025 Notes, the indentures). In March 2024, we used the proceeds from the offering of the 2029 Notes to repurchase approximately $246.7 million aggregate principal amount of the 2025 Notes in privately negotiated transactions with holders of the 2025 Notes and as of September 30, 2024, we had approximately $40.8 million aggregate principal amount of the 2025 Notes outstanding. The Notes are our senior unsecured obligations, and interest on the Notes is payable in cash semi-annually at a rate of 1.50% per year.</w:t>
      </w:r>
    </w:p>
    <w:p>
      <w:pPr>
        <w:spacing w:after="0" w:line="151"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Our failure to comply with certain obligations under the Notes, or inability to make required debt service payments, could result in an event of default under the relevant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spacing w:after="0" w:line="153" w:lineRule="exact"/>
        <w:rPr>
          <w:sz w:val="20"/>
          <w:szCs w:val="20"/>
          <w:color w:val="auto"/>
        </w:rPr>
      </w:pPr>
    </w:p>
    <w:p>
      <w:pPr>
        <w:ind w:right="260" w:firstLine="810"/>
        <w:spacing w:after="0" w:line="282" w:lineRule="auto"/>
        <w:rPr>
          <w:sz w:val="20"/>
          <w:szCs w:val="20"/>
          <w:color w:val="auto"/>
        </w:rPr>
      </w:pPr>
      <w:r>
        <w:rPr>
          <w:rFonts w:ascii="Times New Roman" w:cs="Times New Roman" w:eastAsia="Times New Roman" w:hAnsi="Times New Roman"/>
          <w:sz w:val="18"/>
          <w:szCs w:val="18"/>
          <w:color w:val="auto"/>
        </w:rPr>
        <w:t>In addition, our current or future level of indebtedness could affect our business, operations and strategy in several important ways, including the following:</w:t>
      </w:r>
    </w:p>
    <w:p>
      <w:pPr>
        <w:spacing w:after="0" w:line="121" w:lineRule="exact"/>
        <w:rPr>
          <w:sz w:val="20"/>
          <w:szCs w:val="20"/>
          <w:color w:val="auto"/>
        </w:rPr>
      </w:pPr>
    </w:p>
    <w:p>
      <w:pPr>
        <w:ind w:left="1800" w:right="280" w:hanging="496"/>
        <w:spacing w:after="0" w:line="282"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portion of our current liquidity or cash flow from operations to interest payments, limiting the availability of cash for other purposes;</w:t>
      </w:r>
    </w:p>
    <w:p>
      <w:pPr>
        <w:spacing w:after="0" w:line="121" w:lineRule="exact"/>
        <w:rPr>
          <w:rFonts w:ascii="Times New Roman" w:cs="Times New Roman" w:eastAsia="Times New Roman" w:hAnsi="Times New Roman"/>
          <w:sz w:val="18"/>
          <w:szCs w:val="18"/>
          <w:color w:val="auto"/>
        </w:rPr>
      </w:pPr>
    </w:p>
    <w:p>
      <w:pPr>
        <w:ind w:left="1800" w:right="480" w:hanging="496"/>
        <w:spacing w:after="0" w:line="282"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future agreements governing indebtedness may limit our ability to borrow additional funds, refinance indebtedness or make certain investments;</w:t>
      </w:r>
    </w:p>
    <w:p>
      <w:pPr>
        <w:spacing w:after="0" w:line="13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 may affect our flexibility in planning for, and reacting to, changes in the economy and our industry;</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indebtedness may increase our vulnerability to adverse economic and competitive conditions; and</w:t>
      </w:r>
    </w:p>
    <w:p>
      <w:pPr>
        <w:spacing w:after="0" w:line="184" w:lineRule="exact"/>
        <w:rPr>
          <w:rFonts w:ascii="Times New Roman" w:cs="Times New Roman" w:eastAsia="Times New Roman" w:hAnsi="Times New Roman"/>
          <w:sz w:val="18"/>
          <w:szCs w:val="18"/>
          <w:color w:val="auto"/>
        </w:rPr>
      </w:pPr>
    </w:p>
    <w:p>
      <w:pPr>
        <w:ind w:left="1800" w:right="360" w:hanging="496"/>
        <w:spacing w:after="0" w:line="282"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indebtedness may limit our ability to obtain additional financing in the future or negatively impact the terms on which additional financing may be obtained.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the Notes will require a significant amount of cash, and we may not have sufficient cash flow from our business to repay the Notes.</w:t>
      </w:r>
    </w:p>
    <w:p>
      <w:pPr>
        <w:spacing w:after="0" w:line="202"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spacing w:after="0" w:line="151" w:lineRule="exact"/>
        <w:rPr>
          <w:sz w:val="20"/>
          <w:szCs w:val="20"/>
          <w:color w:val="auto"/>
        </w:rPr>
      </w:pPr>
    </w:p>
    <w:p>
      <w:pPr>
        <w:ind w:right="500" w:firstLine="810"/>
        <w:spacing w:after="0" w:line="258"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3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or be able to obtain financing to repurchase the Notes upon a fundamental change, or to settle conversions of the Notes.*</w:t>
      </w:r>
    </w:p>
    <w:p>
      <w:pPr>
        <w:spacing w:after="0" w:line="132"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Holders of the Notes have the right to require us to repurchase their Notes upon the occurrence of a fundamental change (as defined in the applicable indenture governing the Notes)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settle all or a portion of our</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49" w:lineRule="exact"/>
        <w:rPr>
          <w:sz w:val="20"/>
          <w:szCs w:val="20"/>
          <w:color w:val="auto"/>
        </w:rPr>
      </w:pPr>
    </w:p>
    <w:p>
      <w:pPr>
        <w:ind w:left="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18" w:lineRule="exact"/>
        <w:rPr>
          <w:sz w:val="20"/>
          <w:szCs w:val="20"/>
          <w:color w:val="auto"/>
        </w:rPr>
      </w:pPr>
    </w:p>
    <w:p>
      <w:pPr>
        <w:ind w:right="80" w:firstLine="810"/>
        <w:spacing w:after="0" w:line="261"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governing the Notes may delay or prevent an otherwise beneficial takeover attempt.*</w:t>
      </w:r>
    </w:p>
    <w:p>
      <w:pPr>
        <w:spacing w:after="0" w:line="18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 governing the Notes may make it more difficult or expensive for a third party to acquire us. For example, the terms of the Notes require us to offer to repurchase the Notes in the event of a fundamental change and, in certain circumstances, to increase the conversion rate for a holder that converts its Notes in connection with a make-whole fundamental change (as defined in the indenture governing the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8"/>
          <w:szCs w:val="18"/>
          <w:b w:val="1"/>
          <w:bCs w:val="1"/>
          <w:i w:val="1"/>
          <w:iCs w:val="1"/>
          <w:color w:val="231F20"/>
        </w:rPr>
        <w:t>The Capped Call Transactions may affect the value of the Notes and our common stock.*</w:t>
      </w:r>
    </w:p>
    <w:p>
      <w:pPr>
        <w:spacing w:after="0" w:line="229"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231F20"/>
        </w:rPr>
        <w:t>In connection with the issuance of the 2025 Notes, we entered into capped call transactions (the 2025 Capped Call Transactions) with certain financial institutions (the option counterparties) and in connection with the issuance of the 2029 Notes, we entered into capped call transactions (the 2029 Capped Call Transactions and, together with the 2025 Capped Call Transactions, the Capped Call Transactions) with certain financial institutions (the 2029 option counterparties and, together with the 2025 option counterparties,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60" w:lineRule="exact"/>
        <w:rPr>
          <w:sz w:val="20"/>
          <w:szCs w:val="20"/>
          <w:color w:val="auto"/>
        </w:rPr>
      </w:pPr>
    </w:p>
    <w:p>
      <w:pPr>
        <w:ind w:right="120" w:firstLine="810"/>
        <w:spacing w:after="0" w:line="261" w:lineRule="auto"/>
        <w:rPr>
          <w:sz w:val="20"/>
          <w:szCs w:val="20"/>
          <w:color w:val="auto"/>
        </w:rPr>
      </w:pPr>
      <w:r>
        <w:rPr>
          <w:rFonts w:ascii="Times New Roman" w:cs="Times New Roman" w:eastAsia="Times New Roman" w:hAnsi="Times New Roman"/>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before the applicable maturity of the Notes. This activity could also cause or avoid an increase or a decrease in the market price of our common stock or the Notes, which could affect a Note holder’s ability to convert the Notes.</w:t>
      </w:r>
    </w:p>
    <w:p>
      <w:pPr>
        <w:spacing w:after="0" w:line="139" w:lineRule="exact"/>
        <w:rPr>
          <w:sz w:val="20"/>
          <w:szCs w:val="20"/>
          <w:color w:val="auto"/>
        </w:rPr>
      </w:pPr>
    </w:p>
    <w:p>
      <w:pPr>
        <w:jc w:val="both"/>
        <w:ind w:right="120" w:firstLine="810"/>
        <w:spacing w:after="0" w:line="266" w:lineRule="auto"/>
        <w:rPr>
          <w:sz w:val="20"/>
          <w:szCs w:val="20"/>
          <w:color w:val="auto"/>
        </w:rPr>
      </w:pPr>
      <w:r>
        <w:rPr>
          <w:rFonts w:ascii="Times New Roman" w:cs="Times New Roman" w:eastAsia="Times New Roman" w:hAnsi="Times New Roman"/>
          <w:sz w:val="18"/>
          <w:szCs w:val="18"/>
          <w:color w:val="231F20"/>
        </w:rPr>
        <w:t xml:space="preserve">The potential effect, </w:t>
      </w:r>
      <w:r>
        <w:rPr>
          <w:rFonts w:ascii="Times New Roman" w:cs="Times New Roman" w:eastAsia="Times New Roman" w:hAnsi="Times New Roman"/>
          <w:sz w:val="18"/>
          <w:szCs w:val="18"/>
          <w:color w:val="000000"/>
        </w:rPr>
        <w:t>if</w:t>
      </w:r>
      <w:r>
        <w:rPr>
          <w:rFonts w:ascii="Times New Roman" w:cs="Times New Roman" w:eastAsia="Times New Roman" w:hAnsi="Times New Roman"/>
          <w:sz w:val="18"/>
          <w:szCs w:val="18"/>
          <w:color w:val="231F20"/>
        </w:rPr>
        <w:t xml:space="preserve">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counterparty risk with </w:t>
      </w:r>
      <w:r>
        <w:rPr>
          <w:rFonts w:ascii="Times New Roman" w:cs="Times New Roman" w:eastAsia="Times New Roman" w:hAnsi="Times New Roman"/>
          <w:sz w:val="18"/>
          <w:szCs w:val="18"/>
          <w:b w:val="1"/>
          <w:bCs w:val="1"/>
          <w:i w:val="1"/>
          <w:iCs w:val="1"/>
          <w:color w:val="231F20"/>
        </w:rPr>
        <w:t>respect</w:t>
      </w:r>
      <w:r>
        <w:rPr>
          <w:rFonts w:ascii="Times New Roman" w:cs="Times New Roman" w:eastAsia="Times New Roman" w:hAnsi="Times New Roman"/>
          <w:sz w:val="18"/>
          <w:szCs w:val="18"/>
          <w:b w:val="1"/>
          <w:bCs w:val="1"/>
          <w:i w:val="1"/>
          <w:iCs w:val="1"/>
          <w:color w:val="auto"/>
        </w:rPr>
        <w:t xml:space="preserve"> to the Capped Call Transactions.</w:t>
      </w:r>
    </w:p>
    <w:p>
      <w:pPr>
        <w:spacing w:after="0" w:line="202"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 xml:space="preserve">The option counterparties </w:t>
      </w:r>
      <w:r>
        <w:rPr>
          <w:rFonts w:ascii="Times New Roman" w:cs="Times New Roman" w:eastAsia="Times New Roman" w:hAnsi="Times New Roman"/>
          <w:sz w:val="18"/>
          <w:szCs w:val="18"/>
          <w:color w:val="231F20"/>
        </w:rPr>
        <w:t>are</w:t>
      </w:r>
      <w:r>
        <w:rPr>
          <w:rFonts w:ascii="Times New Roman" w:cs="Times New Roman" w:eastAsia="Times New Roman" w:hAnsi="Times New Roman"/>
          <w:sz w:val="18"/>
          <w:szCs w:val="18"/>
          <w:color w:val="auto"/>
        </w:rPr>
        <w:t xml:space="preserve"> financial institutions, and we will be subject to the risk that any or all of them may default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80" w:type="dxa"/>
            <w:vAlign w:val="bottom"/>
            <w:tcBorders>
              <w:bottom w:val="single" w:sz="8" w:color="auto"/>
            </w:tcBorders>
            <w:gridSpan w:val="10"/>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200" w:type="dxa"/>
            <w:vAlign w:val="bottom"/>
            <w:tcBorders>
              <w:bottom w:val="single" w:sz="8" w:color="auto"/>
            </w:tcBorders>
            <w:gridSpan w:val="6"/>
          </w:tcPr>
          <w:p>
            <w:pPr>
              <w:spacing w:after="0" w:line="182" w:lineRule="exact"/>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Amended and Restated Certificate of Incorporation of the</w:t>
              </w:r>
            </w:hyperlink>
          </w:p>
        </w:tc>
        <w:tc>
          <w:tcPr>
            <w:tcW w:w="4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3440" w:type="dxa"/>
            <w:vAlign w:val="bottom"/>
            <w:gridSpan w:val="2"/>
            <w:vMerge w:val="restart"/>
          </w:tcPr>
          <w:p>
            <w:pPr>
              <w:spacing w:after="0" w:line="156" w:lineRule="exact"/>
              <w:rPr>
                <w:rFonts w:ascii="Times New Roman" w:cs="Times New Roman" w:eastAsia="Times New Roman" w:hAnsi="Times New Roman"/>
                <w:sz w:val="18"/>
                <w:szCs w:val="18"/>
                <w:color w:val="auto"/>
                <w:w w:val="99"/>
              </w:rPr>
            </w:pPr>
            <w:hyperlink r:id="rId93">
              <w:r>
                <w:rPr>
                  <w:rFonts w:ascii="Times New Roman" w:cs="Times New Roman" w:eastAsia="Times New Roman" w:hAnsi="Times New Roman"/>
                  <w:sz w:val="18"/>
                  <w:szCs w:val="18"/>
                  <w:color w:val="auto"/>
                  <w:w w:val="99"/>
                </w:rPr>
                <w:t>Registrant (as amended and currently in effect).</w:t>
              </w:r>
            </w:hyperlink>
          </w:p>
        </w:tc>
        <w:tc>
          <w:tcPr>
            <w:tcW w:w="1240" w:type="dxa"/>
            <w:vAlign w:val="bottom"/>
            <w:gridSpan w:val="8"/>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3440" w:type="dxa"/>
            <w:vAlign w:val="bottom"/>
            <w:tcBorders>
              <w:bottom w:val="single" w:sz="8" w:color="auto"/>
            </w:tcBorders>
            <w:gridSpan w:val="2"/>
            <w:vMerge w:val="continue"/>
          </w:tcPr>
          <w:p>
            <w:pPr>
              <w:spacing w:after="0"/>
              <w:rPr>
                <w:sz w:val="3"/>
                <w:szCs w:val="3"/>
                <w:color w:val="auto"/>
              </w:rPr>
            </w:pPr>
          </w:p>
        </w:tc>
        <w:tc>
          <w:tcPr>
            <w:tcW w:w="1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460" w:type="dxa"/>
            <w:vAlign w:val="bottom"/>
            <w:tcBorders>
              <w:bottom w:val="single" w:sz="8" w:color="auto"/>
            </w:tcBorders>
            <w:gridSpan w:val="9"/>
          </w:tcPr>
          <w:p>
            <w:pPr>
              <w:spacing w:after="0"/>
              <w:rPr>
                <w:rFonts w:ascii="Times New Roman" w:cs="Times New Roman" w:eastAsia="Times New Roman" w:hAnsi="Times New Roman"/>
                <w:sz w:val="18"/>
                <w:szCs w:val="18"/>
                <w:color w:val="auto"/>
                <w:w w:val="99"/>
              </w:rPr>
            </w:pPr>
            <w:hyperlink r:id="rId94">
              <w:r>
                <w:rPr>
                  <w:rFonts w:ascii="Times New Roman" w:cs="Times New Roman" w:eastAsia="Times New Roman" w:hAnsi="Times New Roman"/>
                  <w:sz w:val="18"/>
                  <w:szCs w:val="18"/>
                  <w:color w:val="auto"/>
                  <w:w w:val="99"/>
                </w:rPr>
                <w:t>Amended and Restated Bylaws of the Registrant (as amended</w:t>
              </w:r>
            </w:hyperlink>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680" w:type="dxa"/>
            <w:vAlign w:val="bottom"/>
            <w:gridSpan w:val="10"/>
            <w:vMerge w:val="restart"/>
          </w:tcPr>
          <w:p>
            <w:pPr>
              <w:spacing w:after="0" w:line="156" w:lineRule="exact"/>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and currently in effect).</w:t>
              </w:r>
            </w:hyperlink>
          </w:p>
        </w:tc>
        <w:tc>
          <w:tcPr>
            <w:tcW w:w="0" w:type="dxa"/>
            <w:vAlign w:val="bottom"/>
          </w:tcPr>
          <w:p>
            <w:pPr>
              <w:spacing w:after="0"/>
              <w:rPr>
                <w:sz w:val="1"/>
                <w:szCs w:val="1"/>
                <w:color w:val="auto"/>
              </w:rPr>
            </w:pPr>
          </w:p>
        </w:tc>
      </w:tr>
      <w:tr>
        <w:trPr>
          <w:trHeight w:val="40"/>
        </w:trPr>
        <w:tc>
          <w:tcPr>
            <w:tcW w:w="1060" w:type="dxa"/>
            <w:vAlign w:val="bottom"/>
          </w:tcPr>
          <w:p>
            <w:pPr>
              <w:spacing w:after="0"/>
              <w:rPr>
                <w:sz w:val="3"/>
                <w:szCs w:val="3"/>
                <w:color w:val="auto"/>
              </w:rPr>
            </w:pPr>
          </w:p>
        </w:tc>
        <w:tc>
          <w:tcPr>
            <w:tcW w:w="468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Certification of John F. Sheridan, Chief Executive Officer,</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320" w:type="dxa"/>
            <w:vAlign w:val="bottom"/>
            <w:gridSpan w:val="8"/>
            <w:vMerge w:val="restart"/>
          </w:tcPr>
          <w:p>
            <w:pPr>
              <w:spacing w:after="0" w:line="156"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 of 2002.</w:t>
            </w:r>
          </w:p>
        </w:tc>
        <w:tc>
          <w:tcPr>
            <w:tcW w:w="3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60" w:type="dxa"/>
            <w:vAlign w:val="bottom"/>
          </w:tcPr>
          <w:p>
            <w:pPr>
              <w:spacing w:after="0"/>
              <w:rPr>
                <w:sz w:val="3"/>
                <w:szCs w:val="3"/>
                <w:color w:val="auto"/>
              </w:rPr>
            </w:pPr>
          </w:p>
        </w:tc>
        <w:tc>
          <w:tcPr>
            <w:tcW w:w="4320" w:type="dxa"/>
            <w:vAlign w:val="bottom"/>
            <w:tcBorders>
              <w:bottom w:val="single" w:sz="8" w:color="auto"/>
            </w:tcBorders>
            <w:gridSpan w:val="8"/>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3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Certification of Leigh A. Vosseller, Chief Financial Officer,</w:t>
            </w:r>
          </w:p>
        </w:tc>
        <w:tc>
          <w:tcPr>
            <w:tcW w:w="3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320" w:type="dxa"/>
            <w:vAlign w:val="bottom"/>
            <w:gridSpan w:val="8"/>
            <w:vMerge w:val="restart"/>
          </w:tcPr>
          <w:p>
            <w:pPr>
              <w:spacing w:after="0" w:line="156"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 of 2002.</w:t>
            </w:r>
          </w:p>
        </w:tc>
        <w:tc>
          <w:tcPr>
            <w:tcW w:w="3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4320" w:type="dxa"/>
            <w:vAlign w:val="bottom"/>
            <w:tcBorders>
              <w:bottom w:val="single" w:sz="8" w:color="auto"/>
            </w:tcBorders>
            <w:gridSpan w:val="8"/>
            <w:vMerge w:val="continue"/>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Certification of John F. Sheridan, Chief Executive Officer,</w:t>
            </w:r>
          </w:p>
        </w:tc>
        <w:tc>
          <w:tcPr>
            <w:tcW w:w="0" w:type="dxa"/>
            <w:vAlign w:val="bottom"/>
          </w:tcPr>
          <w:p>
            <w:pPr>
              <w:spacing w:after="0"/>
              <w:rPr>
                <w:sz w:val="1"/>
                <w:szCs w:val="1"/>
                <w:color w:val="auto"/>
              </w:rPr>
            </w:pPr>
          </w:p>
        </w:tc>
      </w:tr>
      <w:tr>
        <w:trPr>
          <w:trHeight w:val="156"/>
        </w:trPr>
        <w:tc>
          <w:tcPr>
            <w:tcW w:w="1060" w:type="dxa"/>
            <w:vAlign w:val="bottom"/>
            <w:vMerge w:val="continue"/>
          </w:tcPr>
          <w:p>
            <w:pPr>
              <w:spacing w:after="0"/>
              <w:rPr>
                <w:sz w:val="13"/>
                <w:szCs w:val="13"/>
                <w:color w:val="auto"/>
              </w:rPr>
            </w:pPr>
          </w:p>
        </w:tc>
        <w:tc>
          <w:tcPr>
            <w:tcW w:w="4200" w:type="dxa"/>
            <w:vAlign w:val="bottom"/>
            <w:tcBorders>
              <w:top w:val="single" w:sz="8" w:color="auto"/>
            </w:tcBorders>
            <w:gridSpan w:val="6"/>
          </w:tcPr>
          <w:p>
            <w:pPr>
              <w:spacing w:after="0" w:line="156" w:lineRule="exact"/>
              <w:rPr>
                <w:sz w:val="20"/>
                <w:szCs w:val="20"/>
                <w:color w:val="auto"/>
              </w:rPr>
            </w:pPr>
            <w:r>
              <w:rPr>
                <w:rFonts w:ascii="Times New Roman" w:cs="Times New Roman" w:eastAsia="Times New Roman" w:hAnsi="Times New Roman"/>
                <w:sz w:val="18"/>
                <w:szCs w:val="18"/>
                <w:color w:val="auto"/>
              </w:rPr>
              <w:t>pursuant to U.S.C. Section 1350, as adopted pursuant to</w:t>
            </w:r>
          </w:p>
        </w:tc>
        <w:tc>
          <w:tcPr>
            <w:tcW w:w="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480" w:type="dxa"/>
            <w:vAlign w:val="bottom"/>
            <w:tcBorders>
              <w:top w:val="single" w:sz="8" w:color="auto"/>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560" w:type="dxa"/>
            <w:vAlign w:val="bottom"/>
            <w:tcBorders>
              <w:top w:val="single" w:sz="8" w:color="auto"/>
            </w:tcBorders>
          </w:tcPr>
          <w:p>
            <w:pPr>
              <w:spacing w:after="0"/>
              <w:rPr>
                <w:sz w:val="14"/>
                <w:szCs w:val="14"/>
                <w:color w:val="auto"/>
              </w:rPr>
            </w:pPr>
          </w:p>
        </w:tc>
        <w:tc>
          <w:tcPr>
            <w:tcW w:w="6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Certification of Leigh A. Vosseller, Chief Financial Officer,</w:t>
            </w:r>
          </w:p>
        </w:tc>
        <w:tc>
          <w:tcPr>
            <w:tcW w:w="0" w:type="dxa"/>
            <w:vAlign w:val="bottom"/>
          </w:tcPr>
          <w:p>
            <w:pPr>
              <w:spacing w:after="0"/>
              <w:rPr>
                <w:sz w:val="1"/>
                <w:szCs w:val="1"/>
                <w:color w:val="auto"/>
              </w:rPr>
            </w:pPr>
          </w:p>
        </w:tc>
      </w:tr>
      <w:tr>
        <w:trPr>
          <w:trHeight w:val="156"/>
        </w:trPr>
        <w:tc>
          <w:tcPr>
            <w:tcW w:w="1060" w:type="dxa"/>
            <w:vAlign w:val="bottom"/>
            <w:vMerge w:val="continue"/>
          </w:tcPr>
          <w:p>
            <w:pPr>
              <w:spacing w:after="0"/>
              <w:rPr>
                <w:sz w:val="13"/>
                <w:szCs w:val="13"/>
                <w:color w:val="auto"/>
              </w:rPr>
            </w:pPr>
          </w:p>
        </w:tc>
        <w:tc>
          <w:tcPr>
            <w:tcW w:w="4300" w:type="dxa"/>
            <w:vAlign w:val="bottom"/>
            <w:tcBorders>
              <w:top w:val="single" w:sz="8" w:color="auto"/>
            </w:tcBorders>
            <w:gridSpan w:val="7"/>
          </w:tcPr>
          <w:p>
            <w:pPr>
              <w:spacing w:after="0" w:line="156" w:lineRule="exact"/>
              <w:rPr>
                <w:sz w:val="20"/>
                <w:szCs w:val="20"/>
                <w:color w:val="auto"/>
              </w:rPr>
            </w:pPr>
            <w:r>
              <w:rPr>
                <w:rFonts w:ascii="Times New Roman" w:cs="Times New Roman" w:eastAsia="Times New Roman" w:hAnsi="Times New Roman"/>
                <w:sz w:val="18"/>
                <w:szCs w:val="18"/>
                <w:color w:val="auto"/>
              </w:rPr>
              <w:t>pursuant to U.S.C. Section 1350, as adopted pursuant to</w:t>
            </w:r>
          </w:p>
        </w:tc>
        <w:tc>
          <w:tcPr>
            <w:tcW w:w="3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04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6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468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149"/>
        </w:trPr>
        <w:tc>
          <w:tcPr>
            <w:tcW w:w="1060" w:type="dxa"/>
            <w:vAlign w:val="bottom"/>
            <w:vMerge w:val="continue"/>
          </w:tcPr>
          <w:p>
            <w:pPr>
              <w:spacing w:after="0"/>
              <w:rPr>
                <w:sz w:val="12"/>
                <w:szCs w:val="12"/>
                <w:color w:val="auto"/>
              </w:rPr>
            </w:pPr>
          </w:p>
        </w:tc>
        <w:tc>
          <w:tcPr>
            <w:tcW w:w="46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6"/>
        </w:trPr>
        <w:tc>
          <w:tcPr>
            <w:tcW w:w="1060" w:type="dxa"/>
            <w:vAlign w:val="bottom"/>
          </w:tcPr>
          <w:p>
            <w:pPr>
              <w:spacing w:after="0"/>
              <w:rPr>
                <w:sz w:val="7"/>
                <w:szCs w:val="7"/>
                <w:color w:val="auto"/>
              </w:rPr>
            </w:pPr>
          </w:p>
        </w:tc>
        <w:tc>
          <w:tcPr>
            <w:tcW w:w="4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149"/>
        </w:trPr>
        <w:tc>
          <w:tcPr>
            <w:tcW w:w="1060" w:type="dxa"/>
            <w:vAlign w:val="bottom"/>
            <w:vMerge w:val="continue"/>
          </w:tcPr>
          <w:p>
            <w:pPr>
              <w:spacing w:after="0"/>
              <w:rPr>
                <w:sz w:val="12"/>
                <w:szCs w:val="12"/>
                <w:color w:val="auto"/>
              </w:rPr>
            </w:pPr>
          </w:p>
        </w:tc>
        <w:tc>
          <w:tcPr>
            <w:tcW w:w="46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6"/>
        </w:trPr>
        <w:tc>
          <w:tcPr>
            <w:tcW w:w="1060" w:type="dxa"/>
            <w:vAlign w:val="bottom"/>
          </w:tcPr>
          <w:p>
            <w:pPr>
              <w:spacing w:after="0"/>
              <w:rPr>
                <w:sz w:val="7"/>
                <w:szCs w:val="7"/>
                <w:color w:val="auto"/>
              </w:rPr>
            </w:pPr>
          </w:p>
        </w:tc>
        <w:tc>
          <w:tcPr>
            <w:tcW w:w="4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4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15"/>
        </w:trPr>
        <w:tc>
          <w:tcPr>
            <w:tcW w:w="1060" w:type="dxa"/>
            <w:vAlign w:val="bottom"/>
          </w:tcPr>
          <w:p>
            <w:pPr>
              <w:spacing w:after="0"/>
              <w:rPr>
                <w:sz w:val="9"/>
                <w:szCs w:val="9"/>
                <w:color w:val="auto"/>
              </w:rPr>
            </w:pPr>
          </w:p>
        </w:tc>
        <w:tc>
          <w:tcPr>
            <w:tcW w:w="4680" w:type="dxa"/>
            <w:vAlign w:val="bottom"/>
            <w:gridSpan w:val="10"/>
          </w:tcPr>
          <w:p>
            <w:pPr>
              <w:spacing w:after="0" w:line="114" w:lineRule="exact"/>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-2863850</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132320" cy="377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-1037590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0"/>
        <w:spacing w:after="0"/>
        <w:tabs>
          <w:tab w:leader="none" w:pos="1040" w:val="left"/>
        </w:tabs>
        <w:rPr>
          <w:sz w:val="20"/>
          <w:szCs w:val="20"/>
          <w:color w:val="auto"/>
        </w:rPr>
      </w:pPr>
      <w:r>
        <w:rPr>
          <w:rFonts w:ascii="Times New Roman" w:cs="Times New Roman" w:eastAsia="Times New Roman" w:hAnsi="Times New Roman"/>
          <w:sz w:val="35"/>
          <w:szCs w:val="35"/>
          <w:color w:val="auto"/>
          <w:vertAlign w:val="superscript"/>
        </w:rPr>
        <w:t>101.PRE</w:t>
      </w:r>
      <w:r>
        <w:rPr>
          <w:rFonts w:ascii="Times New Roman" w:cs="Times New Roman" w:eastAsia="Times New Roman" w:hAnsi="Times New Roman"/>
          <w:sz w:val="18"/>
          <w:szCs w:val="18"/>
          <w:color w:val="auto"/>
        </w:rPr>
        <w:tab/>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66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060" w:right="240" w:hanging="667"/>
        <w:spacing w:after="0" w:line="189" w:lineRule="auto"/>
        <w:tabs>
          <w:tab w:leader="none" w:pos="1060" w:val="left"/>
        </w:tabs>
        <w:numPr>
          <w:ilvl w:val="0"/>
          <w:numId w:val="4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Cover Page Interactive Data File (embedded within the Inline XBRL Document contained in Exhibit 101).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20" w:type="dxa"/>
            <w:vAlign w:val="bottom"/>
          </w:tcPr>
          <w:p>
            <w:pPr>
              <w:spacing w:after="0"/>
              <w:rPr>
                <w:sz w:val="17"/>
                <w:szCs w:val="17"/>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Provided</w:t>
            </w: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169"/>
        </w:trPr>
        <w:tc>
          <w:tcPr>
            <w:tcW w:w="7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2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4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Date of First</w:t>
            </w:r>
          </w:p>
        </w:tc>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2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9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318"/>
        </w:trPr>
        <w:tc>
          <w:tcPr>
            <w:tcW w:w="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001-36189</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 2023</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001-36189</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 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9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1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X</w:t>
      </w:r>
    </w:p>
    <w:p>
      <w:pPr>
        <w:spacing w:after="0" w:line="251" w:lineRule="exact"/>
        <w:rPr>
          <w:sz w:val="20"/>
          <w:szCs w:val="20"/>
          <w:color w:val="auto"/>
        </w:rPr>
      </w:pPr>
    </w:p>
    <w:p>
      <w:pPr>
        <w:sectPr>
          <w:pgSz w:w="11900" w:h="16838" w:orient="portrait"/>
          <w:cols w:equalWidth="0" w:num="2">
            <w:col w:w="5740" w:space="0"/>
            <w:col w:w="5500"/>
          </w:cols>
          <w:pgMar w:left="320" w:top="1103" w:right="339" w:bottom="1440" w:gutter="0" w:footer="0" w:header="0"/>
          <w:type w:val="continuous"/>
        </w:sectPr>
      </w:pPr>
    </w:p>
    <w:p>
      <w:pPr>
        <w:ind w:left="400" w:right="100" w:hanging="374"/>
        <w:spacing w:after="0" w:line="266" w:lineRule="auto"/>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9" w:name="page80"/>
    <w:bookmarkEnd w:id="79"/>
    <w:p>
      <w:pPr>
        <w:spacing w:after="0" w:line="1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28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John F. Sheridan</w:t>
      </w:r>
    </w:p>
    <w:p>
      <w:pPr>
        <w:ind w:left="630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300"/>
        <w:spacing w:after="0" w:line="219" w:lineRule="auto"/>
        <w:rPr>
          <w:sz w:val="20"/>
          <w:szCs w:val="20"/>
          <w:color w:val="auto"/>
        </w:rPr>
      </w:pPr>
      <w:r>
        <w:rPr>
          <w:rFonts w:ascii="Times New Roman" w:cs="Times New Roman" w:eastAsia="Times New Roman" w:hAnsi="Times New Roman"/>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9" w:lineRule="exact"/>
        <w:rPr>
          <w:sz w:val="20"/>
          <w:szCs w:val="20"/>
          <w:color w:val="auto"/>
        </w:rPr>
      </w:pPr>
    </w:p>
    <w:p>
      <w:pPr>
        <w:ind w:left="20"/>
        <w:spacing w:after="0"/>
        <w:tabs>
          <w:tab w:leader="none" w:pos="5780" w:val="left"/>
          <w:tab w:leader="none" w:pos="628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28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Leigh A. Vosseller</w:t>
      </w:r>
    </w:p>
    <w:p>
      <w:pPr>
        <w:ind w:left="6300"/>
        <w:spacing w:after="0" w:line="215" w:lineRule="auto"/>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20"/>
          </w:cols>
          <w:pgMar w:left="320" w:top="1440" w:right="6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Tandem Diabetes Care, Inc.</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right="20" w:firstLine="818"/>
        <w:spacing w:after="0" w:line="266" w:lineRule="auto"/>
        <w:tabs>
          <w:tab w:leader="none" w:pos="99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right="40" w:firstLine="818"/>
        <w:spacing w:after="0" w:line="266" w:lineRule="auto"/>
        <w:tabs>
          <w:tab w:leader="none" w:pos="10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540" w:firstLine="818"/>
        <w:spacing w:after="0" w:line="282" w:lineRule="auto"/>
        <w:tabs>
          <w:tab w:leader="none" w:pos="99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right="20" w:firstLine="818"/>
        <w:spacing w:after="0" w:line="266" w:lineRule="auto"/>
        <w:tabs>
          <w:tab w:leader="none" w:pos="10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760" w:firstLine="818"/>
        <w:spacing w:after="0" w:line="282" w:lineRule="auto"/>
        <w:tabs>
          <w:tab w:leader="none" w:pos="99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18"/>
        <w:spacing w:after="0" w:line="282" w:lineRule="auto"/>
        <w:tabs>
          <w:tab w:leader="none" w:pos="10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John F. Sheridan</w:t>
      </w:r>
    </w:p>
    <w:p>
      <w:pPr>
        <w:ind w:left="68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6, 2024</w:t>
      </w:r>
    </w:p>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Tandem Diabetes Care, Inc.</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right="20" w:firstLine="818"/>
        <w:spacing w:after="0" w:line="266" w:lineRule="auto"/>
        <w:tabs>
          <w:tab w:leader="none" w:pos="9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right="40" w:firstLine="818"/>
        <w:spacing w:after="0" w:line="266" w:lineRule="auto"/>
        <w:tabs>
          <w:tab w:leader="none" w:pos="10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540" w:firstLine="818"/>
        <w:spacing w:after="0" w:line="282" w:lineRule="auto"/>
        <w:tabs>
          <w:tab w:leader="none" w:pos="9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right="20" w:firstLine="818"/>
        <w:spacing w:after="0" w:line="266" w:lineRule="auto"/>
        <w:tabs>
          <w:tab w:leader="none" w:pos="10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760" w:firstLine="818"/>
        <w:spacing w:after="0" w:line="282" w:lineRule="auto"/>
        <w:tabs>
          <w:tab w:leader="none" w:pos="9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18"/>
        <w:spacing w:after="0" w:line="282" w:lineRule="auto"/>
        <w:tabs>
          <w:tab w:leader="none" w:pos="10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7"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auto"/>
        </w:rPr>
        <w:t>Leigh A. Vosseller</w:t>
      </w:r>
    </w:p>
    <w:p>
      <w:pPr>
        <w:ind w:left="684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w:t>
      </w:r>
    </w:p>
    <w:p>
      <w:pPr>
        <w:ind w:left="6840"/>
        <w:spacing w:after="0"/>
        <w:rPr>
          <w:sz w:val="20"/>
          <w:szCs w:val="20"/>
          <w:color w:val="auto"/>
        </w:rPr>
      </w:pPr>
      <w:r>
        <w:rPr>
          <w:rFonts w:ascii="Times New Roman" w:cs="Times New Roman" w:eastAsia="Times New Roman" w:hAnsi="Times New Roman"/>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6, 2024</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 Sarbanes-Oxley Act of 2002</w:t>
      </w:r>
    </w:p>
    <w:p>
      <w:pPr>
        <w:spacing w:after="0" w:line="180" w:lineRule="exact"/>
        <w:rPr>
          <w:sz w:val="20"/>
          <w:szCs w:val="20"/>
          <w:color w:val="auto"/>
        </w:rPr>
      </w:pPr>
    </w:p>
    <w:p>
      <w:pPr>
        <w:ind w:right="360" w:firstLine="8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Tandem Diabetes Care, Inc. (the “Company”) for the period ended September 30, 2024,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000" w:hanging="18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580" w:firstLine="818"/>
        <w:spacing w:after="0" w:line="282" w:lineRule="auto"/>
        <w:tabs>
          <w:tab w:leader="none" w:pos="9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81" w:lineRule="exact"/>
        <w:rPr>
          <w:sz w:val="20"/>
          <w:szCs w:val="20"/>
          <w:color w:val="auto"/>
        </w:rPr>
      </w:pPr>
    </w:p>
    <w:p>
      <w:pPr>
        <w:ind w:left="20"/>
        <w:spacing w:after="0"/>
        <w:tabs>
          <w:tab w:leader="none" w:pos="684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774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F. Sheridan</w:t>
      </w: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1"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 Sarbanes-Oxley Act of 2002</w:t>
      </w:r>
    </w:p>
    <w:p>
      <w:pPr>
        <w:spacing w:after="0" w:line="180" w:lineRule="exact"/>
        <w:rPr>
          <w:sz w:val="20"/>
          <w:szCs w:val="20"/>
          <w:color w:val="auto"/>
        </w:rPr>
      </w:pPr>
    </w:p>
    <w:p>
      <w:pPr>
        <w:ind w:right="360" w:firstLine="81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Tandem Diabetes Care, Inc. (the “Company”) for the period ended September 30, 2024,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17" w:lineRule="exact"/>
        <w:rPr>
          <w:sz w:val="20"/>
          <w:szCs w:val="20"/>
          <w:color w:val="auto"/>
        </w:rPr>
      </w:pPr>
    </w:p>
    <w:p>
      <w:pPr>
        <w:ind w:left="1000" w:hanging="18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580" w:firstLine="818"/>
        <w:spacing w:after="0" w:line="282" w:lineRule="auto"/>
        <w:tabs>
          <w:tab w:leader="none" w:pos="9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81" w:lineRule="exact"/>
        <w:rPr>
          <w:sz w:val="20"/>
          <w:szCs w:val="20"/>
          <w:color w:val="auto"/>
        </w:rPr>
      </w:pPr>
    </w:p>
    <w:p>
      <w:pPr>
        <w:ind w:left="20"/>
        <w:spacing w:after="0"/>
        <w:tabs>
          <w:tab w:leader="none" w:pos="684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77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Leigh A. Vosseller</w:t>
      </w:r>
    </w:p>
    <w:p>
      <w:pPr>
        <w:ind w:left="686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w:t>
      </w:r>
    </w:p>
    <w:p>
      <w:pPr>
        <w:ind w:left="6860"/>
        <w:spacing w:after="0"/>
        <w:rPr>
          <w:sz w:val="20"/>
          <w:szCs w:val="20"/>
          <w:color w:val="auto"/>
        </w:rPr>
      </w:pPr>
      <w:r>
        <w:rPr>
          <w:rFonts w:ascii="Times New Roman" w:cs="Times New Roman" w:eastAsia="Times New Roman" w:hAnsi="Times New Roman"/>
          <w:sz w:val="18"/>
          <w:szCs w:val="18"/>
          <w:color w:val="auto"/>
        </w:rPr>
        <w:t>Treasurer</w:t>
      </w:r>
    </w:p>
    <w:p>
      <w:pPr>
        <w:spacing w:after="0" w:line="257"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726"/>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93" Type="http://schemas.openxmlformats.org/officeDocument/2006/relationships/hyperlink" Target="https://www.sec.gov/Archives/edgar/data/1438133/000143813323000153/exhibit31amendedandrestate.htm" TargetMode="External"/><Relationship Id="rId94" Type="http://schemas.openxmlformats.org/officeDocument/2006/relationships/hyperlink" Target="https://www.sec.gov/Archives/edgar/data/1438133/000143813323000153/exhibit32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2024-11-06T15:31:22Z</dcterms:created>
  <dcterms:modified xsi:type="dcterms:W3CDTF">2024-11-06T15:31:22Z</dcterms:modified>
</cp:coreProperties>
</file>