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9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 10-K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001-36189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Tandem Diabetes Care,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w:t>
      </w:r>
    </w:p>
    <w:tbl>
      <w:tblPr>
        <w:tblW w:w="4733" w:type="dxa"/>
        <w:jc w:val="left"/>
        <w:tblInd w:w="0" w:type="dxa"/>
        <w:tblLayout w:type="fixed"/>
        <w:tblCellMar>
          <w:top w:w="28" w:type="dxa"/>
          <w:left w:w="28" w:type="dxa"/>
          <w:bottom w:w="28" w:type="dxa"/>
          <w:right w:w="28" w:type="dxa"/>
        </w:tblCellMar>
      </w:tblPr>
      <w:tblGrid>
        <w:gridCol w:w="539"/>
        <w:gridCol w:w="475"/>
        <w:gridCol w:w="475"/>
        <w:gridCol w:w="475"/>
        <w:gridCol w:w="475"/>
        <w:gridCol w:w="483"/>
        <w:gridCol w:w="109"/>
        <w:gridCol w:w="109"/>
        <w:gridCol w:w="109"/>
        <w:gridCol w:w="432"/>
        <w:gridCol w:w="432"/>
        <w:gridCol w:w="620"/>
      </w:tblGrid>
      <w:tr>
        <w:trPr/>
        <w:tc>
          <w:tcPr>
            <w:tcW w:w="5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20-4327508</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92130</w:t>
            </w:r>
          </w:p>
        </w:tc>
      </w:tr>
      <w:tr>
        <w:trPr/>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San Diego</w:t>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(858) 366-6900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8189" w:type="dxa"/>
        <w:jc w:val="left"/>
        <w:tblInd w:w="0" w:type="dxa"/>
        <w:tblLayout w:type="fixed"/>
        <w:tblCellMar>
          <w:top w:w="28" w:type="dxa"/>
          <w:left w:w="28" w:type="dxa"/>
          <w:bottom w:w="28" w:type="dxa"/>
          <w:right w:w="28" w:type="dxa"/>
        </w:tblCellMar>
      </w:tblPr>
      <w:tblGrid>
        <w:gridCol w:w="1180"/>
        <w:gridCol w:w="1042"/>
        <w:gridCol w:w="1048"/>
        <w:gridCol w:w="484"/>
        <w:gridCol w:w="484"/>
        <w:gridCol w:w="486"/>
        <w:gridCol w:w="1014"/>
        <w:gridCol w:w="1014"/>
        <w:gridCol w:w="1437"/>
      </w:tblGrid>
      <w:tr>
        <w:trPr/>
        <w:tc>
          <w:tcPr>
            <w:tcW w:w="11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TNDM</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Nasdaq Global Market</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w:t>
      </w:r>
    </w:p>
    <w:p>
      <w:pPr>
        <w:pStyle w:val="TextBody"/>
        <w:bidi w:val="0"/>
        <w:spacing w:lineRule="auto" w:line="288" w:before="0" w:after="0"/>
        <w:jc w:val="center"/>
        <w:rPr/>
      </w:pPr>
      <w:r>
        <w:rPr>
          <w:rFonts w:ascii="Times New Roman;sans-serif" w:hAnsi="Times New Roman;sans-serif"/>
          <w:b/>
          <w:color w:val="000000"/>
          <w:sz w:val="16"/>
        </w:rPr>
        <w:t>____________________________________________________</w:t>
      </w:r>
      <w:r>
        <w:rPr>
          <w:rFonts w:ascii="Times New Roman;sans-serif" w:hAnsi="Times New Roman;sans-serif"/>
          <w:b/>
          <w:color w:val="000000"/>
          <w:sz w:val="16"/>
          <w:u w:val="single"/>
        </w:rPr>
        <w:t>None</w:t>
      </w:r>
      <w:r>
        <w:rPr>
          <w:rFonts w:ascii="Times New Roman;sans-serif" w:hAnsi="Times New Roman;sans-serif"/>
          <w:b/>
          <w:color w:val="000000"/>
          <w:sz w:val="16"/>
        </w:rPr>
        <w:t>__________________________________________________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if the registrant is not required to file reports pursuant to Section 13 or Section 15(d) of the Act.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 </w:t>
      </w:r>
    </w:p>
    <w:p>
      <w:pPr>
        <w:pStyle w:val="TextBody"/>
        <w:bidi w:val="0"/>
        <w:spacing w:lineRule="auto" w:line="288" w:before="0" w:after="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 240.10D-1(b).</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June 30, 2023, the aggregate market value of the registrant’s common stock held by non-affiliates was approximately $1.6 billion based on the closing price for the common stock of $24.54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16, 2024, there were 65,631,041 shares of the registrant’s common stock outstanding.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DOCUMENTS INCORPORATED BY REFERENCE</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on Schedule 14A for the 2024 Annual Meeting of Stockholders to be filed with the Securities and Exchange Commission not later than 120 days after the end of the fiscal year covered by this Form 10-K, are incorporated by reference in Part III, Items 10-14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6"/>
        <w:gridCol w:w="244"/>
        <w:gridCol w:w="246"/>
        <w:gridCol w:w="109"/>
        <w:gridCol w:w="109"/>
        <w:gridCol w:w="109"/>
        <w:gridCol w:w="2790"/>
        <w:gridCol w:w="2759"/>
        <w:gridCol w:w="2769"/>
        <w:gridCol w:w="109"/>
        <w:gridCol w:w="109"/>
        <w:gridCol w:w="109"/>
        <w:gridCol w:w="136"/>
        <w:gridCol w:w="136"/>
        <w:gridCol w:w="195"/>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79">
              <w:r>
                <w:rPr>
                  <w:rStyle w:val="InternetLink"/>
                  <w:rFonts w:ascii="Times New Roman;sans-serif" w:hAnsi="Times New Roman;sans-serif"/>
                  <w:b/>
                  <w:strike w:val="false"/>
                  <w:dstrike w:val="false"/>
                  <w:color w:val="000000"/>
                  <w:sz w:val="20"/>
                  <w:u w:val="none"/>
                  <w:effect w:val="none"/>
                </w:rPr>
                <w:t>Part 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82">
              <w:r>
                <w:rPr>
                  <w:rStyle w:val="InternetLink"/>
                  <w:rFonts w:ascii="Times New Roman;sans-serif" w:hAnsi="Times New Roman;sans-serif"/>
                  <w:b w:val="false"/>
                  <w:strike w:val="false"/>
                  <w:dstrike w:val="false"/>
                  <w:color w:val="000000"/>
                  <w:sz w:val="20"/>
                  <w:u w:val="none"/>
                  <w:effect w:val="none"/>
                </w:rPr>
                <w:t>Item 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82">
              <w:r>
                <w:rPr>
                  <w:rStyle w:val="InternetLink"/>
                  <w:rFonts w:ascii="Times New Roman;sans-serif" w:hAnsi="Times New Roman;sans-serif"/>
                  <w:b w:val="false"/>
                  <w:color w:val="0000FF"/>
                  <w:sz w:val="20"/>
                  <w:u w:val="single"/>
                </w:rPr>
                <w:t>Business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82">
              <w:r>
                <w:rPr>
                  <w:rStyle w:val="InternetLink"/>
                  <w:rFonts w:ascii="Times New Roman;sans-serif" w:hAnsi="Times New Roman;sans-serif"/>
                  <w:b w:val="false"/>
                  <w:strike w:val="false"/>
                  <w:dstrike w:val="false"/>
                  <w:color w:val="000000"/>
                  <w:sz w:val="20"/>
                  <w:u w:val="none"/>
                  <w:effect w:val="none"/>
                </w:rPr>
                <w:t>5</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42">
              <w:r>
                <w:rPr>
                  <w:rStyle w:val="InternetLink"/>
                  <w:rFonts w:ascii="Times New Roman;sans-serif" w:hAnsi="Times New Roman;sans-serif"/>
                  <w:b w:val="false"/>
                  <w:strike w:val="false"/>
                  <w:dstrike w:val="false"/>
                  <w:color w:val="000000"/>
                  <w:sz w:val="20"/>
                  <w:u w:val="none"/>
                  <w:effect w:val="none"/>
                </w:rPr>
                <w:t>Item 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42">
              <w:r>
                <w:rPr>
                  <w:rStyle w:val="InternetLink"/>
                  <w:rFonts w:ascii="Times New Roman;sans-serif" w:hAnsi="Times New Roman;sans-serif"/>
                  <w:b w:val="false"/>
                  <w:color w:val="0000FF"/>
                  <w:sz w:val="20"/>
                  <w:u w:val="singl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42">
              <w:r>
                <w:rPr>
                  <w:rStyle w:val="InternetLink"/>
                  <w:rFonts w:ascii="Times New Roman;sans-serif" w:hAnsi="Times New Roman;sans-serif"/>
                  <w:b w:val="false"/>
                  <w:strike w:val="false"/>
                  <w:dstrike w:val="false"/>
                  <w:color w:val="000000"/>
                  <w:sz w:val="20"/>
                  <w:u w:val="none"/>
                  <w:effect w:val="none"/>
                </w:rPr>
                <w:t>17</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91">
              <w:r>
                <w:rPr>
                  <w:rStyle w:val="InternetLink"/>
                  <w:rFonts w:ascii="Times New Roman;sans-serif" w:hAnsi="Times New Roman;sans-serif"/>
                  <w:b w:val="false"/>
                  <w:strike w:val="false"/>
                  <w:dstrike w:val="false"/>
                  <w:color w:val="000000"/>
                  <w:sz w:val="20"/>
                  <w:u w:val="none"/>
                  <w:effect w:val="none"/>
                </w:rPr>
                <w:t>Item 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91">
              <w:r>
                <w:rPr>
                  <w:rStyle w:val="InternetLink"/>
                  <w:rFonts w:ascii="Times New Roman;sans-serif" w:hAnsi="Times New Roman;sans-serif"/>
                  <w:b w:val="false"/>
                  <w:color w:val="0000FF"/>
                  <w:sz w:val="20"/>
                  <w:u w:val="single"/>
                </w:rPr>
                <w:t>Unresolved Staff Comments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91">
              <w:r>
                <w:rPr>
                  <w:rStyle w:val="InternetLink"/>
                  <w:rFonts w:ascii="Times New Roman;sans-serif" w:hAnsi="Times New Roman;sans-serif"/>
                  <w:b w:val="false"/>
                  <w:strike w:val="false"/>
                  <w:dstrike w:val="false"/>
                  <w:color w:val="000000"/>
                  <w:sz w:val="20"/>
                  <w:u w:val="none"/>
                  <w:effect w:val="none"/>
                </w:rPr>
                <w:t>55</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2471">
              <w:r>
                <w:rPr>
                  <w:rStyle w:val="InternetLink"/>
                  <w:rFonts w:ascii="Times New Roman;sans-serif" w:hAnsi="Times New Roman;sans-serif"/>
                  <w:b w:val="false"/>
                  <w:color w:val="0000FF"/>
                  <w:sz w:val="20"/>
                  <w:u w:val="single"/>
                </w:rPr>
                <w:t>Cybersecurity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2471">
              <w:r>
                <w:rPr>
                  <w:rStyle w:val="InternetLink"/>
                  <w:rFonts w:ascii="Times New Roman;sans-serif" w:hAnsi="Times New Roman;sans-serif"/>
                  <w:b w:val="false"/>
                  <w:strike w:val="false"/>
                  <w:dstrike w:val="false"/>
                  <w:color w:val="000000"/>
                  <w:sz w:val="20"/>
                  <w:u w:val="none"/>
                  <w:effect w:val="none"/>
                </w:rPr>
                <w:t>55</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94">
              <w:r>
                <w:rPr>
                  <w:rStyle w:val="InternetLink"/>
                  <w:rFonts w:ascii="Times New Roman;sans-serif" w:hAnsi="Times New Roman;sans-serif"/>
                  <w:b w:val="false"/>
                  <w:strike w:val="false"/>
                  <w:dstrike w:val="false"/>
                  <w:color w:val="000000"/>
                  <w:sz w:val="20"/>
                  <w:u w:val="none"/>
                  <w:effect w:val="none"/>
                </w:rPr>
                <w:t>Item 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94">
              <w:r>
                <w:rPr>
                  <w:rStyle w:val="InternetLink"/>
                  <w:rFonts w:ascii="Times New Roman;sans-serif" w:hAnsi="Times New Roman;sans-serif"/>
                  <w:b w:val="false"/>
                  <w:color w:val="0000FF"/>
                  <w:sz w:val="20"/>
                  <w:u w:val="single"/>
                </w:rPr>
                <w:t>Properties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94">
              <w:r>
                <w:rPr>
                  <w:rStyle w:val="InternetLink"/>
                  <w:rFonts w:ascii="Times New Roman;sans-serif" w:hAnsi="Times New Roman;sans-serif"/>
                  <w:b w:val="false"/>
                  <w:strike w:val="false"/>
                  <w:dstrike w:val="false"/>
                  <w:color w:val="000000"/>
                  <w:sz w:val="20"/>
                  <w:u w:val="none"/>
                  <w:effect w:val="none"/>
                </w:rPr>
                <w:t>57</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97">
              <w:r>
                <w:rPr>
                  <w:rStyle w:val="InternetLink"/>
                  <w:rFonts w:ascii="Times New Roman;sans-serif" w:hAnsi="Times New Roman;sans-serif"/>
                  <w:b w:val="false"/>
                  <w:strike w:val="false"/>
                  <w:dstrike w:val="false"/>
                  <w:color w:val="000000"/>
                  <w:sz w:val="20"/>
                  <w:u w:val="none"/>
                  <w:effect w:val="none"/>
                </w:rPr>
                <w:t>Item 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97">
              <w:r>
                <w:rPr>
                  <w:rStyle w:val="InternetLink"/>
                  <w:rFonts w:ascii="Times New Roman;sans-serif" w:hAnsi="Times New Roman;sans-serif"/>
                  <w:b w:val="false"/>
                  <w:color w:val="0000FF"/>
                  <w:sz w:val="20"/>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97">
              <w:r>
                <w:rPr>
                  <w:rStyle w:val="InternetLink"/>
                  <w:rFonts w:ascii="Times New Roman;sans-serif" w:hAnsi="Times New Roman;sans-serif"/>
                  <w:b w:val="false"/>
                  <w:strike w:val="false"/>
                  <w:dstrike w:val="false"/>
                  <w:color w:val="000000"/>
                  <w:sz w:val="20"/>
                  <w:u w:val="none"/>
                  <w:effect w:val="none"/>
                </w:rPr>
                <w:t>57</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0">
              <w:r>
                <w:rPr>
                  <w:rStyle w:val="InternetLink"/>
                  <w:rFonts w:ascii="Times New Roman;sans-serif" w:hAnsi="Times New Roman;sans-serif"/>
                  <w:b w:val="false"/>
                  <w:strike w:val="false"/>
                  <w:dstrike w:val="false"/>
                  <w:color w:val="000000"/>
                  <w:sz w:val="20"/>
                  <w:u w:val="none"/>
                  <w:effect w:val="none"/>
                </w:rPr>
                <w:t>Item 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0">
              <w:r>
                <w:rPr>
                  <w:rStyle w:val="InternetLink"/>
                  <w:rFonts w:ascii="Times New Roman;sans-serif" w:hAnsi="Times New Roman;sans-serif"/>
                  <w:b w:val="false"/>
                  <w:color w:val="0000FF"/>
                  <w:sz w:val="20"/>
                  <w:u w:val="singl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00">
              <w:r>
                <w:rPr>
                  <w:rStyle w:val="InternetLink"/>
                  <w:rFonts w:ascii="Times New Roman;sans-serif" w:hAnsi="Times New Roman;sans-serif"/>
                  <w:b w:val="false"/>
                  <w:strike w:val="false"/>
                  <w:dstrike w:val="false"/>
                  <w:color w:val="000000"/>
                  <w:sz w:val="20"/>
                  <w:u w:val="none"/>
                  <w:effect w:val="none"/>
                </w:rPr>
                <w:t>57</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3">
              <w:r>
                <w:rPr>
                  <w:rStyle w:val="InternetLink"/>
                  <w:rFonts w:ascii="Times New Roman;sans-serif" w:hAnsi="Times New Roman;sans-serif"/>
                  <w:b/>
                  <w:strike w:val="false"/>
                  <w:dstrike w:val="false"/>
                  <w:color w:val="000000"/>
                  <w:sz w:val="20"/>
                  <w:u w:val="none"/>
                  <w:effect w:val="none"/>
                </w:rPr>
                <w:t>Part 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6">
              <w:r>
                <w:rPr>
                  <w:rStyle w:val="InternetLink"/>
                  <w:rFonts w:ascii="Times New Roman;sans-serif" w:hAnsi="Times New Roman;sans-serif"/>
                  <w:b w:val="false"/>
                  <w:strike w:val="false"/>
                  <w:dstrike w:val="false"/>
                  <w:color w:val="000000"/>
                  <w:sz w:val="20"/>
                  <w:u w:val="none"/>
                  <w:effect w:val="none"/>
                </w:rPr>
                <w:t>Item 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06">
              <w:r>
                <w:rPr>
                  <w:rStyle w:val="InternetLink"/>
                  <w:rFonts w:ascii="Times New Roman;sans-serif" w:hAnsi="Times New Roman;sans-serif"/>
                  <w:b w:val="false"/>
                  <w:strike w:val="false"/>
                  <w:dstrike w:val="false"/>
                  <w:color w:val="000000"/>
                  <w:sz w:val="20"/>
                  <w:u w:val="none"/>
                  <w:effect w:val="none"/>
                </w:rPr>
                <w:t>59</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9">
              <w:r>
                <w:rPr>
                  <w:rStyle w:val="InternetLink"/>
                  <w:rFonts w:ascii="Times New Roman;sans-serif" w:hAnsi="Times New Roman;sans-serif"/>
                  <w:b w:val="false"/>
                  <w:strike w:val="false"/>
                  <w:dstrike w:val="false"/>
                  <w:color w:val="000000"/>
                  <w:sz w:val="20"/>
                  <w:u w:val="none"/>
                  <w:effect w:val="none"/>
                </w:rPr>
                <w:t>Item 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9">
              <w:r>
                <w:rPr>
                  <w:rStyle w:val="InternetLink"/>
                  <w:rFonts w:ascii="Times New Roman;sans-serif" w:hAnsi="Times New Roman;sans-serif"/>
                  <w:b w:val="false"/>
                  <w:color w:val="0000FF"/>
                  <w:sz w:val="20"/>
                  <w:u w:val="single"/>
                </w:rPr>
                <w:t>[Reserved]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09">
              <w:r>
                <w:rPr>
                  <w:rStyle w:val="InternetLink"/>
                  <w:rFonts w:ascii="Times New Roman;sans-serif" w:hAnsi="Times New Roman;sans-serif"/>
                  <w:b w:val="false"/>
                  <w:strike w:val="false"/>
                  <w:dstrike w:val="false"/>
                  <w:color w:val="000000"/>
                  <w:sz w:val="20"/>
                  <w:u w:val="none"/>
                  <w:effect w:val="none"/>
                </w:rPr>
                <w:t>60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12">
              <w:r>
                <w:rPr>
                  <w:rStyle w:val="InternetLink"/>
                  <w:rFonts w:ascii="Times New Roman;sans-serif" w:hAnsi="Times New Roman;sans-serif"/>
                  <w:b w:val="false"/>
                  <w:strike w:val="false"/>
                  <w:dstrike w:val="false"/>
                  <w:color w:val="000000"/>
                  <w:sz w:val="20"/>
                  <w:u w:val="none"/>
                  <w:effect w:val="none"/>
                </w:rPr>
                <w:t>Item 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12">
              <w:r>
                <w:rPr>
                  <w:rStyle w:val="InternetLink"/>
                  <w:rFonts w:ascii="Times New Roman;sans-serif" w:hAnsi="Times New Roman;sans-serif"/>
                  <w:b w:val="false"/>
                  <w:strike w:val="false"/>
                  <w:dstrike w:val="false"/>
                  <w:color w:val="000000"/>
                  <w:sz w:val="20"/>
                  <w:u w:val="none"/>
                  <w:effect w:val="none"/>
                </w:rPr>
                <w:t>61</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24">
              <w:r>
                <w:rPr>
                  <w:rStyle w:val="InternetLink"/>
                  <w:rFonts w:ascii="Times New Roman;sans-serif" w:hAnsi="Times New Roman;sans-serif"/>
                  <w:b w:val="false"/>
                  <w:strike w:val="false"/>
                  <w:dstrike w:val="false"/>
                  <w:color w:val="000000"/>
                  <w:sz w:val="20"/>
                  <w:u w:val="none"/>
                  <w:effect w:val="none"/>
                </w:rPr>
                <w:t>Item 7A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24">
              <w:r>
                <w:rPr>
                  <w:rStyle w:val="InternetLink"/>
                  <w:rFonts w:ascii="Times New Roman;sans-serif" w:hAnsi="Times New Roman;sans-serif"/>
                  <w:b w:val="false"/>
                  <w:color w:val="0000FF"/>
                  <w:sz w:val="20"/>
                  <w:u w:val="single"/>
                </w:rPr>
                <w:t>Quantitative and Qualitative Disclosure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24">
              <w:r>
                <w:rPr>
                  <w:rStyle w:val="InternetLink"/>
                  <w:rFonts w:ascii="Times New Roman;sans-serif" w:hAnsi="Times New Roman;sans-serif"/>
                  <w:b w:val="false"/>
                  <w:strike w:val="false"/>
                  <w:dstrike w:val="false"/>
                  <w:color w:val="000000"/>
                  <w:sz w:val="20"/>
                  <w:u w:val="none"/>
                  <w:effect w:val="none"/>
                </w:rPr>
                <w:t>73</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1">
              <w:r>
                <w:rPr>
                  <w:rStyle w:val="InternetLink"/>
                  <w:rFonts w:ascii="Times New Roman;sans-serif" w:hAnsi="Times New Roman;sans-serif"/>
                  <w:b w:val="false"/>
                  <w:strike w:val="false"/>
                  <w:dstrike w:val="false"/>
                  <w:color w:val="000000"/>
                  <w:sz w:val="20"/>
                  <w:u w:val="none"/>
                  <w:effect w:val="none"/>
                </w:rPr>
                <w:t>Item 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1">
              <w:r>
                <w:rPr>
                  <w:rStyle w:val="InternetLink"/>
                  <w:rFonts w:ascii="Times New Roman;sans-serif" w:hAnsi="Times New Roman;sans-serif"/>
                  <w:b w:val="false"/>
                  <w:color w:val="0000FF"/>
                  <w:sz w:val="20"/>
                  <w:u w:val="single"/>
                </w:rPr>
                <w:t>Consolidated Financial Statements and Supplementary Data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1">
              <w:r>
                <w:rPr>
                  <w:rStyle w:val="InternetLink"/>
                  <w:rFonts w:ascii="Times New Roman;sans-serif" w:hAnsi="Times New Roman;sans-serif"/>
                  <w:b w:val="false"/>
                  <w:strike w:val="false"/>
                  <w:dstrike w:val="false"/>
                  <w:color w:val="000000"/>
                  <w:sz w:val="20"/>
                  <w:u w:val="none"/>
                  <w:effect w:val="none"/>
                </w:rPr>
                <w:t>74</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27">
              <w:r>
                <w:rPr>
                  <w:rStyle w:val="InternetLink"/>
                  <w:rFonts w:ascii="Times New Roman;sans-serif" w:hAnsi="Times New Roman;sans-serif"/>
                  <w:b w:val="false"/>
                  <w:strike w:val="false"/>
                  <w:dstrike w:val="false"/>
                  <w:color w:val="000000"/>
                  <w:sz w:val="20"/>
                  <w:u w:val="none"/>
                  <w:effect w:val="none"/>
                </w:rPr>
                <w:t>Item 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2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27">
              <w:r>
                <w:rPr>
                  <w:rStyle w:val="InternetLink"/>
                  <w:rFonts w:ascii="Times New Roman;sans-serif" w:hAnsi="Times New Roman;sans-serif"/>
                  <w:b w:val="false"/>
                  <w:strike w:val="false"/>
                  <w:dstrike w:val="false"/>
                  <w:color w:val="000000"/>
                  <w:sz w:val="20"/>
                  <w:u w:val="none"/>
                  <w:effect w:val="none"/>
                </w:rPr>
                <w:t>105</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30">
              <w:r>
                <w:rPr>
                  <w:rStyle w:val="InternetLink"/>
                  <w:rFonts w:ascii="Times New Roman;sans-serif" w:hAnsi="Times New Roman;sans-serif"/>
                  <w:b w:val="false"/>
                  <w:strike w:val="false"/>
                  <w:dstrike w:val="false"/>
                  <w:color w:val="000000"/>
                  <w:sz w:val="20"/>
                  <w:u w:val="none"/>
                  <w:effect w:val="none"/>
                </w:rPr>
                <w:t>Item 9A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30">
              <w:r>
                <w:rPr>
                  <w:rStyle w:val="InternetLink"/>
                  <w:rFonts w:ascii="Times New Roman;sans-serif" w:hAnsi="Times New Roman;sans-serif"/>
                  <w:b w:val="false"/>
                  <w:color w:val="0000FF"/>
                  <w:sz w:val="20"/>
                  <w:u w:val="singl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30">
              <w:r>
                <w:rPr>
                  <w:rStyle w:val="InternetLink"/>
                  <w:rFonts w:ascii="Times New Roman;sans-serif" w:hAnsi="Times New Roman;sans-serif"/>
                  <w:b w:val="false"/>
                  <w:strike w:val="false"/>
                  <w:dstrike w:val="false"/>
                  <w:color w:val="000000"/>
                  <w:sz w:val="20"/>
                  <w:u w:val="none"/>
                  <w:effect w:val="none"/>
                </w:rPr>
                <w:t>105</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28">
              <w:r>
                <w:rPr>
                  <w:rStyle w:val="InternetLink"/>
                  <w:rFonts w:ascii="Times New Roman;sans-serif" w:hAnsi="Times New Roman;sans-serif"/>
                  <w:b w:val="false"/>
                  <w:strike w:val="false"/>
                  <w:dstrike w:val="false"/>
                  <w:color w:val="000000"/>
                  <w:sz w:val="20"/>
                  <w:u w:val="none"/>
                  <w:effect w:val="none"/>
                </w:rPr>
                <w:t>Item 9B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28">
              <w:r>
                <w:rPr>
                  <w:rStyle w:val="InternetLink"/>
                  <w:rFonts w:ascii="Times New Roman;sans-serif" w:hAnsi="Times New Roman;sans-serif"/>
                  <w:b w:val="false"/>
                  <w:color w:val="0000FF"/>
                  <w:sz w:val="20"/>
                  <w:u w:val="singl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28">
              <w:r>
                <w:rPr>
                  <w:rStyle w:val="InternetLink"/>
                  <w:rFonts w:ascii="Times New Roman;sans-serif" w:hAnsi="Times New Roman;sans-serif"/>
                  <w:b w:val="false"/>
                  <w:strike w:val="false"/>
                  <w:dstrike w:val="false"/>
                  <w:color w:val="000000"/>
                  <w:sz w:val="20"/>
                  <w:u w:val="none"/>
                  <w:effect w:val="none"/>
                </w:rPr>
                <w:t>108</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72">
              <w:r>
                <w:rPr>
                  <w:rStyle w:val="InternetLink"/>
                  <w:rFonts w:ascii="Times New Roman;sans-serif" w:hAnsi="Times New Roman;sans-serif"/>
                  <w:b/>
                  <w:strike w:val="false"/>
                  <w:dstrike w:val="false"/>
                  <w:color w:val="000000"/>
                  <w:sz w:val="20"/>
                  <w:u w:val="none"/>
                  <w:effect w:val="none"/>
                </w:rPr>
                <w:t>Part III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75">
              <w:r>
                <w:rPr>
                  <w:rStyle w:val="InternetLink"/>
                  <w:rFonts w:ascii="Times New Roman;sans-serif" w:hAnsi="Times New Roman;sans-serif"/>
                  <w:b w:val="false"/>
                  <w:strike w:val="false"/>
                  <w:dstrike w:val="false"/>
                  <w:color w:val="000000"/>
                  <w:sz w:val="20"/>
                  <w:u w:val="none"/>
                  <w:effect w:val="none"/>
                </w:rPr>
                <w:t>Item 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75">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75">
              <w:r>
                <w:rPr>
                  <w:rStyle w:val="InternetLink"/>
                  <w:rFonts w:ascii="Times New Roman;sans-serif" w:hAnsi="Times New Roman;sans-serif"/>
                  <w:b w:val="false"/>
                  <w:strike w:val="false"/>
                  <w:dstrike w:val="false"/>
                  <w:color w:val="000000"/>
                  <w:sz w:val="20"/>
                  <w:u w:val="none"/>
                  <w:effect w:val="none"/>
                </w:rPr>
                <w:t>109</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78">
              <w:r>
                <w:rPr>
                  <w:rStyle w:val="InternetLink"/>
                  <w:rFonts w:ascii="Times New Roman;sans-serif" w:hAnsi="Times New Roman;sans-serif"/>
                  <w:b w:val="false"/>
                  <w:strike w:val="false"/>
                  <w:dstrike w:val="false"/>
                  <w:color w:val="000000"/>
                  <w:sz w:val="20"/>
                  <w:u w:val="none"/>
                  <w:effect w:val="none"/>
                </w:rPr>
                <w:t>Item 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78">
              <w:r>
                <w:rPr>
                  <w:rStyle w:val="InternetLink"/>
                  <w:rFonts w:ascii="Times New Roman;sans-serif" w:hAnsi="Times New Roman;sans-serif"/>
                  <w:b w:val="false"/>
                  <w:color w:val="0000FF"/>
                  <w:sz w:val="20"/>
                  <w:u w:val="single"/>
                </w:rPr>
                <w:t>Executive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78">
              <w:r>
                <w:rPr>
                  <w:rStyle w:val="InternetLink"/>
                  <w:rFonts w:ascii="Times New Roman;sans-serif" w:hAnsi="Times New Roman;sans-serif"/>
                  <w:b w:val="false"/>
                  <w:strike w:val="false"/>
                  <w:dstrike w:val="false"/>
                  <w:color w:val="000000"/>
                  <w:sz w:val="20"/>
                  <w:u w:val="none"/>
                  <w:effect w:val="none"/>
                </w:rPr>
                <w:t>109</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81">
              <w:r>
                <w:rPr>
                  <w:rStyle w:val="InternetLink"/>
                  <w:rFonts w:ascii="Times New Roman;sans-serif" w:hAnsi="Times New Roman;sans-serif"/>
                  <w:b w:val="false"/>
                  <w:strike w:val="false"/>
                  <w:dstrike w:val="false"/>
                  <w:color w:val="000000"/>
                  <w:sz w:val="20"/>
                  <w:u w:val="none"/>
                  <w:effect w:val="none"/>
                </w:rPr>
                <w:t>Item 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8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81">
              <w:r>
                <w:rPr>
                  <w:rStyle w:val="InternetLink"/>
                  <w:rFonts w:ascii="Times New Roman;sans-serif" w:hAnsi="Times New Roman;sans-serif"/>
                  <w:b w:val="false"/>
                  <w:strike w:val="false"/>
                  <w:dstrike w:val="false"/>
                  <w:color w:val="000000"/>
                  <w:sz w:val="20"/>
                  <w:u w:val="none"/>
                  <w:effect w:val="none"/>
                </w:rPr>
                <w:t>109</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84">
              <w:r>
                <w:rPr>
                  <w:rStyle w:val="InternetLink"/>
                  <w:rFonts w:ascii="Times New Roman;sans-serif" w:hAnsi="Times New Roman;sans-serif"/>
                  <w:b w:val="false"/>
                  <w:strike w:val="false"/>
                  <w:dstrike w:val="false"/>
                  <w:color w:val="000000"/>
                  <w:sz w:val="20"/>
                  <w:u w:val="none"/>
                  <w:effect w:val="none"/>
                </w:rPr>
                <w:t>Item 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8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84">
              <w:r>
                <w:rPr>
                  <w:rStyle w:val="InternetLink"/>
                  <w:rFonts w:ascii="Times New Roman;sans-serif" w:hAnsi="Times New Roman;sans-serif"/>
                  <w:b w:val="false"/>
                  <w:strike w:val="false"/>
                  <w:dstrike w:val="false"/>
                  <w:color w:val="000000"/>
                  <w:sz w:val="20"/>
                  <w:u w:val="none"/>
                  <w:effect w:val="none"/>
                </w:rPr>
                <w:t>109</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87">
              <w:r>
                <w:rPr>
                  <w:rStyle w:val="InternetLink"/>
                  <w:rFonts w:ascii="Times New Roman;sans-serif" w:hAnsi="Times New Roman;sans-serif"/>
                  <w:b w:val="false"/>
                  <w:strike w:val="false"/>
                  <w:dstrike w:val="false"/>
                  <w:color w:val="000000"/>
                  <w:sz w:val="20"/>
                  <w:u w:val="none"/>
                  <w:effect w:val="none"/>
                </w:rPr>
                <w:t>Item 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87">
              <w:r>
                <w:rPr>
                  <w:rStyle w:val="InternetLink"/>
                  <w:rFonts w:ascii="Times New Roman;sans-serif" w:hAnsi="Times New Roman;sans-serif"/>
                  <w:b w:val="false"/>
                  <w:color w:val="0000FF"/>
                  <w:sz w:val="20"/>
                  <w:u w:val="single"/>
                </w:rPr>
                <w:t>Principal Accountant Fees and Services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87">
              <w:r>
                <w:rPr>
                  <w:rStyle w:val="InternetLink"/>
                  <w:rFonts w:ascii="Times New Roman;sans-serif" w:hAnsi="Times New Roman;sans-serif"/>
                  <w:b w:val="false"/>
                  <w:strike w:val="false"/>
                  <w:dstrike w:val="false"/>
                  <w:color w:val="000000"/>
                  <w:sz w:val="20"/>
                  <w:u w:val="none"/>
                  <w:effect w:val="none"/>
                </w:rPr>
                <w:t>109</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90">
              <w:r>
                <w:rPr>
                  <w:rStyle w:val="InternetLink"/>
                  <w:rFonts w:ascii="Times New Roman;sans-serif" w:hAnsi="Times New Roman;sans-serif"/>
                  <w:b/>
                  <w:strike w:val="false"/>
                  <w:dstrike w:val="false"/>
                  <w:color w:val="000000"/>
                  <w:sz w:val="20"/>
                  <w:u w:val="none"/>
                  <w:effect w:val="none"/>
                </w:rPr>
                <w:t>Part IV</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99">
              <w:r>
                <w:rPr>
                  <w:rStyle w:val="InternetLink"/>
                  <w:rFonts w:ascii="Times New Roman;sans-serif" w:hAnsi="Times New Roman;sans-serif"/>
                  <w:b w:val="false"/>
                  <w:strike w:val="false"/>
                  <w:dstrike w:val="false"/>
                  <w:color w:val="000000"/>
                  <w:sz w:val="20"/>
                  <w:u w:val="none"/>
                  <w:effect w:val="none"/>
                </w:rPr>
                <w:t>Item 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99">
              <w:r>
                <w:rPr>
                  <w:rStyle w:val="InternetLink"/>
                  <w:rFonts w:ascii="Times New Roman;sans-serif" w:hAnsi="Times New Roman;sans-serif"/>
                  <w:b w:val="false"/>
                  <w:color w:val="0000FF"/>
                  <w:sz w:val="20"/>
                  <w:u w:val="single"/>
                </w:rPr>
                <w:t>Exhibits and Financial Statement Schedules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99">
              <w:r>
                <w:rPr>
                  <w:rStyle w:val="InternetLink"/>
                  <w:rFonts w:ascii="Times New Roman;sans-serif" w:hAnsi="Times New Roman;sans-serif"/>
                  <w:b w:val="false"/>
                  <w:strike w:val="false"/>
                  <w:dstrike w:val="false"/>
                  <w:color w:val="000000"/>
                  <w:sz w:val="20"/>
                  <w:u w:val="none"/>
                  <w:effect w:val="none"/>
                </w:rPr>
                <w:t>110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502">
              <w:r>
                <w:rPr>
                  <w:rStyle w:val="InternetLink"/>
                  <w:rFonts w:ascii="Times New Roman;sans-serif" w:hAnsi="Times New Roman;sans-serif"/>
                  <w:b w:val="false"/>
                  <w:color w:val="0000FF"/>
                  <w:sz w:val="20"/>
                  <w:u w:val="single"/>
                </w:rPr>
                <w:t>Form 10-K Summary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502">
              <w:r>
                <w:rPr>
                  <w:rStyle w:val="InternetLink"/>
                  <w:rFonts w:ascii="Times New Roman;sans-serif" w:hAnsi="Times New Roman;sans-serif"/>
                  <w:b w:val="false"/>
                  <w:strike w:val="false"/>
                  <w:dstrike w:val="false"/>
                  <w:color w:val="000000"/>
                  <w:sz w:val="20"/>
                  <w:u w:val="none"/>
                  <w:effect w:val="none"/>
                </w:rPr>
                <w:t>113</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505">
              <w:r>
                <w:rPr>
                  <w:rStyle w:val="InternetLink"/>
                  <w:rFonts w:ascii="Times New Roman;sans-serif" w:hAnsi="Times New Roman;sans-serif"/>
                  <w:b w:val="false"/>
                  <w:color w:val="0000FF"/>
                  <w:sz w:val="20"/>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505">
              <w:r>
                <w:rPr>
                  <w:rStyle w:val="InternetLink"/>
                  <w:rFonts w:ascii="Times New Roman;sans-serif" w:hAnsi="Times New Roman;sans-serif"/>
                  <w:b w:val="false"/>
                  <w:strike w:val="false"/>
                  <w:dstrike w:val="false"/>
                  <w:color w:val="000000"/>
                  <w:sz w:val="20"/>
                  <w:u w:val="none"/>
                  <w:effect w:val="none"/>
                </w:rPr>
                <w:t>114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76" w:before="0" w:after="0"/>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for the fiscal year ended December 31, 2023,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including business forecasts and plans, research and product development plans, manufacturing plans, strategic plans and objectives, capital needs and financing plans, product launches, regulatory approvals, the impact of changes in the competitive environment, cybersecurity threats, macroeconomic pressures or uncertainties and the application of accounting guidance. We caution you that the foregoing list may not include all of the forward-looking statements made in this Annual Report.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We qualify all of our forward-looking statements by these cautionary statements.</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90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under the heading “Risk Factors” in Part I, Item 1A of this Annual Report, and should be carefully considered, together with other information in this Annual Report, before making investment decisions regarding our securities.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incurred significant operating losses since inception and cannot assure you that we will</w:t>
      </w:r>
      <w:r>
        <w:rPr>
          <w:color w:val="000000"/>
        </w:rPr>
        <w:t xml:space="preserve"> </w:t>
      </w:r>
      <w:r>
        <w:rPr>
          <w:rFonts w:ascii="Times New Roman;sans-serif" w:hAnsi="Times New Roman;sans-serif"/>
          <w:b w:val="false"/>
          <w:color w:val="000000"/>
          <w:sz w:val="20"/>
        </w:rPr>
        <w:t>achieve sustained profitability.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maintain and grow our revenue depends in part on retaining a high percentage of our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Competing products, therapeutic techniques or other technological developments and breakthroughs for the monitoring, treatment or prevention of diabetes may render our products obsolete or less desirable.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secure or retain adequate coverage or reimbursement for our current products and our potential future products by third-party payors could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Any concerns regarding the safety or efficacy of our products could limit sales and cause unforeseen negative effects to our business prospects and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sales and marketing efforts are dependent on independent distributors who are free to market products that compete with our products. If we are unable to maintain or expand our network of independent distributors, our sales may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Macroeconomic Conditions and External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Uncertainty in current global economic and political conditions could adversely affect our ability to predict product demand and impact our financial results and makes it more likely that our actual results could differ materially from expectations.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Climate change or other extreme weather conditions and related regulations may have a long-term impact on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Future Financings and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need to raise additional funds in the future and if we are unable to raise additional funds when necessary or desirable, we may not be able to achieve our strategic objectives.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operating results may fluctuate significantly from quarter to quarter.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our information technology systems or those third parties upon which we rely,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Legal and Intellectual Property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comprehensively protect our intellectual property and proprietary technology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recall or suspension of our products, or the discovery of serious safety issues with our products, could have a significant negative impact on us.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price of our common stock may continue to fluctuate significantly.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use our net operating loss carryforwards and certain other tax attributes may be limited.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Servicing the Notes will require a significant amount of cash, and we may not have sufficient cash flow from our business to repay the Notes.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take actions which could limit our ability to make payments on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References within this Annual Report to “Tandem,” “we,” “our,” “us,” “management,” or the “Company” refer to Tandem Diabetes Care, Inc., together with its wholly-owned subsidiaries in the United States, Canada, the Netherlands, and Switzerland.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Tandem Diabetes Care, a global insulin delivery and diabetes technology company, manufactures and sells advanced automated insulin delivery systems that reduce the burden of diabetes management, while creating new possibilities for patients, their loved ones, and healthcare providers. Our pump portfolio features the Tandem Mobi system and the t:slim X2 insulin pump, both of which feature Control-IQ advanced hybrid closed-loop technology. We are based in San Diego, California.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primary addressable market to be people who live with type 1 diabetes. Through our product development efforts, we are seeking to expand our addressable market to include people living with type 2 diabetes who require intensive insulin therapy. Diabetes management can vary greatly from person to person, creating multiple market segments based on clinical needs and personal preferences. Our goal is to address the individual needs of people with insulin-dependent diabetes and their care team flexibility and choice in intelligent insulin delivery systems through an accessible portfolio of market-leading pumps, applications, and insights.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t:slim X2 Insulin Delivery System has been our flagship technology solution. In February 2024, we expanded our pump portfolio with the U.S. launch of Tandem Mobi. Both pumps feature our Control-IQ advanced hybrid closed loop technology, with an automated insulin delivery (AID) feature designed to help increase a user's time in targeted glycemic range. Our t:slim X2 and Tandem Mobi pumps can be used with a variety of infusion sets to offer patients choice in how and where their pump is worn. In addition, they are software updatable from a personal computer and compatible with our web-based data management application.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four-year period ended December 31, 2023, we shipped approximately 450,000 insulin pumps, which is representative of our in-warranty global installed customer base assuming the typical four-year reimbursement cycle. Approximately 310,000 pumps were shipped to customers in the United States and 140,000 were shipped to customers outside the United States.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Diabetes and the Insulin Therapy Management Market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Diabetes is a chronic, life-threatening disease for which there is no known cure. It is typically classified as either /type 1 or type 2:</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Type 1 diabetes is characterized by the body’s nearly complete inability to produce insulin. It is frequently diagnosed as an acute event during childhood or adolescence. Individuals with type 1 diabetes require intensive insulin therapy to survive.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Type 2 diabetes is characterized by the body’s inability to either properly use insulin or produce enough insulin. It’s a progressive condition, and a person in the advanced stages of living with type 2 diabetes often requires intensive insulin therapy. The Center for Disease Control and Prevention estimates Type 2 accounts for 90-95% of diagnosed diabetes in adults in the United States.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addressable market to be people diagnosed with diabetes who are living with either type 1 diabetes, or with type 2 diabetes who require intensive insulin therapy. Throughout this Annual Report, we refer to these individuals as people with insulin-dependent diabetes. In the geographies we serve, we estimate about 5 million people live with type 1 diabetes of whom, 1.9 million reside in the United States. We estimate approximately 2 million people in the United States live with type 2 diabetes and require intensive insulin therapy.</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Diabetes can be difficult for patients to manage. Unlike most therapies, insulin requirements can vary greatly and can be affected by many factors, such as type or quantity of food eaten, illness, stress and exercise. Preventing and</w:t>
      </w:r>
      <w:r>
        <w:rPr>
          <w:color w:val="000000"/>
        </w:rPr>
        <w:t xml:space="preserve"> </w:t>
      </w:r>
      <w:r>
        <w:rPr>
          <w:rFonts w:ascii="Times New Roman;sans-serif" w:hAnsi="Times New Roman;sans-serif"/>
          <w:b w:val="false"/>
          <w:color w:val="000000"/>
          <w:sz w:val="20"/>
        </w:rPr>
        <w:t xml:space="preserve">managing fluctuations in blood glucose levels between hypoglycemia, or low blood glucose levels, and hyperglycemia, or high blood glucose levels, is often time consuming and stressful to people with diabetes and their loved 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There are two primary therapies used by people with insulin-dependent diabetes, Multiple Daily Injection (MDI) and insulin pumps. Insulin pumps are intended to more closely resemble the physiologic function of a healthy pancreas and use rapid-acting insulin to fulfill both mealtime (bolus) and background (basal) requirements. Insulin pump systems are most commonly comprised of a programmable, durable device, a single-use cartridge filled with insulin by the user, and a single-use infusion set to administer insulin into the person’s body. This system is typically known as a durable pump and the device itself is expected to last for multiple years. By comparison, there are also disposable pumps which combine the pump mechanism, battery and electronics with the cartridge and infusion set into a body-worn patch. These pumps are entirely disposed of by the user every 3 days.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More than 1.3 million people worldwide are estimated to use an insulin pump to manage their diabetes. We estimate that approximately 800,000 people in the United States use an insulin pump, of whom approximately 90% live with type 1 diabetes. In addition, we estimate that approximately 500,000 people use an insulin pump in approximately 25 countries outside the United States in which our insulin pump is available.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Insulin pump therapy can provide benefit to a person with insulin-dependent diabetes when used independently or in conjunction with continuous glucose monitoring (CGM), which is a technology that provides users with real-time access to their glucose levels as well as trend information. In addition, insulin pumps may feature an AID algorithm that is designed to automatically adjust a person’s insulin delivery based on their CGM trends and other factors to help minimize the frequency and/or duration of hyperglycemic and/or hypoglycemic events. The American Diabetes Association Standards of Care state that diabetes devices should be offered to people with diabetes. It also states that AID systems are preferred over non-automated pumps and MDI, and should be offered for diabetes management to youth and adults with type 1 diabetes.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Technology: Improving the Lives of People with Insulin-Dependent Diabetes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try to meet the specific demands of people living with diabetes. This multi-step approach has resulted in products that provide users with the distinct features and functionality they seek and in a manner that makes the features usable and intuitive.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insulin pumps are generally considered durable medical equipment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launched our flagship t:slim platform in August 2012, and its next generation, the t:slim X2, in October 2016. In February 2024, we expanded our offerings with the commercial availability of Tandem Mobi in the United States. Both pumps are fully detachable, offer Bluetooth connectivity and can be used as part of an automated insulin delivery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before="200" w:after="283"/>
        <w:ind w:left="0" w:right="0" w:firstLine="900"/>
        <w:jc w:val="left"/>
        <w:rPr/>
      </w:pPr>
      <w:r>
        <w:rPr/>
      </w:r>
    </w:p>
    <w:p>
      <w:pPr>
        <w:pStyle w:val="TextBody"/>
        <w:bidi w:val="0"/>
        <w:spacing w:before="200" w:after="283"/>
        <w:jc w:val="center"/>
        <w:rPr/>
      </w:pPr>
      <w:r>
        <w:rPr/>
      </w:r>
    </w:p>
    <w:p>
      <w:pPr>
        <w:pStyle w:val="TextBody"/>
        <w:bidi w:val="0"/>
        <w:spacing w:before="200" w:after="283"/>
        <w:ind w:left="0" w:right="0" w:firstLine="900"/>
        <w:jc w:val="left"/>
        <w:rPr/>
      </w:pPr>
      <w:r>
        <w:rPr/>
      </w:r>
    </w:p>
    <w:tbl>
      <w:tblPr>
        <w:tblW w:w="8940" w:type="dxa"/>
        <w:jc w:val="left"/>
        <w:tblInd w:w="0" w:type="dxa"/>
        <w:tblLayout w:type="fixed"/>
        <w:tblCellMar>
          <w:top w:w="28" w:type="dxa"/>
          <w:left w:w="28" w:type="dxa"/>
          <w:bottom w:w="28" w:type="dxa"/>
          <w:right w:w="28" w:type="dxa"/>
        </w:tblCellMar>
      </w:tblPr>
      <w:tblGrid>
        <w:gridCol w:w="994"/>
        <w:gridCol w:w="873"/>
        <w:gridCol w:w="877"/>
        <w:gridCol w:w="109"/>
        <w:gridCol w:w="109"/>
        <w:gridCol w:w="109"/>
        <w:gridCol w:w="748"/>
        <w:gridCol w:w="748"/>
        <w:gridCol w:w="750"/>
        <w:gridCol w:w="109"/>
        <w:gridCol w:w="109"/>
        <w:gridCol w:w="109"/>
        <w:gridCol w:w="965"/>
        <w:gridCol w:w="965"/>
        <w:gridCol w:w="1366"/>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71600" cy="18954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371600" cy="18954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9775" cy="13144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009775" cy="1314450"/>
                          </a:xfrm>
                          <a:prstGeom prst="rect">
                            <a:avLst/>
                          </a:prstGeom>
                        </pic:spPr>
                      </pic:pic>
                    </a:graphicData>
                  </a:graphic>
                </wp:inline>
              </w:drawing>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Key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Tandem Mobi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t:slim X2</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Size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x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2.0” x 3.1”</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Control-IQ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Remote Software Updates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On-body Wear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Smartphone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Mobile Bolus</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Insulin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 units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Integrated Color Touchscreen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 Button for Bolus Delivery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t:slim X2 and Tandem Mobi pumps feature our Control-IQ advanced hybrid closed loop technology. This AID feature is designed to help increase a user's time in targeted glycemic range (70-180 mg/dL), and is used by the majority of our customers worldwide. Control-IQ was the first AID algorithm cleared by the FDA to deliver automatic correction boluses in addition to adjusting basal insulin to help prevent high and low blood sugar. Control-IQ technology offers optional settings for sleep and exercise activities that adjust the algorithm parameters to better match the different physiological needs during these activities. Results from three independent pivotal studies using Control-IQ technology were published in the New England Journal of Medicine in October 2019, August 2020 and March 2023.</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AID systems, we offer pump integration with multiple CGM sensors, which helps provide customizable solutions for people living with diabetes. The Dexcom G7 sensor is the fourth generation of Dexcom’s CGM that we have integrated with our pump technology since 2015. We began offering our t:slim X2 pump integrated with the Dexcom G7 sensor in the United States in December 2023 and outside the United States in January 2024. In addition, in January 2024 we announced that our t:slim X2 insulin pump with Control-IQ technology is the first AID system to integrate with the Abbott FreeStyle Libre 2 Plus sensor. Our extensive experience in CGM integration, and efforts to continue expanding the available CGM sensors integrated with our pump portfolio, represents our commitment to provide customizable solutions to help reduce burden and create new possibilities for people living with diabetes.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Tandem Device Updater</w:t>
      </w:r>
      <w:r>
        <w:rPr>
          <w:color w:val="000000"/>
        </w:rPr>
        <w:t xml:space="preserv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tool allows our pump users to update their pump software quickly and easily from a personal computer. It is PC- and Mac- compatible and designed to work with our pumps in a manner similar to software updates on a smartphone. We have used this technology to offer our in-warranty t:slim X2 customers worldwide software updates at no cost. </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Tandem Source</w:t>
      </w:r>
      <w:r>
        <w:rPr>
          <w:color w:val="000000"/>
        </w:rPr>
        <w:t xml:space="preserv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web-based data management platform provides users, their caregivers and their healthcare providers with a fast, easy and visual way to display diabetes therapy management data from our pumps, integrated CGMs and supported blood glucose meters. It also provides us with data that we can analyze to reveal patterns, trends, outcomes and associations that can be used to improve our products and in the analysis of clinical outcomes data. Tandem Source is designed to bring together the features of Tandem’s legacy t:connect, t:connect HCP, and t:connect Portal offerings with new comprehensive data reporting in one central, scalable platform. It offers automatic data transfers from pumps using the t:connect mobile app to keep online data current and remove the need for manual pump uploads.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Sugarmate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Sugarmate is a mobile app that is designed to help people visualize diabetes therapy data in innovative ways. It allows users to log glucose data and health and nutrition information, and can provide notifications and alerts to users, their family, and their caregivers.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Strategy &amp; Future Technologies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Diabetes management can vary greatly from person-to-person, creating multiple market segments based on clinical needs and personal preferences. Our goal is to address the individual needs of people with insulin-dependent diabetes and their care team flexibility and choice in intelligent insulin delivery systems, through an accessible portfolio of market-leading pumps, applications, and insights.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support of this strategy, our portfolio of future technologies includes: </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t:slim X3</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Advancing our flagship t:slim platform, the t:slim X3 is planned to include enhanced technology, such as greater processing power and capacity to support our advanced algorithms, as well as increased battery life and improved durability.</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Mobi: Tubeless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This offering is intended to provide an alternative tubeless infusion site option for Tandem Mobi pump users. It will allow a Tandem Mobi pump to be worn completely on the user’s body with no tubing. A goal of this design is to allow people living with diabetes to customize the way they wear their pump with each cartridge change, switching between tubed and tubeless wear configurations, to best suit their personal preferences and lifestyle.</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Sigi</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ergonomic, rechargeable Sigi Patch Pump is intended to reduce the burden of managing diabetes through its use of pre-filled insulin cartridges and compatibility with AID technology.</w:t>
      </w:r>
    </w:p>
    <w:p>
      <w:pPr>
        <w:pStyle w:val="TextBody"/>
        <w:bidi w:val="0"/>
        <w:spacing w:lineRule="auto" w:line="256"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Extended Wear Infusion Sets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Infusion sets provide additional choice and flexibility to people living with diabetes. Our goals for infusion set innovations focus on solutions that extend wear time and enhance user experience, while reducing occlusions, body burden and waste. In support of this effort, unique extended wear infusion set technology is expected to be part of our future portfolio.</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Control-IQ Advancements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continuing to drive innovation in our algorithms, emphasizing automation, personalization and simplification to continue to improve therapeutic outcomes and provide a positive patient experience. In 2023, we began a pivotal study to support expanding indications to include people living with type 2 diabetes. In late 2023, our Control-IQ technology was cleared with additional features for people with type 1 diabetes age 2 and older. We are also researching the use of different insulins with our Control-IQ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Markets and Distribution Methods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solutions are now available in the following 25 countries: </w:t>
      </w:r>
    </w:p>
    <w:p>
      <w:pPr>
        <w:pStyle w:val="TextBody"/>
        <w:bidi w:val="0"/>
        <w:spacing w:before="0" w:after="0"/>
        <w:ind w:left="0" w:right="0" w:firstLine="900"/>
        <w:jc w:val="left"/>
        <w:rPr/>
      </w:pPr>
      <w:r>
        <w:rPr/>
      </w:r>
    </w:p>
    <w:tbl>
      <w:tblPr>
        <w:tblW w:w="6119" w:type="dxa"/>
        <w:jc w:val="left"/>
        <w:tblInd w:w="0" w:type="dxa"/>
        <w:tblLayout w:type="fixed"/>
        <w:tblCellMar>
          <w:top w:w="28" w:type="dxa"/>
          <w:left w:w="28" w:type="dxa"/>
          <w:bottom w:w="28" w:type="dxa"/>
          <w:right w:w="28" w:type="dxa"/>
        </w:tblCellMar>
      </w:tblPr>
      <w:tblGrid>
        <w:gridCol w:w="515"/>
        <w:gridCol w:w="451"/>
        <w:gridCol w:w="458"/>
        <w:gridCol w:w="280"/>
        <w:gridCol w:w="280"/>
        <w:gridCol w:w="281"/>
        <w:gridCol w:w="388"/>
        <w:gridCol w:w="388"/>
        <w:gridCol w:w="393"/>
        <w:gridCol w:w="388"/>
        <w:gridCol w:w="388"/>
        <w:gridCol w:w="394"/>
        <w:gridCol w:w="442"/>
        <w:gridCol w:w="442"/>
        <w:gridCol w:w="631"/>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Bahamas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France </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South Africa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bl>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Canada, we employ direct sales, customer support, and clinical teams. We also partner with independent distributors for order fulfillment. Outside the United States and Canada, we contract with distributors who have substantial responsibility for sales, customer support, clinical efforts and order fulfillment.</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Revenue Concentrations and Significant Customers. </w:t>
      </w:r>
      <w:r>
        <w:rPr>
          <w:rFonts w:ascii="Times New Roman;sans-serif" w:hAnsi="Times New Roman;sans-serif"/>
          <w:b w:val="false"/>
          <w:color w:val="000000"/>
          <w:sz w:val="20"/>
        </w:rPr>
        <w:t xml:space="preserve">A small number of independent distributors in the United States and Canada are responsible for order fulfillment. We believe these distributors carry minimal inventory at any given time. Outside the United States and Canada, there may be variability in inventory levels among our distributors, particularly when they first begin product sales or surrounding the launch of new products. For the year ended December 31, 2023, two independent distributors each accounted for more than 10% of our worldwide sales.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Third-Party Reimbursement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customer orders are typically fulfilled by billing third-party payors on behalf of our customers, or by using our network of distributors who then bill third-party payors on our customers’ behalf. Typically, customers are eligible for insurance reimbursement for the purchase of a new insulin pump once every four years. However, some plans may be limited to once every five years or have additional restrictions or requirements. Insurance reimbursement processes outside the United States vary by geography.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accredited by the Community Health Accreditation Program and are an approved Medicare provider. We enter into contracts with national and regional third-party payors to establish reimbursement for our insulin pump products, single-use insulin cartridges and other related supplies. If we are not contracted with a prospective customer’s third-party payor and in-network status cannot be otherwise obtained, then to the extent possible we use distribution channels so our customers’ orders can be serviced. While we have been working to increase our sales in the United States through our direct third-party payor contracts, the percentage is currently less than half of total sales. A third-party payor’s decision to provide coverage for a product does not imply that an adequate reimbursement rate will be approved. Further, coverage policies and third-party reimbursement rates may change at any time. Even if favorable coverage and reimbursement status is attained, less favorable coverage policies and reimbursement rates may be implemented in the future. Outside of the United States and Canada, our distribution partners are responsible for all reimbursement, tender application and fulfillment activities.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 and Quality Assurance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t:slim X2 pumps, and Tandem Mobi pumps and cartridges, are currently assembled, tested, and packaged at our facilities in San Diego, California. Our t:slim X2 cartridges are manufactured by an experienced third-party contract manufacturer and packaged at our facilities in San Diego.</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Outside suppliers are the source for components and some sub-assemblies in the production of our insulin pumps and cartridges. In addition, we purchase all of our currently marketed infusion sets from a third-party supplier, Unomedical A/S, a subsidiary of the ConvaTec Group. Unomedical is responsible for all manufacturing, testing, sterilization and packaging of the infusion sets under our brands. Any sole and single source supplier is managed through our supplier management program that is focused on reducing supply chain risk. Certain of our suppliers are evaluated, approved and monitored periodically by our quality department to ensure conformity with the specifications, policies and procedures applicable to our devices. Members of our quality department also inspect certain of our devices at various steps during the manufacturing cycle to facilitate compliance with our devices’ stringent specifications.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our raw materials and select components used in the manufacturing of our products from external suppliers. We purchase some supplies from a single or limited number of sources for reasons of proprietary know-how, quality assurance, cost-effectiveness, or constraints resulting from regulatory requirements. We work closely with our suppliers to help ensure continuity of supply while maintaining high quality and reliability. However, due to required medical device manufacturing qualification requirements, we may not be able to quickly establish additional or replacement sources. In the case of sole sourced parts, we manage risk through holding inventory in-house and at the supplier to ensure continuity of supply and lower risk of disruption. We purchase many of our components and sub-assemblies from manufacturers with whom we are at least dual sourced. We work closely with all suppliers to ensure continuity of supply while maintaining high quality and reliability.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certification from BSI Group, a Notified Body to the International Standards Organization (ISO), of our quality system. A Notified Body is an entity that has been designated and accredited by the national competent authority of an EU Member State in accordance with applicable EU legislation to perform third-party conformity assessment activities including calibration, testing, certification and inspection of a medical device. Certain processes used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certain corresponding state agencies, and Notified Bodies and foreign regulatory authorities.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patent portfolio includes numerous issued patents and pending patent applications in the U.S. and other countries, which in the aggregate, we believe to be important to our business. Patents are generally effective for 20 years from the date the earliest application was filed in the patent family, and in some cases may be extended. Our issued patents as of December 31, 2023 are set to expire over a range of years, from 2024 to 2042, subject to any extensions. We also have various registered U.S. trademarks, registered European Community trademarks, and other trademark registrations and pending trademark applications in other countries and regions of the world. In addition, we have entered into exclusive and non-exclusive licenses in the ordinary course of business relating to a wide array of technologies or other intellectual property rights or assets.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patents and patent applications seek to protect aspects of key features of our pumps, cartridges, algorithms and pump systems. We believe that our patent position provides us with sufficient rights to protect our current and proposed commercial products. However, our patent applications may not result in issued patents, and any patents that have been issued or might be issued may not protect our intellectual property rights. Furthermore, we operate in an industry characterized by extensive patent litigation, and our patents may not be upheld if challenged. Any patents issued to us may be challenged by third parties as being invalid or unenforceable, and patent litigation may result in significant damage awards and injunctions that could prevent the manufacture and sale of affected products or result in significant royalty payments to continue selling the products. Third parties may also independently develop similar or competing technology that avoids our patents. The steps we have taken may not prevent the misappropriation of our intellectual property, particularly in foreign countries where the laws may not protect our proprietary rights as fully as in the United States. We also face risks associated with intellectual property infringement.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technical know-how and continuing innovation to develop and maintain our competitive position. We seek to protect our proprietary information and other intellectual property by generally requiring our employees, consultants, contractors, suppliers, outside scientific collaborators and other advisors to execute non-disclosure and assignment of invention agreements at the start of their employment or engagement. Agreements with our employees also forbid them from bringing the proprietary rights of third parties to us. We also generally require confidentiality or material transfer agreements from third parties that receive our confidential data or materials. We cannot guarantee that employees and third parties will abide by the confidentiality or assignment terms of these agreements. Despite measures taken to protect our intellectual property, unauthorized parties might copy aspects of our products or obtain and use information that we regard as proprietary.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intensely competitive, subject to rapid change and highly sensitive to the introduction of new products, treatment techniques or technologies, or other market activities of industry participants. We compete in markets worldwide with companies that manufacture insulin delivery devices, primarily Insulet, Medtronic and Ypsomed. There are also a number of other companies developing and marketing their own insulin delivery systems and/or related software applications for launch both in the U.S. market and outside the U.S., including insulin pumps and Bluetooth-enabled insulin pens to support MDI therapy. 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200" w:after="283"/>
        <w:ind w:left="0" w:right="0" w:firstLine="9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Regulation of Medical Devices in the United States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medical devices subject to extensive regulation by the FDA in the United States, corresponding state regulatory authorities and other regulatory bodies in other countries. Each new or significantly modified medical device we seek to commercially distribute in the United States will require either a pre-market notification under Section 510(k) of the U.S. Federal Food, Drug and Cosmetic Act (FDCA), also referred to as a 510(k) clearance, or approval from the FDA through the premarket approval (PMA) process. We have obtained clearance on multiple devices in both Class II and Class III, including Control IQ, the tslim:X2 and Tandem Mobi.</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510(k) Clearance</w:t>
      </w:r>
      <w:r>
        <w:rPr>
          <w:rFonts w:ascii="Times New Roman;sans-serif" w:hAnsi="Times New Roman;sans-serif"/>
          <w:b w:val="false"/>
          <w:color w:val="000000"/>
          <w:sz w:val="20"/>
        </w:rPr>
        <w:t>. To obtain 510(k) clearance for any of our potential future devices (or for certain modifications to devices that have previously received 510(k) clearance), we must submit a pre-market notification demonstrating that the proposed device is substantially equivalent to a previously cleared 510(k) device. The FDA’s 510(k) clearance pathway generally takes three to 12 months from the date the application is completed but can take significantly longer. A 510(k) application must be supported by extensive data, including technical information, labeling, human factors data and potentially clinical data to meet any Special Controls. After a medical device receives 510(k) clearance, any modification that could significantly affect its safety or effectiveness, or that would constitute a significant change in its intended use, requires a new 510(k) clearance or, depending on the modification, could require a PMA application. The FDA requires each manufacturer to make this determination initially, but if the FDA disagrees with a manufacturer’s determination, the FDA can require the manufacturer to cease marketing and/or recall the modified device until 510(k) clearance or PMA is obtained and assess significant regulatory fines or penalties for failure to submit the requisite 510(k) or PMA application(s).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There are three Class II categories classified by the FDA for the interoperability of devices as a complete AID system that are intended to help support continued rapid innovation by streamlining the regulatory pathway for integrated products approved by the FDA. In June 2018, our t:slim X2 was the first insulin pump designated by the FDA as compatible with integrated continuous glucose monitoring (iCGM) devices. In February 2019, we received FDA approval of our de novo application to classify the t:slim X2 to a Class II device, under the new insulin pump classification referred to as Alternate Controller Enabled Infusion Pumps (ACE pumps). In December 2019, we received FDA approval of our de novo application to classify our Control-IQ technology as the first automated insulin dosing software in a new interoperable automated glycemic controller (iAGC) category that automatically adjusts insulin delivery to a person with type 1 diabetes age 6 and older by connecting to an ACE pump and iCGM. In November 2023, our Control-IQ technology was cleared with additional features for people with type 1 diabetes age 2 and older. In connection with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applications for both the ACE pump and the iAGC category, the FDA established certain special controls that we will need to continue to satisfy. If we are not able to satisfy those special controls, we would be required to seek approval for those products under the traditional PMA submission application, which must be supported by valid scientific evidence that typically includes extensive technical, pre-clinical, clinical, manufacturing and labeling data to demonstrate to the FDA’s satisfaction the safety and efficacy of the device.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typically required to support a PMA application and are sometimes required for a 510(k) clearance. We anticipate that most of our future AID offerings will require supporting clinical data, either from clinical trials or potentially from evidence that we are able to collect through real-world use of our products. These trials generally require submission of an application for an Investigational Device Exemption (IDE), to the FDA.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sponsoring or supporting several clinical trials that are intended to support future enhancements to our AID products. </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Other Regulatory Requirements. </w:t>
      </w:r>
      <w:r>
        <w:rPr>
          <w:rFonts w:ascii="Times New Roman;sans-serif" w:hAnsi="Times New Roman;sans-serif"/>
          <w:b w:val="false"/>
          <w:color w:val="000000"/>
          <w:sz w:val="20"/>
        </w:rPr>
        <w:t>Even after a device receives clearance or approval and is placed in commercial distribution, numerous regulatory requirements apply. These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establishment registration and device listing;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labeling regulations that prohibit the promotion of products for uncleared, unapproved or “off-label” uses, and impose other restrictions on labeling, advertising and promotion;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FDA’s Medical Device Reporting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voluntary and mandatory device recalls to address problems when a device is defective and could be a risk to health;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the FDA may require us to conduct post-market surveillance studies or establish and maintain a system for tracking our products through the chain of distribution to the patient level. We are currently conducting a post-market surveillance study for our t:slim X2 with Control-IQ technology for users with type 1 diabetes age six and above. We may elect to pursue additional post-market surveillance studies in the future.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Licensure. </w:t>
      </w:r>
      <w:r>
        <w:rPr>
          <w:rFonts w:ascii="Times New Roman;sans-serif" w:hAnsi="Times New Roman;sans-serif"/>
          <w:b w:val="false"/>
          <w:color w:val="000000"/>
          <w:sz w:val="20"/>
        </w:rPr>
        <w:t>In the United States, several states require that durable medical equipment (DME) providers be licensed to sell products to patients 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Fraud and Abuse Laws. </w:t>
      </w:r>
      <w:r>
        <w:rPr>
          <w:rFonts w:ascii="Times New Roman;sans-serif" w:hAnsi="Times New Roman;sans-serif"/>
          <w:b w:val="false"/>
          <w:color w:val="000000"/>
          <w:sz w:val="20"/>
        </w:rPr>
        <w:t>There are numerous U.S. federal and state laws pertaining to healthcare fraud and abuse, including the federal Anti-Kickback Statute and the Physician Self-Referral Law (the Stark Law), the federal civil False Claims Act,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Health Administration programs.</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Federal Anti-Kickback Statute. </w:t>
      </w:r>
      <w:r>
        <w:rPr>
          <w:rFonts w:ascii="Times New Roman;sans-serif" w:hAnsi="Times New Roman;sans-serif"/>
          <w:b w:val="false"/>
          <w:color w:val="000000"/>
          <w:sz w:val="20"/>
        </w:rPr>
        <w:t>The federal Anti-Kickback Statute prohibits persons from knowingly and willfully soliciting, receiving, offering or 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Physician Self-Referral Law</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Stark Law prohibits a physician from referring Medicare or Medicaid patients to an entity providing “designated health services,” including a company that furnishes durable medical equipment, if the physician or their immediate family member has a financial relationship with the company. In addition to statutory exceptions, the Centers for Medicare and Medicaid Services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Federal False Claims Act. </w:t>
      </w:r>
      <w:r>
        <w:rPr>
          <w:rFonts w:ascii="Times New Roman;sans-serif" w:hAnsi="Times New Roman;sans-serif"/>
          <w:b w:val="false"/>
          <w:color w:val="000000"/>
          <w:sz w:val="20"/>
        </w:rPr>
        <w:t>The federal False Claims Act provides, in part, that the federal government may bring a lawsuit against any person whom it 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State Fraud and Abuse Provisions. </w:t>
      </w:r>
      <w:r>
        <w:rPr>
          <w:rFonts w:ascii="Times New Roman;sans-serif" w:hAnsi="Times New Roman;sans-serif"/>
          <w:b w:val="false"/>
          <w:color w:val="000000"/>
          <w:sz w:val="20"/>
        </w:rPr>
        <w:t>Many states have also adopted some form of anti-kickback and anti-referral laws and false claims acts. We believe that we are in material conformance to such laws. Nevertheless, a determination of liability under such laws could result in fines and penalties and restrictions on our ability to operate in these jurisdictions.</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Data Privacy and Information Security Laws and Regulations. </w:t>
      </w:r>
      <w:r>
        <w:rPr>
          <w:rFonts w:ascii="Times New Roman;sans-serif" w:hAnsi="Times New Roman;sans-serif"/>
          <w:b w:val="false"/>
          <w:color w:val="000000"/>
          <w:sz w:val="20"/>
        </w:rPr>
        <w:t>Our use of t:connect and Tandem Source data is subject to internal policies and procedures that are designed to comply with the federal U.S. Health Insurance Portability and Accountability Act of 1996 (HIPAA), as well as applicable U.S. state privacy laws HIPAA, as amended by Health Information Technology for Economic and Clinical Health Act of 2009 (HITECH), imposes certain requirements on covered entities, which include certain healthcare providers, health plans and healthcare clearinghouses, and their business associates and covered subcontractors that receive or obtain protected health information in connection with providing a service on behalf of a covered entity relating to the privacy, security and transmission of individually identifiable health information. Although t:connect, t:connect HCP and Tandem Source are not currently generally available to users or healthcare providers outside the United States, we are also mindful of requirements under Canada’s Personal Information Protection and Electronic Documents Act, referred to as PIPEDA, and similar provincial laws, and the E.U. and United Kingdom (U.K.) General Data Protection Regulation, collectively known as GDPR, and similar E.U. member state laws. Collectively, these laws and regulations set standards that may be applicable to us regarding safeguarding the privacy and security of the personal information we collect and use from customers, healthcare providers and other individuals. These laws also require, among other things, publication of privacy notices detailing certain data collection and sharing practices and extension of certain rights to individuals, such as the right to know what data is collected about them, to obtain a copy of that data, to correct or amend that data, and to request restricted use of that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pPr>
      <w:r>
        <w:rPr>
          <w:rFonts w:ascii="Times New Roman;sans-serif" w:hAnsi="Times New Roman;sans-serif"/>
          <w:b/>
          <w:i/>
          <w:color w:val="000000"/>
          <w:sz w:val="20"/>
        </w:rPr>
        <w:t>Healthcare Fraud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addition to information security and data privacy obligations, HIPAA also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Physician Payments Sunshine Act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 xml:space="preserve">Physician Payments Sunshine Act requires certain manufacturers, including medical device manufacturers, to submit annual data to CMS pertaining to payments or other transfers of value to covered recipients, including physicians (defined to include doctors, dentists, optometrists, podiatrists and chiropractors), other health care professionals (such as physicians assistants and nurse practitioners), and teaching hospitals, as well as information regarding ownership and investment interests held by physicians and their immediate family members.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 to date. </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 xml:space="preserve">Anti-Bribery and Anti-Corruption Laws. </w:t>
      </w:r>
      <w:r>
        <w:rPr>
          <w:rFonts w:ascii="Times New Roman;sans-serif" w:hAnsi="Times New Roman;sans-serif"/>
          <w:b w:val="false"/>
          <w:color w:val="000000"/>
          <w:sz w:val="20"/>
        </w:rPr>
        <w:t>The U.S. Foreign Corrupt Practices Act (FCPA), and similar laws in foreign jurisdictions generally prohibit U.S. corporations and their representatives from offering, promising, authorizing or making improper payments, gifts or transfers to any foreign government official to obtain or retain business. The scope of the FCPA would include interactions with certain healthcare professionals and hospital administrators in many countries. We believe we are in substantial compliance with the FCPA and similar foreign regulations.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International Regulation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pStyle w:val="TextBody"/>
        <w:bidi w:val="0"/>
        <w:spacing w:lineRule="auto" w:line="288" w:before="200" w:after="283"/>
        <w:jc w:val="left"/>
        <w:rPr/>
      </w:pPr>
      <w:r>
        <w:rPr>
          <w:rFonts w:ascii="Times New Roman;sans-serif" w:hAnsi="Times New Roman;sans-serif"/>
          <w:b/>
          <w:color w:val="000000"/>
          <w:sz w:val="20"/>
        </w:rPr>
        <w:t>Regulation</w:t>
      </w:r>
      <w:r>
        <w:rPr>
          <w:color w:val="000000"/>
        </w:rPr>
        <w:t xml:space="preserve"> </w:t>
      </w:r>
      <w:r>
        <w:rPr>
          <w:rFonts w:ascii="Times New Roman;sans-serif" w:hAnsi="Times New Roman;sans-serif"/>
          <w:b/>
          <w:i/>
          <w:color w:val="000000"/>
          <w:sz w:val="20"/>
        </w:rPr>
        <w:t>of Medical Devices in the European Economic Area</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26 May 2021, Regulation (EU) 2017/745 on Medical Devices, or the Medical Device Regulation, entered into application, repealing and replacing both Directive 93/42/EEC concerning medical devices, or MDD, and Directive 90/385/EEC concerning active implantable medical devices, or AIMD. The Medical Device Regulation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Medical devices must comply with the General Safety and Performance Requirements, or GSPRs, set out in Annex I of the Medical Device Regulation. Compliance with these requirements is a prerequisite to be able to affix the CE mark to devices, without which they cannot be marketed or sold in the European Economic Area (comprised of the 27 EU Member States, Iceland, Liechtenstein and Norway). To demonstrate compliance with the GSPRs provided in the Medical Device Regulation and obtain the right to affix the CE mark, medical devices manufacturers must undergo a conformity assessment procedure, which varies according to the type of medical device and its classification. Apart from low 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the intervention of a Notified Body, which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GSPRs. This Certificate and the related conformity assessment process entitles the manufacturer to affix the CE mark to its medical devices after having prepared and signed a related EU Declaration of Conformity.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general rule, demonstration of conformity of medical devices and their manufacturers with the GSPRs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 After a device is placed on the market, it remains subject to significant regulatory requirements.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provides transitional provisions, amended by Regulation (EU) 2023/603. Accordingly, CE Certificates of Conformity issued by Notified Bodies in accordance with the MDD or the AIMD from 25 May 2017, and which remained valid on 26 May 2021 and have not since been withdrawn will, with certain exceptions, remain valid until 31 December 2027 for Class III and Class IIb implantable medical devices and until 31 December 2028 for other Class IIb, Class IIa and Class I devices with a measuring function or which are sterile. Class I medical devices, for which the conformity assessment procedure in accordance with the MDD or the AIMD did not require the involvement of a Notified Body but will require the involvement of a Notified Body in accordance with the Medical Device Regulation and for which an EU Declaration of Conformity was issued in accordance with the MDD or the AIMD before 26 May 2021, can continue to be placed on the EEA market until 31 December 2028. Manufacturers of medical devices may only benefit from the above extended transitional provisions deadlines if the following conditions are fulfilled: (i) the devices continue to comply with the requirements of the MDD or AIMD, (ii) there are no significant changes in the design and intended purpose, (iii) the devices do not present an unacceptable risk to the health or safety of patients, users or other persons, or to other aspects of the protection of public health, (iv) the manufacturer implements a quality management system by 26 May 2024 which complies with the requirements of the Medical Devices Regulation, (v) by 26 May 2024 an application is lodged with a Notified Body for conduct of the conformity assessment of the devices covered by the CE Certificate of Conformity, or the devices intended to substitute for such devices, in accordance with the Medical Device Regulation and a related written agreement is signed with the Notified Body by 26 September 2024, and (vi) from 26 May 2021, compliance with the Medical Device Regulation relating to post-market surveillance, market surveillance, vigilance, registration of economic operators and of devices is ensured in place of the corresponding requirements in the MDD or AIMD.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 Certificates of Conformity issued by Notified Bodies in accordance with the MDD or the AIMD from 25 May 2017, which were valid on 26 May 2021 and have not been withdraw since but which expired before 20 March 2023, will only continue to be valid in accordance with the extended transitional deadlines above if either (i) the manufacturer signed a written agreement with a Notified Body for the conformity assessment of the device covered by the expired CE Certificate of Conformity, or the device intended to substitute that device, in accordance with the Medical Device Regulation before the date of expiry of the CE Certificate of Conformity, or (ii) a competent authority of an EEA country has granted a derogation from the application conformity assessment procedure in accordance with Article 59(1) or Article 97(1) of the Medical Device Regulation.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Class III custom-made implantable medical devices may be placed on the market until 26 May 2026 without a CE Certificate of Conformity issued by Notified Body, provided that (i) by 26 May 2024, an application is lodged with a Notified Body for the conformity assessment of the devices, in accordance with the Medical Device Regulation and a related written agreement is signed with the Notified Body by 26 September 2024.</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in the EU is subject to the national laws of the individual EEA country that implemented the MDD, the AIMD and that apply the Medical Device Regulation, Directive 2006/114/EC concerning misleading and comparative advertising, and Directive 2005/29/EC on unfair commercial practices, as well as other national legislation of individual EEA countries governing the advertising and promotion of medical devices EEA countries’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European Union, regulatory approval would need to be sought on a country-by-country basis for us to market our products. We have obtained the right to affix the CE Mark to the t:slim X2 Insulin Delivery System, which allows us to distribute this product throughout the European Union. We may also leverage the CE Mark in certain other countries to fulfill the national applicable regulatory requirements for placing our product on national markets. In addition, we have Health Canada approval to sell the t:slim X2 in Canada.</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interactions between medical device companies, government officials and health care professionals are also governed by strict laws, such as national anti-bribery laws of European countries, national sunshine rules, regulations, industry self-regulation codes of conduct and physicians’ codes of professional conduct. These laws include the U.K. Bribery Act and similar anti-bribery laws in other jurisdictions in which we operate. Such laws generally prohibit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companies and their intermediaries from making improper payments for the purpose of obtaining or retaining business to foreign officials, or in the case of the U.K. Bribery Act, to any person.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Environment, Social and Governance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management team believe that environmental stewardship, social responsibility, and solid corporate governance are important to our business strategy and long-term value creation for our shareholders, employees, customers, and communities. The Nominating and Corporate Governance Committee of our Board oversees ESG matters across our business operations in accordance with its charter. Our management team is responsible for developing and driving strategic ESG initiatives and programs across our business and providing regular updates on progress to the Nominating and Corporate Governance Committee.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our Environmental, Social and Governance practices can be found on our website within the “Investor Center” section. The information contained on or accessed through our website does not constitute part of this Annual Report, and references to our website address in this Annual Report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creating and maintaining a safe, diverse, and inclusive community for all employees while we serve our customers and fulfill our mission to improve the lives of people with diabetes. As of December 31, 2023, we had approximately 2,400 regular full-time employees, who primarily work in the United States, Canada, or Europe. The term “employees” in this Annual Report means our regular full-time employees. Our headquarters are in San Diego, California, where our primary research and development and administrative headquarters are located, and where we also operate a manufacturing facility and a warehousing facility. None of our employees are represented by a collective bargaining agreement, and we have never experienced any work stoppage. We believe we have good relations with our employees.</w:t>
      </w:r>
    </w:p>
    <w:p>
      <w:pPr>
        <w:pStyle w:val="TextBody"/>
        <w:bidi w:val="0"/>
        <w:spacing w:lineRule="auto" w:line="288" w:before="200" w:after="283"/>
        <w:ind w:left="0" w:right="0" w:firstLine="900"/>
        <w:jc w:val="left"/>
        <w:rPr>
          <w:rFonts w:ascii="Times New Roman;sans-serif" w:hAnsi="Times New Roman;sans-serif"/>
          <w:b/>
          <w:i/>
          <w:color w:val="000000"/>
          <w:sz w:val="20"/>
        </w:rPr>
      </w:pPr>
      <w:r>
        <w:rPr>
          <w:rFonts w:ascii="Times New Roman;sans-serif" w:hAnsi="Times New Roman;sans-serif"/>
          <w:b/>
          <w:i/>
          <w:color w:val="000000"/>
          <w:sz w:val="20"/>
        </w:rPr>
        <w:t>Culture</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Fostering and maintaining a strong, healthy culture is a key strategic focus. Our core values statement was created by our employees in a bottom-up, cross-functional process that we revisit and refresh on a periodic basis. Our </w:t>
      </w:r>
      <w:r>
        <w:rPr>
          <w:rFonts w:ascii="Times New Roman;sans-serif" w:hAnsi="Times New Roman;sans-serif"/>
          <w:b w:val="false"/>
          <w:i/>
          <w:color w:val="000000"/>
          <w:sz w:val="20"/>
        </w:rPr>
        <w:t>Words We Live By</w:t>
      </w:r>
      <w:r>
        <w:rPr>
          <w:color w:val="000000"/>
        </w:rPr>
        <w:t xml:space="preserve"> </w:t>
      </w:r>
      <w:r>
        <w:rPr>
          <w:rFonts w:ascii="Times New Roman;sans-serif" w:hAnsi="Times New Roman;sans-serif"/>
          <w:b w:val="false"/>
          <w:color w:val="000000"/>
          <w:sz w:val="20"/>
        </w:rPr>
        <w:t xml:space="preserve">describe our core values and reflect who we are and the way our employees interact with one another, our customers, partners and stockholders.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began conducting employee engagement surveys through Gallup, a leading global consulting firm on employee engagement. More than 90% of our employees have participated each year, and the results demonstrated that our overall engagement levels exceed Gallup’s averages worldwide and in the United States. In addition, we exceeded overall engagement in the professional, scientific and technical sector, as well as the life sciences sector. The results also reflected that we are a mission-driven company with employees’ response on our strength of purpose far exceeding Gallup’s measurement for world class. </w:t>
      </w:r>
    </w:p>
    <w:p>
      <w:pPr>
        <w:pStyle w:val="TextBody"/>
        <w:bidi w:val="0"/>
        <w:spacing w:lineRule="auto" w:line="288" w:before="200" w:after="283"/>
        <w:ind w:left="0" w:right="0" w:firstLine="900"/>
        <w:jc w:val="left"/>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Our diversity, equity and inclusion (DE&amp;I) efforts focus on cultivating and encouraging an inclusive and equitable culture where diversity of thought is represented and can thrive throughout our organization. More than half of our employees are female, includin</w:t>
      </w:r>
      <w:r>
        <w:rPr>
          <w:rFonts w:ascii="Times New Roman;sans-serif" w:hAnsi="Times New Roman;sans-serif"/>
          <w:b w:val="false"/>
          <w:color w:val="000000"/>
          <w:sz w:val="20"/>
          <w:shd w:fill="FFFFFF" w:val="clear"/>
        </w:rPr>
        <w:t>g 30% of o</w:t>
      </w:r>
      <w:r>
        <w:rPr>
          <w:rFonts w:ascii="Times New Roman;sans-serif" w:hAnsi="Times New Roman;sans-serif"/>
          <w:b w:val="false"/>
          <w:color w:val="000000"/>
          <w:sz w:val="20"/>
        </w:rPr>
        <w:t xml:space="preserve">ur employees at the Vice President level or higher, and approximately half of our employees are from an underrepresented ethnic community. We believe that bringing together different perspectives and experiences is fundamental to innovation and continuing to raise the bar in the field of diabetes technology.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 was our first full year of having a DE&amp;I Council, which we have continued to expand since that time. This Council is sponsored by executive management and we provide regular updates to our Board of Directors on its initiatives and progress. It is staffed by employees with diverse backgrounds, experiences or characteristics who share a common interest in professional development, improving corporate culture and delivering sustained business results. In 2023, our first employee resource groups were formed and focus on supporting populations within Tandem including women and gender minorities, LGBTQIA+, Pacific Islander or Asians, parents and caregivers, and in enhancing Tandem’s sustainability efforts. Our DE&amp;I efforts are focused on diabetes representation and access, representation in leadership, representation in technology roles and pro-inclusion. In addition, we are focused on cultivating and supporting our internal culture through diversity of thought, support and advocacy within the diabetes community and continuing to build and maintain a diverse and inclusive workforce.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i/>
          <w:color w:val="000000"/>
          <w:sz w:val="20"/>
        </w:rPr>
      </w:pPr>
      <w:r>
        <w:rPr>
          <w:rFonts w:ascii="Times New Roman;sans-serif" w:hAnsi="Times New Roman;sans-serif"/>
          <w:b/>
          <w:i/>
          <w:color w:val="000000"/>
          <w:sz w:val="20"/>
        </w:rPr>
        <w:t>Organizational Development</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Attracting, developing and retaining employees is critical to our longer-term success. We have established a comprehensive training program to develop employees throughout the organization. </w:t>
      </w:r>
      <w:r>
        <w:rPr>
          <w:rFonts w:ascii="Times New Roman;sans-serif" w:hAnsi="Times New Roman;sans-serif"/>
          <w:b w:val="false"/>
          <w:i/>
          <w:color w:val="000000"/>
          <w:sz w:val="20"/>
        </w:rPr>
        <w:t>Emerging Leaders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Leading in Tandem</w:t>
      </w:r>
      <w:r>
        <w:rPr>
          <w:color w:val="000000"/>
        </w:rPr>
        <w:t xml:space="preserve"> </w:t>
      </w:r>
      <w:r>
        <w:rPr>
          <w:rFonts w:ascii="Times New Roman;sans-serif" w:hAnsi="Times New Roman;sans-serif"/>
          <w:b w:val="false"/>
          <w:color w:val="000000"/>
          <w:sz w:val="20"/>
        </w:rPr>
        <w:t xml:space="preserve">are examples of internal programs intended for high performing individual contributors, and newly hired and promoted supervisors and managers, respectively. More than 95% of employees participating in these programs remain employed at Tandem and approximately one-third have been promoted or have had a significant change in scope of responsibility. In 2023, approximately 400 employees participated in our leadership development programs. </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i/>
          <w:color w:val="000000"/>
          <w:sz w:val="20"/>
        </w:rPr>
      </w:pPr>
      <w:r>
        <w:rPr>
          <w:rFonts w:ascii="Times New Roman;sans-serif" w:hAnsi="Times New Roman;sans-serif"/>
          <w:b/>
          <w:i/>
          <w:color w:val="000000"/>
          <w:sz w:val="20"/>
        </w:rPr>
        <w:t>Competitive Total Rewards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designed to align employee compensation with our performance and to provide the proper incentives to attract, retain, and motivate employees to achieve superior results. The structure of our compensation program balances incentive earnings for both short-term and long-term performance.</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provide employee wages that are competitive and consistent with employee positions, skill levels, experience, knowledge, and geographic location.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engage internationally recognized outside compensation and benefits consulting firms to independently evaluate the effectiveness of our executive compensation and benefit programs and to provide benchmarking.</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align our executives’ long-term equity compensation with our stockholders’ interests.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Annual increases and incentive compensation are based on our performance as well as each individual’s contribution to the results achieved and are documented through our talent management process as part of our annual review process.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foster a stronger sense of ownership and align the interests of partners with stockholders, stock options and/or restricted stock units are provided to a substantial proportion of our employees under our broad-based stock incentive programs. Also, our employees are able to participate in our employee stock purchase program. Furthermore, we offer comprehensive, locally relevant and innovative benefits to all eligible employees, including health insurance, paid time off, paid and unpaid leaves, a retirement plan, health savings accounts, flexible spending accounts, life and disability coverage, voluntary accident, critical illness, legal and identity theft coverage, employee discount program, and an employee loaner pump program. </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i/>
          <w:color w:val="000000"/>
          <w:sz w:val="20"/>
        </w:rPr>
      </w:pPr>
      <w:r>
        <w:rPr>
          <w:rFonts w:ascii="Times New Roman;sans-serif" w:hAnsi="Times New Roman;sans-serif"/>
          <w:b/>
          <w:i/>
          <w:color w:val="000000"/>
          <w:sz w:val="20"/>
        </w:rPr>
        <w:t>Employee Health and Safety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and safety of our employees is our highest priority, and this is consistent with our operating philosophy. We have integrated our employee health and safety efforts with our human resources functions to create a corporate culture with a shared commitment to the well-being of our professionals. Our employee assistance and wellness programs offer a range of benefits and services. For example, as a benefit to our employees and their eligible dependents, we provide access to personal and job-related counseling and assistance resources for addressing concerns such as emotional well-being, family and relationships, legal and financial matters, healthy lifestyles, mental health, substance abuse, and work and life transitions.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comprehensive safety training programs that teach our employees how to do their jobs safely and in compliance with laws and regulations. We operate in modern, efficient, and safe facilities, and have had minimal accident and injury rates company wide. Despite this success, however, our goal remains the same: zero accidents.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u w:val="single"/>
        </w:rPr>
        <w:t>www.tandemdiabetes.com</w:t>
      </w:r>
      <w:r>
        <w:rPr>
          <w:rFonts w:ascii="Times New Roman;sans-serif" w:hAnsi="Times New Roman;sans-serif"/>
          <w:b w:val="false"/>
          <w:color w:val="000000"/>
          <w:sz w:val="20"/>
        </w:rPr>
        <w:t>. Copies of our filings with the SEC, including our annual report on Form 10-K, quarterly reports on Form 10-Q, current reports on Form 8-K, and amendments to those reports filed or furnished pursuant to Section 13(a) of the Securities Exchange Act of 1934, as amended (the “Exchange Act”), are available free of charge on our website within the “Investor Center” section as soon as reasonably practicable after having been electronically filed with or furnished to the SEC. The information contained on or accessed through our website does not constitute part of this Annual Report, and references to our website address in this Annual Report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common stock, or in securities convertible into or exchangeable for our common stock, involves a high degree of risk.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“Cautionary Note Regarding Forward-Looking Statements” at the beginning of this Annual Report and Part II, Item 7, Management’s Discussion and Analysis of Financial Condition and Results of Operations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and cannot assure you that we will achieve sustained profitability.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in January 2006, we have incurred a significant net loss. As of December 31, 2023, we had an accumulated deficit of $951.8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Since the first quarter of 2013, we have been able to manufacture and sell our insulin pump products at a cost and in volumes sufficient to allow us to achieve a positive overall gross margin. For the years ended December 31, 2023 and 2022, our gross profits were $367.7 million and $413.0 million, respectively. Although we have achieved a positive overall gross margin during the years ended December 31, 2023 and 2022, we had net losses from operations of $222.6 million and $94.6 million, respectively, and we may continue to incur losses in the future.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more than 25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sustain profitability.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nearly all of our revenue from the sale of t:slim X2 insulin pumps and the related insulin cartridges and infusion sets. In addition, we recently launched our Tandem Mobi insulin pump. Sales of these products may be negatively impacted by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market acceptance of the insulin pumps and related products manufactured and sold by our key competitors, including Insulet, Medtronic, and Ypsomed;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the potential that breakthroughs for the monitoring, treatment or prevention of diabetes may render our insulin pumps obsolete or less desirable;</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adverse regulatory or legal actions relating to our products, or similar products or technologies of our competitors;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failure of our Tandem Device Updater to accurately and timely provide customers with remote access to new product features and functionality as anticipated, or our failure to obtain regulatory clearance, certification, or approval for any such updates;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changes in reimbursement rates or policies relating to insulin pumps or similar products or technologies by third-party payors;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competitive pricing and attrition rates of consumers who cease using our products;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our inability to enter into contracts with third-party payors on a timely basis and on acceptable terms;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problems arising from the expansion of our manufacturing capabilities and commercial operations, or destruction, loss, or temporary shutdown of our manufacturing facilities;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concerns regarding the perceived safety, reliability or cybersecurity of any of our products, or any component thereof, particularly in connection with the launch of additional mobile app features and functionality and other software products; 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claims that any of our products, or any component thereof, infringes on patent rights or other intellectual property rights of third parties.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currently rely on sales of our t:slim X2 insulin pump, and expect to rely on sales of our Tandem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Mobi insulin pump,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Uncertainty in current global economic and political conditions could adversely affect our ability to predict product demand and impact our financial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pStyle w:val="TextBody"/>
        <w:bidi w:val="0"/>
        <w:spacing w:before="0" w:after="0"/>
        <w:ind w:left="0" w:right="0" w:firstLine="90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maintain and grow our revenue depends in part on retaining a high percentage of our customer base.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including our Tandem Choice Program, aimed at our customers, their caregivers and healthcare providers, which include discounts,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retain a high percentage of our customers and increase sales to these customers consistent with our forecasts would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competitors are major medical device companies, primarily Insulet, Medtronic, and Ypsomed. There are also a number of other companies developing and marketing their own insulin delivery systems and/or related software applications, including insulin pumps and Bluetooth-enabled insulin pens to support MDI therapy. Our primary competitors may enjoy several competitive advantages over us, including:</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greater financial and human resources for sales and marketing, product development, customer service and clinical resources;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greater ability to respond to competitive pressures, regulatory uncertainty, or challenges within the financial markets;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established relationships with healthcare providers, third-party payors and regulatory agencies;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established reputation and name recognition among healthcare providers and other key opinion leaders in the medical industry generally and the diabetes industry in particular;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larger and more established distribution networks;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greater ability to cross-sell products or provide incentives to healthcare providers to use their products; 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more experience in conducting R&amp;D, manufacturing, clinical trials, and obtaining regulatory approval or clearance.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these and other reasons, we may not be able to compete successfully against our current or potential future competitors, which could have a material adverse impact on our financial condition and operating results.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Competing products, therapeutic techniques or other technological developments and breakthroughs for the monitoring, treatment or prevention of diabetes may render our products obsolete or less desirable.</w: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business and growth strategy is highly dependent on our insulin pumps and related products achieving and maintaining market acceptance. For us to sell our products to people with insulin-dependent diabetes, we must demonstrate to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competing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products could be negatively impacted by many factors, including:</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the failure of our products to achieve and maintain wide acceptance among people with insulin-dependent diabetes, their caregivers, healthcare providers, third-party payors and key opinion leaders in the diabetes treatment community;</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lack of evidence supporting the safety, effectiveness, ease-of-use or other perceived benefits of our products over competing products or other currently available insulin treatment methodologies;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perceived risks or uncertainties associated with the use of our products, or components thereof, or of similar products or technologies of our competitors;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adverse regulatory or legal actions relating to our insulin pump products or similar products or technologies; 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results of clinical studies relating to our existing products or products under development or similar competitive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secure or retain adequate coverage or reimbursement for our current products and our potential future products by third-party payors could adversely affect our business,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contracts establishing reimbursement for our insulin pump products with a number of national and regional third-party payors in the United States. While we may enter into additional contracts both in the United States and the more than 25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maintain our existing sales, marketing, clinical and customer service infrastructure, we may fail to increase our sales to meet our forecasts.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key element of our business strategy involves our sales, marketing, clinical and customer service personnel driving adoption of our products. We have significantly increased the number of sales, marketing, clinical and customer service personnel employed by us since we began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in the event of general labor shortages in the United States.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and marketing efforts are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two independent distributors each accounted for more than 10% of our worldwide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important assumptions about the potential market for our products are inaccurate, or if we have failed to understand what people with insulin-dependent diabetes are seeking in an insulin pump, our business and operating results may be adversely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if our assumptions are incorrect. In addition, our strategy of focusing exclusively on the insulin-dependent diabetes market may limit our ability to increase sales or achieve profitability.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expect to face complexities frequently encountered by companies in competitive and rapidly evolving markets, which may make it difficult to evaluate our business and forecast our future sales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competitive and rapidly evolving market. Important industry changes, such as FDA approval and the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include our ability to:</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implement and execute our business strategy;</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manage and improve the productivity of our sales, marketing, clinical and customer service infrastructure to grow sales of our existing and proposed products, and enhance our ability to provide service and support to our customers;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achieve and maintain market acceptance of our products and increase awareness of our brand among people with insulin-dependent diabetes, their caregivers and healthcare providers;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comply with a broad range of regulatory requirements within a highly regulated industry;</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enhance our manufacturing capabilities, increase production of products efficiently while maintaining quality standards, and adapt our manufacturing facilities to the production of new products;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respond effectively to competitive pressures and developments;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enhance our existing products and develop proposed products;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manage cybersecurity and other technological risks associated with our expanding portfolio of digital health products, and align these products to a dynamic threat landscape;</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obtain and maintain regulatory clearance, certification, or approval to enhance our existing products and commercialize proposed products;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perform clinical trials and other studies with respect to our existing products and proposed products; 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attract, retain and motivate qualified personnel in various areas of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or other risks, we may not be able to execute key components of our business strategy, and our business, financial condition and operating results may suffer.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achieve profitability will depend, in part, on our ability to reduce the per-unit cost of our products while also increasing production volume.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Manufacturing risks may adversely affect our ability to manufacture products, which could negatively impact our sales and operating margins.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quality or reliability defects in product components that we source from third-party suppliers;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difficulty identifying and qualifying alternative suppliers for components in a timely manner;</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implementing and maintaining acceptable quality systems while experiencing rapid growth;</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our failure to increase production of products to meet demand;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our inability to modify production lines and expand manufacturing facilities to enable us to efficiently produce future products or implement changes in current products in response to consumer demand or regulatory requirements;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 xml:space="preserve">our inability to manufacture multiple products simultaneously while utilizing common manufacturing equipment; </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government-mandated or voluntary closures of, or operational limitations impacting, our manufacturing facilities; 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potential damage to or destruction of our manufacturing equipment or manufacturing facilities.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we and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components from other suppliers that are acceptable to the FDA or other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Any disruption at one of our facilities could adversely affect our business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experience the anticipated operating efficiencies of our manufacturing and warehousing operations.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scale our business operations and add manufacturing requirements for products currently under development. We have outsourced the majority of our t:slim cartridge manufacturing demand to an experienced third-party contract manufacturer.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Any concerns regarding the safety and efficacy of our products could limit sales and cause unforeseen negative effects to our business prospects and financial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enter into collaborations, licensing arrangements, joint ventures, strategic alliances or partnerships with third parties that may not result in the development of commercially viable products or the generation of significant future revenues.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problems assimilating, maintaining or operating the acquired products or technologies;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unanticipated costs, liabilities, impairment charges or write-offs associated with acquisitions or investments;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diversion of management’s attention from our existing business;</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bidi w:val="0"/>
        <w:spacing w:lineRule="auto" w:line="288" w:before="240" w:after="283"/>
        <w:ind w:left="0" w:right="0" w:hanging="540"/>
        <w:jc w:val="left"/>
        <w:rPr/>
      </w:pPr>
      <w:r>
        <w:rPr>
          <w:color w:val="000000"/>
        </w:rPr>
        <w:t>•</w:t>
      </w:r>
      <w:r>
        <w:rPr>
          <w:rFonts w:ascii="Times New Roman;sans-serif" w:hAnsi="Times New Roman;sans-serif"/>
          <w:b w:val="false"/>
          <w:color w:val="000000"/>
          <w:sz w:val="20"/>
        </w:rPr>
        <w:t>increased legal and accounting costs relating to the acquisitions or to comply with regulatory requirements or other compliance matters.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pStyle w:val="TextBody"/>
        <w:bidi w:val="0"/>
        <w:spacing w:before="24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sales in the approximately 25 countries in which our products are offered outside the United States, which accounted for approximately 26% of our total sales during 2023, are accompanied by certain financial and other risks related to international business markets, including:</w:t>
      </w:r>
    </w:p>
    <w:p>
      <w:pPr>
        <w:pStyle w:val="TextBody"/>
        <w:bidi w:val="0"/>
        <w:spacing w:before="0" w:after="0"/>
        <w:ind w:left="0" w:right="0" w:firstLine="90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local product preferences and differing regulatory requirements for product clearances, certifications, or approvals;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differing U.S. and foreign medical device import and export rules;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more restrictive privacy and security laws relating to personal information of end-users and employees, including GDPR and other E.U. Member State national legislation;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reduced protection for our intellectual property rights in certain countries outside the U.S. than exists in the U.S.;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economic weakness, including inflation and workforce instability, and political instability in foreign economies and markets;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 xml:space="preserve">compliance with tax, employment, immigration and labor laws, such as the Foreign Corrupt Practices Act and comparable foreign legislation;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difficulties associated with foreign legal systems, including increased costs associated with enforcing contractual obligations in foreign jurisdictions;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political instability and actual or anticipated military or political conflicts;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difficulties in managing international relationships, including any relationships that we establish with foreign partners, distributors, or sales or marketing agents;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 xml:space="preserve">foreign taxes, including withholding of payroll taxes;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different reimbursement systems;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in approximately 25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U.S. Foreign Corrupt Practices Act and similar worldwide anti-bribery laws could materially adversely affect our business and result in civil and/or criminal sanctions.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Activities outside the United States accounted for approximately 26% of our total sales during 2023.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Macroeconomic Conditions and External Factors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Uncertainty in current global economic and political conditions could adversely affect our ability to predict product demand and impact our financial results and makes it more likely that our actual results could differ materially from expectations.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Hamas initiated an attack against Israel, provoking a state of war and the risk of a larger regional conflict. While we cannot predict the broader consequences, these conflicts and retaliatory and counter-retaliatory actions could materially adversely affect global trade, currency exchange rates, inflation, regional economies, and the global economy, which in turn may disrupt sales through our local distributor in Israel.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Climate change or other extreme weather conditions and related regulations may have a long-term impact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events, including the increasing frequency of extreme weather events and their impact on the U.S.,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Future Financings and Financial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$467.9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revenue generated by sales of our products, as well as the gross profits and gross margin we realize from such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costs associated with maintaining and expanding an appropriate sales, marketing, clinical and customer service infrastructure;</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expenses associated with developing and commercializing our proposed products or technologies, including capital expenditures we make to maintain or enhance our manufacturing operations and distribution capabilities;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cost of obtaining and maintaining regulatory clearance, certification, or approval for our products and our manufacturing facilities, and of ongoing compliance with other legal and regulatory requirements;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expenses we incur in connection with current or future litigation or governmental investigations;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expenses we may incur or other financial commitments we may make in connection with current and potential new acquisitions, investments, business or commercial collaborations, development agreements or licensing arrangements;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general and administrative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from quarter to quarter.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commercialize and sell our current and future products and our ability to increase sales and gross profit from our products, including insulin pumps and the related insulin cartridges and infusion sets;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number and mix of our products sold in each quarter;</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acceptance of our products by people with insulin-dependent diabetes, their caregivers, healthcare providers and third-party payors;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pricing of our products and competing products, including the use of discounts, rebates or other financial incentives by us or our competitors;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effect of third-party coverage and reimbursement policies;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maintain our existing infrastructure;</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amount of, and the timing of the payment for, insurance deductibles required to be paid by our customers and potential customers under their existing insurance plans;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interruption in the manufacturing or distribution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ability to simultaneously manufacture multiple products that meet quality, reliability and regulatory requirements;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seasonality and other factors affecting the timing of purchases of our products;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results of clinical research and trials on our existing and future products;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ability of our suppliers to timely provide us with an adequate supply of components that meet our requirements for product quality and reliability;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regulatory clearances, certifications, or approvals, or adverse regulatory or legal actions, affecting our products or those of our competitors;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timing of revenue and expense recognition associated with our product sales pursuant to applicable accounting standards.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 number of laws in the United States governing the privacy and security of personal data, including data breach notification laws, data privacy laws, consumer protection laws (e.g., Section 5 of the Federal Trade Commission Act), and other similar laws at the federal and state levels (e.g., wiretapping laws). For example, the U.S. Health Insurance Portability and Accountability Act of 1996 (“HIPAA”) as amended by the Health Information Technology for Economic and Clinical Health Act (“HITECH”), imposes specific requirements relating to the privacy of protected health information.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another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U.S. Dollars per violation imposed through private litigation or by state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numerous U.S. states—including California, Virginia, Colorado, Connecticut, and Utah—have enacted comprehensive data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as per the California Consumer Privacy Act of 2018 (CCPA), as amended by the California Privacy Rights Act of 2020 (CPRA) (collectively, “CCPA”), noncompliance may carry fines of up to 7,500 U.S. Dollars per violation; the CCPA also allows private litigants affected by certain data breaches to recover significant statutory damages. While these laws generally exempt some data processed in the context of clinical trials and data governed by HIPAA, these developments further complicate compliance efforts, and increase legal risk and compliance costs for us, the third parties upon whom we rely, and our customers. Similar laws are being considered in several other states, as well as at the federal and local levels, and we expect more states to pass similar laws in the future.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PIPEDA and various related provincial laws, as well as Canada’s Anti-Spam Legislation (“CASL”), may apply to our operations.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other U.S. state comprehensive data privacy laws, the GDPR, and the UK Age Appropriate Design Code, impose various obligations on companies that process children data, including requiring certain consents to process such data and extending certain rights to children and their parents with respect to that personal data. Some of these obligations have wide ranging applications, including for services that do not intentionally target child users (defined in some circumstances as a user under the age of 18 years old). These laws may be, or in some cases have already been, subject to legal challenges and changing interpretations, which may further complicate our efforts to comply with these laws.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use of AI/Machine Learning (“ML”) technologies present various data privacy risks that may impact our business. AI/ML are subject to data privacy laws, as well as increasing regulation and scrutiny. Several jurisdictions around the globe, including the European Union and certain U.S. states, have proposed or enacted, or are considering, laws governing the development and use of AI/ML. For example, European regulators have proposed a stringent AI regulation, and we expect other jurisdictions will adopt similar laws. Additionally, certain data privacy laws extend rights to consumers (such as the right to delete certain personal data) and regulate automated decision-making, which may prove to be incompatible with our desired uses of AI/ML. These obligations may make it harder for us to conduct our business using AI/ML, require us to change our business practices and/or retrain our AI/ML, prevent or limit our use of AI/ML, or lead to regulatory fines or penalties. For example, the FTC has required other companies to turn over (or disgorge) valuable insights or trainings generated through the use of AI/ML where they allege the company has violated data privacy and consumer protection laws. If we cannot use AI/ML or that use is restricted, our business may be less efficient, or we may be at a competitive disadvantage.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new laws governing the privacy of consumer health data. For example, Washington’s My Health My Data Act (“MHMD”) broadly defines consumer health data, places restrictions on processing such data (including imposing stringent requirements for consent), provides consumers certain rights with respect to their health data, and creates a private right of action to allow individuals to sue for violations of the law. Other states are considering and may adopt similar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organizations based in the United States who self-certify and participate in the Framework),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obligations. Additionally,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EU personal data to the United States.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laws, we are contractually subject to industry standards adopted by industry groups. For example,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U.S. Dollars per month by credit card companies, litigation, damage to our reputation, and revenue losses.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If these policies, materials or statements are found to be deficient, lacking in transparency, deceptive, unfair, or misrepresentative of our practices, we may be subject to investigation, enforcement actions by regulators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obligations. Moreover, despite our efforts, our employees and personnel or third parties on whom we rely,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If we or the third parties on whom we rely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 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those third parties upon which we rely,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efficient operation of our business depends on our information technology and communication systems, as well as those of our suppliers, contract manufacturers, distributors and other third-party business partners. We and the third parties upon which we rely collect, receive, store, process, use, generate, disclose, make accessible, protect, secure, dispose of, share, and transmit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These systems and the underlying data are vulnerable to damage or interruption from a number of causes, including earthquakes, fires, floods and other natural disasters, terrorist attacks, attacks by computer viruses or hackers, malware, ransomware or other destructive software, cyber-attacks, social-engineering attacks (including phishing and deep fakes, which may be increasingly more difficult to identify as fake), malicious code, denial-of-service attacks, credential harvesting, supply chain attacks, power losses, and computer system, data network failures, and other similar threats.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significantly disrupt our systems and operations, supply chain, and ability to produce, sell and distribute our goods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those of the third parties upon which we rely, and the underlying data are vulnerable to damage or interruption from a number of causes, including earthquakes, fires, floods and other natural disasters, terrorist attacks. We and the third parties upon which we rely are also subject to a variety of evolving threats, including but not limited to,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and can lead to significant interruptions in our operations, impact our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insulin pumps and other products rely on software and hardware, some of which is developed by third-party service providers, that could contain vulnerabilities. We take steps to detect and remediate vulnerabilities in our information systems (such as our hardware and/or software, including that of third parties upon which we rely), but we may not be able to detect, mitigate, and remediate such vulnerabilities on a timely basis or at all, including because the threats and techniques used to exploit the vulnerability change frequently and are often sophisticated in nature. Further, we may experience delays in developing and deploying remedial measures and patches designed to address identified vulnerabilities. Our risks may increase significantly due to the use of mobile and cloud-based applications in our medical devices. For example, while use of our Tandem Device Updater gives us the ability to quickly recover from certain risks and/or vulnerabilities, the use of mobile applications enables third parties to store their information on mobile devices that we do not control. Vulnerabilities could be exploited and result in a security incident.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and risks could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upon whom we rely. A security incident or other interruption could disrupt our ability (and that of third parties upon whom we rely) to provide our platform/products/services.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many of the third parties upon whom we rely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these third parties’ information security practices is limited, and these third parties may not have adequate information security measures in place. If the third parties upon whom we rely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Moreover, remote work has become more common and has increased risks to our information technology systems and data, as more of our employees use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Whether or not our security measures and those of the third parties upon whom we rely are ultimately successful, our expenditures on those measures could have an adverse impact on our financial condition and results of operations, and divert management’s attention from pursuing our strategic objectives. Certain data privacy and security obligations may require us to implement and maintain reasonable or specific security measures or industry standards to protect our information technology systems and sensitive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(such as the phishing attack we experienced in 2020)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or prevent customers to stop using our products, deter new customers from using our products, and negatively impact our ability to grow and operate our business.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investor, partner or customer confidence in the effectiveness of our cybersecurity measures, diversion of management’s attention, governmental investigations, lawsuits, and the expenditure of significant capital and other resources.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of our or our service providers’ third parties’ information technology systems or our pumps’ software or other mobile or cloud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or ability to provide our products and services. For example, we market our Tandem Device Updater as having the unique capability to deploy software updates to our pumps, which allows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or errors, vulnerabilities or viruses embedded within the software being transmitted, or the failure of our customers to properly use the system to complete the update, could result in decreased sales, increased warranty costs, and harm to our reputation, any of which could have a material adverse effect on our business,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sensitive information could be leaked, disclosed, or revealed as a result of or in connection with our employees’, personnel’s, or vendors’ (or other third parties upon whom we rely)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Additionally, where AI/ML technologies ingests personal data and makes connections using such data, those technologies may reveal other personal or sensitive information generated by the model.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AI-based outputs are deemed to be biased, we could face adverse consequences, including exposure to reputational and competitive harm, customer loss, and legal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experienced a breach of our information technology systems in January 2020.</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On January 17, 2020, we learned that an unauthorized person gained access to a few employees’ email accounts through a cyber-attack commonly known as “phishing.” As a result, we have been defending a lawsuit entitled</w:t>
      </w:r>
      <w:r>
        <w:rPr>
          <w:color w:val="000000"/>
        </w:rPr>
        <w:t xml:space="preserve"> </w:t>
      </w:r>
      <w:r>
        <w:rPr>
          <w:rFonts w:ascii="Times New Roman;sans-serif" w:hAnsi="Times New Roman;sans-serif"/>
          <w:b w:val="false"/>
          <w:i/>
          <w:color w:val="000000"/>
          <w:sz w:val="20"/>
        </w:rPr>
        <w:t>Joseph Deluna et al. v. Tandem Diabetes Care, Inc.</w:t>
      </w:r>
      <w:r>
        <w:rPr>
          <w:rFonts w:ascii="Times New Roman;sans-serif" w:hAnsi="Times New Roman;sans-serif"/>
          <w:b w:val="false"/>
          <w:color w:val="000000"/>
          <w:sz w:val="20"/>
        </w:rPr>
        <w:t xml:space="preserve">, which was filed in the Superior Court of the State of California in the County of San Bernardino. On November 28, 2022, the court granted our motion for summary adjudication on the plaintiffs’ allegations that we violated the Confidentiality of Medical Information Act. On February 8, 2023, the plaintiffs asked the court to dismiss their remaining two claims with prejudice, which terminated the case at the Superior Court. On March 7, 2023, the plaintiffs filed a notice of appeal of the Court’s order granting the Company’s motion for summary adjudication. On August 15, 2023, the parties reached a settlement and on August 21, 2023, the Court issued an order dismissing the appeal. The risks posed by any future similar matters include civil monetary damages, attorney fees and costs, other legal penalties, reputational damage, loss of goodwill, and competitive harm.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Legal and Intellectual Property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comprehensively protect our intellectual property and proprietary technology is uncertain.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 existing patents or patents that may be granted in the future.</w:t>
      </w:r>
      <w:r>
        <w:rPr>
          <w:color w:val="000000"/>
        </w:rPr>
        <w:t xml:space="preserve"> </w:t>
      </w:r>
      <w:r>
        <w:rPr>
          <w:rFonts w:ascii="Times New Roman;sans-serif" w:hAnsi="Times New Roman;sans-serif"/>
          <w:b w:val="false"/>
          <w:color w:val="000000"/>
          <w:sz w:val="20"/>
        </w:rPr>
        <w:t>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stop selling current products, developing new products or using technology that allegedly infringes third-party intellectual property;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try to obtain a license to intellectual property from the third parties, which may not be available on reasonable terms or at all;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try to re-design our products around third-party intellectual property;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incur significant royalty payments and legal expenses; or</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pay substantial damages to the party whose intellectual property rights we are allegedly infringing.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November 2023, at the Unified Patent Court (the “UPC”), we filed a revocation action and an action for a declaration of non-infringement of EP Patent No. 2 196 231 B1 (the “’231 patent”) against Roche Diabetes Care GmbH. While Roche contends that Tandem’s t:slim X2 pump infringes the ‘231 patent, we contend that our t:slim X2 pump does not practice the ‘231 patent. Furthermore, we contend that the claims of the ‘231 patent are invalid over the prior art.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F. Hoffman-La Roche AG and Roche Diabetes Care GmbH (collectively, “Roche”), filed an infringement action at the UPC against multiple defendants including Tandem Diabetes Care, Inc. and Tandem Diabetes Care Europe B.V. Roche alleges our t:slim X2 insulin pump, and the offering, marketing, using, importing, possessing, and supplying of such devices, infringe EP Patent No. 1 970 677 B1 (the “‘677 patent”). Roche seeks, among other things, damages and other monetary relief, costs and expenses of the legal proceedings, and an order to cease and desist the allegedly infringing activities. As the UPC is a new court system that came into effect in 2023, enforcement and litigation under the UPC is new and we cannot accurately predict the outcome of such proceedings.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dosing devices is found to infringe Roche’s patents and Roche’s patents are also found to be valid, we could be required to redesign our technology or obtain a license from Roche to continue importing, marketing and selling our dosing devices in certain countries in Europe. However, we may not be successful in the redesign of our technology or able to obtain any such license on commercially reasonable terms or at all. We also could be forced, including by court order, to cease importing, marketing and selling certain of our products in certain countries in Europe that are found to be infringing until the patents expire. Even if we were ultimately to prevail, litigation with Roche could require us to divert substantial financial and management resources that we would otherwise be able to devote to our business. We cannot reasonably estimate the final outcome, including any potential liability or any range of potential future charges associated with litigation.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foreign regulatory authorities regulate numerous elements of our business, including: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product design and development;</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pre-clinical and clinical testing and trials;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product safety;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establishment registration and product listing;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labeling, packaging and storage;</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marketing, manufacturing, sales and distribution;</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import and export;</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pre-market clearance, certification, or approval;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servicing and post-market surveillance;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advertising and promotion;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recalls and field safety corrective actions.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our inability to demonstrate that our products are safe and effective for their intended users;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the data from our pre-clinical studies or clinical trials may be insufficient to support clearance, certification, or approval; or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failure of the manufacturing process or facilities we use to meet applicable requirements.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regulatory authorities or Notified Bodies to grant future clearances, certification, or approvals, and the suspension or withdrawal of existing clearances, certifications, or approvals by the FDA, other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those medical devices sold in the EU and for which we have obtained a CE Certificate of Conformity by a Notified Body, we must notify our Notified Body if significant changes are made to the products or if there are substantial changes to our quality assurance systems affecting those products.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Any adverse event involving any products that we distribute could result in future voluntary corrective actions, such as recalls or customer notifications, or regulatory authority action, which could include inspection, mandatory recall or other enforcement action. For example, the Australian Therapeutic Goods Administration (TGA) temporarily suspended our pump product sales in Australia starting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discontinued sales of earlier generation products in Australia and we started offering our Control-IQ technology in Australia. There can be no assurance that the TGA will not reimpose the suspension of our pump product sales or impose other regulatory restrictions in the future. In addition, other regulatory authorities may take similar actions against us, and any regulatory challenges we encounter could have a negative impact on our product sales and harm our reputation. Any corrective actions we take in response to this action or future matters with the TGA or other regulatory authorities, whether voluntary or involuntary, will require the dedication of our time and capital, may distract management from operating our business, may harm our reputation and financial results or could result in additional regulatory scrutiny in other geographies.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comply with U.S. federal and state fraud and abuse laws, including anti-kickback laws and other U.S. federal and state anti-referral laws, or comparable foreign legislation, could have a material, adverse impact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U.S.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fraud and abuse regulations are complex and evolving. Minor irregularities can potentially give rise to claims. The laws that may affect our ability to operate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federal and state false claims laws which prohibit, among other things, persons from knowingly presenting, or causing to be presented, false or fraudulent claims for payment to Medicare, state Medicaid programs, or other third-party payors;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federal criminal laws enacted as part of HIPAA that prohibit, among other things, executing a scheme to defraud any healthcare benefit program or making false statements relating to healthcare matters;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federal and state laws governing the use, disclosure and security of personal information, including protected health information, such as HIPAA and the Health Information Technology for Economic and Clinical Health;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foreign and U.S. state law equivalents of each of the above federal laws which may apply to items or services reimbursed by any third-party payor, including commercial insurers.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relationships with healthcare providers and other third parties are subject to scrutiny under these laws.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liable if we engage in the promotion of the off-label use of our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or other foreign regulatory authorities determine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authority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in the EU is subject to the national law of individual EU Member States implementing Directive 93/42 on medical devices, or MDD, Directive 90/385/EEC on active implantable medical devices, or AIMD, and applying Regulation 2017/745 on medical devices, or MDR, Directive 2006/114/EC concerning misleading and comparative advertising, and Directive 2005/29/EC on unfair commercial practices, as well as other national legislation of individual EU Member States governing the advertising and promotion of medical devices.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w:t>
      </w:r>
    </w:p>
    <w:p>
      <w:pPr>
        <w:pStyle w:val="TextBody"/>
        <w:bidi w:val="0"/>
        <w:spacing w:before="0" w:after="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and providing the basis for cooperation at EU level for joint clinical assessments in these areas.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exit of the UK from the EU, commonly referred to as “Brexit” could lead to regulatory divergence between the EU and the UK. On May 26, 2021, the MDR became applicable in the EU. However, the MDR is not applicable in the UK. In the UK, medical devices are governed by the Medical Devices Regulations 2002 (SI 2002 No 618, as amended) (UK MDR 2002) which, for the time being, retains a regulatory framework similar to the framework set out by the MDD. The government plans to introduce new legislation governing medical devices with an aim for core aspects of the future regime for medical devices to apply from July 1, 2025. New legislation has been proposed and is also anticipated for adoption in late 2023 to bring into force strengthened post-market surveillance requirements ahead of the wider future regulatory regime. These post-market surveillance requirements are expected to apply from mid-2024.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Governments outside the United States tend to impose strict price controls, reimbursement approval and rebate policies, which may adversely affect our ability to generate revenue.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For example, in August 2023, a rebate agreement with the French Comité économique des produits de santé (CEPS) for sales of our t:slim X2 with Control-IQ pump in France went into effect. The rebate agreement with CEPS provides for specified reimbursements and requires specified rebates be paid, and we are currently in the process of determining the impact and allocation of such reimbursements and rebates under the agreement. While we currently cannot estimate the amount of such reimbursements and rebates that will be allocable to us, we may ultimately determine that we need to pay all or a portion of the rebates. Any such rebates that we are required to pay could adversely affect our ability to generate revenue from sales of t:slim X2 with Control-IQ in France.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continue to fluctuate significantly.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will continue to be volatile in response to a variety of factors, including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actual or anticipated fluctuations in our financial and operating results from period to period;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market acceptance of our current products and products under development, and the recognition of our brand;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introduction of proposed products, technologies or treatment techniques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announcements of significant contracts, acquisitions, divestitures or partnerships by us, our competitors or our collaboration partners;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regulatory clearance, certification, or approval of our products or the products of our competitors or collaboration partners, or the failure to obtain such clearances, certifications, or approvals on the projected timeline or at all;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announcement of a product recall, suspension or other safety notice associated with our products or the products of our competitors, or other similar regulatory enforcement actions;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financial and operating results relative to the expectations of securities analysts and other market participants and the issuance of securities analysts’ reports or recommendations;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threatened or actual litigation, regulatory proceedings, or government investigations;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general political or economic conditions.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and Delaware law may delay or prevent a change of control, which could reduce our stock price and prevent our stockholders from removing our current board of directors.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authorize the issuance of preferred stock with powers, preferences and rights that may be senior to our common stock, which can be created and issued by the board of directors without prior stockholder approval;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provide for a staggered board of directors whereby the board is currently divided into three classes, although our board and stockholders have approved the phased declassification of the board of directors such that the board structure will be completely declassified by our 2024 annual meeting of stockholders;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provide for the removal of a director only with cause and then by the affirmative vote of the holders of a majority of the outstanding shares;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prohibit stockholders from calling special stockholder meetings;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prohibit stockholders from acting by written consent without holding a meeting of stockholders;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require the vote of at least two-thirds of the outstanding shares to approve amendments to the certificate of incorporation or bylaws;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require advance written notice of stockholder proposals and director nominations.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law, federal net operating losses (NOLs) incurred in tax years beginning after December 31, 2017, may be carried forward indefinitely, but the deductibility of such federal NOLs is limited to 80% of taxable income. It is uncertain if and to what extent various states will conform to federal tax laws. As of December 31, 2023, we had accumulated federal and state NOL carryforwards of approximately $168.0 million, and $262.4 million, respectively. Of the total federal NOL carryforwards, approximately $78.4 million were generated after January 1, 2018, and therefore do not expire under current law but can only be utilized to offset 80% of future taxable income. The remaining federal NOL carryforwards of $89.6 million will begin to expire in 2033, and state tax loss carryforwards continue to expire.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 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subsidiaries, such as the Netherlands and Switzerland, have enacted with effect from January 1, 2024, or are in the process of enacting, core elements of the Pillar Two rules. Based on our current understanding of the minimum revenue thresholds contained in the Pillar Two proposal, we expect that we are likely to fall within the scope of its rules in the short-to-medium term. The OECD has issued administrative guidance providing transition and safe harbor rules in relation to the implementation of the Pillar Two proposal. We are monitoring developments and evaluating the potential impacts of these new rules, including on our effective tax rates, and considering our eligibility to qualify for these safe harbor rules.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have financed our liquidity needs under various credit arrangements and we may borrow additional funds in the future. For example, in May 2020, we completed the offering of $287.5 million principal amount of 1.50% Convertible Senior Notes due 2025 (the Notes), which are governed by the terms of an indenture. The Notes are our senior unsecured obligations.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contain certain debt service requirements. Pursuant to the Notes, interest is payable in cash semi-annually at a rate of 1.50% per year.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certain obligations under the Notes, or inability to make required debt service payments, could result in an event of default.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current or future level of indebtedness could affect our business, operations and strategy in several important ways,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we may be required to dedicate a portion of our current liquidity or cash flow from operations to interest payments, limiting the availability of cash for other purposes;</w:t>
      </w:r>
    </w:p>
    <w:p>
      <w:pPr>
        <w:pStyle w:val="TextBody"/>
        <w:bidi w:val="0"/>
        <w:spacing w:before="0" w:after="0"/>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covenants contained in future agreements governing indebtedness may limit our ability to borrow additional funds, refinance indebtedness or make certain investments;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debt covenants may affect our flexibility in planning for, and reacting to, changes in the economy and our industry;</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 high level of indebtedness may increase our vulnerability to adverse economic and competitive conditions;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 high level of indebtedness may limit our ability to obtain additional financing in the future or negatively impact the terms on which additional financing may be obtained.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Servicing the Notes will require a significant amount of cash, and we may not have sufficient cash flow from our business to repay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 event of default occurred under the indenture governing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or about October 24, 2023, we were notified that additional interest had been accruing on the Notes since May 2021 pursuant to the terms of the indenture, as a result of our failure to timely remove the restrictive legends on the Notes and switch the Notes to an unrestricted CUSIP. This additional interest accrued at a rate of 0.50% per annum on the outstanding principal amount of the Notes. The failure to pay these overdue amounts when required constituted an event of default under the indenture. We paid all overdue amounts related to this matter in November 2023. Early repayment of the Notes due to an event of default would likely significantly impact our liquidity and financial condition, which could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have sufficient cash or be able to obtain financing to repurchase the Notes upon a fundamental change, or to settle conversions of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have the right to require us to repurchase their Notes upon the occurrence of a fundamental change (as defined in the indenture governing the Notes)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settle all or a portion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Conversion of the Notes will, to the extent we deliver shares upon conversion of such Notes, dilute the ownership interest of existing stockholders and may otherwise have a negative impact on the trading price of our common stock.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Certain provisions in the indenture governing the Notes may delay or prevent an otherwise beneficial takeover attempt.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in the indenture governing the Notes may make it more difficult or expensive for a third party to acquire us. For example, the terms of the Notes require us to offer to repurchase the Notes in the event of a fundamental change and, in certain circumstances, to increase the conversion rate for a holder that converts its Notes in connection with a make-whole fundamental change (as defined in the indenture governing the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pStyle w:val="TextBody"/>
        <w:bidi w:val="0"/>
        <w:spacing w:lineRule="auto" w:line="288" w:before="200" w:after="240"/>
        <w:jc w:val="left"/>
        <w:rPr>
          <w:rFonts w:ascii="Times New Roman;sans-serif" w:hAnsi="Times New Roman;sans-serif"/>
          <w:b/>
          <w:i/>
          <w:color w:val="231F20"/>
          <w:sz w:val="20"/>
        </w:rPr>
      </w:pPr>
      <w:r>
        <w:rPr>
          <w:rFonts w:ascii="Times New Roman;sans-serif" w:hAnsi="Times New Roman;sans-serif"/>
          <w:b/>
          <w:i/>
          <w:color w:val="231F20"/>
          <w:sz w:val="20"/>
        </w:rPr>
        <w:t>The Capped Call Transactions may affect the value of the Notes and our common stock.</w:t>
      </w:r>
    </w:p>
    <w:p>
      <w:pPr>
        <w:pStyle w:val="TextBody"/>
        <w:bidi w:val="0"/>
        <w:spacing w:lineRule="auto" w:line="288" w:before="200" w:after="283"/>
        <w:ind w:left="0" w:right="0" w:firstLine="900"/>
        <w:jc w:val="left"/>
        <w:rPr/>
      </w:pPr>
      <w:r>
        <w:rPr>
          <w:rFonts w:ascii="Times New Roman;sans-serif" w:hAnsi="Times New Roman;sans-serif"/>
          <w:b w:val="false"/>
          <w:color w:val="231F20"/>
          <w:sz w:val="20"/>
        </w:rPr>
        <w:t xml:space="preserve">In connection with the </w:t>
      </w:r>
      <w:r>
        <w:rPr>
          <w:rFonts w:ascii="Times New Roman;sans-serif" w:hAnsi="Times New Roman;sans-serif"/>
          <w:b w:val="false"/>
          <w:color w:val="000000"/>
          <w:sz w:val="20"/>
        </w:rPr>
        <w:t>issuance</w:t>
      </w:r>
      <w:r>
        <w:rPr>
          <w:color w:val="231F20"/>
        </w:rPr>
        <w:t xml:space="preserve"> </w:t>
      </w:r>
      <w:r>
        <w:rPr>
          <w:rFonts w:ascii="Times New Roman;sans-serif" w:hAnsi="Times New Roman;sans-serif"/>
          <w:b w:val="false"/>
          <w:color w:val="231F20"/>
          <w:sz w:val="20"/>
        </w:rPr>
        <w:t>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200" w:after="283"/>
        <w:ind w:left="0" w:right="0" w:firstLine="900"/>
        <w:jc w:val="left"/>
        <w:rPr/>
      </w:pP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option</w:t>
      </w:r>
      <w:r>
        <w:rPr>
          <w:color w:val="231F20"/>
        </w:rPr>
        <w:t xml:space="preserve"> </w:t>
      </w:r>
      <w:r>
        <w:rPr>
          <w:rFonts w:ascii="Times New Roman;sans-serif" w:hAnsi="Times New Roman;sans-serif"/>
          <w:b w:val="false"/>
          <w:color w:val="231F20"/>
          <w:sz w:val="20"/>
        </w:rPr>
        <w:t xml:space="preserve">counterparties or their respective affiliates may modify their hedge positions by entering into or unwinding various derivatives with respect to our common stock and/or purchasing or selling our common stock or other securities of ours in secondary market transactions before the maturity of the Notes. This activity could also cause or avoid an increase or a decrease in the market price of our common stock or the Notes, which could affect a Note holder’s ability to convert the Notes. </w:t>
      </w:r>
    </w:p>
    <w:p>
      <w:pPr>
        <w:pStyle w:val="TextBody"/>
        <w:bidi w:val="0"/>
        <w:spacing w:lineRule="auto" w:line="288" w:before="200" w:after="283"/>
        <w:ind w:left="0" w:right="0" w:firstLine="900"/>
        <w:jc w:val="left"/>
        <w:rPr/>
      </w:pPr>
      <w:r>
        <w:rPr>
          <w:rFonts w:ascii="Times New Roman;sans-serif" w:hAnsi="Times New Roman;sans-serif"/>
          <w:b w:val="false"/>
          <w:color w:val="231F20"/>
          <w:sz w:val="20"/>
        </w:rPr>
        <w:t xml:space="preserve">The potential effect, </w:t>
      </w:r>
      <w:r>
        <w:rPr>
          <w:rFonts w:ascii="Times New Roman;sans-serif" w:hAnsi="Times New Roman;sans-serif"/>
          <w:b w:val="false"/>
          <w:color w:val="000000"/>
          <w:sz w:val="20"/>
        </w:rPr>
        <w:t>if</w:t>
      </w:r>
      <w:r>
        <w:rPr>
          <w:color w:val="231F20"/>
        </w:rPr>
        <w:t xml:space="preserve"> </w:t>
      </w:r>
      <w:r>
        <w:rPr>
          <w:rFonts w:ascii="Times New Roman;sans-serif" w:hAnsi="Times New Roman;sans-serif"/>
          <w:b w:val="false"/>
          <w:color w:val="231F20"/>
          <w:sz w:val="20"/>
        </w:rPr>
        <w:t>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pPr>
      <w:r>
        <w:rPr>
          <w:rFonts w:ascii="Times New Roman;sans-serif" w:hAnsi="Times New Roman;sans-serif"/>
          <w:b/>
          <w:i/>
          <w:color w:val="000000"/>
          <w:sz w:val="20"/>
        </w:rPr>
        <w:t xml:space="preserve">We are subject to counterparty risk with </w:t>
      </w:r>
      <w:r>
        <w:rPr>
          <w:rFonts w:ascii="Times New Roman;sans-serif" w:hAnsi="Times New Roman;sans-serif"/>
          <w:b/>
          <w:i/>
          <w:color w:val="231F20"/>
          <w:sz w:val="20"/>
        </w:rPr>
        <w:t>respect</w:t>
      </w:r>
      <w:r>
        <w:rPr>
          <w:color w:val="000000"/>
        </w:rPr>
        <w:t xml:space="preserve"> </w:t>
      </w:r>
      <w:r>
        <w:rPr>
          <w:rFonts w:ascii="Times New Roman;sans-serif" w:hAnsi="Times New Roman;sans-serif"/>
          <w:b/>
          <w:i/>
          <w:color w:val="000000"/>
          <w:sz w:val="20"/>
        </w:rPr>
        <w:t>to the Capped Call Transactions.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The option counterparties </w:t>
      </w:r>
      <w:r>
        <w:rPr>
          <w:rFonts w:ascii="Times New Roman;sans-serif" w:hAnsi="Times New Roman;sans-serif"/>
          <w:b w:val="false"/>
          <w:color w:val="231F20"/>
          <w:sz w:val="20"/>
        </w:rPr>
        <w:t>are</w:t>
      </w:r>
      <w:r>
        <w:rPr>
          <w:color w:val="000000"/>
        </w:rPr>
        <w:t xml:space="preserve"> </w:t>
      </w:r>
      <w:r>
        <w:rPr>
          <w:rFonts w:ascii="Times New Roman;sans-serif" w:hAnsi="Times New Roman;sans-serif"/>
          <w:b w:val="false"/>
          <w:color w:val="000000"/>
          <w:sz w:val="20"/>
        </w:rPr>
        <w:t xml:space="preserve">financial institutions, and we will be subject to the risk that any or all of them may default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patient and customer data (“Information Systems and Data”).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security function is led by our Vice President, Cybersecurity (our “Information Security Team”), and is supported by our Chief Technology Officer, our Chief Legal, Privacy and Compliance Officer and legal department, our Vice President, Head of Information Technology, and our cybersecurity incident management team. Our Information Security Team is tasked with identifying, assessing and managing our cybersecurity threats and risks. It identifies and assesses risks from cybersecurity threats by monitoring and evaluating our threat environment and our risk profile using various methods including: the use of manual and automated tools, subscribing to reports and services that identify cybersecurity threats, analyzing reports of threats and actors, conducting scans of the threat environment, evaluating our and our industry’s risk profile, evaluating threats reported to us, conducting risk assessments, coordinating with law enforcement concerning threats, conducting internal and external audits and threat assessments for internal and external threats, obtaining third party threat assessments, conducting vulnerability assessments to identify vulnerabilities, and tabletop incident response exercises.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an incident response policy, vulnerability management policy, disaster recovery and business continuity plan, vendor risk management program, programs for incident detection and response, encrypting certain data, network security controls, data segregation, asset management tracking and disposal, penetration testing, employee training, access controls, physical security controls, systems monitoring, a dedicated cybersecurity officer; and cybersecurity insurance.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assessment and management of material risks from cybersecurity threats are integrated into our overall risk management processes. For example, the Information Security Team works with other members of management to prioritize our risk management processes and mitigate cybersecurity threats that are more likely to lead to a material impact to our business. Additionally, our senior management evaluates material risks from cybersecurity threats against our overall business objectives and reports to the Cybersecurity and Data Privacy Oversight Subcommittee (the “Privacy and Security Subcommittee”) of the Nominating and Corporate Governance Committee, as well as our Board of Directors, the latter of which evaluates our overall enterprise risk.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to assist us from time to time to identify, assess, and manage material risks from cybersecurity threats, including professional services firms, including legal counsel; cybersecurity consultants; cybersecurity software providers; managed cybersecurity service providers; penetration testing firms; and forensic investigators.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perform a variety of functions throughout our business, such as application providers, hosting companies, contract research organizations, contract manufacturing organizations, distributors and supply chain resources. We have a vendor management program to manage cybersecurity risks associated with our use of these providers. The program includes requiring certain vendors to complete security questionnaires, conducting risk assessments for certain vendors, reviewing security assessments, conducting security assessment calls with certain vendor security personnel, and imposing information contractual obligations on the vendor.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the risks from cybersecurity threats that may materially affect us and how they may do so, see our risk factors in Part I, Item 1A of this Annual Report, including in the section titled “Risks Related to Privacy and Security.”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addresses our cybersecurity risk management as part of its general oversight function. The Privacy and Security Subcommittee is responsible for overseeing our cybersecurity risk management processes, including oversight and mitigation of risks from cybersecurity threats.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management processes are implemented and maintained by our Information Security Team, in consultation with members of our cybersecurity incident management team. Our cybersecurity incident management team is led by our Vice President, Cybersecurity and includes our Chief Human Resources Officer, Vice President, Privacy, senior personnel from our legal, finance, and relevant business departments (the “Incident Management Team”). Our Vice President, Cybersecurity brings extensive experience in software development, IT, and cyber security, gained in over two decades in the telecommunications, financial services, defense, and healthcare sectors. Notably, he spent the last four years at a medical device company focused on insulin delivery, where he successfully established the product security program and played a pivotal role in obtaining clearance for its flagship product line.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the leader of our Information Security Team, our Vice President, Cybersecurity, is responsible for hiring appropriate personnel, helping to integrate cybersecurity risk considerations into our overall risk management strategy, communicating key priorities to relevant personnel, requesting and allocating budgets, helping prepare for cybersecurity incidents, approving cybersecurity processes, and reviewing security assessments and other security-related reports.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incident response policy and security incident handling procedure are designed to escalate certain cybersecurity incidents to members of management who are part of the Incident Management Team. The Incident Management Team works to help mitigate and remediate cybersecurity incidents of which they are notified. In addition, the cybersecurity incident response policy and security incident handling procedure include escalating certain cybersecurity incidents to our disclosure committee and, if appropriate, to the Privacy and Security Subcommittee.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Privacy and Security Subcommittee meets periodically, and receives regular reports from our Vice President, Cybersecurity and, as appropriate, other members of the Information Security Team concerning any significant cybersecurity threats and risk and the processes we have implemented to address them. The Privacy and Security Subcommittee also receives various reports, summaries or presentations related to cybersecurity threats, risk and mitigation, generally. The Privacy and Security Subcommittee provides regular reports to the Nominating and Corporate Governance Committee of significant matters related to the Privacy and Security Subcommittee’s responsibilities, and the Nominating and Corporate Governance Committee together with the VP, Cybersecurity in turn provide regular reports to our Board of Directors on such significant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operations are currently conducted at leased facilities, including our manufacturing processes, research and development activities, customer and technical support, and management and administrative functions. As of December 31, 2023, we leased facilities with an aggregate total of approximately 358,000 square feet, as follows: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Headquarters Lease</w:t>
      </w:r>
      <w:r>
        <w:rPr>
          <w:rFonts w:ascii="Times New Roman;sans-serif" w:hAnsi="Times New Roman;sans-serif"/>
          <w:b w:val="false"/>
          <w:color w:val="000000"/>
          <w:sz w:val="20"/>
        </w:rPr>
        <w:t>: 181,949 square feet of general administrative, laboratory and research and development office space located on High Bluff Drive in San Diego, California. Phase I of the lease, consisting of 143,850 rentable square feet, began in March of 2022. Phase II of the lease, consisting of 38,099 rentable square feet, is expected to begin in the first quarter of 2025. The lease term covering both Phase I and Phase II is currently expected to expire in April 2035. We have two options to extend the term of the lease, with each option providing for an additional period of five years. The Headquarters Lease also includes a first right of offer with respect to an additional 16,154 rentable square feet of general office space should the space become available.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Vista Sorrento Parkway Lease</w:t>
      </w:r>
      <w:r>
        <w:rPr>
          <w:rFonts w:ascii="Times New Roman;sans-serif" w:hAnsi="Times New Roman;sans-serif"/>
          <w:b w:val="false"/>
          <w:color w:val="000000"/>
          <w:sz w:val="20"/>
        </w:rPr>
        <w:t>: 73,929 square feet of general office space located on Vista Sorrento Parkway in San Diego, California, which is scheduled to expire in January 2028. We have two options to extend the term of the Vista Sorrento Parkway lease, with each option providing for an additional period of five years, which are not expected to be exercised. During the second quarter of 2023, the Company consolidated facilities by moving the administrative functions and other operations from the Vista Sorrento Lease facility to the new Headquarters Lease location, and this leased facility is currently unoccupied.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Barnes Canyon Lease</w:t>
      </w:r>
      <w:r>
        <w:rPr>
          <w:rFonts w:ascii="Times New Roman;sans-serif" w:hAnsi="Times New Roman;sans-serif"/>
          <w:b w:val="false"/>
          <w:color w:val="000000"/>
          <w:sz w:val="20"/>
        </w:rPr>
        <w:t>: 48,880 square feet of general office, manufacturing and warehouse space located on Barnes Canyon Road in San Diego, California, which is scheduled to expire in November 2028.</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Marindustry Place Lease</w:t>
      </w:r>
      <w:r>
        <w:rPr>
          <w:rFonts w:ascii="Times New Roman;sans-serif" w:hAnsi="Times New Roman;sans-serif"/>
          <w:b w:val="false"/>
          <w:color w:val="000000"/>
          <w:sz w:val="20"/>
        </w:rPr>
        <w:t>: 40,490 square feet of general office and warehouse space located on Marindustry Place in San Diego, California, which is scheduled to expire in April 2026. We have a one-time option to extend the term of the Marindustry Place lease for a period of no less than three years and no more than five years.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High Bluff Lease</w:t>
      </w:r>
      <w:r>
        <w:rPr>
          <w:rFonts w:ascii="Times New Roman;sans-serif" w:hAnsi="Times New Roman;sans-serif"/>
          <w:b w:val="false"/>
          <w:color w:val="000000"/>
          <w:sz w:val="20"/>
        </w:rPr>
        <w:t>: 31,372 square feet of general office space located on High Bluff Drive, in San Diego, California, which is scheduled to expire in March 2024. This leased facility is currently unoccupied.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Wrigley Lease:</w:t>
      </w:r>
      <w:r>
        <w:rPr>
          <w:color w:val="000000"/>
        </w:rPr>
        <w:t xml:space="preserve"> </w:t>
      </w:r>
      <w:r>
        <w:rPr>
          <w:rFonts w:ascii="Times New Roman;sans-serif" w:hAnsi="Times New Roman;sans-serif"/>
          <w:b w:val="false"/>
          <w:color w:val="000000"/>
          <w:sz w:val="20"/>
        </w:rPr>
        <w:t>7,753 square feet of general administrative and research and development office space located on Wrigley Avenue in Irvine, California, which is scheduled to expire in October 2024. In January 2024, the Company extended the term of this lease through October 2025.</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Outside the United States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Switzerland Lease</w:t>
      </w:r>
      <w:r>
        <w:rPr>
          <w:rFonts w:ascii="Times New Roman;sans-serif" w:hAnsi="Times New Roman;sans-serif"/>
          <w:b w:val="false"/>
          <w:color w:val="000000"/>
          <w:sz w:val="20"/>
        </w:rPr>
        <w:t>: 11,287 square feet of general administrative and research and development office space located in Saint-Sulpice, Switzerland, which expired in December 2023. The Company executed a new lease agreement with a lease term that begins in January 2024 and expires in December 2028.</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u w:val="single"/>
        </w:rPr>
        <w:t>Canada Lease</w:t>
      </w:r>
      <w:r>
        <w:rPr>
          <w:rFonts w:ascii="Times New Roman;sans-serif" w:hAnsi="Times New Roman;sans-serif"/>
          <w:b w:val="false"/>
          <w:color w:val="000000"/>
          <w:sz w:val="20"/>
        </w:rPr>
        <w:t>: 667 square feet of general office space located in Markham, Ontario, Canada. This is a month-to-month lease that can be canceled by delivering written notice of no less than one month to the landlord.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facilities that we presently occupy will be sufficient to support our current operations and that suitable additional facilities would be available to us should our operations require it.</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Except as set forth under the caption </w:t>
      </w:r>
      <w:r>
        <w:rPr>
          <w:color w:val="000000"/>
        </w:rPr>
        <w:t>“</w:t>
      </w:r>
      <w:r>
        <w:rPr>
          <w:rFonts w:ascii="Times New Roman;sans-serif" w:hAnsi="Times New Roman;sans-serif"/>
          <w:b w:val="false"/>
          <w:i/>
          <w:color w:val="000000"/>
          <w:sz w:val="20"/>
        </w:rPr>
        <w:t xml:space="preserve">Commitments and Contingencies - Legal and Regulatory Matters” </w:t>
      </w:r>
      <w:r>
        <w:rPr>
          <w:rFonts w:ascii="Times New Roman;sans-serif" w:hAnsi="Times New Roman;sans-serif"/>
          <w:b w:val="false"/>
          <w:color w:val="000000"/>
          <w:sz w:val="20"/>
        </w:rPr>
        <w:t>in Part II, Item 8, Subsection 13 of this Annual Report, there are no material pending legal proceedings to which we or any of our subsidiaries is a party or of which any of our property is subject. See also “Patent litigation in the medical device industry is common, and we may be subject to litigation that could cause us to incur substantial costs and divert the attention of management from our business” in Part I, Item 1A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has been trading on the Nasdaq Global Market since November 14, 2013 under the symbol “TNDM.”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16, 2024, there were approximately 45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illustrates a comparison of the cumulative total stockholder return (change in stock price plus reinvested dividends) of our common stock with (i) The Nasdaq Composite Index, (ii) The Nasdaq Health Care Index, and (iii) the Russell 3000 Index. The graph assumes a $100 investment, on December 31, 2018, in (i) our common stock, (ii) the securities comprising the Nasdaq Composite Index, (iii) the securities comprising the Nasdaq Health Care Index, and (iv) the securities in the Russell 3000 Index.</w:t>
      </w:r>
    </w:p>
    <w:p>
      <w:pPr>
        <w:pStyle w:val="TextBody"/>
        <w:bidi w:val="0"/>
        <w:spacing w:before="200" w:after="283"/>
        <w:ind w:left="0" w:right="0" w:firstLine="900"/>
        <w:jc w:val="center"/>
        <w:rPr/>
      </w:pPr>
      <w:r>
        <w:rPr/>
        <w:drawing>
          <wp:inline distT="0" distB="0" distL="0" distR="0">
            <wp:extent cx="5848350" cy="3619500"/>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4"/>
                    <a:stretch>
                      <a:fillRect/>
                    </a:stretch>
                  </pic:blipFill>
                  <pic:spPr bwMode="auto">
                    <a:xfrm>
                      <a:off x="0" y="0"/>
                      <a:ext cx="5848350" cy="36195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796"/>
        <w:gridCol w:w="678"/>
        <w:gridCol w:w="681"/>
        <w:gridCol w:w="215"/>
        <w:gridCol w:w="735"/>
        <w:gridCol w:w="110"/>
        <w:gridCol w:w="109"/>
        <w:gridCol w:w="109"/>
        <w:gridCol w:w="109"/>
        <w:gridCol w:w="215"/>
        <w:gridCol w:w="735"/>
        <w:gridCol w:w="110"/>
        <w:gridCol w:w="109"/>
        <w:gridCol w:w="109"/>
        <w:gridCol w:w="109"/>
        <w:gridCol w:w="215"/>
        <w:gridCol w:w="735"/>
        <w:gridCol w:w="110"/>
        <w:gridCol w:w="109"/>
        <w:gridCol w:w="109"/>
        <w:gridCol w:w="109"/>
        <w:gridCol w:w="215"/>
        <w:gridCol w:w="735"/>
        <w:gridCol w:w="110"/>
        <w:gridCol w:w="109"/>
        <w:gridCol w:w="109"/>
        <w:gridCol w:w="109"/>
        <w:gridCol w:w="215"/>
        <w:gridCol w:w="735"/>
        <w:gridCol w:w="110"/>
        <w:gridCol w:w="109"/>
        <w:gridCol w:w="109"/>
        <w:gridCol w:w="109"/>
        <w:gridCol w:w="214"/>
        <w:gridCol w:w="734"/>
        <w:gridCol w:w="167"/>
      </w:tblGrid>
      <w:tr>
        <w:trPr/>
        <w:tc>
          <w:tcPr>
            <w:tcW w:w="7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Health Care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3000</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common stock. We do not anticipate paying any cash dividends on our common stock in the foreseeable future. Any future determination to pay dividends will be at the discretion of our board of directors.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Repurchases of Equity Securities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of our equity securities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20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and analysis together with the “Consolidated Financial Statements and Supplementary Data” in Part II, Item 8 of this Annual Report. The following discussion contains forward-looking statements, which statements are subject to considerable risks and uncertainties. For additional information, see “Cautionary Note Regarding Forward-Looking Statements” at the beginning of this Annual Report.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discussion of changes in our results of operations during the year ended December 31, 2022 compared with the year ended December 31, 2021 has been omitted from this Annual Report on Form 10-K but may be found in “Item 7. Management’s Discussion and Analysis of Financial Condition and Results of Operations” in our Annual Report on Form 10-K for the year ended December 31, 2022, filed with the SEC on February 22, 2023, which discussion is incorporated herein by reference and which is available free of charge on the SEC’s website at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a medical device company focused on the design, development and commercialization of technology solutions for people living with diabetes. We consider our primary addressable market to be people who live with type 1 diabetes. Through our product development efforts, we are seeking to expand our addressable market to include people living with type 2 diabetes who require intensive insulin therapy. Diabetes management can vary greatly from person-to-person, creating multiple market segments based on clinical needs and personal preferences. Our goal is to address the individual needs of people with insulin-dependent diabetes and their care team flexibility and choice in intelligent insulin delivery systems, through an accessible portfolio of market-leading pumps, applications, and insights.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in 2012 through June 2018, we derived nearly all of our sales from the shipment of insulin pumps and associated supplies to customers in the United States. Starting in the third quarter of 2018, we began selling in select geographies outside the United States and our technology solutions are now available in approximately 25 countries worldwide. In the four-year period ended December 31, 2023, we shipped approximately 450,000 insulin pumps, which is representative of our in-warranty global installed customer base assuming the typical four-year reimbursement cycle.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t:slim X2 has been our flagship technology solution. In February 2024, we expanded our pump portfolio with commercial U.S. availability of the Tandem Mobi insulin pump, which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In the United States, a limited release of Tandem Mobi began in the fourth quarter of 2023 and commercial availability began in February 2024.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both the t:slim X2 and Tandem Mobi in our product portfolio, we are offering people living with diabetes a choice between the t:slim X2 and Tandem Mobi insulin pumps based on their individual needs and preferences in insulin delivery.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customers use their insulin pump with continuous glucose monitoring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FDA to deliver automatic correction boluses in addition to adjusting insulin to help prevent high and low blood sugar.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t:slim X2 was the first pump on which remote software updates were made commercially available in the United States and is now also available in the countries we serve worldwide. Our Tandem Device Updater (TDU) has allowed our t:slim X2 customers to update their pump software from a personal computer. Tandem Mobi offers the same update capability with wireless, remote updates. This offering is a competitive advantage that allows us to bring our customers clinical and lifestyle enhancements, such as new developments in our AID technology, CGM integrations and mobile app features. As an example, we recently launched a pump software update through TDU to allow all t:slim X2 pump users in the United States access to integration with two new CGM sensor offerings.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insulin pump products are generally considered durable medical equipment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we also offer a data management web application that provides users, their caregivers and their healthcare providers with a fast, easy and visual way to display diabetes therapy management data from our pumps, integrated CGMs and supported blood glucose meters. Our first-generation data management application, t:connect, was commercially introduced in the United States in 2013. In the second quarter of 2023, we began a scaled global launch, starting with the United States, of our second-generation data management application, Tandem Source.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Tandem Diabetes Care Launches Tandem Mobi, the World’s Smallest, Durable Automated Insulin Delivery System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announced the United States commercial launch of our new Tandem Mobi, the world’s smallest, durable automated insulin delivery system for people living with diabetes. We have begun taking orders and shipping to eligible customers in the United States.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Integration of t:slim X2 with Abbott’s FreeStyle Libre 2 Plus Sensor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we announced that the t:slim X2 insulin pump with Control-IQ technology became the first AID system to integrate with newly available FreeStyle Libre 2 Plus sensor, Abbott’s latest CGM technology. Users in the United States are now able to experience the therapeutic benefits of a hybrid closed-loop system that helps predict and prevent high and low blood sugar. Tandem’s t:slim X2 insulin pump connects wirelessly to the FreeStyle Libre 2 Plus sensor, which sends automatic glucose readings every minute to the pump.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Pump Reimbursement Cycle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typically take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four-year period ended December 31, 2023, we shipped more than 450,000 insulin pumps worldwide, which is representative of our global in-warranty installed customer base. Our ending estimated worldwide installed customer base increased approximately 7% year over year.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Over 310,000 pumps were shipped to customers in the United States in the four-year period ended December 31, 2023, which is representative of our U.S. installed customer base.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shipped approximately 140,000 pumps outside the United States in the four-year period ended December 31, 2023 and our products are now available in approximately 25 countries. The ordering patterns of, and levels of inventory carried by, our distributors outside the United States for pumps and supplies have historically been highly variable from period to period due to a number of factors, including summer vacations, the timing of product launches into new geographies and variability due to supply chain logistics, particularly during the global pandemic. This also influences the timing in which renewal eligibility begins for existing customers, which may not initially be consistent with trends in the U.S. market. We recently began completing a full four-year reimbursement cycle in an increasing number of our markets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Trends and Uncertainties Impacting Financial Results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have historically fluctuated on a quarterly or annual basis. We expect these periodic fluctuations will continue to be impacted by a number of trends and uncertainties, including the following: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worldwide customer base and bring products to market in a competitive timeframe. These delays, or failure to receive regulatory approval could adversely impact our revenue and results of operations.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Any adverse event involving any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Product - Launches and Reimbursement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Tandem Choice program, and its related financial and accounting impact, may continue to materially impact our business until the conclusion of the program.</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historically experienced higher net sales in our third and fourth quarters compared to the first half of the year. We believe our July 2023 announcement of FDA clearance of Tandem Mobi and its anticipated launch impacted the timing of purchasing decisions by our current and prospective customers in the second half of 2023 up through the U.S. commercial availability of Tandem Mobi in February 2024, resulting in delays that were unlike historical seasonal patterns or purchasing behaviors. Regulatory approval and/or upcoming launches of other new Tandem or competitor products could also adversely impact timing of purchasing decisions.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 periods following new product launches, particularly with new hardware platforms, our cost of sales may increase on a per unit basis until the new products achieve manufacturing scale and operating expenses may be elevated by increased sales and marketing spend to support the product launches.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Our revenue and results of operations may be impacted by the failure to secure or retain adequate coverage or reimbursement for our current and future products from third-party payors, as well as changes in reimbursement structures.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Foreign Markets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expanded our business and launched new products in select geographies outside the United States. The ordering patterns of our distributors outside the United States is highly variable from period to period. For example, we began operations of a European distribution center beginning in the third quarter of 2022, which led to downward adjustments of inventory levels at our distributors starting in late 2022 and continuing through the first half of 2023.</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Seasonality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 as well as the anticipated launch of new products.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Global economic and market uncertainty, such as recessionary concerns, inflation,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High inflation and the effects of other macroeconomic factors and concerns have continued to disrupt our relationships with suppliers, third-party manufacturers, healthcare providers, distributors and our existing or potential customers. We are experiencing higher costs as we navigate these global macroeconomic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products for people with insulin-dependent diabetes in approximately 25 countries. The t:slim X2 insulin pump has been our flagship pump platform. Our other products include single-use insulin cartridges and infusion sets, as well as our complementary t:connect, TDU and mobile application products.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Results—Seasonality” above. </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began offering the Tandem Choice program to eligible t:slim X2 customers to provide a pathway to ownership of our newest hardware platform, Tandem Mobi, for a fee when available. Tandem Choice expires on December 31, 2024. The accounting treatment for Tandem Choice is complex (see Note 2, “Summary of Significant Accounting Policies”). Initially, the program requires the deferral of some portion of sales for shipments of eligible pumps, which began in the third quarter of 2022. No election is made by the customer at the time of the initial sale, nor does the right offered to the customer impact the economics associated with how or when the initial pump sale is reimbursed. If a customer elects to participate in Tandem Choice at a future date beginning with the launch of our next generation hardware platform, Tandem Mobi, we will recognize the existing deferral, incremental fees received and the associated costs of providing the new hardware, Tandem Mobi, at the time of fulfillment. Any remaining deferrals will be recognized at program expiration. At this time, we are not able to estimate the financial impact for the remainder of the Tandem Choice period.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Therefore, the percentage of pump sales relative to total sales could have a significant impact on our overall gross margin percentage.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have approximately 110 sales territories in the United States, which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 (IPR&amp;D)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reflects costs of external research and development projects acquired directly in a transaction other than a business combination, that do not have an alternative future use.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and expense primarily consists of interest earned on our cash equivalents and short-term investments, foreign currency transaction gains and losses, and interest expense which includes the amortization of debt issuance costs related to our 1.50% Convertible Senior Notes due May 2025 (Notes).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we were notified that additional interest beyond the 1.50% per annum had been accruing on the Notes since May 2021, pursuant to the terms of the indenture. The additional accrued interest of $3.3 million was fully paid in November 2023 (see Note 7, “Debt”).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8627" w:type="dxa"/>
        <w:jc w:val="left"/>
        <w:tblInd w:w="0" w:type="dxa"/>
        <w:tblLayout w:type="fixed"/>
        <w:tblCellMar>
          <w:top w:w="28" w:type="dxa"/>
          <w:left w:w="28" w:type="dxa"/>
          <w:bottom w:w="28" w:type="dxa"/>
          <w:right w:w="28" w:type="dxa"/>
        </w:tblCellMar>
      </w:tblPr>
      <w:tblGrid>
        <w:gridCol w:w="1421"/>
        <w:gridCol w:w="1250"/>
        <w:gridCol w:w="1258"/>
        <w:gridCol w:w="211"/>
        <w:gridCol w:w="901"/>
        <w:gridCol w:w="271"/>
        <w:gridCol w:w="109"/>
        <w:gridCol w:w="109"/>
        <w:gridCol w:w="109"/>
        <w:gridCol w:w="211"/>
        <w:gridCol w:w="826"/>
        <w:gridCol w:w="271"/>
        <w:gridCol w:w="109"/>
        <w:gridCol w:w="109"/>
        <w:gridCol w:w="109"/>
        <w:gridCol w:w="211"/>
        <w:gridCol w:w="826"/>
        <w:gridCol w:w="316"/>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percentages)</w:t>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702,799 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353,562 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Comparison of Years Ended December 31, 2023 and 2022 </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For the year ended December 31, 2023, sales were $747.7 million, which included $192.8 million of sales outside the United States.</w:t>
      </w:r>
      <w:r>
        <w:rPr>
          <w:color w:val="000000"/>
        </w:rPr>
        <w:t xml:space="preserve"> </w:t>
      </w:r>
      <w:r>
        <w:rPr>
          <w:rFonts w:ascii="Times New Roman;sans-serif" w:hAnsi="Times New Roman;sans-serif"/>
          <w:b w:val="false"/>
          <w:color w:val="000000"/>
          <w:sz w:val="20"/>
        </w:rPr>
        <w:t>For the year ended December 31, 2023, we deferred $25.1 million of pump sales as the result of our Tandem Choice program which launched in the United States in the third quarter of 2022. In addition, for the year ended December 31, 2023, we recorded a reduction to sales of $8.5 million for a new rebate structure implemented in a market outside of the United States. For the year ended December 31, 2022, sales were $801.2 million, which included $212.5 million of sales outside the United States, and we deferred $3.5 million of pump sales as a result of our Tandem Choice program.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in the United States were as follows (dollars in thousands):</w:t>
      </w:r>
    </w:p>
    <w:tbl>
      <w:tblPr>
        <w:tblW w:w="7071" w:type="dxa"/>
        <w:jc w:val="center"/>
        <w:tblInd w:w="0" w:type="dxa"/>
        <w:tblLayout w:type="fixed"/>
        <w:tblCellMar>
          <w:top w:w="28" w:type="dxa"/>
          <w:left w:w="28" w:type="dxa"/>
          <w:bottom w:w="28" w:type="dxa"/>
          <w:right w:w="28" w:type="dxa"/>
        </w:tblCellMar>
      </w:tblPr>
      <w:tblGrid>
        <w:gridCol w:w="1117"/>
        <w:gridCol w:w="984"/>
        <w:gridCol w:w="988"/>
        <w:gridCol w:w="211"/>
        <w:gridCol w:w="826"/>
        <w:gridCol w:w="109"/>
        <w:gridCol w:w="109"/>
        <w:gridCol w:w="109"/>
        <w:gridCol w:w="109"/>
        <w:gridCol w:w="211"/>
        <w:gridCol w:w="826"/>
        <w:gridCol w:w="109"/>
        <w:gridCol w:w="109"/>
        <w:gridCol w:w="109"/>
        <w:gridCol w:w="109"/>
        <w:gridCol w:w="303"/>
        <w:gridCol w:w="303"/>
        <w:gridCol w:w="430"/>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Pumps shipped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607%</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Pump sales in the United States were $289.5 million for the year ended December 31, 2023 compared to $329.1 million for the year ended December 31, 2022, as pump shipments decreased 12% compared to the year ended December 31, 2022. Throughout 2023, we faced challenging marketplace dynamics and economic conditions, with inflation and the threat of recession impacting pump purchasing decisions. Additionally, we believe the anticipation of the full release of new CGM sensor integrations with t:slim X2 and the FDA clearance of Tandem Mobi in July 2023 impacted the timing of purchasing decisions for those offerings, resulting in some customers delaying current purchases until commercial availability of these products in future periods. Sales of pump-related supplies increased primarily due to a 7% year-over-year increase in our ending estimated installed base of customers in the United States. Sales to distributors accounted for 64% and 65% of our total sales in the United States for the years ended December 31, 2023 and 2022, respectively.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in the United States for the years ended December 31, 2023 and 2022 were reduced by a deferral of $25.1 million and $3.5 million, respectively, as the result of our Tandem Choice program which launched in September of 2022. The increase in the sales deferral for Tandem Choice in 2023 as compared to 2022 was primarily related to a reduction in the Tandem Choice program price. This change became effective in the third quarter of 2023, resulting in an increase to our estimate of the future customer participation rate and, therefore, a higher deferral per pump sold, coupled with the Tandem Choice program being in effect for the entire year of 2023.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outside the United States were as follows (dollars in thousands):</w:t>
      </w:r>
    </w:p>
    <w:tbl>
      <w:tblPr>
        <w:tblW w:w="7102" w:type="dxa"/>
        <w:jc w:val="center"/>
        <w:tblInd w:w="0" w:type="dxa"/>
        <w:tblLayout w:type="fixed"/>
        <w:tblCellMar>
          <w:top w:w="28" w:type="dxa"/>
          <w:left w:w="28" w:type="dxa"/>
          <w:bottom w:w="28" w:type="dxa"/>
          <w:right w:w="28" w:type="dxa"/>
        </w:tblCellMar>
      </w:tblPr>
      <w:tblGrid>
        <w:gridCol w:w="1128"/>
        <w:gridCol w:w="994"/>
        <w:gridCol w:w="998"/>
        <w:gridCol w:w="211"/>
        <w:gridCol w:w="826"/>
        <w:gridCol w:w="109"/>
        <w:gridCol w:w="109"/>
        <w:gridCol w:w="109"/>
        <w:gridCol w:w="109"/>
        <w:gridCol w:w="211"/>
        <w:gridCol w:w="826"/>
        <w:gridCol w:w="109"/>
        <w:gridCol w:w="109"/>
        <w:gridCol w:w="109"/>
        <w:gridCol w:w="109"/>
        <w:gridCol w:w="303"/>
        <w:gridCol w:w="303"/>
        <w:gridCol w:w="430"/>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Pumps shipped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rebate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Outside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Pump sales outside the United States were $76.3 million for the year ended December 31, 2023, compared to $102.8 million in the prior year. We began operations of a centralized European distribution center in late 2022. This resulted in a material disruption to distributor ordering patterns in the first half of 2023 as affected distributors reduced their pump and supply inventory levels to adjust for the reduced transit time. As a result, pump shipments decreased 32% compared to the year ended December 31,</w:t>
      </w:r>
      <w:r>
        <w:rPr>
          <w:color w:val="000000"/>
        </w:rPr>
        <w:t xml:space="preserve"> </w:t>
      </w:r>
      <w:r>
        <w:rPr>
          <w:rFonts w:ascii="Times New Roman;sans-serif" w:hAnsi="Times New Roman;sans-serif"/>
          <w:b w:val="false"/>
          <w:color w:val="000000"/>
          <w:sz w:val="20"/>
        </w:rPr>
        <w:t>2022. The year-over-year changes in pump and supply shipments were not directly correlated with actual customer demand. The decrease in pump sales was partially offset by an increase in average selling prices due primarily to geographical mix. Pump sales outside the United States also included a reduction to sales of $8.5 million for a new rebate structure implemented in a single market. Sales to distributors accounted for 99% and 96% of our total sales outside the United States for the years ended December 31, 2023 and 2022, respectively.</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Cost of Sales and Gross Profit</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Our cost of sales for the year ended December 31, 2023</w:t>
      </w:r>
      <w:r>
        <w:rPr>
          <w:color w:val="000000"/>
        </w:rPr>
        <w:t xml:space="preserve"> </w:t>
      </w:r>
      <w:r>
        <w:rPr>
          <w:rFonts w:ascii="Times New Roman;sans-serif" w:hAnsi="Times New Roman;sans-serif"/>
          <w:b w:val="false"/>
          <w:color w:val="000000"/>
          <w:sz w:val="20"/>
        </w:rPr>
        <w:t>was</w:t>
      </w:r>
      <w:r>
        <w:rPr>
          <w:color w:val="000000"/>
        </w:rPr>
        <w:t xml:space="preserve"> </w:t>
      </w:r>
      <w:r>
        <w:rPr>
          <w:rFonts w:ascii="Times New Roman;sans-serif" w:hAnsi="Times New Roman;sans-serif"/>
          <w:b w:val="false"/>
          <w:color w:val="000000"/>
          <w:sz w:val="20"/>
        </w:rPr>
        <w:t>$380.0 million, resulting in gross profit of</w:t>
      </w:r>
      <w:r>
        <w:rPr>
          <w:color w:val="000000"/>
        </w:rPr>
        <w:t xml:space="preserve"> </w:t>
      </w:r>
      <w:r>
        <w:rPr>
          <w:rFonts w:ascii="Times New Roman;sans-serif" w:hAnsi="Times New Roman;sans-serif"/>
          <w:b w:val="false"/>
          <w:color w:val="000000"/>
          <w:sz w:val="20"/>
        </w:rPr>
        <w:t>$367.7 million, compared to cost of sales of</w:t>
      </w:r>
      <w:r>
        <w:rPr>
          <w:color w:val="000000"/>
        </w:rPr>
        <w:t xml:space="preserve"> </w:t>
      </w:r>
      <w:r>
        <w:rPr>
          <w:rFonts w:ascii="Times New Roman;sans-serif" w:hAnsi="Times New Roman;sans-serif"/>
          <w:b w:val="false"/>
          <w:color w:val="000000"/>
          <w:sz w:val="20"/>
        </w:rPr>
        <w:t>$388.2</w:t>
      </w:r>
      <w:r>
        <w:rPr>
          <w:color w:val="000000"/>
        </w:rPr>
        <w:t xml:space="preserve"> </w:t>
      </w:r>
      <w:r>
        <w:rPr>
          <w:rFonts w:ascii="Times New Roman;sans-serif" w:hAnsi="Times New Roman;sans-serif"/>
          <w:b w:val="false"/>
          <w:color w:val="000000"/>
          <w:sz w:val="20"/>
        </w:rPr>
        <w:t>million and gross profit of</w:t>
      </w:r>
      <w:r>
        <w:rPr>
          <w:color w:val="000000"/>
        </w:rPr>
        <w:t xml:space="preserve"> </w:t>
      </w:r>
      <w:r>
        <w:rPr>
          <w:rFonts w:ascii="Times New Roman;sans-serif" w:hAnsi="Times New Roman;sans-serif"/>
          <w:b w:val="false"/>
          <w:color w:val="000000"/>
          <w:sz w:val="20"/>
        </w:rPr>
        <w:t>$413.0</w:t>
      </w:r>
      <w:r>
        <w:rPr>
          <w:color w:val="000000"/>
        </w:rPr>
        <w:t xml:space="preserve"> </w:t>
      </w:r>
      <w:r>
        <w:rPr>
          <w:rFonts w:ascii="Times New Roman;sans-serif" w:hAnsi="Times New Roman;sans-serif"/>
          <w:b w:val="false"/>
          <w:color w:val="000000"/>
          <w:sz w:val="20"/>
        </w:rPr>
        <w:t>million for the year ended December 31,</w:t>
      </w:r>
      <w:r>
        <w:rPr>
          <w:color w:val="000000"/>
        </w:rPr>
        <w:t xml:space="preserve"> </w:t>
      </w:r>
      <w:r>
        <w:rPr>
          <w:rFonts w:ascii="Times New Roman;sans-serif" w:hAnsi="Times New Roman;sans-serif"/>
          <w:b w:val="false"/>
          <w:color w:val="000000"/>
          <w:sz w:val="20"/>
        </w:rPr>
        <w:t xml:space="preserve">2022. The gross margin for 2023 was 49%, compared to 52% in 2022.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our gross profit for the year ended December 31, 2023 was primarily the result of the $53.5 million decrease in total sales, driven by lower pump shipments and an increase in sales deferral related to the Tandem Choice Program. Amounts deferred were $25.1 million and $3.5 million for the years ended December 31, 2023 and 2022, respectively. This deferral reduced gross margin by approximately two percentage points in 2023, but had negligible impact in 2022. The impact on gross margin from our Tandem Choice program will fluctuate through the expiration of the program based on the timing of availability of Tandem Mobi and the number of eligible customers who ultimately elect to participate. In addition, the sales rebate of $8.5 million also negatively impacted gross margin by nearly one percentage point.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benefited from progress in underlying fundamentals, including lower material cost, an increase in average selling prices and manufacturing efficiencies, as well as leverage of fixed overhead. These benefits were offset by the impact of product and geographical mix. Pump sales, which have the highest gross margin, were 46% of total worldwide sales, excluding the impact of Tandem Choice in 2023, compared to 53% in 2022.</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for the year ended December 31, 2023 were $600.9 million, compared to $505.8 million for the year ended December 31, 2022. A significant portion of the increase was driven by certain unique or non-recurring transactions. In 2023, we incurred $78.8 million of acquired in-process research and development expenses in connection with our acquisition of AMF Medical, compared to $31.0 million of acquired IPR&amp;D expenses in connection with our acquisition of Capillary Biomedical in 2022 (see Note 12, “Acquisitions”). Additionally, personnel and discretionary spending attributable to these acquisitions, in both SG&amp;A and R&amp;D, was $22.4 million in 2023 and $3.3 million in 2022. As a part of continued operating efficiency measures in 2023 and 2022, we incurred non-recurring operating lease impairment charges in SG&amp;A of $14.1 million and $12.4 million, respectively, from a facilities consolidation (see Note 6, “Leases”). In 2023, we also incurred employee severance costs of $2.7 million. </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SG&amp;A expenses increased 5% to $352.5 million for the year ended December 31, 2023, from $335.7 million for the same period in 2022. Employee-related expenses for our SG&amp;A functions comprise the majority of SG&amp;A expenses. Excluding the severance costs described above, the remaining increase of $11.9 million in salaries, incentive compensation, and other employee benefits was primarily the result of continued support services for our growing installed customer base. We also experienced a $2.8 million increase in other non-employee discretionary spending, primarily attributable to outside consulting, outside services, and travel, in addition to the impact of facilities consolidation charges described above.</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R&amp;D expenses increased 22% to $169.7 million for the year ended December 31, 2023, from $139.1 million for the same period in 2022. The increase in R&amp;D expenses was</w:t>
      </w:r>
      <w:r>
        <w:rPr>
          <w:color w:val="000000"/>
        </w:rPr>
        <w:t xml:space="preserve"> </w:t>
      </w:r>
      <w:r>
        <w:rPr>
          <w:rFonts w:ascii="Times New Roman;sans-serif" w:hAnsi="Times New Roman;sans-serif"/>
          <w:b w:val="false"/>
          <w:color w:val="000000"/>
          <w:sz w:val="20"/>
        </w:rPr>
        <w:t>primarily the result of a $23.0 million increase in salaries and related benefits due to our acquisitions, as well as an increase in personnel to support our</w:t>
      </w:r>
      <w:r>
        <w:rPr>
          <w:color w:val="000000"/>
        </w:rPr>
        <w:t xml:space="preserve"> </w:t>
      </w:r>
      <w:r>
        <w:rPr>
          <w:rFonts w:ascii="Times New Roman;sans-serif" w:hAnsi="Times New Roman;sans-serif"/>
          <w:b w:val="false"/>
          <w:color w:val="000000"/>
          <w:sz w:val="20"/>
        </w:rPr>
        <w:t>product development efforts. We also experienced a $7.5 million increase in other non-employee discretionary spending, including equipment and supplies costs, clinical trial expenses, and information technology costs attributable to R&amp;D.</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Acquired In-Process Research and Development Expenses.</w:t>
      </w:r>
      <w:r>
        <w:rPr>
          <w:color w:val="000000"/>
        </w:rPr>
        <w:t xml:space="preserve"> </w:t>
      </w:r>
      <w:r>
        <w:rPr>
          <w:rFonts w:ascii="Times New Roman;sans-serif" w:hAnsi="Times New Roman;sans-serif"/>
          <w:b w:val="false"/>
          <w:color w:val="000000"/>
          <w:sz w:val="20"/>
        </w:rPr>
        <w:t>Acquired IPR&amp;D expenses of $78.8 million for the year ended December 31, 2023 represented the value of assets acquired, and acquisition-related expenses, in connection with our acquisition of AMF Medical (see Note 12, “Acquisitions”). Acquired IPR&amp;D expenses of $31.0 million for the year ended December 31, 2022 represented the value of assets acquired, and acquisition-related expenses in connection with our acquisition of Capillary Biomedical.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for the year ended December 31, 2023 was $13.0 million, compared to expense of $4,000 in 2022. Other income, net for 2023 primarily consisted of $21.2 million of interest income earned on our cash equivalents and short-term investments, and $1.5 million in foreign currency transaction gains, partially offset by $9.9 million of interest expense which included $3.3 million of additional interest as discussed above and the amortization of debt issuance costs related to our Convertible Senior Notes. Other expense, net for 2022 consisted primarily of $6.2 million of interest expense related to our Convertible Senior Notes, offset by $6.1 million of interest income earned on our cash equivalents and short-term investments. Interest income increased in 2023 primarily due to the higher interest rate environment as compared to 2022.</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income tax expense of $2.4 million on a pre-tax loss of $220.3 million for the year ended December 31, 2023, compared to income tax expense of $1.7 million on a pre-tax loss of $92.9 million for the year ended December 31, 2022. Income tax expense for the years ended December 31, 2023 and 2022 was primarily attributable to federal, state and foreign income tax expense as a result of current taxable income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$467.9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the years ended December 31, 2023, 2022 and 2021 (in thousands):</w:t>
      </w:r>
    </w:p>
    <w:tbl>
      <w:tblPr>
        <w:tblW w:w="8532" w:type="dxa"/>
        <w:jc w:val="left"/>
        <w:tblInd w:w="0" w:type="dxa"/>
        <w:tblLayout w:type="fixed"/>
        <w:tblCellMar>
          <w:top w:w="28" w:type="dxa"/>
          <w:left w:w="28" w:type="dxa"/>
          <w:bottom w:w="28" w:type="dxa"/>
          <w:right w:w="28" w:type="dxa"/>
        </w:tblCellMar>
      </w:tblPr>
      <w:tblGrid>
        <w:gridCol w:w="1564"/>
        <w:gridCol w:w="1372"/>
        <w:gridCol w:w="1384"/>
        <w:gridCol w:w="211"/>
        <w:gridCol w:w="901"/>
        <w:gridCol w:w="109"/>
        <w:gridCol w:w="109"/>
        <w:gridCol w:w="109"/>
        <w:gridCol w:w="109"/>
        <w:gridCol w:w="211"/>
        <w:gridCol w:w="826"/>
        <w:gridCol w:w="109"/>
        <w:gridCol w:w="109"/>
        <w:gridCol w:w="109"/>
        <w:gridCol w:w="109"/>
        <w:gridCol w:w="211"/>
        <w:gridCol w:w="82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pPr>
      <w:r>
        <w:rPr>
          <w:rFonts w:ascii="Times New Roman;sans-serif" w:hAnsi="Times New Roman;sans-serif"/>
          <w:b/>
          <w:i/>
          <w:color w:val="000000"/>
          <w:sz w:val="20"/>
        </w:rPr>
        <w:t>Operating activities</w:t>
      </w:r>
      <w:r>
        <w:rPr>
          <w:rFonts w:ascii="Times New Roman;sans-serif" w:hAnsi="Times New Roman;sans-serif"/>
          <w:b w:val="false"/>
          <w:color w:val="000000"/>
          <w:sz w:val="20"/>
        </w:rPr>
        <w:t>. Net cash used in operating activities was $31.8 million for the year ended December 31, 2023, compared to cash provided by operating activities of $50.5 million and $111.4 million, respectively, for the years ended December 31, 2022 and 2021. The reduction in net cash provided by operating activities for 2023 compared to 2022 was primarily a result of the $128.0 million increase in net loss, offset by increase of $58.8 million net non-cash adjustments. Net non-cash adjustments were primarily related to acquired in-process research and development expenses, operating lease termination and impairment charges and stock-based compensation expense. In addition, a net decrease of $17.7 million in changes of working capital balances. Changes of working capital balances primarily consisted of increases in inventories, prepaid and other current assets, and deferred revenue. Inventories increased to $157.9 million at December 31, 2023 from $111.1 million at December 31, 2022, primarily due to a return to target stocking levels post-pandemic as supply chain constraints subsided, as well as the scaling up of inventory to meet anticipated demand for Tandem Mobi.</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reduction in net cash provided by operating activities for 2022 compared to 2021 was primarily a result of the $110.2 million increase in net loss, as well as net working capital changes. Working capital changes during 2022, primarily consisted of increases in inventories, accounts receivable, accounts payable, and operating leases and other current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pPr>
      <w:r>
        <w:rPr>
          <w:rFonts w:ascii="Times New Roman;sans-serif" w:hAnsi="Times New Roman;sans-serif"/>
          <w:b/>
          <w:i/>
          <w:color w:val="000000"/>
          <w:sz w:val="20"/>
        </w:rPr>
        <w:t>Investing</w:t>
      </w:r>
      <w:r>
        <w:rPr>
          <w:color w:val="000000"/>
        </w:rPr>
        <w:t xml:space="preserve"> </w:t>
      </w:r>
      <w:r>
        <w:rPr>
          <w:rFonts w:ascii="Times New Roman;sans-serif" w:hAnsi="Times New Roman;sans-serif"/>
          <w:b/>
          <w:i/>
          <w:color w:val="000000"/>
          <w:sz w:val="20"/>
        </w:rPr>
        <w:t>activities</w:t>
      </w:r>
      <w:r>
        <w:rPr>
          <w:rFonts w:ascii="Times New Roman;sans-serif" w:hAnsi="Times New Roman;sans-serif"/>
          <w:b w:val="false"/>
          <w:color w:val="000000"/>
          <w:sz w:val="20"/>
        </w:rPr>
        <w:t>. Net cash used in investing activities was $85.7 million for the year ended December 31, 2023, which primarily consisted of $69.5 million cash paid for the acquisition of AMF Medical, including transaction costs (see Note 12, “Acquisitions”), $26.8 million in purchases of property and equipment of which $8.7 million was associated with improvements to the now completed new Headquarters lease facility (see Note 6, “Leases”), and $24.8 million cash paid for purchases of intangible assets and strategic investments, offset by $35.4 million provided by short-term investments activity as proceeds from maturities and redemptions exceeded purchases. Net cash provided by investing activities was $33.2 million for the year ended December 31, 2022, which primarily consisted of $101.8 million provided by short-term investments activity as proceeds from maturities and redemptions exceeded purchases, offset by $34.1 million in purchases of property and equipment, $25.7 million for the acquisition of Capillary Biomedical, including $1.0 million of transaction costs, and $8.9 million cash paid for purchases of intangible assets and strategic investments. Net cash used by investing activities was $186.9 million for the year ended December 31, 2021, which primarily consisted of $163.4 million used by short-term investments activity as purchases exceeded maturities and redemptions, $14.2 million in purchases of property and equipment, and $9.3 million cash paid for purchases of intangible assets and strategic investments.</w:t>
      </w:r>
    </w:p>
    <w:p>
      <w:pPr>
        <w:pStyle w:val="TextBody"/>
        <w:bidi w:val="0"/>
        <w:spacing w:lineRule="auto" w:line="288" w:before="200" w:after="283"/>
        <w:ind w:left="0" w:right="0" w:firstLine="900"/>
        <w:jc w:val="left"/>
        <w:rPr/>
      </w:pPr>
      <w:r>
        <w:rPr>
          <w:rFonts w:ascii="Times New Roman;sans-serif" w:hAnsi="Times New Roman;sans-serif"/>
          <w:b/>
          <w:i/>
          <w:color w:val="000000"/>
          <w:sz w:val="20"/>
        </w:rPr>
        <w:t>Financing</w:t>
      </w:r>
      <w:r>
        <w:rPr>
          <w:color w:val="000000"/>
        </w:rPr>
        <w:t xml:space="preserve"> </w:t>
      </w:r>
      <w:r>
        <w:rPr>
          <w:rFonts w:ascii="Times New Roman;sans-serif" w:hAnsi="Times New Roman;sans-serif"/>
          <w:b/>
          <w:i/>
          <w:color w:val="000000"/>
          <w:sz w:val="20"/>
        </w:rPr>
        <w:t>activities</w:t>
      </w:r>
      <w:r>
        <w:rPr>
          <w:rFonts w:ascii="Times New Roman;sans-serif" w:hAnsi="Times New Roman;sans-serif"/>
          <w:b w:val="false"/>
          <w:color w:val="000000"/>
          <w:sz w:val="20"/>
        </w:rPr>
        <w:t xml:space="preserve">. Net cash provided by financing activities was $4.1 million for the year ended December 31, 2023, which primarily consisted of proceeds from the issuance of common stock under our stock plans, net of payments for related tax withholdings. Net cash provided by financing activities was $16.9 million and $51.9 million, respectively, for the years ended December 31, 2022 and 2021, which primarily consisted of proceeds from the issuance of common stock under our stock plans, net of payments for related tax withholdings. The reduction in proceeds from the issuance of common stock under our stock plans was primarily due to the decrease in the market price of our common stock and fewer employee stock options exercised.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generate sales, the timing of those sales, the mix of products sold and the collection of receivables from period to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contractual debt obligations, including periodic interest payments;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timing of any additional financings, and the net proceeds raised from such financings;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fluctuations in gross margins and operating margins;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support of our commercialization efforts related to our current and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expansion of our customer support resources for our growing installed customer base;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research and product development efforts, including clinical trial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including contingent earnout payments that become payable upon the achievement of certain milestones;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leasing or licensing of equipment, technology, intellectual property and other assets;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facilities leases and related tenant improvements;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payments under licensing, development and commercialization agreements;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integration costs related to acquisitions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we entered into a purchase agreement with certain counterparties for the sale of an aggregate of $287.5 million principal amount of 1.50% Convertible Senior Notes due 2025 in a private offering to qualified institutional buyers (the Notes). The proceeds from the issuance of the Notes were $244.6 million, net of debt issuance costs and cash used to pay the cost of the Capped Call Transactions (see Note 7, “Debt”). The Notes are senior unsecured obligations. Interest is payable in cash semi-annually in arrears on May 1 and November 1 at a rate of 1.50% per year. The Notes mature on May 1, 2025 unless repurchased, redeemed, or converted in accordance with their terms before the maturity date.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by calendar year for our Convertible Senior Notes at December 31, 2023, are as follows (in thousands):</w:t>
      </w:r>
    </w:p>
    <w:tbl>
      <w:tblPr>
        <w:tblW w:w="8247" w:type="dxa"/>
        <w:jc w:val="left"/>
        <w:tblInd w:w="0" w:type="dxa"/>
        <w:tblLayout w:type="fixed"/>
        <w:tblCellMar>
          <w:top w:w="28" w:type="dxa"/>
          <w:left w:w="28" w:type="dxa"/>
          <w:bottom w:w="28" w:type="dxa"/>
          <w:right w:w="28" w:type="dxa"/>
        </w:tblCellMar>
      </w:tblPr>
      <w:tblGrid>
        <w:gridCol w:w="1408"/>
        <w:gridCol w:w="1234"/>
        <w:gridCol w:w="1242"/>
        <w:gridCol w:w="211"/>
        <w:gridCol w:w="826"/>
        <w:gridCol w:w="109"/>
        <w:gridCol w:w="109"/>
        <w:gridCol w:w="109"/>
        <w:gridCol w:w="109"/>
        <w:gridCol w:w="109"/>
        <w:gridCol w:w="109"/>
        <w:gridCol w:w="211"/>
        <w:gridCol w:w="616"/>
        <w:gridCol w:w="109"/>
        <w:gridCol w:w="109"/>
        <w:gridCol w:w="109"/>
        <w:gridCol w:w="109"/>
        <w:gridCol w:w="211"/>
        <w:gridCol w:w="826"/>
        <w:gridCol w:w="109"/>
        <w:gridCol w:w="109"/>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amount of convertible senior notes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The Convertible Senior Notes may be settled in cash, shares of our common stock, or a combination of cash and shares of our common stock, at our election.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Promissory Note Payable</w:t>
      </w:r>
    </w:p>
    <w:p>
      <w:pPr>
        <w:pStyle w:val="TextBody"/>
        <w:bidi w:val="0"/>
        <w:spacing w:lineRule="auto" w:line="288" w:before="200" w:after="24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Capillary Biomedical, Inc. (see Note 12, “Acquisitions”), we assumed a $4.7 million promissory note payable. The promissory note accrues interest at the rate of 5% per year, and becomes due and payable upon the first sale or license of the commercialized product. At December 31, 2023, $4.7 million was included as a component of other long-term liabilities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Involving Management Estimates and Assumptions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materially from these estimates.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more fully described in Note 2 “Summary of Significant Accounting Policies” to our consolidated financial statements included in this Annual Report, we believe that the following accounting policies are the most critical to the judgments and estimates used in the preparation of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sales of our insulin pumps, single-use insulin cartridges and infusion sets to individual customers with third-party insurance coverage and through a network of distributors that resell the products to insulin-dependent diabetes customers. We are paid directly by customers who use the products, distributors and third-party insurance payors. We recognize revenue when control of our products is transferred to our customers in an amount that reflects the consideration we expect to receive from our customers in exchange for those products, net of estimated returns and rebates.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Revenue recognition for contracts with multiple performance obligations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product to the customer, meaning the customer has the ability to direct the use of and obtain the benefit from the product. Complementary products, such as the t:connect, Tandem Source and the Tandem Device Updater, are considered distinct performance obligations satisfied over time, as access and support for these products is provided throughout the typical four-year warranty period of the insulin pumps. Accordingly, revenue related to the complementary products is deferred and recognized over a four-year period. When there is no standalone value for the complementary product, we determine its value by applying the expected cost plus a margin approach and then allocate the residual to the insulin pumps.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evaluating the Tandem Choice Program, we have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contemplates the likelihood that the respective option will be exercised.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bidi w:val="0"/>
        <w:spacing w:lineRule="auto" w:line="288" w:before="200" w:after="283"/>
        <w:ind w:left="0" w:right="0" w:firstLine="900"/>
        <w:jc w:val="left"/>
        <w:rPr/>
      </w:pPr>
      <w:r>
        <w:rPr>
          <w:rFonts w:ascii="Times New Roman;sans-serif" w:hAnsi="Times New Roman;sans-serif"/>
          <w:b w:val="false"/>
          <w:color w:val="212529"/>
          <w:sz w:val="20"/>
        </w:rPr>
        <w:t xml:space="preserve">We </w:t>
      </w:r>
      <w:r>
        <w:rPr>
          <w:rFonts w:ascii="Times New Roman;sans-serif" w:hAnsi="Times New Roman;sans-serif"/>
          <w:b w:val="false"/>
          <w:color w:val="000000"/>
          <w:sz w:val="20"/>
        </w:rPr>
        <w:t>generally</w:t>
      </w:r>
      <w:r>
        <w:rPr>
          <w:color w:val="212529"/>
        </w:rPr>
        <w:t xml:space="preserve"> </w:t>
      </w:r>
      <w:r>
        <w:rPr>
          <w:rFonts w:ascii="Times New Roman;sans-serif" w:hAnsi="Times New Roman;sans-serif"/>
          <w:b w:val="false"/>
          <w:color w:val="212529"/>
          <w:sz w:val="20"/>
        </w:rPr>
        <w:t>provide</w:t>
      </w:r>
      <w:r>
        <w:rPr>
          <w:color w:val="000000"/>
        </w:rPr>
        <w:t xml:space="preserve"> </w:t>
      </w:r>
      <w:r>
        <w:rPr>
          <w:rFonts w:ascii="Times New Roman;sans-serif" w:hAnsi="Times New Roman;sans-serif"/>
          <w:b w:val="false"/>
          <w:color w:val="000000"/>
          <w:sz w:val="20"/>
        </w:rPr>
        <w:t>a</w:t>
      </w:r>
      <w:r>
        <w:rPr>
          <w:color w:val="212529"/>
        </w:rPr>
        <w:t xml:space="preserve"> </w:t>
      </w:r>
      <w:r>
        <w:rPr>
          <w:rFonts w:ascii="Times New Roman;sans-serif" w:hAnsi="Times New Roman;sans-serif"/>
          <w:b w:val="false"/>
          <w:color w:val="212529"/>
          <w:sz w:val="20"/>
        </w:rPr>
        <w:t>four-</w:t>
      </w:r>
      <w:r>
        <w:rPr>
          <w:rFonts w:ascii="Times New Roman;sans-serif" w:hAnsi="Times New Roman;sans-serif"/>
          <w:b w:val="false"/>
          <w:color w:val="000000"/>
          <w:sz w:val="20"/>
        </w:rPr>
        <w:t>year</w:t>
      </w:r>
      <w:r>
        <w:rPr>
          <w:color w:val="212529"/>
        </w:rPr>
        <w:t xml:space="preserve"> </w:t>
      </w:r>
      <w:r>
        <w:rPr>
          <w:rFonts w:ascii="Times New Roman;sans-serif" w:hAnsi="Times New Roman;sans-serif"/>
          <w:b w:val="false"/>
          <w:color w:val="212529"/>
          <w:sz w:val="20"/>
        </w:rPr>
        <w:t xml:space="preserve">assurance type warranty on our insulin pumps to end user customers and may replace any pumps that do not function as intended in accordance with the product specifications within the warranty period. Insulin pumps returned to us may be refurbished and redeployed. We establish the warranty reserve liability when control of the pump is transferred to the customer, and we reevaluate our estimate of the warranty obligation at each reporting period. Warranty costs are estimated primarily based on the current expected product replacement cost and expected replacement rates utilizing historical experience. Experience has shown that initial data for any given pump version </w:t>
      </w:r>
      <w:r>
        <w:rPr>
          <w:rFonts w:ascii="Times New Roman;sans-serif" w:hAnsi="Times New Roman;sans-serif"/>
          <w:b w:val="false"/>
          <w:color w:val="000000"/>
          <w:sz w:val="20"/>
        </w:rPr>
        <w:t xml:space="preserve">or pump platform </w:t>
      </w:r>
      <w:r>
        <w:rPr>
          <w:rFonts w:ascii="Times New Roman;sans-serif" w:hAnsi="Times New Roman;sans-serif"/>
          <w:b w:val="false"/>
          <w:color w:val="212529"/>
          <w:sz w:val="20"/>
        </w:rPr>
        <w:t>may be insufficient; therefore, our process relies on long-term historical averages until sufficient data are available. As actual experience becomes available, we use the data to update the historical averages. Changes to the actual replacement rates or the expected product replacement cost could cause a material increase or decrease to our estimated warranty reserve and related cost of goods sold. We may make further adjustments to the 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Significant judgment is required in determining our provision for income taxes, deferred tax assets and liabilities and the valuation allowance recorded against net deferred tax assets. </w:t>
      </w:r>
      <w:r>
        <w:rPr>
          <w:rFonts w:ascii="Times New Roman;sans-serif" w:hAnsi="Times New Roman;sans-serif"/>
          <w:b w:val="false"/>
          <w:color w:val="000000"/>
          <w:sz w:val="20"/>
          <w:shd w:fill="FFFFFF" w:val="clear"/>
        </w:rPr>
        <w:t>We use the asset and liability approach to recognize deferred tax assets and liabilities for the expected future tax consequences of temporary differences between the carrying amounts and the tax bases of assets and liabilities.</w:t>
      </w:r>
      <w:r>
        <w:rPr>
          <w:color w:val="000000"/>
        </w:rPr>
        <w:t xml:space="preserve"> </w:t>
      </w:r>
      <w:r>
        <w:rPr>
          <w:rFonts w:ascii="Times New Roman;sans-serif" w:hAnsi="Times New Roman;sans-serif"/>
          <w:b w:val="false"/>
          <w:color w:val="000000"/>
          <w:sz w:val="20"/>
        </w:rPr>
        <w:t xml:space="preserve">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w:t>
      </w:r>
      <w:r>
        <w:rPr>
          <w:rFonts w:ascii="Times New Roman;sans-serif" w:hAnsi="Times New Roman;sans-serif"/>
          <w:b w:val="false"/>
          <w:color w:val="000000"/>
          <w:sz w:val="20"/>
          <w:shd w:fill="FFFFFF" w:val="clear"/>
        </w:rPr>
        <w:t>Significant judgment is required to evaluate the need for a valuation allowance.</w:t>
      </w:r>
      <w:r>
        <w:rPr>
          <w:color w:val="000000"/>
        </w:rPr>
        <w:t xml:space="preserve"> </w:t>
      </w:r>
      <w:r>
        <w:rPr>
          <w:rFonts w:ascii="Times New Roman;sans-serif" w:hAnsi="Times New Roman;sans-serif"/>
          <w:b w:val="false"/>
          <w:color w:val="000000"/>
          <w:sz w:val="20"/>
        </w:rPr>
        <w:t>The evaluation of the need for a valuation allowance is performed on a jurisdiction-by-jurisdiction basis, and includes a review of all available positive and negative evidence. Factors reviewed include determination of cumulative pre-tax book income after permanent differences, projections of pre-tax book income for the foreseeable future, earnings history, and reliability of forecasting. We will continue to assess the need for a valuation allowance on our deferred tax assets by evaluating both positive and negative evidence that may exist. Changes in the recognition or measurement of valuation allowance could result in material increases or decreases in our income tax expense in the period in which we make a change, which could have a material impact on our effective tax rate and operating results.</w:t>
      </w:r>
    </w:p>
    <w:p>
      <w:pPr>
        <w:pStyle w:val="TextBody"/>
        <w:bidi w:val="0"/>
        <w:spacing w:before="0" w:after="0"/>
        <w:ind w:left="0" w:right="0" w:firstLine="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our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We have completed analyses through December 31, 2022 to determine whether our net operating losses and credits are likely to be limited by Section 382. Based on this study, we determined that an ownership change, as defined under Section 382, occurred in 2018 and the resulting limitation significantly reduced our ability to utilize our net operating loss and credit carryovers before they expire. As a result, in 2019 we reduced our deferred tax assets for the net operating loss and research credit carryforwards that were projected to expire unused with a corresponding offset to the valuation allowance recorded against such assets. Additionally, future ownership changes under Section 382 may also limit our ability to fully utilize any remaining tax benefits.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to be realized upon settlement. While we believe we have appropriate support for the positions taken on our tax returns, we regularly assess the potential outcomes of examinations by tax authorities in determining the adequacy of our provision for income taxes. We continually assess the likelihood and amount of potential revisions and adjust the income tax provision, income taxes payable and deferred taxes in the period in which the facts that give rise to a revision become known.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which present a significant level of estimation uncertainty and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and have a material impact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&amp; Off-Balance Sheet Arrangements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Obligations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lease general office space, laboratory, manufacturing and warehouse facilities, and equipment under noncancelable operating leases for use in our operations. For a description of our contractual obligations related to leases at December 31, 2023, see Note 6 “Leases” to the consolidated financial statements in Part II, Item 8 of this Annual Report.</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Order Commitments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agreements with suppliers and other parties to purchase inventory, other goods and services and long-lived assets. For a description of our contractual obligations related to purchase order commitments at December 31, 2023, see Note 13 “Commitments and Contingencies” to the consolidated financial statements in Part II, Item 8 of this Annual Report.</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Acquisition-related Contingent Consideration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AMF Medical SA completed in January of 2023 (see Note 12, “Acquisitions” to the consolidated financial statements in Part II, Item 8 of this Annual Report), the total consideration includes cash paid at the closing of the transaction and additional contingent earnout payments. The additional earnout payments of up to CHF 129.6 million, in aggregate, become payable upon the achievement of certain milestones and are comprised of a payment of up to CHF 38.4 million upon the successful completion of key development milestones over the two years following the acquisition, and a payment of up to CHF 91.2 million upon obtaining regulatory clearance of an automated controller enabled (ACE) pump by the United States Food and Drug 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are party to a standby letter of credit arrangement in support of certain operating lease obligations (See Note 13 “Commitments and Contingencies” to the consolidated financial statements in Part II, Item 8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144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Credit and Interest Rate Risks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marketable securities consisting primarily of U.S. Treasury securities, U.S. Government-sponsored enterprise securities, commercial paper and corporate debt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Credit rating agencies have, from time to time, issued downgrades or revised outlooks to negative for certain issuers of the debt securities held in our short-term investment portfolio. We review our portfolio of available-for-sale debt securities quarterly to determine if any investment is impaired due to changes in credit risk or other potential valuation concerns. Unrealized losses on available-for-sale debt securities at December 31, 2023 were primarily due to an increase in market interest rates after certain debt securities were purchased. Based on the credit quality of the available-for-sale debt securities in an unrealized loss position, and our current estimates of future cash flows to be collected from those securities, we believe the unrealized losses were not credit losses (see Note 3, “Short-Term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short-term maturities of our financial instruments, we do not believe that an increase or decrease in market interest rates would have a significant impact on the realized value of our investment portfolio. A hypothetical 100 basis-point (one percentage point) increase or decrease in interest rates compared to actual rates at December 31, 2023, would have affected the estimated fair value of our investments portfolio by approximately $3.6 million.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we issued $287.5 million principal amount of Convertible Senior Notes, which bear interest at a fixed rate of 1.50% per year. Accordingly, we are not subject to interest rate risk related to the Convertible Senior Notes (see Note 7,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primarily located in the United States. In addition, we have a sales and marketing office in Canada, a distribution center in the Netherlands and, beginning in 2023, a research and development facility in Switzerland associated with the acquisition of AMF Medical. Our sales to customers in the United States are made in U.S. dollars. Sales from our distribution center in the Netherlands are made to independent distributors under agreements denominated in Euros, and our sales in Canada are denominated in Canadian dollars. Approximately 20% of our revenue was denominated in foreign currencies for the year ended December 31, 2023. In addition, we purchase certain inventory from a third-party contract manufacturer located in Mexico. We believe our exposure to foreign currency rate fluctuations is primarily related to our operations in Europe and Canada, and acquisition related contingent earnout payments (see Note 12, “Acquisitions”), where fluctuations in the rate of exchange between the U.S. dollar and the local currency could adversely affect our financial results, including income and losses as well as assets and liabilities.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and further develop our operations in markets outside the United States, particularly in Europe, we will be exposed to additional foreign currency exchange rate risk. In addition, from time to time, we have foreign currency exchange risk related to existing assets and liabilities, certain inventory purchase agreements, other committed transactions and forecasted future cash flows. In certain circumstances, we may seek to manage such foreign currency exchange risk by using derivative instruments such as foreign currency exchange forward contracts to hedge our risk. However, we may choose not to hedge some exposures for a variety of reasons, including prohibitive economic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    Consolidated Financial Statements and Supplementary Data.</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as of December 31, 2023 and 2022 and for each of the three years in the period ended December 31, 2023, and the Report of the Independent Registered Public Accounting Firm are included in this report as listed in the index.</w:t>
      </w:r>
    </w:p>
    <w:p>
      <w:pPr>
        <w:pStyle w:val="TextBody"/>
        <w:bidi w:val="0"/>
        <w:spacing w:before="200" w:after="283"/>
        <w:ind w:left="0" w:right="0" w:firstLine="90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74"/>
        <w:gridCol w:w="3120"/>
        <w:gridCol w:w="3137"/>
        <w:gridCol w:w="109"/>
        <w:gridCol w:w="109"/>
        <w:gridCol w:w="156"/>
      </w:tblGrid>
      <w:tr>
        <w:trPr/>
        <w:tc>
          <w:tcPr>
            <w:tcW w:w="3574"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4">
              <w:r>
                <w:rPr>
                  <w:rStyle w:val="InternetLink"/>
                  <w:rFonts w:ascii="Times New Roman;sans-serif" w:hAnsi="Times New Roman;sans-serif"/>
                  <w:b w:val="false"/>
                  <w:color w:val="000080"/>
                  <w:sz w:val="20"/>
                  <w:u w:val="single"/>
                </w:rPr>
                <w:t xml:space="preserve">Report of Independent Registered Public Accounting Firm (PCAOB ID: </w:t>
              </w:r>
            </w:hyperlink>
            <w:r>
              <w:rPr>
                <w:rFonts w:ascii="Times New Roman;sans-serif" w:hAnsi="Times New Roman;sans-serif"/>
                <w:b w:val="false"/>
                <w:color w:val="000000"/>
                <w:sz w:val="20"/>
                <w:u w:val="single"/>
              </w:rPr>
              <w:t>42</w:t>
            </w:r>
            <w:hyperlink w:anchor="i1cee418e40d3464b9eea8289f69eff37_34">
              <w:r>
                <w:rPr>
                  <w:rStyle w:val="InternetLink"/>
                  <w:rFonts w:ascii="Times New Roman;sans-serif" w:hAnsi="Times New Roman;sans-serif"/>
                  <w:b w:val="false"/>
                  <w:color w:val="000080"/>
                  <w:sz w:val="20"/>
                  <w:u w:val="single"/>
                </w:rPr>
                <w:t>)</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4">
              <w:r>
                <w:rPr>
                  <w:rStyle w:val="InternetLink"/>
                  <w:rFonts w:ascii="Times New Roman;sans-serif" w:hAnsi="Times New Roman;sans-serif"/>
                  <w:b w:val="false"/>
                  <w:strike w:val="false"/>
                  <w:dstrike w:val="false"/>
                  <w:color w:val="000000"/>
                  <w:sz w:val="20"/>
                  <w:u w:val="none"/>
                  <w:effect w:val="none"/>
                </w:rPr>
                <w:t>75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37">
              <w:r>
                <w:rPr>
                  <w:rStyle w:val="InternetLink"/>
                  <w:rFonts w:ascii="Times New Roman;sans-serif" w:hAnsi="Times New Roman;sans-serif"/>
                  <w:b w:val="false"/>
                  <w:color w:val="000080"/>
                  <w:sz w:val="20"/>
                  <w:u w:val="single"/>
                </w:rPr>
                <w:t xml:space="preserve">Consolidated Balance Sheets as of December 31, </w:t>
              </w:r>
            </w:hyperlink>
            <w:r>
              <w:rPr>
                <w:rFonts w:ascii="Times New Roman;sans-serif" w:hAnsi="Times New Roman;sans-serif"/>
                <w:b w:val="false"/>
                <w:color w:val="000000"/>
                <w:sz w:val="20"/>
                <w:u w:val="single"/>
              </w:rPr>
              <w:t>2023</w:t>
            </w:r>
            <w:hyperlink w:anchor="i1cee418e40d3464b9eea8289f69eff37_37">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2022</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37">
              <w:r>
                <w:rPr>
                  <w:rStyle w:val="InternetLink"/>
                  <w:rFonts w:ascii="Times New Roman;sans-serif" w:hAnsi="Times New Roman;sans-serif"/>
                  <w:b w:val="false"/>
                  <w:strike w:val="false"/>
                  <w:dstrike w:val="false"/>
                  <w:color w:val="000000"/>
                  <w:sz w:val="20"/>
                  <w:u w:val="none"/>
                  <w:effect w:val="none"/>
                </w:rPr>
                <w:t>77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0">
              <w:r>
                <w:rPr>
                  <w:rStyle w:val="InternetLink"/>
                  <w:rFonts w:ascii="Times New Roman;sans-serif" w:hAnsi="Times New Roman;sans-serif"/>
                  <w:b w:val="false"/>
                  <w:color w:val="000080"/>
                  <w:sz w:val="20"/>
                  <w:u w:val="single"/>
                </w:rPr>
                <w:t xml:space="preserve">Consolidated Statements of Operations and Comprehensive Income (Loss) for the Years ended December 31, </w:t>
              </w:r>
            </w:hyperlink>
            <w:r>
              <w:rPr>
                <w:rFonts w:ascii="Times New Roman;sans-serif" w:hAnsi="Times New Roman;sans-serif"/>
                <w:b w:val="false"/>
                <w:color w:val="000000"/>
                <w:sz w:val="20"/>
                <w:u w:val="single"/>
              </w:rPr>
              <w:t>2023</w:t>
            </w:r>
            <w:hyperlink w:anchor="i1cee418e40d3464b9eea8289f69eff37_40">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2022</w:t>
            </w:r>
            <w:hyperlink w:anchor="i1cee418e40d3464b9eea8289f69eff37_40">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2021</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0">
              <w:r>
                <w:rPr>
                  <w:rStyle w:val="InternetLink"/>
                  <w:rFonts w:ascii="Times New Roman;sans-serif" w:hAnsi="Times New Roman;sans-serif"/>
                  <w:b w:val="false"/>
                  <w:strike w:val="false"/>
                  <w:dstrike w:val="false"/>
                  <w:color w:val="000000"/>
                  <w:sz w:val="20"/>
                  <w:u w:val="none"/>
                  <w:effect w:val="none"/>
                </w:rPr>
                <w:t>78</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43">
              <w:r>
                <w:rPr>
                  <w:rStyle w:val="InternetLink"/>
                  <w:rFonts w:ascii="Times New Roman;sans-serif" w:hAnsi="Times New Roman;sans-serif"/>
                  <w:b w:val="false"/>
                  <w:color w:val="000080"/>
                  <w:sz w:val="20"/>
                  <w:u w:val="single"/>
                </w:rPr>
                <w:t xml:space="preserve">Consolidated Statements of Stockholders’ Equity for the Years ended December 31, </w:t>
              </w:r>
            </w:hyperlink>
            <w:r>
              <w:rPr>
                <w:rFonts w:ascii="Times New Roman;sans-serif" w:hAnsi="Times New Roman;sans-serif"/>
                <w:b w:val="false"/>
                <w:color w:val="000000"/>
                <w:sz w:val="20"/>
                <w:u w:val="single"/>
              </w:rPr>
              <w:t>2023</w:t>
            </w:r>
            <w:hyperlink w:anchor="i1cee418e40d3464b9eea8289f69eff37_43">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2022</w:t>
            </w:r>
            <w:hyperlink w:anchor="i1cee418e40d3464b9eea8289f69eff37_43">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2021</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43">
              <w:r>
                <w:rPr>
                  <w:rStyle w:val="InternetLink"/>
                  <w:rFonts w:ascii="Times New Roman;sans-serif" w:hAnsi="Times New Roman;sans-serif"/>
                  <w:b w:val="false"/>
                  <w:strike w:val="false"/>
                  <w:dstrike w:val="false"/>
                  <w:color w:val="000000"/>
                  <w:sz w:val="20"/>
                  <w:u w:val="none"/>
                  <w:effect w:val="none"/>
                </w:rPr>
                <w:t>79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58">
              <w:r>
                <w:rPr>
                  <w:rStyle w:val="InternetLink"/>
                  <w:rFonts w:ascii="Times New Roman;sans-serif" w:hAnsi="Times New Roman;sans-serif"/>
                  <w:b w:val="false"/>
                  <w:color w:val="000080"/>
                  <w:sz w:val="20"/>
                  <w:u w:val="single"/>
                </w:rPr>
                <w:t xml:space="preserve">Consolidated Statements of Cash Flows for the Years ended December 31, </w:t>
              </w:r>
            </w:hyperlink>
            <w:r>
              <w:rPr>
                <w:rFonts w:ascii="Times New Roman;sans-serif" w:hAnsi="Times New Roman;sans-serif"/>
                <w:b w:val="false"/>
                <w:color w:val="000000"/>
                <w:sz w:val="20"/>
                <w:u w:val="single"/>
              </w:rPr>
              <w:t>2023</w:t>
            </w:r>
            <w:hyperlink w:anchor="i1cee418e40d3464b9eea8289f69eff37_58">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2022</w:t>
            </w:r>
            <w:hyperlink w:anchor="i1cee418e40d3464b9eea8289f69eff37_5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2021</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58">
              <w:r>
                <w:rPr>
                  <w:rStyle w:val="InternetLink"/>
                  <w:rFonts w:ascii="Times New Roman;sans-serif" w:hAnsi="Times New Roman;sans-serif"/>
                  <w:b w:val="false"/>
                  <w:strike w:val="false"/>
                  <w:dstrike w:val="false"/>
                  <w:color w:val="000000"/>
                  <w:sz w:val="20"/>
                  <w:u w:val="none"/>
                  <w:effect w:val="none"/>
                </w:rPr>
                <w:t>80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cee418e40d3464b9eea8289f69eff37_61">
              <w:r>
                <w:rPr>
                  <w:rStyle w:val="InternetLink"/>
                  <w:rFonts w:ascii="Times New Roman;sans-serif" w:hAnsi="Times New Roman;sans-serif"/>
                  <w:b w:val="false"/>
                  <w:color w:val="000000"/>
                  <w:sz w:val="20"/>
                  <w:u w:val="single"/>
                </w:rPr>
                <w:t>Notes to Consolidated Financial Statements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cee418e40d3464b9eea8289f69eff37_61">
              <w:r>
                <w:rPr>
                  <w:rStyle w:val="InternetLink"/>
                  <w:rFonts w:ascii="Times New Roman;sans-serif" w:hAnsi="Times New Roman;sans-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To the Stockholders and the Board of Directors of Tandem Diabetes Care,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Tandem Diabetes Care, Inc. (the “Company”) as of December 31, 2023 and 2022, the related consolidated statements of operations and comprehensive income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Critical Audit Matter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512"/>
        <w:gridCol w:w="450"/>
        <w:gridCol w:w="453"/>
        <w:gridCol w:w="2966"/>
        <w:gridCol w:w="2477"/>
        <w:gridCol w:w="2397"/>
        <w:gridCol w:w="274"/>
        <w:gridCol w:w="274"/>
        <w:gridCol w:w="402"/>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Warranty reserve – Estimation of Expected Replacement Rates</w:t>
            </w:r>
          </w:p>
        </w:tc>
      </w:tr>
      <w:tr>
        <w:trPr/>
        <w:tc>
          <w:tcPr>
            <w:tcW w:w="1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78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has a warranty reserve of $37.2 million. The Company accrues for costs related to the warranty reserve liability at the time of shipment. Warranty costs are estimated primarily based on the expected replacement rates utilizing historical experience.</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management’s expected replacement rates on pumps was complex as it required a significant level of effort due to the amount of data utilized in determining the expected replacement rates. Management’s estimate considers historical claims experience and the assumption of historical data predictive of future activity and events, in particular, the number of historical periods used and the weighing of historical data. It is possible that the future replacement rates may not be reflective of historical product replacement rates and changes in this assumption could have a material impact on the Company’s estimated reserve.</w:t>
            </w:r>
          </w:p>
          <w:p>
            <w:pPr>
              <w:pStyle w:val="TableContents"/>
              <w:bidi w:val="0"/>
              <w:spacing w:before="0" w:after="0"/>
              <w:jc w:val="left"/>
              <w:rPr/>
            </w:pPr>
            <w:r>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78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Company’s controls over the warranty reserve process. Specifically, we tested controls over management's review and calculation of the expected replacement rates, including controls over the accuracy and completeness of data used.</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Company’s expected replacement rates we performed audit procedures that included, among others, testing the completeness and accuracy of the underlying data used in the calculation. We involved our data science professionals to evaluate the methodologies and assumptions and test the calculations used by the Company. We recalculated the warranty expected replacement rates using historical data. We performed sensitivity analyses of the expected replacement rates assumption to evaluate the impact of changes in the warranty reserve.</w:t>
            </w:r>
          </w:p>
          <w:p>
            <w:pPr>
              <w:pStyle w:val="TableContents"/>
              <w:bidi w:val="0"/>
              <w:spacing w:before="0" w:after="0"/>
              <w:jc w:val="left"/>
              <w:rPr/>
            </w:pPr>
            <w:r>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before="0" w:after="0"/>
        <w:jc w:val="left"/>
        <w:rPr/>
      </w:pPr>
      <w:r>
        <w:rPr/>
      </w:r>
    </w:p>
    <w:p>
      <w:pPr>
        <w:pStyle w:val="TextBody"/>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1"/>
        <w:gridCol w:w="2195"/>
        <w:gridCol w:w="2156"/>
        <w:gridCol w:w="109"/>
        <w:gridCol w:w="109"/>
        <w:gridCol w:w="211"/>
        <w:gridCol w:w="826"/>
        <w:gridCol w:w="109"/>
        <w:gridCol w:w="109"/>
        <w:gridCol w:w="109"/>
        <w:gridCol w:w="109"/>
        <w:gridCol w:w="211"/>
        <w:gridCol w:w="976"/>
        <w:gridCol w:w="155"/>
      </w:tblGrid>
      <w:tr>
        <w:trPr/>
        <w:tc>
          <w:tcPr>
            <w:tcW w:w="2821"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200,000 shares authorized, 65,552 and 64,513 shares issued and outstanding at December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57"/>
        <w:gridCol w:w="1773"/>
        <w:gridCol w:w="1735"/>
        <w:gridCol w:w="109"/>
        <w:gridCol w:w="109"/>
        <w:gridCol w:w="109"/>
        <w:gridCol w:w="109"/>
        <w:gridCol w:w="211"/>
        <w:gridCol w:w="891"/>
        <w:gridCol w:w="109"/>
        <w:gridCol w:w="109"/>
        <w:gridCol w:w="109"/>
        <w:gridCol w:w="109"/>
        <w:gridCol w:w="211"/>
        <w:gridCol w:w="826"/>
        <w:gridCol w:w="109"/>
        <w:gridCol w:w="109"/>
        <w:gridCol w:w="109"/>
        <w:gridCol w:w="109"/>
        <w:gridCol w:w="211"/>
        <w:gridCol w:w="826"/>
        <w:gridCol w:w="156"/>
      </w:tblGrid>
      <w:tr>
        <w:trPr/>
        <w:tc>
          <w:tcPr>
            <w:tcW w:w="205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20"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63"/>
        <w:gridCol w:w="730"/>
        <w:gridCol w:w="732"/>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73"/>
        <w:gridCol w:w="109"/>
        <w:gridCol w:w="109"/>
        <w:gridCol w:w="109"/>
        <w:gridCol w:w="109"/>
        <w:gridCol w:w="205"/>
        <w:gridCol w:w="773"/>
        <w:gridCol w:w="164"/>
      </w:tblGrid>
      <w:tr>
        <w:trPr/>
        <w:tc>
          <w:tcPr>
            <w:tcW w:w="9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accounting for convertible senior notes (1)</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(76,754)</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 warrants at time of exercise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short-term investments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433,112 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(94,594)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313,632 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left"/>
        <w:rPr/>
      </w:pPr>
      <w:r>
        <w:rPr>
          <w:rFonts w:ascii="Times New Roman;sans-serif" w:hAnsi="Times New Roman;sans-serif"/>
          <w:b w:val="false"/>
          <w:color w:val="000000"/>
          <w:sz w:val="18"/>
        </w:rPr>
        <w:t xml:space="preserve">(1) The Company adopted ASU No. 2020-06, </w:t>
      </w:r>
      <w:r>
        <w:rPr>
          <w:rFonts w:ascii="Times New Roman;sans-serif" w:hAnsi="Times New Roman;sans-serif"/>
          <w:b w:val="false"/>
          <w:i/>
          <w:color w:val="000000"/>
          <w:sz w:val="18"/>
        </w:rPr>
        <w:t>Accounting for Convertible Instruments and Contracts in an Entity’s Own Equity,</w:t>
      </w:r>
      <w:r>
        <w:rPr>
          <w:color w:val="000000"/>
        </w:rPr>
        <w:t xml:space="preserve"> </w:t>
      </w:r>
      <w:r>
        <w:rPr>
          <w:rFonts w:ascii="Times New Roman;sans-serif" w:hAnsi="Times New Roman;sans-serif"/>
          <w:b w:val="false"/>
          <w:color w:val="000000"/>
          <w:sz w:val="18"/>
        </w:rPr>
        <w:t>effective January 1, 2021 (see Note 7, “Debt”).</w:t>
      </w:r>
    </w:p>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339"/>
        <w:gridCol w:w="2023"/>
        <w:gridCol w:w="2039"/>
        <w:gridCol w:w="196"/>
        <w:gridCol w:w="806"/>
        <w:gridCol w:w="109"/>
        <w:gridCol w:w="109"/>
        <w:gridCol w:w="109"/>
        <w:gridCol w:w="109"/>
        <w:gridCol w:w="196"/>
        <w:gridCol w:w="736"/>
        <w:gridCol w:w="109"/>
        <w:gridCol w:w="109"/>
        <w:gridCol w:w="109"/>
        <w:gridCol w:w="109"/>
        <w:gridCol w:w="196"/>
        <w:gridCol w:w="646"/>
        <w:gridCol w:w="156"/>
      </w:tblGrid>
      <w:tr>
        <w:trPr/>
        <w:tc>
          <w:tcPr>
            <w:tcW w:w="233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expected credit losses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termination and impairment charges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on short-term investments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in-process research and development expenses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Employee-related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and other current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(733,388)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short-term investments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including in-process research and development, net of cash acquired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 and strategic investments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(186,876)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Company stock plans,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warrants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Intangible costs in accounts payable</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sells, and supports insulin pump products that are designed to address the evolving needs and preferences of differentiated segments of the insulin-dependent diabetes market. The Company’s manufacturing, sales and support activities have been principally focused on the t:slim X2 Insulin Delivery System (t:slim X2), which has been the Company’s flagship pump platform and which has an advanced algorithm for managing insulin delivery, and is designed to display continuous glucose monitoring (CGM) sensor information directly on the pump home screen. In February 2024, the Company expanded its pump portfolio with the U.S. launch of Tandem Mobi. The Company’s insulin pump products are compatible with other complementary digital health offerings, such as the mobile application, cloud-based diabetes management applications and the Tandem Device Updater, a Mac- and PC-compatible tool that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single-use products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accompanying consolidated financial statements in accordance with accounting principles generally accepted in the United States of America, or U.S. GAAP. The statements include the accounts of Tandem Diabetes Care, Inc. and its wholly-owned subsidiaries in the United States, Canada, Netherlands, and Switzerland. All significant intercompany balances and transactions have been eliminated in consolidation.</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and in accumulated other comprehensive income (loss) in the stockholders’ equity section of the Company’s consolidated balance sheets. Foreign exchange gains or losses resulting from balances denominated in a currency other than the functional currency are recognized in interest income and other, net in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year balances on the consolidated statements of cash flows have been reclassified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during the year ended December 31, 2023, except for adding the accounting policy for sales rebates,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convertible senior notes are carried at amortized cost on the consolidated balance sheets (see Note 7, “Debt”). The Company measures the fair value of its convertible senior notes for disclosure purposes. The Company estimated the fair value of its convertible senior notes to be $271.7 million and $260.5 million at December 31, 2023 and 2022, respectively, based on Level 2 quoted market prices as of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Equivalents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from the date of purchase and that can be liquidated without prior notice or penalty to be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classified as available-for-sale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that are not related to credit factors are reported as a component of other comprehensive income (loss) within the statements of operations and accumulated other comprehensive income (loss) as a separate component of stockholders’ equity on the consolidated balance sheets. The Company determines realized gains or losses on the sale of available-for-sale securities using the specific identification method and includes net realized gains and losses as a component of other income or expense within the consolidated statements of operations.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its available-for-sale debt securities for credit losses quarterly, considering a variety of factors, including the significance of the decline in value as compared to the amortized cost basis; underlying factors contributing to a decline in the prices of securities in a single asset class; the security’s relative performance versus its peers, sector or asset class; the market and economy in general; views of external investment managers; news or financial information that has been released specific to the investee; and the outlook for the overall industry in which the investee operates. Losses on available-for-sale debt securities as a result of credit factors are recognized by recording an impairment loss as a component of other income or expense within the consolidated statements of operations and a corresponding allowance for credit losses. The Company has not recognized any impairment losses related to its short-term investments during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percentages of total sales and accounts receivable, net for customers who accounted for 10% or more of the respective amounts for the periods presented:</w:t>
      </w:r>
    </w:p>
    <w:tbl>
      <w:tblPr>
        <w:tblW w:w="6925" w:type="dxa"/>
        <w:jc w:val="left"/>
        <w:tblInd w:w="0" w:type="dxa"/>
        <w:tblLayout w:type="fixed"/>
        <w:tblCellMar>
          <w:top w:w="28" w:type="dxa"/>
          <w:left w:w="28" w:type="dxa"/>
          <w:bottom w:w="28" w:type="dxa"/>
          <w:right w:w="28" w:type="dxa"/>
        </w:tblCellMar>
      </w:tblPr>
      <w:tblGrid>
        <w:gridCol w:w="429"/>
        <w:gridCol w:w="377"/>
        <w:gridCol w:w="37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412"/>
        <w:gridCol w:w="166"/>
        <w:gridCol w:w="166"/>
        <w:gridCol w:w="166"/>
        <w:gridCol w:w="255"/>
        <w:gridCol w:w="256"/>
        <w:gridCol w:w="48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 net</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Amount related to the respective customer represented less than 10% for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Valuation of Inventories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adjusts inventory for potentially excess or obsolete goods to state inventories at their net realizable value. Factors influencing these adjustments include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and related equipment are amortized over the lesser of the estimated useful lives of the assets or the remaining lease term, unless there is a transfer of title or purchase option that is reasonably certain to be exercised. Maintenance and repair costs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 and Liabilities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entered into or reassessed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Subject to Amortization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intangible asset impairment losses during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right-of-use lease assets, and acquired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additional impairment charges in future periods. Other than the impairment of operating lease right-of-use assets and related leasehold improvements and furniture and fixtures recognized in 2023 and 2022 (see Note 6, “Leases”), there were no impairments of long-lived assets, including acquired intangible assets, during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equity investments totaling $10.1 million and $16.4 million in two separate private companies at December 31, 2023 and 2022, respectively, each of which represented less than 5% of the outstanding equity of the respective company as of the date of investment. The investments are carried at cost minus impairment, if any, adjusted for changes in observable prices. The Company monitors these investments to evaluate whether any increase or decline in its value has occurred, based on the implied value of recent company financings, public market prices of comparable companies and general market conditions. The investments were included as a component of other long-term assets on the consolidated balance sheets at December 31, 2023 and 2022.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made an additional investment of approximately $22.3 million in subordinated convertible notes of one of its private investee companies. The subordinated notes are convertible into equity of the private company upon certain qualifying events, including at their final maturity in 2024. The subordinated convertible notes are non-interest bearing, and are only repayable before conversion into equity upon a change in control of the private company. At December 31, 2023, the $22.3 million subordinated convertible notes investment was included as a component of other long-term assets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and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Arrangements with Multiple Performance Obligations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individual deliverables in its product offering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Tandem Source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Tandem Choice Program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 launched a new technology access program referred to as Tandem Choice, that provides eligible, in-warranty t:slim X2 customers in the United States with the flexibility to obtain the newest hardware platform, Tandem Mobi, when it becomes commercially available. Participating customers have the right to purchase the alternative Tandem pump for a fee, referred to as Choice Right. Tandem Choice expires on December 31, 2024. The program was determined to create a material right for which a portion of each t:slim X2 pump transaction price was allocated and deferred.</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and fourth quarters of 2023, the Company reduced the fee for the Tandem Choice program. The change in the program resulted in an increase to the amount of the transaction price allocated to the material right as the Company expects more customers to exercise the right as compared to the prior existing program price.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evaluating Tandem Choice in accordance with ASC 606, the Company has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 At December 31, 2023 and 2022, $30.6 million and $6.8 million, respectively, were allocated to the material right provided to customers and recorded in current deferred revenue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Rebates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certain rebates on pricing programs with managed care organizations, such as governmental and third-party commercial payors. The Company estimates provisions for rebates based on contractual arrangements, estimates of products sold subject to rebate, known events or trends and channel inventory data. At December 31, 2023, estimated sales rebates of $8.5 million were recorded on the consolidated balance sheet, of which $8.0 million was included in other long-term liabilities as the estimated payment due date was beyond twelve months from the balance sheet date. Accordingly, actual rebates paid may differ from estimated amounts recorded in the accompanying consolidated financial statements. The Company did not provide sales rebates before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Returns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a 90-day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 recorded in deferred revenue on the Company’s consolidated balance sheets for allowances for sales returns was $0.4 million and $0.5 million at December 31, 2023 and 2022, respectively. Actual product returns have not differed materially from estimated amounts recorded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single-use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using historical experience. Insulin pumps returned to the Company may be refurbished and redeployed. Experience has shown that initial data for any given pump version or pump platform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consolidated statements of operations.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product warranty liabilities for the years ended December 31, 2023, 2022 and 2021 (in thousands):</w:t>
      </w:r>
    </w:p>
    <w:tbl>
      <w:tblPr>
        <w:tblW w:w="8307" w:type="dxa"/>
        <w:jc w:val="left"/>
        <w:tblInd w:w="0" w:type="dxa"/>
        <w:tblLayout w:type="fixed"/>
        <w:tblCellMar>
          <w:top w:w="28" w:type="dxa"/>
          <w:left w:w="28" w:type="dxa"/>
          <w:bottom w:w="28" w:type="dxa"/>
          <w:right w:w="28" w:type="dxa"/>
        </w:tblCellMar>
      </w:tblPr>
      <w:tblGrid>
        <w:gridCol w:w="1467"/>
        <w:gridCol w:w="1289"/>
        <w:gridCol w:w="1293"/>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 issued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Decreases in warranty estimates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total product warranty reserves were included in the following consolidated balance sheet accounts (in thousands):</w:t>
      </w:r>
    </w:p>
    <w:tbl>
      <w:tblPr>
        <w:tblW w:w="5696" w:type="dxa"/>
        <w:jc w:val="left"/>
        <w:tblInd w:w="0" w:type="dxa"/>
        <w:tblLayout w:type="fixed"/>
        <w:tblCellMar>
          <w:top w:w="28" w:type="dxa"/>
          <w:left w:w="28" w:type="dxa"/>
          <w:bottom w:w="28" w:type="dxa"/>
          <w:right w:w="28" w:type="dxa"/>
        </w:tblCellMar>
      </w:tblPr>
      <w:tblGrid>
        <w:gridCol w:w="809"/>
        <w:gridCol w:w="712"/>
        <w:gridCol w:w="714"/>
        <w:gridCol w:w="313"/>
        <w:gridCol w:w="1070"/>
        <w:gridCol w:w="161"/>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warranty reserve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the employees’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Shipping and Handling Expenses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expenses associated with product delivery are included within cost of sales in the Company’s statements of operations. Amounts billed to a customer for shipping and handling are reported as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licensing, development and commercialization agreements, and other indirect costs.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 Expenses</w:t>
      </w:r>
    </w:p>
    <w:p>
      <w:pPr>
        <w:pStyle w:val="TextBody"/>
        <w:bidi w:val="0"/>
        <w:spacing w:lineRule="auto" w:line="288" w:before="20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(IPR&amp;D) expenses reflect the costs of externally developed IPR&amp;D projects acquired directly in a transaction other than a business combination that do not have an alternative future use, including the initial costs of rights to IPR&amp;D projects. The acquired IPR&amp;D is expensed on acquisition date. Future costs to develop these IPR&amp;D projects are recorded in research and development expenses on the consolidated statements of operations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asset and liability method of accounting for income taxes. Deferred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to be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The Company includes interest and penalties related to income taxes, including unrecognized tax benefits, within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All components of comprehensive income (loss), including net income (loss), are reported in the consolidated financial statements in the period in which they are recognized. Comprehensive income (loss) is defined as the change in equity during a period from transactions and other events and circumstances from non-owner sources, including unrealized gains and losses on marketable securities and foreign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Income (Loss) Per Share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numerator and denominator of the diluted net income (loss) per share computation were calculated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240" w:after="283"/>
        <w:ind w:left="0" w:right="0" w:firstLine="900"/>
        <w:jc w:val="left"/>
        <w:rPr/>
      </w:pPr>
      <w:r>
        <w:rPr/>
      </w:r>
    </w:p>
    <w:tbl>
      <w:tblPr>
        <w:tblW w:w="8180" w:type="dxa"/>
        <w:jc w:val="left"/>
        <w:tblInd w:w="0" w:type="dxa"/>
        <w:tblLayout w:type="fixed"/>
        <w:tblCellMar>
          <w:top w:w="28" w:type="dxa"/>
          <w:left w:w="28" w:type="dxa"/>
          <w:bottom w:w="28" w:type="dxa"/>
          <w:right w:w="28" w:type="dxa"/>
        </w:tblCellMar>
      </w:tblPr>
      <w:tblGrid>
        <w:gridCol w:w="1407"/>
        <w:gridCol w:w="1233"/>
        <w:gridCol w:w="1245"/>
        <w:gridCol w:w="211"/>
        <w:gridCol w:w="901"/>
        <w:gridCol w:w="109"/>
        <w:gridCol w:w="109"/>
        <w:gridCol w:w="109"/>
        <w:gridCol w:w="109"/>
        <w:gridCol w:w="211"/>
        <w:gridCol w:w="796"/>
        <w:gridCol w:w="109"/>
        <w:gridCol w:w="109"/>
        <w:gridCol w:w="109"/>
        <w:gridCol w:w="109"/>
        <w:gridCol w:w="211"/>
        <w:gridCol w:w="721"/>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common share equivalents: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to be granted under the ESPP</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7220" w:type="dxa"/>
        <w:jc w:val="left"/>
        <w:tblInd w:w="0" w:type="dxa"/>
        <w:tblLayout w:type="fixed"/>
        <w:tblCellMar>
          <w:top w:w="28" w:type="dxa"/>
          <w:left w:w="28" w:type="dxa"/>
          <w:bottom w:w="28" w:type="dxa"/>
          <w:right w:w="28" w:type="dxa"/>
        </w:tblCellMar>
      </w:tblPr>
      <w:tblGrid>
        <w:gridCol w:w="1182"/>
        <w:gridCol w:w="1042"/>
        <w:gridCol w:w="1046"/>
        <w:gridCol w:w="109"/>
        <w:gridCol w:w="109"/>
        <w:gridCol w:w="192"/>
        <w:gridCol w:w="192"/>
        <w:gridCol w:w="330"/>
        <w:gridCol w:w="286"/>
        <w:gridCol w:w="192"/>
        <w:gridCol w:w="192"/>
        <w:gridCol w:w="192"/>
        <w:gridCol w:w="192"/>
        <w:gridCol w:w="331"/>
        <w:gridCol w:w="285"/>
        <w:gridCol w:w="192"/>
        <w:gridCol w:w="109"/>
        <w:gridCol w:w="109"/>
        <w:gridCol w:w="109"/>
        <w:gridCol w:w="308"/>
        <w:gridCol w:w="308"/>
        <w:gridCol w:w="213"/>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under the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(if-converted)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Short-Term Investments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December 31, 2023 and 2022 (in thousands):</w:t>
      </w:r>
    </w:p>
    <w:tbl>
      <w:tblPr>
        <w:tblW w:w="9903" w:type="dxa"/>
        <w:jc w:val="left"/>
        <w:tblInd w:w="0" w:type="dxa"/>
        <w:tblLayout w:type="fixed"/>
        <w:tblCellMar>
          <w:top w:w="28" w:type="dxa"/>
          <w:left w:w="28" w:type="dxa"/>
          <w:bottom w:w="28" w:type="dxa"/>
          <w:right w:w="28" w:type="dxa"/>
        </w:tblCellMar>
      </w:tblPr>
      <w:tblGrid>
        <w:gridCol w:w="1195"/>
        <w:gridCol w:w="1050"/>
        <w:gridCol w:w="1054"/>
        <w:gridCol w:w="109"/>
        <w:gridCol w:w="109"/>
        <w:gridCol w:w="109"/>
        <w:gridCol w:w="109"/>
        <w:gridCol w:w="211"/>
        <w:gridCol w:w="826"/>
        <w:gridCol w:w="109"/>
        <w:gridCol w:w="109"/>
        <w:gridCol w:w="109"/>
        <w:gridCol w:w="109"/>
        <w:gridCol w:w="321"/>
        <w:gridCol w:w="938"/>
        <w:gridCol w:w="166"/>
        <w:gridCol w:w="109"/>
        <w:gridCol w:w="109"/>
        <w:gridCol w:w="109"/>
        <w:gridCol w:w="375"/>
        <w:gridCol w:w="856"/>
        <w:gridCol w:w="194"/>
        <w:gridCol w:w="109"/>
        <w:gridCol w:w="109"/>
        <w:gridCol w:w="109"/>
        <w:gridCol w:w="211"/>
        <w:gridCol w:w="82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02" w:type="dxa"/>
        <w:jc w:val="left"/>
        <w:tblInd w:w="0" w:type="dxa"/>
        <w:tblLayout w:type="fixed"/>
        <w:tblCellMar>
          <w:top w:w="28" w:type="dxa"/>
          <w:left w:w="28" w:type="dxa"/>
          <w:bottom w:w="28" w:type="dxa"/>
          <w:right w:w="28" w:type="dxa"/>
        </w:tblCellMar>
      </w:tblPr>
      <w:tblGrid>
        <w:gridCol w:w="1195"/>
        <w:gridCol w:w="1050"/>
        <w:gridCol w:w="1054"/>
        <w:gridCol w:w="109"/>
        <w:gridCol w:w="109"/>
        <w:gridCol w:w="109"/>
        <w:gridCol w:w="109"/>
        <w:gridCol w:w="211"/>
        <w:gridCol w:w="826"/>
        <w:gridCol w:w="109"/>
        <w:gridCol w:w="109"/>
        <w:gridCol w:w="109"/>
        <w:gridCol w:w="109"/>
        <w:gridCol w:w="441"/>
        <w:gridCol w:w="755"/>
        <w:gridCol w:w="229"/>
        <w:gridCol w:w="109"/>
        <w:gridCol w:w="109"/>
        <w:gridCol w:w="109"/>
        <w:gridCol w:w="297"/>
        <w:gridCol w:w="974"/>
        <w:gridCol w:w="153"/>
        <w:gridCol w:w="109"/>
        <w:gridCol w:w="109"/>
        <w:gridCol w:w="109"/>
        <w:gridCol w:w="211"/>
        <w:gridCol w:w="82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available-for-sale debt securities as of December 31, 2023, were as follows (in thousands):</w:t>
      </w:r>
    </w:p>
    <w:tbl>
      <w:tblPr>
        <w:tblW w:w="10205" w:type="dxa"/>
        <w:jc w:val="left"/>
        <w:tblInd w:w="0" w:type="dxa"/>
        <w:tblLayout w:type="fixed"/>
        <w:tblCellMar>
          <w:top w:w="28" w:type="dxa"/>
          <w:left w:w="28" w:type="dxa"/>
          <w:bottom w:w="28" w:type="dxa"/>
          <w:right w:w="28" w:type="dxa"/>
        </w:tblCellMar>
      </w:tblPr>
      <w:tblGrid>
        <w:gridCol w:w="1131"/>
        <w:gridCol w:w="994"/>
        <w:gridCol w:w="999"/>
        <w:gridCol w:w="255"/>
        <w:gridCol w:w="1000"/>
        <w:gridCol w:w="131"/>
        <w:gridCol w:w="109"/>
        <w:gridCol w:w="109"/>
        <w:gridCol w:w="109"/>
        <w:gridCol w:w="267"/>
        <w:gridCol w:w="1046"/>
        <w:gridCol w:w="137"/>
        <w:gridCol w:w="109"/>
        <w:gridCol w:w="109"/>
        <w:gridCol w:w="109"/>
        <w:gridCol w:w="314"/>
        <w:gridCol w:w="1077"/>
        <w:gridCol w:w="162"/>
        <w:gridCol w:w="109"/>
        <w:gridCol w:w="109"/>
        <w:gridCol w:w="109"/>
        <w:gridCol w:w="301"/>
        <w:gridCol w:w="1182"/>
        <w:gridCol w:w="228"/>
      </w:tblGrid>
      <w:tr>
        <w:trPr/>
        <w:tc>
          <w:tcPr>
            <w:tcW w:w="113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2023</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to Two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Two to 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246,220 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409,044 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the portfolio of available-for-sale debt securities quarterly to determine if any investment is impaired due to changes in credit risk or other potential valuation concerns. Unrealized losses on available-for-sale debt securities at December 31, 2023 were primarily due to an increase in market interest rates after certain debt securities were purchased.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at December 31, 2023 and 2022 (in thousands):</w:t>
      </w:r>
    </w:p>
    <w:tbl>
      <w:tblPr>
        <w:tblW w:w="5379"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the allowance for estimated accounts receivable credit losses for the years ended December 31, 2023, 2022 and 2021 (in thousands):</w:t>
      </w:r>
    </w:p>
    <w:tbl>
      <w:tblPr>
        <w:tblW w:w="7662" w:type="dxa"/>
        <w:jc w:val="left"/>
        <w:tblInd w:w="0" w:type="dxa"/>
        <w:tblLayout w:type="fixed"/>
        <w:tblCellMar>
          <w:top w:w="28" w:type="dxa"/>
          <w:left w:w="28" w:type="dxa"/>
          <w:bottom w:w="28" w:type="dxa"/>
          <w:right w:w="28" w:type="dxa"/>
        </w:tblCellMar>
      </w:tblPr>
      <w:tblGrid>
        <w:gridCol w:w="1347"/>
        <w:gridCol w:w="1184"/>
        <w:gridCol w:w="1188"/>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adjustments,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at December 31, 2023 and 2022 (in thousands):</w:t>
      </w:r>
    </w:p>
    <w:tbl>
      <w:tblPr>
        <w:tblW w:w="4179" w:type="dxa"/>
        <w:jc w:val="left"/>
        <w:tblInd w:w="0" w:type="dxa"/>
        <w:tblLayout w:type="fixed"/>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at December 31, 2023 and 2022 (in thousands):</w:t>
      </w:r>
    </w:p>
    <w:tbl>
      <w:tblPr>
        <w:tblW w:w="6564" w:type="dxa"/>
        <w:jc w:val="left"/>
        <w:tblInd w:w="0" w:type="dxa"/>
        <w:tblLayout w:type="fixed"/>
        <w:tblCellMar>
          <w:top w:w="28" w:type="dxa"/>
          <w:left w:w="28" w:type="dxa"/>
          <w:bottom w:w="28" w:type="dxa"/>
          <w:right w:w="28" w:type="dxa"/>
        </w:tblCellMar>
      </w:tblPr>
      <w:tblGrid>
        <w:gridCol w:w="1489"/>
        <w:gridCol w:w="1307"/>
        <w:gridCol w:w="1314"/>
        <w:gridCol w:w="211"/>
        <w:gridCol w:w="721"/>
        <w:gridCol w:w="109"/>
        <w:gridCol w:w="109"/>
        <w:gridCol w:w="109"/>
        <w:gridCol w:w="109"/>
        <w:gridCol w:w="211"/>
        <w:gridCol w:w="72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scientific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and equipment was $13.8 million, $12.3 million, and $11.7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Subject to Amortization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consist of technology-based intangibles related to the Company’s acquisition of Sugarmate, as well as patents purchased or licensed that are related to the Company’s commercialized products. Intangible assets at December 31, 2023 and 2022, which were included in other long-term assets on the consolidated balance sheets, were as follows (in thousands):</w:t>
      </w:r>
    </w:p>
    <w:tbl>
      <w:tblPr>
        <w:tblW w:w="7538" w:type="dxa"/>
        <w:jc w:val="left"/>
        <w:tblInd w:w="0" w:type="dxa"/>
        <w:tblLayout w:type="fixed"/>
        <w:tblCellMar>
          <w:top w:w="28" w:type="dxa"/>
          <w:left w:w="28" w:type="dxa"/>
          <w:bottom w:w="28" w:type="dxa"/>
          <w:right w:w="28" w:type="dxa"/>
        </w:tblCellMar>
      </w:tblPr>
      <w:tblGrid>
        <w:gridCol w:w="1842"/>
        <w:gridCol w:w="1618"/>
        <w:gridCol w:w="1624"/>
        <w:gridCol w:w="211"/>
        <w:gridCol w:w="721"/>
        <w:gridCol w:w="109"/>
        <w:gridCol w:w="109"/>
        <w:gridCol w:w="109"/>
        <w:gridCol w:w="109"/>
        <w:gridCol w:w="211"/>
        <w:gridCol w:w="72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gross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amortization period (in months)</w:t>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subject to amortization amounted to $1.9 million, $2.0 million and $2.2 million for the years ended December 31, 2023, 2022 and 2021, respectively. The amortization expense is recorded in cost of sales and selling, general and administrative expense in the consolidated statement of operations. The estimated aggregate future amortization expense is $1.9 million for 2024, and the remaining $0.9 million in 2025, all of which will be recorded in selling, general and administrative expense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76"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tbl>
      <w:tblPr>
        <w:tblW w:w="10205"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2692"/>
        <w:gridCol w:w="2659"/>
        <w:gridCol w:w="3766"/>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such as unadjusted quoted prices in active markets that are accessible at the measurement date for identical, unrestricted assets or liabilities.</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other than quoted prices in active markets, that are observable either directly or indirectly for substantially the full term of the asset or liability.</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in which there is little or no market data and that are significant to the fair value of the assets or liabilities, which require the reporting entity to develop its own valuation techniques that require input assumptions.</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 December 31, 2023 and 2022, and indicates the fair value hierarchy of the valuation techniques used by the Company to determine such fair value (in thousands):</w:t>
      </w:r>
    </w:p>
    <w:tbl>
      <w:tblPr>
        <w:tblW w:w="8490" w:type="dxa"/>
        <w:jc w:val="left"/>
        <w:tblInd w:w="0" w:type="dxa"/>
        <w:tblLayout w:type="fixed"/>
        <w:tblCellMar>
          <w:top w:w="28" w:type="dxa"/>
          <w:left w:w="28" w:type="dxa"/>
          <w:bottom w:w="28" w:type="dxa"/>
          <w:right w:w="28" w:type="dxa"/>
        </w:tblCellMar>
      </w:tblPr>
      <w:tblGrid>
        <w:gridCol w:w="1190"/>
        <w:gridCol w:w="1047"/>
        <w:gridCol w:w="10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490" w:type="dxa"/>
        <w:jc w:val="left"/>
        <w:tblInd w:w="0" w:type="dxa"/>
        <w:tblLayout w:type="fixed"/>
        <w:tblCellMar>
          <w:top w:w="28" w:type="dxa"/>
          <w:left w:w="28" w:type="dxa"/>
          <w:bottom w:w="28" w:type="dxa"/>
          <w:right w:w="28" w:type="dxa"/>
        </w:tblCellMar>
      </w:tblPr>
      <w:tblGrid>
        <w:gridCol w:w="1190"/>
        <w:gridCol w:w="1047"/>
        <w:gridCol w:w="10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br/>
              <w:t>December 31, 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(1)Generally, cash equivalents include money market funds and investments with a maturity of three months or less from the date of purchase.</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and lease liabilities on the Company’s consolidated balance sheets. The Company is required to recognize operating lease right-of-use assets and liabilities, and begin recording lease expense when the Company takes possession of the leased property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Headquarters Lease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entered into a lease agreement for 181,949 square feet of general administrative, laboratory, and research and development office space (the Premises) located on High Bluff Drive in San Diego, California (Headquarters Lease). Possession of the Premises will be tendered to the Company by the landlord in two phases, with Phase I consisting of 143,850 rentable square feet, and Phase II consisting of 38,099 rentable square feet. The Headquarters Lease also includes a first right of offer with respect to an additional 16,154 rentable square feet of general office space at December 31, 2023, should the space become available.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Phase I Commencement Date occurred in March 2022 when the Company was tendered possession of the Phase I portion of the Premises, and rent payments commenced in September 2022 (Phase I Rent Commencement Date). The Phase II Commencement Date is expected to occur upon the earlier of (i) the date upon which the Company first commences business in the Phase II portion of the Premises, and (ii) May 1, 2025 (Phase II Rent Commencement Date).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base rent for the Headquarters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consolidated balance sheet on the Phase I Commencement Date in the first quarter of 2022.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entered into an agreement to sublease the Phase II portion of the Premises under its Headquarters Lease from January 2025 through March 2029. Future minimum payments for base rent due under Phase II of the Headquarters Lease, net of sublease rent, are estimated to be $2.2 million in total for 2025 through 2028, and $23.2 million in total for 2029 through 2035.</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Termination and Impairment Charges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began using Phase I of the Headquarters Lease for operations that previously occupied 77,458 square feet of leased space located on Roselle Street (Roselle leases) in San Diego, California. The Roselle leases expired in May 2023. Also in the second quarter of 2023, the Company relocated operations that occupied 73,929 square feet of leased space on Vista Sorrento Parkway in San Diego, California (Vista Sorrento Lease) to the new Headquarters Lease 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in connection with permanently ceasing use of the Vista Sorrento facility, the Company recorded a $14.1 million impairment charge as the carrying amount of the assets related to the Vista Sorrento Lease exceeded its fair value based on the Company’s estimate of future discounted cash flows related to the leased facility. Estimates used to determine the present value of future cash flows over the remaining lease term included projected sublease income and a discount rate. The $14.1 million charge was comprised of an $11.2 million impairment of operating lease right-of-use assets and a $2.9 million write-off of fixed assets consisting primarily of leasehold improvements, and was recorded as a component of selling, general and administrative expenses in the consolidated statement of operations.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recorded $12.4 million of lease termination and impairment charges primarily related to its customer and technical support office space in Boise, Idaho. The $12.4 million charge consisted of a $6.7 million loss on disposal of fixed assets, including leasehold improvements, furniture and fixtures, $3.8 million net loss on lease termination, and $1.9 million impairment of operating lease right-of-use assets, and was recorded as a component of selling, general and administrative expenses in the consolidated statement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 Costs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recorded in the consolidated statements of operations were as follows (in thousands):</w:t>
      </w:r>
    </w:p>
    <w:p>
      <w:pPr>
        <w:pStyle w:val="TextBody"/>
        <w:bidi w:val="0"/>
        <w:spacing w:before="0" w:after="0"/>
        <w:ind w:left="0" w:right="0" w:firstLine="900"/>
        <w:jc w:val="left"/>
        <w:rPr/>
      </w:pPr>
      <w:r>
        <w:rPr/>
      </w:r>
    </w:p>
    <w:tbl>
      <w:tblPr>
        <w:tblW w:w="9748" w:type="dxa"/>
        <w:jc w:val="left"/>
        <w:tblInd w:w="0" w:type="dxa"/>
        <w:tblLayout w:type="fixed"/>
        <w:tblCellMar>
          <w:top w:w="28" w:type="dxa"/>
          <w:left w:w="28" w:type="dxa"/>
          <w:bottom w:w="28" w:type="dxa"/>
          <w:right w:w="28" w:type="dxa"/>
        </w:tblCellMar>
      </w:tblPr>
      <w:tblGrid>
        <w:gridCol w:w="2025"/>
        <w:gridCol w:w="1779"/>
        <w:gridCol w:w="179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202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lease termination and right-of-use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 Liabilities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at December 31, 2023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212529"/>
          <w:sz w:val="20"/>
        </w:rPr>
      </w:pPr>
      <w:r>
        <w:rPr>
          <w:rFonts w:ascii="Times New Roman;sans-serif" w:hAnsi="Times New Roman;sans-serif"/>
          <w:b w:val="false"/>
          <w:color w:val="212529"/>
          <w:sz w:val="20"/>
        </w:rPr>
        <w:t>The weighted-average remaining lease term and weighted-average discount rate for operating leases were as follows:</w:t>
      </w:r>
    </w:p>
    <w:tbl>
      <w:tblPr>
        <w:tblW w:w="9746" w:type="dxa"/>
        <w:jc w:val="left"/>
        <w:tblInd w:w="0" w:type="dxa"/>
        <w:tblLayout w:type="fixed"/>
        <w:tblCellMar>
          <w:top w:w="28" w:type="dxa"/>
          <w:left w:w="28" w:type="dxa"/>
          <w:bottom w:w="28" w:type="dxa"/>
          <w:right w:w="28" w:type="dxa"/>
        </w:tblCellMar>
      </w:tblPr>
      <w:tblGrid>
        <w:gridCol w:w="2278"/>
        <w:gridCol w:w="1999"/>
        <w:gridCol w:w="2007"/>
        <w:gridCol w:w="344"/>
        <w:gridCol w:w="344"/>
        <w:gridCol w:w="857"/>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used to determine operating lease liabilities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 Payments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representing operating cash flows,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240" w:after="283"/>
        <w:ind w:left="0" w:right="0" w:firstLine="900"/>
        <w:jc w:val="left"/>
        <w:rPr/>
      </w:pPr>
      <w:r>
        <w:rPr/>
      </w:r>
    </w:p>
    <w:tbl>
      <w:tblPr>
        <w:tblW w:w="6912" w:type="dxa"/>
        <w:jc w:val="left"/>
        <w:tblInd w:w="0" w:type="dxa"/>
        <w:tblLayout w:type="fixed"/>
        <w:tblCellMar>
          <w:top w:w="28" w:type="dxa"/>
          <w:left w:w="28" w:type="dxa"/>
          <w:bottom w:w="28" w:type="dxa"/>
          <w:right w:w="28" w:type="dxa"/>
        </w:tblCellMar>
      </w:tblPr>
      <w:tblGrid>
        <w:gridCol w:w="1156"/>
        <w:gridCol w:w="1016"/>
        <w:gridCol w:w="1023"/>
        <w:gridCol w:w="211"/>
        <w:gridCol w:w="721"/>
        <w:gridCol w:w="109"/>
        <w:gridCol w:w="109"/>
        <w:gridCol w:w="109"/>
        <w:gridCol w:w="109"/>
        <w:gridCol w:w="211"/>
        <w:gridCol w:w="721"/>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termination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Leases For Which Accounting Has Not Yet Commenced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Phase II Commencement Date for the Headquarters Lease had not yet occurred. Accordingly, the consolidated balance sheet at December 31, 2023 does not include operating lease right-of-use assets and operating lease liabilities, and the consolidated statements of operations for the years ended December 31, 2023, 2022 and 2021 do not include any lease costs, related to Phase II of the Headquarters Lease. In addition, the above disclosures of the Company’s lease costs, maturities of operating lease liabilities, weighted-average remaining lease term, and weighted-average discount rate do not include any amounts related to Phase II of the Headquarters Lease. Because the incremental borrowing rate will not be available until the Phase II Commencement Date, which is currently estimated to occur in the first quarter of 2025, we are not yet able to determine the Phase II operating lease right-of-use assets and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Company completed an offering of $287.5 million aggregate principal amount of unsecured Convertible Senior Notes with a stated interest rate of 1.50% and a maturity date of May 1, 2025 (Notes). The proceeds from the issuance of the Notes were $244.6 million, net of debt issuance costs and cash used to pay the cost of the capped call transactions (Capped Call Transactions) discussed below.</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Interest is payable in cash semi-annually in arrears beginning on November 1, 2020 at a rate of 1.50% per year. The Notes mature on May 1, 2025 unless repurchased, redeemed, or converted in accordance with their terms before the maturity date.</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 </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may convert all or a portion of their Notes at their option before November 1, 2024, in multiples of $1,000 principal amounts, only under the following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the Company calls any or all of the Notes for redemption, at any time before the close of business on the scheduled trading day immediately preceding the redemption date; or</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 the occurrence of specified corporate events.</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November 1, 2024, until the close of business on the second scheduled trading day immediately preceding the maturity date, holders may convert their Notes at any time, regardless of the foregoing circumstances.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the issuance of the Notes in 2020,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recorded as a debt discount, which was being amortized to interest expense. On January 1, 2021, the Company early adopted ASU No. 2020-06, Accounting for Convertible Instruments and Contracts in an Entity’s Own Equity, which is intended to simplify the accounting for convertible instruments. The Company adopted the new standard using the modified retrospective method, and accordingly, recorded a net reduction to accumulated deficit of $9.0 million, a decrease to additional paid-in capital of $85.8 million, and an increase to convertible senior notes, net - long-term of $76.8 million to reflect the impact of the accounting change. Beginning January 1, 2021, the Notes have been accounted for as a single liability measured at amortized cost, as no other embedded features require bifurcation and recognition as derivatives.</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Notes on the consolidated balance sheets consisted of the following (in thousands):</w:t>
      </w:r>
    </w:p>
    <w:tbl>
      <w:tblPr>
        <w:tblW w:w="6220" w:type="dxa"/>
        <w:jc w:val="left"/>
        <w:tblInd w:w="0" w:type="dxa"/>
        <w:tblLayout w:type="fixed"/>
        <w:tblCellMar>
          <w:top w:w="28" w:type="dxa"/>
          <w:left w:w="28" w:type="dxa"/>
          <w:bottom w:w="28" w:type="dxa"/>
          <w:right w:w="28" w:type="dxa"/>
        </w:tblCellMar>
      </w:tblPr>
      <w:tblGrid>
        <w:gridCol w:w="1000"/>
        <w:gridCol w:w="876"/>
        <w:gridCol w:w="883"/>
        <w:gridCol w:w="284"/>
        <w:gridCol w:w="1114"/>
        <w:gridCol w:w="147"/>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1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20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8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285,035 </w:t>
            </w:r>
          </w:p>
        </w:tc>
        <w:tc>
          <w:tcPr>
            <w:tcW w:w="1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283,232 </w:t>
            </w:r>
          </w:p>
        </w:tc>
        <w:tc>
          <w:tcPr>
            <w:tcW w:w="2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Notes will have a dilutive effect to the extent the average market price per share of common stock for a given reporting period exceeds the conversion price of $112.57. As of December 31, 2023 and 2022, the if-converted value of the Notes did not exceed the principal amount.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unamortized debt issuance costs of $2.5 million associated with the Notes will be amortized to interest expense, at an effective interest rate of 2.2% over the remaining period of approximately 1.3 years.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was notified that additional interest beyond the 1.50% per annum had been accruing on the Notes since May 2021, pursuant to the terms of the indenture. This additional interest continued to accrue at a rate of 0.50% per annum on the outstanding principal amount of the Notes until November 2, 2023. The overdue unpaid interest itself accrued interest at a rate of 2.50% per annum. The Company paid all overdue amounts related to this matter in November 2023.</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interest expense related to the Notes recognized for the years ended December 31, 2023, 2022 and 2021 (in thousands):</w:t>
      </w:r>
    </w:p>
    <w:tbl>
      <w:tblPr>
        <w:tblW w:w="6943" w:type="dxa"/>
        <w:jc w:val="left"/>
        <w:tblInd w:w="0" w:type="dxa"/>
        <w:tblLayout w:type="fixed"/>
        <w:tblCellMar>
          <w:top w:w="28" w:type="dxa"/>
          <w:left w:w="28" w:type="dxa"/>
          <w:bottom w:w="28" w:type="dxa"/>
          <w:right w:w="28" w:type="dxa"/>
        </w:tblCellMar>
      </w:tblPr>
      <w:tblGrid>
        <w:gridCol w:w="1085"/>
        <w:gridCol w:w="955"/>
        <w:gridCol w:w="960"/>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Contractual interest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Contractual interest expense for the year ended December 31, 2023 includes $3.3 million of additional interest as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consolidated balance sheet and will not be remeasured.</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Line of Credit</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the Company entered into a three-year Revolving Line of Credit Agreement that provided the Company with a maximum principal borrowing amount of $100.0 million (Line of Credit), reduced by any letters of credit issued and outstanding under a $15.0 million letter of credit sub-limit. On August 2, 2023, the Revolving Line of Credit Agreement was amended to reduce the maximum principal borrowing amount to $50.0 million for the remainder of the term, limited to a percentage of eligible accounts receivable during the third quarter of 2023. </w:t>
      </w:r>
    </w:p>
    <w:p>
      <w:pPr>
        <w:pStyle w:val="TextBody"/>
        <w:bidi w:val="0"/>
        <w:spacing w:before="0" w:after="0"/>
        <w:ind w:left="0" w:right="0" w:firstLine="900"/>
        <w:jc w:val="left"/>
        <w:rPr/>
      </w:pPr>
      <w:r>
        <w:rPr/>
      </w:r>
    </w:p>
    <w:p>
      <w:pPr>
        <w:pStyle w:val="TextBody"/>
        <w:bidi w:val="0"/>
        <w:spacing w:lineRule="auto" w:line="26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terminated the Revolving Line of Credit Agreement in January 2024, with no borrowings made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Promissory Note Payable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Capillary Biomedical, Inc. (see Note 12, “Acquisitions”), the Company assumed a $4.7 million promissory note payable. The promissory note accrues interest at the rate of 5.0% per year, and becomes due and payable upon the first sale or license of the commercialized product. At December 31, 2023 and 2022, the loan balance of $4.7 million was included as a component of other long-term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of the Company's common stock were reserved for future issuance at December 31, 2023 (in thousands):</w:t>
      </w:r>
    </w:p>
    <w:tbl>
      <w:tblPr>
        <w:tblW w:w="6965" w:type="dxa"/>
        <w:jc w:val="left"/>
        <w:tblInd w:w="0" w:type="dxa"/>
        <w:tblLayout w:type="fixed"/>
        <w:tblCellMar>
          <w:top w:w="28" w:type="dxa"/>
          <w:left w:w="28" w:type="dxa"/>
          <w:bottom w:w="28" w:type="dxa"/>
          <w:right w:w="28" w:type="dxa"/>
        </w:tblCellMar>
      </w:tblPr>
      <w:tblGrid>
        <w:gridCol w:w="2206"/>
        <w:gridCol w:w="1939"/>
        <w:gridCol w:w="1945"/>
        <w:gridCol w:w="360"/>
        <w:gridCol w:w="3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to purchase shares of the Company's common stock as of December 31, 2023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then employees, officers, directors or consultants of the Company. The 2023 Plan replaced the Company’s Amended and Restated 2013 Stock Incentive Plan (2013 Plan), and no further equity awards will be granted under the 2013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term of stock options granted under the Company’s active plans is ten years. Stock options have an exercise price equal to the closing price of the Company's common stock on the applicable award date. Stock options granted before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activities under the Company’s stock incentive plans:</w:t>
      </w:r>
    </w:p>
    <w:tbl>
      <w:tblPr>
        <w:tblW w:w="10205" w:type="dxa"/>
        <w:jc w:val="left"/>
        <w:tblInd w:w="0" w:type="dxa"/>
        <w:tblLayout w:type="fixed"/>
        <w:tblCellMar>
          <w:top w:w="28" w:type="dxa"/>
          <w:left w:w="28" w:type="dxa"/>
          <w:bottom w:w="28" w:type="dxa"/>
          <w:right w:w="28" w:type="dxa"/>
        </w:tblCellMar>
      </w:tblPr>
      <w:tblGrid>
        <w:gridCol w:w="1305"/>
        <w:gridCol w:w="1146"/>
        <w:gridCol w:w="1152"/>
        <w:gridCol w:w="518"/>
        <w:gridCol w:w="520"/>
        <w:gridCol w:w="241"/>
        <w:gridCol w:w="109"/>
        <w:gridCol w:w="109"/>
        <w:gridCol w:w="109"/>
        <w:gridCol w:w="211"/>
        <w:gridCol w:w="616"/>
        <w:gridCol w:w="109"/>
        <w:gridCol w:w="109"/>
        <w:gridCol w:w="109"/>
        <w:gridCol w:w="109"/>
        <w:gridCol w:w="581"/>
        <w:gridCol w:w="581"/>
        <w:gridCol w:w="583"/>
        <w:gridCol w:w="109"/>
        <w:gridCol w:w="109"/>
        <w:gridCol w:w="109"/>
        <w:gridCol w:w="293"/>
        <w:gridCol w:w="1150"/>
        <w:gridCol w:w="218"/>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Stock</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 Contractual</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 (in thousands)</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268,649 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4,814,846 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3,896,004 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2023</w:t>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3,890,496 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10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3,675,678 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have a grant value equal to the closing price of the Company’s common stock on the award date. RSUs granted before March 2022 generally vest over a four-year period based only on continuous service as to 25% of the underlying shares on the first anniversary of the award, with the balance of the RSUs vesting quarterly over the following three years. RSUs granted in March 2022 and thereafter generally vest over a three-year period based on continuous service to the Company as to 33% of the underlying shares on the first anniversary of the award, with the balance of the RSUs vesting quarterly over the following two years. In addition, the Company granted 110,074, 53,662 and 25,674 performance-based RSUs during the years ended December 31, 2023, 2022 and 2021, respectively. The Company estimated the fair value of performance-based RSUs at the date of grant using the intrinsic value method and the probability that the specified performance metrics will be met. These awards vest upon the Company’s actual performance relative to predefined performance metrics and subject to the awardee’s continuous service through the respective December 31, 2024 and 2025 measurement dates as defined in the award agreements. For certain performance-based RSUs with market-based criteria, the Company used a Monte Carlo methodology to estimate the fair value at the date of grant.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activities, which includes performance-based RSUs, for the Company’s stock incentive plans:</w:t>
      </w:r>
    </w:p>
    <w:tbl>
      <w:tblPr>
        <w:tblW w:w="10205" w:type="dxa"/>
        <w:jc w:val="left"/>
        <w:tblInd w:w="0" w:type="dxa"/>
        <w:tblLayout w:type="fixed"/>
        <w:tblCellMar>
          <w:top w:w="28" w:type="dxa"/>
          <w:left w:w="28" w:type="dxa"/>
          <w:bottom w:w="28" w:type="dxa"/>
          <w:right w:w="28" w:type="dxa"/>
        </w:tblCellMar>
      </w:tblPr>
      <w:tblGrid>
        <w:gridCol w:w="1307"/>
        <w:gridCol w:w="1119"/>
        <w:gridCol w:w="1122"/>
        <w:gridCol w:w="488"/>
        <w:gridCol w:w="488"/>
        <w:gridCol w:w="298"/>
        <w:gridCol w:w="109"/>
        <w:gridCol w:w="109"/>
        <w:gridCol w:w="109"/>
        <w:gridCol w:w="643"/>
        <w:gridCol w:w="1880"/>
        <w:gridCol w:w="333"/>
        <w:gridCol w:w="109"/>
        <w:gridCol w:w="109"/>
        <w:gridCol w:w="109"/>
        <w:gridCol w:w="363"/>
        <w:gridCol w:w="1241"/>
        <w:gridCol w:w="269"/>
      </w:tblGrid>
      <w:tr>
        <w:trPr/>
        <w:tc>
          <w:tcPr>
            <w:tcW w:w="130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br/>
              <w:t>(in thousands)</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564,034 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610,731 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1,542,859 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1,833,832 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2,359,907 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(735,155)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(282,425)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3,176,159 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Awards expected to vest at December 31, 2023</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3,088,745 </w:t>
            </w:r>
          </w:p>
        </w:tc>
        <w:tc>
          <w:tcPr>
            <w:tcW w:w="2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fair value of RSUs that vested during the years ended December 31, 2023, 2022 and 2021 was $21.2 million, $12.7 million, and $5.1 million, respectively, which represents the market value of the Company’s common stock on the date the RSUs vested. The number of RSUs vested includes shares of common stock the Company withheld on behalf of employees to satisfy the minimum statutory tax withholding requirements. RSUs that are expected to vest are net of estimated future forfeitures.</w:t>
      </w:r>
    </w:p>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Employee Stock Purchase Plan (ESPP) was approved by the Board in October 2013. The ESPP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offerings under the ESPP consist of a two-year offering period with four six-month purchase periods which begin in May and November of each year.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499,431, 262,936 and 172,694 shares of our common stock, respectively, were purchased under the ESPP for proceeds of $10.7 million, $12.7 million and $11.1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stock-based compensation expense included in the consolidated statements of operations for all stock-based compensation arrangements (in thousands):</w:t>
      </w:r>
    </w:p>
    <w:tbl>
      <w:tblPr>
        <w:tblW w:w="7708" w:type="dxa"/>
        <w:jc w:val="left"/>
        <w:tblInd w:w="0" w:type="dxa"/>
        <w:tblLayout w:type="fixed"/>
        <w:tblCellMar>
          <w:top w:w="28" w:type="dxa"/>
          <w:left w:w="28" w:type="dxa"/>
          <w:bottom w:w="28" w:type="dxa"/>
          <w:right w:w="28" w:type="dxa"/>
        </w:tblCellMar>
      </w:tblPr>
      <w:tblGrid>
        <w:gridCol w:w="1248"/>
        <w:gridCol w:w="1093"/>
        <w:gridCol w:w="1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total stock-based compensation expense capitalized as part of the cost of the Company’s inventories was $2.0 million at December 31, 2023, and $1.1 million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total unamortized stock-based compensation expense of approximately $116.7 million will be recognized over the remaining weighted average vesting term of approximately 1.9 years.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using the Black-Scholes option pricing model on the grant date. The assumptions used in the Black-Scholes option pricing model were as follows:</w:t>
      </w:r>
    </w:p>
    <w:tbl>
      <w:tblPr>
        <w:tblW w:w="8669" w:type="dxa"/>
        <w:jc w:val="left"/>
        <w:tblInd w:w="0" w:type="dxa"/>
        <w:tblLayout w:type="fixed"/>
        <w:tblCellMar>
          <w:top w:w="28" w:type="dxa"/>
          <w:left w:w="28" w:type="dxa"/>
          <w:bottom w:w="28" w:type="dxa"/>
          <w:right w:w="28" w:type="dxa"/>
        </w:tblCellMar>
      </w:tblPr>
      <w:tblGrid>
        <w:gridCol w:w="1500"/>
        <w:gridCol w:w="1315"/>
        <w:gridCol w:w="1324"/>
        <w:gridCol w:w="109"/>
        <w:gridCol w:w="109"/>
        <w:gridCol w:w="109"/>
        <w:gridCol w:w="109"/>
        <w:gridCol w:w="399"/>
        <w:gridCol w:w="399"/>
        <w:gridCol w:w="401"/>
        <w:gridCol w:w="109"/>
        <w:gridCol w:w="109"/>
        <w:gridCol w:w="109"/>
        <w:gridCol w:w="211"/>
        <w:gridCol w:w="616"/>
        <w:gridCol w:w="271"/>
        <w:gridCol w:w="109"/>
        <w:gridCol w:w="109"/>
        <w:gridCol w:w="109"/>
        <w:gridCol w:w="211"/>
        <w:gridCol w:w="616"/>
        <w:gridCol w:w="316"/>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tbl>
      <w:tblPr>
        <w:tblW w:w="8568" w:type="dxa"/>
        <w:jc w:val="left"/>
        <w:tblInd w:w="0" w:type="dxa"/>
        <w:tblLayout w:type="fixed"/>
        <w:tblCellMar>
          <w:top w:w="28" w:type="dxa"/>
          <w:left w:w="28" w:type="dxa"/>
          <w:bottom w:w="28" w:type="dxa"/>
          <w:right w:w="28" w:type="dxa"/>
        </w:tblCellMar>
      </w:tblPr>
      <w:tblGrid>
        <w:gridCol w:w="1500"/>
        <w:gridCol w:w="1315"/>
        <w:gridCol w:w="1324"/>
        <w:gridCol w:w="109"/>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0"/>
        <w:jc w:val="left"/>
        <w:rPr/>
      </w:pPr>
      <w:r>
        <w:rPr/>
      </w:r>
    </w:p>
    <w:p>
      <w:pPr>
        <w:pStyle w:val="TextBody"/>
        <w:bidi w:val="0"/>
        <w:spacing w:lineRule="auto" w:line="288" w:before="0" w:after="0"/>
        <w:ind w:left="0" w:right="0" w:firstLine="900"/>
        <w:jc w:val="left"/>
        <w:rPr/>
      </w:pP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risk-free interest rate assumption was based on the United States Treasury’s rates for U.S. Treasury zero-coupon bonds with maturities similar to those of the expected term of the award being valued.</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Expected Dividend Yield</w:t>
      </w:r>
      <w:r>
        <w:rPr>
          <w:rFonts w:ascii="Times New Roman;sans-serif" w:hAnsi="Times New Roman;sans-serif"/>
          <w:b w:val="false"/>
          <w:color w:val="000000"/>
          <w:sz w:val="20"/>
        </w:rPr>
        <w:t>. The dividend yield is zero because the Company has never declared or paid any cash dividends and does not presently plan to pay cash dividends in the foreseeable future.</w:t>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Expected Volatility</w:t>
      </w:r>
      <w:r>
        <w:rPr>
          <w:rFonts w:ascii="Times New Roman;sans-serif" w:hAnsi="Times New Roman;sans-serif"/>
          <w:b w:val="false"/>
          <w:color w:val="000000"/>
          <w:sz w:val="20"/>
        </w:rPr>
        <w:t>. The expected volatility was estimated based</w:t>
      </w:r>
      <w:r>
        <w:rPr>
          <w:color w:val="000000"/>
        </w:rPr>
        <w:t xml:space="preserve"> </w:t>
      </w:r>
      <w:r>
        <w:rPr>
          <w:rFonts w:ascii="Times New Roman;sans-serif" w:hAnsi="Times New Roman;sans-serif"/>
          <w:b w:val="false"/>
          <w:color w:val="000000"/>
          <w:sz w:val="20"/>
        </w:rPr>
        <w:t>on a weighted-average of the Company’s actual historical volatility of its common stock measured over the expected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 The Company utilized the simplified method for estimating the expected term of stock option grants. Under this approach, the weighted-average expected term is presumed to be the average of the vesting term and the contractual term of the option. The Company estimates the expected term of the ESPP using expected life for each tranche during the two-year offering period.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Employee Benefits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Employee 401(k) Plan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the Company may elect to match a discretionary percentage of employee contributions. The total cost recognized by the Company for the 401(k) plan was $4.2 million and $4.2 million, respectively, for the years ended December 31, 2023 and 2022. The Company did not provide a matching contribution prior to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(loss) before provision for income taxes for the Company’s operations was as follows (in thousands):</w:t>
      </w:r>
    </w:p>
    <w:tbl>
      <w:tblPr>
        <w:tblW w:w="8037" w:type="dxa"/>
        <w:jc w:val="left"/>
        <w:tblInd w:w="0" w:type="dxa"/>
        <w:tblLayout w:type="fixed"/>
        <w:tblCellMar>
          <w:top w:w="28" w:type="dxa"/>
          <w:left w:w="28" w:type="dxa"/>
          <w:bottom w:w="28" w:type="dxa"/>
          <w:right w:w="28" w:type="dxa"/>
        </w:tblCellMar>
      </w:tblPr>
      <w:tblGrid>
        <w:gridCol w:w="1437"/>
        <w:gridCol w:w="1258"/>
        <w:gridCol w:w="1265"/>
        <w:gridCol w:w="211"/>
        <w:gridCol w:w="901"/>
        <w:gridCol w:w="109"/>
        <w:gridCol w:w="109"/>
        <w:gridCol w:w="109"/>
        <w:gridCol w:w="109"/>
        <w:gridCol w:w="211"/>
        <w:gridCol w:w="796"/>
        <w:gridCol w:w="109"/>
        <w:gridCol w:w="109"/>
        <w:gridCol w:w="109"/>
        <w:gridCol w:w="109"/>
        <w:gridCol w:w="211"/>
        <w:gridCol w:w="721"/>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were as follows (in thousands):</w:t>
      </w:r>
    </w:p>
    <w:tbl>
      <w:tblPr>
        <w:tblW w:w="6176" w:type="dxa"/>
        <w:jc w:val="left"/>
        <w:tblInd w:w="0" w:type="dxa"/>
        <w:tblLayout w:type="fixed"/>
        <w:tblCellMar>
          <w:top w:w="28" w:type="dxa"/>
          <w:left w:w="28" w:type="dxa"/>
          <w:bottom w:w="28" w:type="dxa"/>
          <w:right w:w="28" w:type="dxa"/>
        </w:tblCellMar>
      </w:tblPr>
      <w:tblGrid>
        <w:gridCol w:w="1018"/>
        <w:gridCol w:w="897"/>
        <w:gridCol w:w="904"/>
        <w:gridCol w:w="211"/>
        <w:gridCol w:w="616"/>
        <w:gridCol w:w="109"/>
        <w:gridCol w:w="109"/>
        <w:gridCol w:w="109"/>
        <w:gridCol w:w="109"/>
        <w:gridCol w:w="211"/>
        <w:gridCol w:w="616"/>
        <w:gridCol w:w="109"/>
        <w:gridCol w:w="109"/>
        <w:gridCol w:w="109"/>
        <w:gridCol w:w="109"/>
        <w:gridCol w:w="211"/>
        <w:gridCol w:w="46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expense for income taxes reconciles to the amount computed by applying the federal statutory rate to loss before taxes as follows (in thousands):</w:t>
      </w:r>
    </w:p>
    <w:tbl>
      <w:tblPr>
        <w:tblW w:w="8457" w:type="dxa"/>
        <w:jc w:val="left"/>
        <w:tblInd w:w="0" w:type="dxa"/>
        <w:tblLayout w:type="fixed"/>
        <w:tblCellMar>
          <w:top w:w="28" w:type="dxa"/>
          <w:left w:w="28" w:type="dxa"/>
          <w:bottom w:w="28" w:type="dxa"/>
          <w:right w:w="28" w:type="dxa"/>
        </w:tblCellMar>
      </w:tblPr>
      <w:tblGrid>
        <w:gridCol w:w="1659"/>
        <w:gridCol w:w="1463"/>
        <w:gridCol w:w="1468"/>
        <w:gridCol w:w="211"/>
        <w:gridCol w:w="796"/>
        <w:gridCol w:w="109"/>
        <w:gridCol w:w="109"/>
        <w:gridCol w:w="109"/>
        <w:gridCol w:w="109"/>
        <w:gridCol w:w="211"/>
        <w:gridCol w:w="796"/>
        <w:gridCol w:w="109"/>
        <w:gridCol w:w="109"/>
        <w:gridCol w:w="109"/>
        <w:gridCol w:w="109"/>
        <w:gridCol w:w="211"/>
        <w:gridCol w:w="61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expense (benefit) at federal statutory rate</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revaluation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limitation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acquired deferred tax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(1)For the years ended December 31, 2023, 2022 and 2021, the federal statutory tax rate was 21%.</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net deferred income tax assets at December 31, 2023 and 2022 are shown in the table below (in thousands). The Company assesses all available positive and negative evidence to estimate whether sufficient future taxable income will be generated to permit use of the existing deferred tax assets. A significant piece of objective negative evidence evaluated was the cumulative book loss incurred over the three-year period ended December 31, 2023. Such objective evidence limits the ability to consider other subjective evidence, such as projections for future growth. On the basis of this analysis, a valuation allowance of $190.7 million and $162.7 million at December 31, 2023 and 2022, respectively, was recorded to offset the net deferred tax asset as realization of such asset is uncertain. However, the amount of the deferred tax asset considered realizable could be adjusted if estimates of future taxable income during the carryforward period are increased, or if objective negative evidence in the form of cumulative losses is no longer present and additional weight is given to subjective evidence such as the Company’s projections for future growth.</w:t>
      </w:r>
    </w:p>
    <w:tbl>
      <w:tblPr>
        <w:tblW w:w="6789" w:type="dxa"/>
        <w:jc w:val="left"/>
        <w:tblInd w:w="0" w:type="dxa"/>
        <w:tblLayout w:type="fixed"/>
        <w:tblCellMar>
          <w:top w:w="28" w:type="dxa"/>
          <w:left w:w="28" w:type="dxa"/>
          <w:bottom w:w="28" w:type="dxa"/>
          <w:right w:w="28" w:type="dxa"/>
        </w:tblCellMar>
      </w:tblPr>
      <w:tblGrid>
        <w:gridCol w:w="1572"/>
        <w:gridCol w:w="1379"/>
        <w:gridCol w:w="1384"/>
        <w:gridCol w:w="211"/>
        <w:gridCol w:w="721"/>
        <w:gridCol w:w="109"/>
        <w:gridCol w:w="109"/>
        <w:gridCol w:w="109"/>
        <w:gridCol w:w="109"/>
        <w:gridCol w:w="211"/>
        <w:gridCol w:w="721"/>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(NOL)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accumulated federal and state NOL carryforwards of approximately $168.0 million, and $262.4 million, respectively. Of the total federal net operating loss carryforwards, approximately $78.4 million were generated after January 1, 2018, and therefore do not expire. NOL generated after January 1, 2018, is subject to 80% limitation in accordance with the Tax Cuts and Jobs Act of 2017. The remaining federal net operating loss carryforwards of $89.6 million will begin to expire in 2033, and state tax loss carryforwards continue to expire in 2024, unless previously utilized. The remaining California NOL carryforwards of $177.6 million will begin expiring in 2031. The Company had approximately $19.9 million of foreign tax loss carryforwards as of December 31, 2023. The foreign tax loss carryforwards begin to expire in 2024, unless previously utilized.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federal and California research credit carryforwards of approximately $24.2 million and $24.2 million, respectively, as of December 31, 2023. The federal research credit carryforwards will begin expiring in 2039, unless previously utilized. The California research credit will carry forward indefinitely.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Utilization of the Company's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completed analyses through December 31, 2022 to determine whether its net operating losses and credits are likely to be limited by Section 382. Based on this study, the Company determined that an ownership change, as defined under Section 382, occurred in 2018 and the resulting limitation significantly reduced the Company’s ability to utilize its net operating loss and credit carryovers before they expire. As a result, in 2019 the Company reduced its deferred tax assets for the net operating loss and research credit carryforwards that were projected to expire unused with a corresponding offset to the valuation allowance recorded against such assets. Additionally, future ownership changes under Section 382 may also limit the Company's ability to fully utilize any remaining tax benefits.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2022, as part of the Capillary Biomedical, Inc. transaction, the Company acquired deferred tax assets consisting of federal and state net operation loss carryovers, research tax credit carryovers, and other tax attributes of approximately $7.8 million. These deferred tax assets are subject to limitations on future use under Section 382 and some of the attributes may expire unused. The Company completed an analysis under Section 382. As a result, the Company recognized deferred tax assets, net of contra reserve, of approximately $5.0 million in 2023. The Company included these deferred tax assets in its components of deferred tax assets in the table above, to the extent that such deferred tax assets are available for future utilization, and the balances are fully offset by valuation allowance as of December 31, 2023.</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gross unrecognized tax benefits at the beginning and end of the years ended December 31, 2023, 2022 and 2021 (in thousands):</w:t>
      </w:r>
    </w:p>
    <w:tbl>
      <w:tblPr>
        <w:tblW w:w="8816" w:type="dxa"/>
        <w:jc w:val="left"/>
        <w:tblInd w:w="0" w:type="dxa"/>
        <w:tblLayout w:type="fixed"/>
        <w:tblCellMar>
          <w:top w:w="28" w:type="dxa"/>
          <w:left w:w="28" w:type="dxa"/>
          <w:bottom w:w="28" w:type="dxa"/>
          <w:right w:w="28" w:type="dxa"/>
        </w:tblCellMar>
      </w:tblPr>
      <w:tblGrid>
        <w:gridCol w:w="1810"/>
        <w:gridCol w:w="1590"/>
        <w:gridCol w:w="1594"/>
        <w:gridCol w:w="211"/>
        <w:gridCol w:w="721"/>
        <w:gridCol w:w="109"/>
        <w:gridCol w:w="109"/>
        <w:gridCol w:w="109"/>
        <w:gridCol w:w="109"/>
        <w:gridCol w:w="211"/>
        <w:gridCol w:w="721"/>
        <w:gridCol w:w="109"/>
        <w:gridCol w:w="109"/>
        <w:gridCol w:w="109"/>
        <w:gridCol w:w="109"/>
        <w:gridCol w:w="211"/>
        <w:gridCol w:w="72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(decreases) related to prior year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had $19.2 million and $15.0 million of unrecognized tax benefits, respectively, that, if recognized and realized would impact the effective tax rate, subject to the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practice is to recognize interest and penalties related to income tax matters in income tax expense. The Company had no accrual for interest and penalties on the Company’s consolidated balance sheets and has not recognized interest and penalties in the consolidated statements of operations for the years ended December 31, 2023, 2022 and 2021. The Company does not expect any significant increases or decreases, other than the potential reduction as a result of the Section 382 limitation, to its unrecognized tax benefits within the next 12 months.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and various foreign and state jurisdictions. Before 2018, the losses were all attributable to the United States. The Company’s tax years from 2006 (inception) are subject to examination by the United States and state authorities due to the carry forward of unutilized NOLs and research and development credits.</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Business Segment and Geographic Information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and by major sales channel as management believes these categories best depict how the nature, amount and timing of revenues and cash flows are affected by economic factors.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 by Geographic Region and Customer Sales Channel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6748" w:type="dxa"/>
        <w:jc w:val="left"/>
        <w:tblInd w:w="0" w:type="dxa"/>
        <w:tblLayout w:type="fixed"/>
        <w:tblCellMar>
          <w:top w:w="28" w:type="dxa"/>
          <w:left w:w="28" w:type="dxa"/>
          <w:bottom w:w="28" w:type="dxa"/>
          <w:right w:w="28" w:type="dxa"/>
        </w:tblCellMar>
      </w:tblPr>
      <w:tblGrid>
        <w:gridCol w:w="789"/>
        <w:gridCol w:w="691"/>
        <w:gridCol w:w="695"/>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Sales to distributors accounted for 64%, 65%, and 67% of the Company’s total United States sales for the years ended December 31, 2023, 2022 and 2021, respectively. Sales to distributors accounted for 99%, 96%, and 95% of the Company’s total sales outside the United States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Acquisitions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AMF Medical Acquisition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19, 2023, the Company completed the acquisition of AMF Medical under the terms of the Purchase Agreement. The total aggregate consideration for the Transaction includes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two years following the closing date of the Transaction, and a payment of up to CHF 91.2 million upon obtaining regulatory clearance from the United States Food and Drug Administration of an automated controller enabled (ACE) pump. The contingent consideration will be recognized as each contingency is resolved and the respective consideration is paid or becomes payable. As of December 31, 2023, the contingencies related to the earnout milestones were not yet resolved and, therefore, the related amounts were not included in the fair value of the asset acquired and were not recognized as a liability on the consolidated balance sheet at December 31, 2023. The Company funded the initial closing payment using existing cash balances. As of December 31, 2022, the previous strategic investment was included as a component of other long-term assets on the consolidated balance sheet (see Note 2, “Summary of Significant Accounting Policies”).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and acquisition related expenses, on its consolidated statements of operations in acquired in-process research and development expenses. The Company’s results of operations for the year ended December 31, 2023 included the operating results of AMF Medical since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Capillary Biomedical Acquisition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acquired Capillary Biomedical, Inc. (Capillary Biomedical), an infusion set developer, for total cash consideration of $24.7 million, and the assumption of $4.7 million of long-term debt (see Note 7, “Debt”). Capillary Biomedical’s extended-wear infusion set technology is currently in development and is not yet commercially available. The Company funded the purchase price using existing cash balances.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$31.0 million charge in 2022 representing the value of acquired in-process research and development assets with no alternative future use, and acquisition related expenses, on its consolidated statements of operations in acquired in-process 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Legal and Regulatory Matters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On September 8, 2023, a purported stockholder of the Company filed a putative securities class action complaint (captioned</w:t>
      </w:r>
      <w:r>
        <w:rPr>
          <w:color w:val="000000"/>
        </w:rPr>
        <w:t xml:space="preserve"> </w:t>
      </w:r>
      <w:r>
        <w:rPr>
          <w:rFonts w:ascii="Times New Roman;sans-serif" w:hAnsi="Times New Roman;sans-serif"/>
          <w:b w:val="false"/>
          <w:i/>
          <w:color w:val="000000"/>
          <w:sz w:val="20"/>
        </w:rPr>
        <w:t>Lowe v. Tandem Diabetes Care, Inc., et al,</w:t>
      </w:r>
      <w:r>
        <w:rPr>
          <w:color w:val="000000"/>
        </w:rPr>
        <w:t xml:space="preserve"> </w:t>
      </w:r>
      <w:r>
        <w:rPr>
          <w:rFonts w:ascii="Times New Roman;sans-serif" w:hAnsi="Times New Roman;sans-serif"/>
          <w:b w:val="false"/>
          <w:color w:val="000000"/>
          <w:sz w:val="20"/>
        </w:rPr>
        <w:t>Case No. 23-cv-1657) in the United States District Court for the Southern District of California against the Company and certain of the Company’s current executive officers. The complaint generally alleges that defendants violated Sections 10(b) and 20(a) of the Securities Exchange Act of 1934, as amended, by failing to properly account for and disclose the full impact that COVID-19, inflation, and the sales of competitors’ products were having on the Company’s sales and revenue. The complaint seeks unspecified monetary damages and other relief. Although the Company intends to vigorously defend against this claim, there is no guarantee that the Company will prevail. Accordingly, the Company is unable to determine the ultimate outcome of this lawsuit or determine the amount or range of potential losses associated with the lawsuit.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December 31, 2023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one of the Company’s operating leases (see Note 6, “Leases”), the Company has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suppliers and other parties to purchase inventory, other goods and services and long-lived assets. Product inventory obligations consist primarily of purchase order commitments for raw materials used in the production of insulin pumps and cartridges, and finished goods infusion sets. Cancellation of outstanding purchase orders is generally allowed under the standard terms of our purchase order agreements, but may require payment of costs incurred through the date of cancellation. At December 31, 2023, obligations under our purchase agreements totaled approximately $189.2 million, of which approximately $181.5 million is scheduled to be received and become payable within one-year.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14. Fourth Quarter Financial Data (Unaudited)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for the three months ended December 31, 2023 and 2022 presented in the following table reflects all normal recurring adjustments that are, in the opinion of management, necessary for a fair statement of the results of the interim periods (in thousands, except per share data):</w:t>
      </w:r>
    </w:p>
    <w:tbl>
      <w:tblPr>
        <w:tblW w:w="9836" w:type="dxa"/>
        <w:jc w:val="left"/>
        <w:tblInd w:w="0" w:type="dxa"/>
        <w:tblLayout w:type="fixed"/>
        <w:tblCellMar>
          <w:top w:w="28" w:type="dxa"/>
          <w:left w:w="28" w:type="dxa"/>
          <w:bottom w:w="28" w:type="dxa"/>
          <w:right w:w="28" w:type="dxa"/>
        </w:tblCellMar>
      </w:tblPr>
      <w:tblGrid>
        <w:gridCol w:w="2301"/>
        <w:gridCol w:w="2018"/>
        <w:gridCol w:w="2056"/>
        <w:gridCol w:w="284"/>
        <w:gridCol w:w="1114"/>
        <w:gridCol w:w="147"/>
        <w:gridCol w:w="109"/>
        <w:gridCol w:w="109"/>
        <w:gridCol w:w="109"/>
        <w:gridCol w:w="281"/>
        <w:gridCol w:w="1103"/>
        <w:gridCol w:w="205"/>
      </w:tblGrid>
      <w:tr>
        <w:trPr/>
        <w:tc>
          <w:tcPr>
            <w:tcW w:w="230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2023 and 2022, there was no difference in the weighted average number of shares used to calculate basic and diluted net loss per share due to the Company’s net loss position for each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December 31, 2023.</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management assessed the effectiveness of our internal control over financial reporting using the criteria set forth by the Committee of Sponsoring Organizations of the Treadway Commission in Internal Control-Integrated Framework (2013 Framework) (the COSO criteria). Based on this assessment, our management concluded that, as of December 31, 2023, our internal control over financial reporting was effective.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Ernst &amp; Young LLP, an independent registered public accounting firm, has issued an attestation report on the effectiveness of our internal control over financial reporting as of December 31, 2023 as stated in its report,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quarter ended December 31,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Limitation on Effectiveness of Controls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our policies and procedures, the existence of this relationship may create additional risk, or the perception of additional risk, that our controls and procedures may not be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To the Stockholders and the Board of Directors of Tandem Diabetes Care, Inc.</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Tandem Diabetes Care, Inc.’s internal control over financial reporting as of December 31, 2023, based on criteria established in Internal Control—Integrated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2023, based on the COSO criteria.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2023 and 2022, the related consolidated statements of operations and comprehensive income (loss), stockholders‘ equity, and cash flows, for each of the three years in the period ended December 31, 2023, and the related notes and our report dated February 21, 2024 expressed an unqualified opinion thereon.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paragraph (b) of Item 406 of Regulation S-K. We will promptly disclose on our website (i) any amendment to or any waiver (including an implicit waiver) of, our Code of Ethics (Senior Financial Officers) that applies to our principal executive officer, principal financial officer, principal accounting officer or controller or persons performing similar functions, and that relates to any element of the code of ethics definition enumerated in paragraph (b) of Item 406 of Regulation S-K, and (ii) the nature of any such amendment or waiver. </w:t>
      </w:r>
    </w:p>
    <w:p>
      <w:pPr>
        <w:pStyle w:val="TextBody"/>
        <w:bidi w:val="0"/>
        <w:spacing w:before="0" w:after="0"/>
        <w:ind w:left="0" w:right="0" w:firstLine="900"/>
        <w:jc w:val="left"/>
        <w:rPr/>
      </w:pPr>
      <w:r>
        <w:rPr/>
      </w:r>
    </w:p>
    <w:p>
      <w:pPr>
        <w:pStyle w:val="TextBody"/>
        <w:bidi w:val="0"/>
        <w:spacing w:lineRule="auto" w:line="26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that is not set forth above will be set forth in our definitive proxy statement for our 2024 annual meeting of stockholders (the “Proxy Statement”), to be filed with the SEC not later than 120 days after the end of the fiscal year ended December 31, 2023, under the headings “Election of Directors,” “Executive Officers,” “Certain Relationships and Related-Party Transactions,” “Corporate Governance-Director Independence, Agreements and Relationships,” “Legal Proceedings with Directors,” “Corporate Governance,” “Compensation Governance,” “Delinquent Section 16(a) Reports”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headings “Compensation Discussion and Analysis,” “Executive Compensation Tables,” “Director Compensation,” “Compensation Committee Interlocks and Insider Participation,” and “Compensation Committee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headings “Compensation Governance—Stock Incentive Plans” and “Stock Ownership,”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 “Corporate Governance—Director Independence, Agreements and Relationships,”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 “Appointment of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Annual Report:</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Financial Statements.</w:t>
      </w:r>
      <w:r>
        <w:rPr>
          <w:color w:val="000000"/>
        </w:rPr>
        <w:t> </w:t>
      </w:r>
      <w:r>
        <w:rPr>
          <w:rFonts w:ascii="Times New Roman;sans-serif" w:hAnsi="Times New Roman;sans-serif"/>
          <w:b w:val="false"/>
          <w:color w:val="000000"/>
          <w:sz w:val="20"/>
        </w:rPr>
        <w:t>The following documents are included in Part II, Item 8 of this Annual Report and are incorporated by reference herein:</w:t>
      </w:r>
    </w:p>
    <w:tbl>
      <w:tblPr>
        <w:tblW w:w="6645" w:type="dxa"/>
        <w:jc w:val="left"/>
        <w:tblInd w:w="0" w:type="dxa"/>
        <w:tblLayout w:type="fixed"/>
        <w:tblCellMar>
          <w:top w:w="28" w:type="dxa"/>
          <w:left w:w="28" w:type="dxa"/>
          <w:bottom w:w="28" w:type="dxa"/>
          <w:right w:w="28" w:type="dxa"/>
        </w:tblCellMar>
      </w:tblPr>
      <w:tblGrid>
        <w:gridCol w:w="2220"/>
        <w:gridCol w:w="1951"/>
        <w:gridCol w:w="1963"/>
        <w:gridCol w:w="149"/>
        <w:gridCol w:w="149"/>
        <w:gridCol w:w="213"/>
      </w:tblGrid>
      <w:tr>
        <w:trPr/>
        <w:tc>
          <w:tcPr>
            <w:tcW w:w="222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34">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ee418e40d3464b9eea8289f69eff37_34">
              <w:r>
                <w:rPr>
                  <w:rStyle w:val="InternetLink"/>
                  <w:rFonts w:ascii="Times New Roman;sans-serif" w:hAnsi="Times New Roman;sans-serif"/>
                  <w:b w:val="false"/>
                  <w:color w:val="0000FF"/>
                  <w:sz w:val="20"/>
                </w:rPr>
                <w:t>75</w:t>
              </w:r>
            </w:hyperlink>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37">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ee418e40d3464b9eea8289f69eff37_37">
              <w:r>
                <w:rPr>
                  <w:rStyle w:val="InternetLink"/>
                  <w:rFonts w:ascii="Times New Roman;sans-serif" w:hAnsi="Times New Roman;sans-serif"/>
                  <w:b w:val="false"/>
                  <w:color w:val="0000FF"/>
                  <w:sz w:val="20"/>
                </w:rPr>
                <w:t>77</w:t>
              </w:r>
            </w:hyperlink>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40">
              <w:r>
                <w:rPr>
                  <w:rStyle w:val="InternetLink"/>
                  <w:rFonts w:ascii="Times New Roman;sans-serif" w:hAnsi="Times New Roman;sans-serif"/>
                  <w:b w:val="false"/>
                  <w:color w:val="0000FF"/>
                  <w:sz w:val="20"/>
                  <w:u w:val="single"/>
                </w:rPr>
                <w:t>Consolidated Statements of Operations and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ee418e40d3464b9eea8289f69eff37_40">
              <w:r>
                <w:rPr>
                  <w:rStyle w:val="InternetLink"/>
                  <w:rFonts w:ascii="Times New Roman;sans-serif" w:hAnsi="Times New Roman;sans-serif"/>
                  <w:b w:val="false"/>
                  <w:color w:val="0000FF"/>
                  <w:sz w:val="20"/>
                </w:rPr>
                <w:t>78</w:t>
              </w:r>
            </w:hyperlink>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43">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ee418e40d3464b9eea8289f69eff37_43">
              <w:r>
                <w:rPr>
                  <w:rStyle w:val="InternetLink"/>
                  <w:rFonts w:ascii="Times New Roman;sans-serif" w:hAnsi="Times New Roman;sans-serif"/>
                  <w:b w:val="false"/>
                  <w:color w:val="0000FF"/>
                  <w:sz w:val="20"/>
                </w:rPr>
                <w:t>79</w:t>
              </w:r>
            </w:hyperlink>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58">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ee418e40d3464b9eea8289f69eff37_58">
              <w:r>
                <w:rPr>
                  <w:rStyle w:val="InternetLink"/>
                  <w:rFonts w:ascii="Times New Roman;sans-serif" w:hAnsi="Times New Roman;sans-serif"/>
                  <w:b w:val="false"/>
                  <w:color w:val="0000FF"/>
                  <w:sz w:val="20"/>
                </w:rPr>
                <w:t>80</w:t>
              </w:r>
            </w:hyperlink>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61">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ee418e40d3464b9eea8289f69eff37_61">
              <w:r>
                <w:rPr>
                  <w:rStyle w:val="InternetLink"/>
                  <w:rFonts w:ascii="Times New Roman;sans-serif" w:hAnsi="Times New Roman;sans-serif"/>
                  <w:b w:val="false"/>
                  <w:color w:val="0000FF"/>
                  <w:sz w:val="20"/>
                </w:rPr>
                <w:t>81</w:t>
              </w:r>
            </w:hyperlink>
          </w:p>
        </w:tc>
      </w:tr>
    </w:tbl>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color w:val="000000"/>
        </w:rPr>
        <w:t> </w:t>
      </w:r>
      <w:r>
        <w:rPr>
          <w:rFonts w:ascii="Times New Roman;sans-serif" w:hAnsi="Times New Roman;sans-serif"/>
          <w:b w:val="false"/>
          <w:color w:val="000000"/>
          <w:sz w:val="20"/>
        </w:rPr>
        <w:t>Financial statement schedules have been omitted because they are not required or are not applicable, or the required information is shown in the consolidated financial statements or notes thereto.</w:t>
      </w:r>
    </w:p>
    <w:p>
      <w:pPr>
        <w:pStyle w:val="TextBody"/>
        <w:bidi w:val="0"/>
        <w:spacing w:before="0" w:after="0"/>
        <w:jc w:val="left"/>
        <w:rPr/>
      </w:pPr>
      <w:r>
        <w:rPr/>
      </w:r>
    </w:p>
    <w:p>
      <w:pPr>
        <w:pStyle w:val="TextBody"/>
        <w:bidi w:val="0"/>
        <w:spacing w:lineRule="auto" w:line="288" w:before="0" w:after="0"/>
        <w:ind w:left="0" w:right="0" w:firstLine="900"/>
        <w:jc w:val="left"/>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Exhibits.</w:t>
      </w:r>
    </w:p>
    <w:p>
      <w:pPr>
        <w:pStyle w:val="TextBody"/>
        <w:bidi w:val="0"/>
        <w:spacing w:before="0" w:after="0"/>
        <w:ind w:left="0" w:right="0" w:firstLine="90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1122"/>
        <w:gridCol w:w="1008"/>
        <w:gridCol w:w="1011"/>
        <w:gridCol w:w="109"/>
        <w:gridCol w:w="109"/>
        <w:gridCol w:w="109"/>
        <w:gridCol w:w="208"/>
        <w:gridCol w:w="208"/>
        <w:gridCol w:w="209"/>
        <w:gridCol w:w="116"/>
        <w:gridCol w:w="116"/>
        <w:gridCol w:w="116"/>
        <w:gridCol w:w="340"/>
        <w:gridCol w:w="293"/>
        <w:gridCol w:w="159"/>
        <w:gridCol w:w="116"/>
        <w:gridCol w:w="116"/>
        <w:gridCol w:w="116"/>
        <w:gridCol w:w="261"/>
        <w:gridCol w:w="261"/>
        <w:gridCol w:w="262"/>
        <w:gridCol w:w="109"/>
        <w:gridCol w:w="109"/>
        <w:gridCol w:w="109"/>
        <w:gridCol w:w="401"/>
        <w:gridCol w:w="299"/>
        <w:gridCol w:w="300"/>
        <w:gridCol w:w="109"/>
        <w:gridCol w:w="109"/>
        <w:gridCol w:w="109"/>
        <w:gridCol w:w="272"/>
        <w:gridCol w:w="272"/>
        <w:gridCol w:w="401"/>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First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Provided</w:t>
              <w:br/>
              <w:t>Herewith</w:t>
            </w:r>
          </w:p>
        </w:tc>
      </w:tr>
      <w:tr>
        <w:trPr/>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00"/>
                  <w:sz w:val="20"/>
                  <w:u w:val="single"/>
                </w:rPr>
                <w:t>Amended and Restated Certificate of Incorporation (as amended through August 1, 2023 and currently in effect)</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3-Aug-23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00"/>
                  <w:sz w:val="20"/>
                  <w:u w:val="single"/>
                </w:rPr>
                <w:t>Amended and Restated Bylaws (as amended through August 1, 2023 and currently in effect).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3-Aug-23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7">
              <w:r>
                <w:rPr>
                  <w:rStyle w:val="InternetLink"/>
                  <w:rFonts w:ascii="Times New Roman;sans-serif" w:hAnsi="Times New Roman;sans-serif"/>
                  <w:b w:val="false"/>
                  <w:color w:val="000080"/>
                  <w:sz w:val="20"/>
                  <w:u w:val="single"/>
                </w:rPr>
                <w:t>3</w:t>
              </w:r>
            </w:hyperlink>
            <w:hyperlink r:id="rId8">
              <w:r>
                <w:rPr>
                  <w:rStyle w:val="InternetLink"/>
                  <w:rFonts w:ascii="Times New Roman;sans-serif" w:hAnsi="Times New Roman;sans-serif"/>
                  <w:b w:val="false"/>
                  <w:color w:val="000080"/>
                  <w:sz w:val="20"/>
                  <w:u w:val="single"/>
                </w:rPr>
                <w:t xml:space="preserve">.1 </w:t>
              </w:r>
            </w:hyperlink>
            <w:r>
              <w:rPr>
                <w:rFonts w:ascii="Times New Roman;sans-serif" w:hAnsi="Times New Roman;sans-serif"/>
                <w:b w:val="false"/>
                <w:color w:val="000000"/>
                <w:sz w:val="20"/>
              </w:rPr>
              <w:t xml:space="preserve">and </w:t>
            </w:r>
            <w:hyperlink r:id="rId9">
              <w:r>
                <w:rPr>
                  <w:rStyle w:val="InternetLink"/>
                  <w:rFonts w:ascii="Times New Roman;sans-serif" w:hAnsi="Times New Roman;sans-serif"/>
                  <w:b w:val="false"/>
                  <w:color w:val="000000"/>
                  <w:sz w:val="20"/>
                  <w:u w:val="single"/>
                </w:rPr>
                <w:t>3.2</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42descriptionofcapitalst.htm">
              <w:r>
                <w:rPr>
                  <w:rStyle w:val="InternetLink"/>
                  <w:rFonts w:ascii="Times New Roman;sans-serif" w:hAnsi="Times New Roman;sans-serif"/>
                  <w:b w:val="false"/>
                  <w:color w:val="000000"/>
                  <w:sz w:val="20"/>
                  <w:u w:val="single"/>
                </w:rPr>
                <w:t>Description of Capital Stock</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00"/>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00"/>
                  <w:sz w:val="20"/>
                  <w:u w:val="single"/>
                </w:rPr>
                <w:t>Form of Warrant to Purchase Stock</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333-216531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8-Mar-17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00"/>
                  <w:sz w:val="20"/>
                  <w:u w:val="single"/>
                </w:rPr>
                <w:t>Indenture dated May 15, 2020 by and between Tandem Diabetes Care, Inc. and U.S. Bank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15-May-20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00"/>
                  <w:sz w:val="20"/>
                  <w:u w:val="single"/>
                </w:rPr>
                <w:t>Form of Global Note, representing Tandem Diabetes Care, Inc.’s 1.50% Convertible Senior Notes due 2025 (included as Exhibit A to the Indenture filed as Exhibit 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15-May-20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00"/>
              </w:rPr>
              <w:instrText xml:space="preserve"> HYPERLINK "https://www.sec.gov/Archives/edgar/data/1438133/000156459018009319/tndm-def14a_20180614.htm" \l "APPENDIX_B"</w:instrText>
            </w:r>
            <w:r>
              <w:rPr>
                <w:rStyle w:val="InternetLink"/>
                <w:sz w:val="20"/>
                <w:u w:val="single"/>
                <w:b w:val="false"/>
                <w:rFonts w:ascii="Times New Roman;sans-serif" w:hAnsi="Times New Roman;sans-serif"/>
                <w:color w:val="000000"/>
              </w:rPr>
              <w:fldChar w:fldCharType="separate"/>
            </w:r>
            <w:r>
              <w:rPr>
                <w:rStyle w:val="InternetLink"/>
                <w:rFonts w:ascii="Times New Roman;sans-serif" w:hAnsi="Times New Roman;sans-serif"/>
                <w:b w:val="false"/>
                <w:color w:val="000000"/>
                <w:sz w:val="20"/>
                <w:u w:val="single"/>
              </w:rPr>
              <w:t>Tandem Diabetes Care, Inc. Amended and Restated 2013 Stock Incentive Plan.</w:t>
            </w:r>
            <w:r>
              <w:rPr>
                <w:rStyle w:val="InternetLink"/>
                <w:sz w:val="20"/>
                <w:u w:val="single"/>
                <w:b w:val="false"/>
                <w:rFonts w:ascii="Times New Roman;sans-serif" w:hAnsi="Times New Roman;sans-serif"/>
                <w:color w:val="00000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 14A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26-Apr-18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Appendix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00"/>
                  <w:sz w:val="20"/>
                  <w:u w:val="single"/>
                </w:rPr>
                <w:t>Tandem Diabetes Care, Inc. Amended and Restated 2013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001-36189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30-Jul-2020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00"/>
                  <w:sz w:val="20"/>
                  <w:u w:val="single"/>
                </w:rPr>
                <w:t>Form of Restricted Stock Unit Agreement under the Amended and Restated 2013 Stock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30-Jul-2020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29"/>
        <w:gridCol w:w="202"/>
        <w:gridCol w:w="205"/>
        <w:gridCol w:w="109"/>
        <w:gridCol w:w="109"/>
        <w:gridCol w:w="109"/>
        <w:gridCol w:w="1606"/>
        <w:gridCol w:w="1291"/>
        <w:gridCol w:w="1295"/>
        <w:gridCol w:w="109"/>
        <w:gridCol w:w="109"/>
        <w:gridCol w:w="109"/>
        <w:gridCol w:w="213"/>
        <w:gridCol w:w="196"/>
        <w:gridCol w:w="152"/>
        <w:gridCol w:w="109"/>
        <w:gridCol w:w="109"/>
        <w:gridCol w:w="109"/>
        <w:gridCol w:w="275"/>
        <w:gridCol w:w="275"/>
        <w:gridCol w:w="277"/>
        <w:gridCol w:w="109"/>
        <w:gridCol w:w="109"/>
        <w:gridCol w:w="109"/>
        <w:gridCol w:w="243"/>
        <w:gridCol w:w="220"/>
        <w:gridCol w:w="222"/>
        <w:gridCol w:w="109"/>
        <w:gridCol w:w="109"/>
        <w:gridCol w:w="109"/>
        <w:gridCol w:w="318"/>
        <w:gridCol w:w="318"/>
        <w:gridCol w:w="322"/>
        <w:gridCol w:w="109"/>
        <w:gridCol w:w="109"/>
        <w:gridCol w:w="109"/>
        <w:gridCol w:w="109"/>
        <w:gridCol w:w="109"/>
        <w:gridCol w:w="166"/>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00"/>
                  <w:sz w:val="20"/>
                  <w:u w:val="single"/>
                </w:rPr>
                <w:t>Form of Stock Option Agreement under the Amended and Restated 2013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1-Nov-13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00"/>
                  <w:sz w:val="20"/>
                  <w:u w:val="single"/>
                </w:rPr>
                <w:t>Form of Stock Option Agreement under the Amended and Restated 2013 Stock Incentive Plan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00"/>
              </w:rPr>
              <w:instrText xml:space="preserve"> HYPERLINK "http://www.sec.gov/Archives/edgar/data/1438133/000156459018009319/tndm-def14a_20180614.htm" \l "APPENDIX_C"</w:instrText>
            </w:r>
            <w:r>
              <w:rPr>
                <w:rStyle w:val="InternetLink"/>
                <w:sz w:val="20"/>
                <w:u w:val="single"/>
                <w:b w:val="false"/>
                <w:rFonts w:ascii="Times New Roman;sans-serif" w:hAnsi="Times New Roman;sans-serif"/>
                <w:color w:val="000000"/>
              </w:rPr>
              <w:fldChar w:fldCharType="separate"/>
            </w:r>
            <w:r>
              <w:rPr>
                <w:rStyle w:val="InternetLink"/>
                <w:rFonts w:ascii="Times New Roman;sans-serif" w:hAnsi="Times New Roman;sans-serif"/>
                <w:b w:val="false"/>
                <w:color w:val="000000"/>
                <w:sz w:val="20"/>
                <w:u w:val="single"/>
              </w:rPr>
              <w:t>Tandem Diabetes Care, Inc. Amended and Restated 2013 Employee Stock Purchase Plan.</w:t>
            </w:r>
            <w:r>
              <w:rPr>
                <w:rStyle w:val="InternetLink"/>
                <w:sz w:val="20"/>
                <w:u w:val="single"/>
                <w:b w:val="false"/>
                <w:rFonts w:ascii="Times New Roman;sans-serif" w:hAnsi="Times New Roman;sans-serif"/>
                <w:color w:val="000000"/>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 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26-Apr-18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Appendix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80"/>
                  <w:sz w:val="20"/>
                  <w:u w:val="single"/>
                </w:rPr>
                <w:t>Tandem Diabetes Care, Inc. 202</w:t>
              </w:r>
            </w:hyperlink>
            <w:hyperlink r:id="rId19">
              <w:r>
                <w:rPr>
                  <w:rStyle w:val="InternetLink"/>
                  <w:rFonts w:ascii="Times New Roman;sans-serif" w:hAnsi="Times New Roman;sans-serif"/>
                  <w:b w:val="false"/>
                  <w:color w:val="000080"/>
                  <w:sz w:val="20"/>
                  <w:u w:val="single"/>
                </w:rPr>
                <w:t>3</w:t>
              </w:r>
            </w:hyperlink>
            <w:hyperlink r:id="rId20">
              <w:r>
                <w:rPr>
                  <w:rStyle w:val="InternetLink"/>
                  <w:rFonts w:ascii="Times New Roman;sans-serif" w:hAnsi="Times New Roman;sans-serif"/>
                  <w:b w:val="false"/>
                  <w:color w:val="000080"/>
                  <w:sz w:val="20"/>
                  <w:u w:val="single"/>
                </w:rPr>
                <w:t xml:space="preserve"> Sr. Management Cash Bonus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3-May-2023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00"/>
                  <w:sz w:val="20"/>
                  <w:u w:val="single"/>
                </w:rPr>
                <w:t>Tandem Diabetes Care, Inc. 2023 Long-Term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3-Aug-2023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00"/>
                  <w:sz w:val="20"/>
                  <w:u w:val="single"/>
                </w:rPr>
                <w:t>Form of Restricted Stock Units Agreement under the 2023 Long-Term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3-Aug-2023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00"/>
                  <w:sz w:val="20"/>
                  <w:u w:val="single"/>
                </w:rPr>
                <w:t>Employee Offer Letter, dated January 29, 2013, by and between Tandem Diabetes Care, Inc. and John F. Sheridan.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7-Oct-13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00"/>
                  <w:sz w:val="20"/>
                  <w:u w:val="single"/>
                </w:rPr>
                <w:t>Amended and Restated Employment Severance Agreement, dated November 4, 2013, by and between Tandem Diabetes Care, Inc. and John F. Sheridan.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00"/>
                  <w:sz w:val="20"/>
                  <w:u w:val="single"/>
                </w:rPr>
                <w:t>Amended and Restated Employment Severance Agreement, dated November 4, 2013, by and between Tandem Diabetes Care, Inc. and Susan M. Morrison.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8-Nov-13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00"/>
                  <w:sz w:val="20"/>
                  <w:u w:val="single"/>
                </w:rPr>
                <w:t>Amended and Restated Employment Severance Agreement dated August 2, 2017, by and between Tandem Diabetes Care, Inc. and Leigh Vosseller.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333-222553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16-Jan-18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00"/>
                  <w:sz w:val="20"/>
                  <w:u w:val="single"/>
                </w:rPr>
                <w:t>Separation Agreement, dated August 18, 2023, by and between Tandem Diabetes Care, Inc. and Brian Hansen.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18-Aug-23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00"/>
                  <w:sz w:val="20"/>
                  <w:u w:val="single"/>
                </w:rPr>
                <w:t>Transition and Consulting Agreement, dated December 1, 2023, by and between the Company and David B. Berger.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11-Dec-23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Form of Indemnification Agreement for Directors and Officer</w:t>
              </w:r>
            </w:hyperlink>
            <w:hyperlink r:id="rId30">
              <w:r>
                <w:rPr>
                  <w:rStyle w:val="InternetLink"/>
                  <w:rFonts w:ascii="Times New Roman;sans-serif" w:hAnsi="Times New Roman;sans-serif"/>
                  <w:b w:val="false"/>
                  <w:color w:val="000080"/>
                  <w:sz w:val="20"/>
                  <w:u w:val="single"/>
                </w:rPr>
                <w: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7-Oct-13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00"/>
                  <w:sz w:val="20"/>
                  <w:u w:val="single"/>
                </w:rPr>
                <w:t>Confidential Intellectual Property Agreement, dated July 10, 2012, by and between Tandem Diabetes Care, Inc. and Smiths Medical ASD,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00"/>
                  <w:sz w:val="20"/>
                  <w:u w:val="single"/>
                </w:rPr>
                <w:t>Development Agreement, dated June 4, 2015 by and between Tandem Diabetes Care, Inc. and DexCom,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9-Nov-18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42"/>
        <w:gridCol w:w="212"/>
        <w:gridCol w:w="214"/>
        <w:gridCol w:w="109"/>
        <w:gridCol w:w="109"/>
        <w:gridCol w:w="109"/>
        <w:gridCol w:w="1804"/>
        <w:gridCol w:w="1476"/>
        <w:gridCol w:w="1480"/>
        <w:gridCol w:w="109"/>
        <w:gridCol w:w="109"/>
        <w:gridCol w:w="109"/>
        <w:gridCol w:w="138"/>
        <w:gridCol w:w="138"/>
        <w:gridCol w:w="139"/>
        <w:gridCol w:w="109"/>
        <w:gridCol w:w="109"/>
        <w:gridCol w:w="109"/>
        <w:gridCol w:w="246"/>
        <w:gridCol w:w="246"/>
        <w:gridCol w:w="247"/>
        <w:gridCol w:w="109"/>
        <w:gridCol w:w="109"/>
        <w:gridCol w:w="109"/>
        <w:gridCol w:w="264"/>
        <w:gridCol w:w="222"/>
        <w:gridCol w:w="224"/>
        <w:gridCol w:w="109"/>
        <w:gridCol w:w="109"/>
        <w:gridCol w:w="109"/>
        <w:gridCol w:w="190"/>
        <w:gridCol w:w="190"/>
        <w:gridCol w:w="191"/>
        <w:gridCol w:w="109"/>
        <w:gridCol w:w="109"/>
        <w:gridCol w:w="109"/>
        <w:gridCol w:w="109"/>
        <w:gridCol w:w="109"/>
        <w:gridCol w:w="162"/>
      </w:tblGrid>
      <w:tr>
        <w:trPr/>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r:id="rId33">
              <w:r>
                <w:rPr>
                  <w:rStyle w:val="InternetLink"/>
                  <w:rFonts w:ascii="Times New Roman;sans-serif" w:hAnsi="Times New Roman;sans-serif"/>
                  <w:b w:val="false"/>
                  <w:color w:val="000000"/>
                  <w:sz w:val="20"/>
                  <w:u w:val="single"/>
                </w:rPr>
                <w:t>Development Agreement, dated November 20, 2020, by and between Tandem Diabetes Care, Inc. and DexCom,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24-Feb-21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r:id="rId34">
              <w:r>
                <w:rPr>
                  <w:rStyle w:val="InternetLink"/>
                  <w:rFonts w:ascii="Times New Roman;sans-serif" w:hAnsi="Times New Roman;sans-serif"/>
                  <w:b w:val="false"/>
                  <w:color w:val="000000"/>
                  <w:sz w:val="20"/>
                  <w:u w:val="single"/>
                </w:rPr>
                <w:t>Commercialization Agreement, dated November 20, 2020, by and between Tandem Diabetes Care, Inc. and DexCom,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24-Feb-21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r:id="rId35">
              <w:r>
                <w:rPr>
                  <w:rStyle w:val="InternetLink"/>
                  <w:rFonts w:ascii="Times New Roman;sans-serif" w:hAnsi="Times New Roman;sans-serif"/>
                  <w:b w:val="false"/>
                  <w:color w:val="000000"/>
                  <w:sz w:val="20"/>
                  <w:u w:val="single"/>
                </w:rPr>
                <w:t>License Agreement, dated July 14, 2016, by and between Tandem Diabetes Care, Inc. and TypeZero Technologies, LLC</w:t>
              </w:r>
            </w:hyperlink>
            <w:r>
              <w:rPr>
                <w:color w:val="000000"/>
              </w:rPr>
              <w:t xml:space="preserve"> </w:t>
            </w:r>
            <w:r>
              <w:rPr>
                <w:rFonts w:ascii="Times New Roman;sans-serif" w:hAnsi="Times New Roman;sans-serif"/>
                <w:b w:val="false"/>
                <w:color w:val="000000"/>
                <w:sz w:val="20"/>
              </w:rPr>
              <w:t>(acquired by DexCom,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30-Apr-2020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00"/>
                  <w:sz w:val="20"/>
                  <w:u w:val="single"/>
                </w:rPr>
                <w:t>Commercialization Agreement, dated January 14, 2022, by and between Tandem Diabetes Care, Inc. and Unomedical A/S.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2-Feb-2022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00"/>
                  <w:sz w:val="20"/>
                  <w:u w:val="single"/>
                </w:rPr>
                <w:t>Office Lease dated September 15, 2021 by and between Tandem Diabetes Care, Inc. and Kilroy Realty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3-Nov-2021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00"/>
                  <w:sz w:val="20"/>
                  <w:u w:val="single"/>
                </w:rPr>
                <w:t>Share Purchase Agreement by and Between Tandem Diabetes Care, Inc., and AMF Medical</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22-Feb-2023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5employeeofferle.htm">
              <w:r>
                <w:rPr>
                  <w:rStyle w:val="InternetLink"/>
                  <w:rFonts w:ascii="Times New Roman;sans-serif" w:hAnsi="Times New Roman;sans-serif"/>
                  <w:b w:val="false"/>
                  <w:color w:val="000000"/>
                  <w:sz w:val="20"/>
                  <w:u w:val="single"/>
                </w:rPr>
                <w:t>Employee Offer Letter, dated October 31, 2023, by and between Tandem Diabetes Care, Inc. and Mark Novara</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11subsidiariesoftheregi.htm">
              <w:r>
                <w:rPr>
                  <w:rStyle w:val="InternetLink"/>
                  <w:rFonts w:ascii="Times New Roman;sans-serif" w:hAnsi="Times New Roman;sans-serif"/>
                  <w:b w:val="false"/>
                  <w:color w:val="000000"/>
                  <w:sz w:val="20"/>
                  <w:u w:val="single"/>
                </w:rPr>
                <w:t>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31231xex231consent.htm">
              <w:r>
                <w:rPr>
                  <w:rStyle w:val="InternetLink"/>
                  <w:rFonts w:ascii="Times New Roman;sans-serif" w:hAnsi="Times New Roman;sans-serif"/>
                  <w:b w:val="false"/>
                  <w:color w:val="000000"/>
                  <w:sz w:val="20"/>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ee418e40d3464b9eea8289f69eff37_505">
              <w:r>
                <w:rPr>
                  <w:rStyle w:val="InternetLink"/>
                  <w:rFonts w:ascii="Times New Roman;sans-serif" w:hAnsi="Times New Roman;sans-serif"/>
                  <w:b w:val="false"/>
                  <w:color w:val="000000"/>
                  <w:sz w:val="20"/>
                  <w:u w:val="single"/>
                </w:rPr>
                <w:t>Power of Attorney (included on the signature page).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31231xex311.htm">
              <w:r>
                <w:rPr>
                  <w:rStyle w:val="InternetLink"/>
                  <w:rFonts w:ascii="Times New Roman;sans-serif" w:hAnsi="Times New Roman;sans-serif"/>
                  <w:b w:val="false"/>
                  <w:color w:val="000000"/>
                  <w:sz w:val="20"/>
                  <w:u w:val="single"/>
                </w:rPr>
                <w:t>Certification of John F. Sheridan, Chief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ndm-20231231xex312.htm">
              <w:r>
                <w:rPr>
                  <w:rStyle w:val="InternetLink"/>
                  <w:rFonts w:ascii="Times New Roman;sans-serif" w:hAnsi="Times New Roman;sans-serif"/>
                  <w:b w:val="false"/>
                  <w:color w:val="000000"/>
                  <w:sz w:val="20"/>
                  <w:u w:val="single"/>
                </w:rPr>
                <w:t>Certification of Leigh A. Vosseller,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31231xex321.htm">
              <w:r>
                <w:rPr>
                  <w:rStyle w:val="InternetLink"/>
                  <w:rFonts w:ascii="Times New Roman;sans-serif" w:hAnsi="Times New Roman;sans-serif"/>
                  <w:b w:val="false"/>
                  <w:color w:val="000000"/>
                  <w:sz w:val="20"/>
                  <w:u w:val="single"/>
                </w:rPr>
                <w:t>18 U.S.C. Section 1350 Certification by Chief Executive Officer of Tandem Diabetes Care,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ndm-20231231xex322.htm">
              <w:r>
                <w:rPr>
                  <w:rStyle w:val="InternetLink"/>
                  <w:rFonts w:ascii="Times New Roman;sans-serif" w:hAnsi="Times New Roman;sans-serif"/>
                  <w:b w:val="false"/>
                  <w:color w:val="000000"/>
                  <w:sz w:val="20"/>
                  <w:u w:val="single"/>
                </w:rPr>
                <w:t>18 U.S.C. Section 1350 Certification by Chief Financial Officer of Tandem Diabetes Care,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andemdiabetescareincclawb.htm">
              <w:r>
                <w:rPr>
                  <w:rStyle w:val="InternetLink"/>
                  <w:rFonts w:ascii="Times New Roman;sans-serif" w:hAnsi="Times New Roman;sans-serif"/>
                  <w:b w:val="false"/>
                  <w:color w:val="000080"/>
                  <w:sz w:val="20"/>
                  <w:u w:val="single"/>
                </w:rPr>
                <w:t xml:space="preserve">Tandem Diabetes Care, Inc. </w:t>
              </w:r>
            </w:hyperlink>
            <w:hyperlink w:anchor="tandemdiabetescareincclawb.htm">
              <w:r>
                <w:rPr>
                  <w:rStyle w:val="InternetLink"/>
                  <w:rFonts w:ascii="Times New Roman;sans-serif" w:hAnsi="Times New Roman;sans-serif"/>
                  <w:b w:val="false"/>
                  <w:color w:val="000080"/>
                  <w:sz w:val="20"/>
                  <w:u w:val="single"/>
                </w:rPr>
                <w:t>C</w:t>
              </w:r>
            </w:hyperlink>
            <w:hyperlink w:anchor="tandemdiabetescareincclawb.htm">
              <w:r>
                <w:rPr>
                  <w:rStyle w:val="InternetLink"/>
                  <w:rFonts w:ascii="Times New Roman;sans-serif" w:hAnsi="Times New Roman;sans-serif"/>
                  <w:b w:val="false"/>
                  <w:color w:val="000080"/>
                  <w:sz w:val="20"/>
                  <w:u w:val="single"/>
                </w:rPr>
                <w:t>lawback P</w:t>
              </w:r>
            </w:hyperlink>
            <w:hyperlink w:anchor="tandemdiabetescareincclawb.htm">
              <w:r>
                <w:rPr>
                  <w:rStyle w:val="InternetLink"/>
                  <w:rFonts w:ascii="Times New Roman;sans-serif" w:hAnsi="Times New Roman;sans-serif"/>
                  <w:b w:val="false"/>
                  <w:color w:val="000080"/>
                  <w:sz w:val="20"/>
                  <w:u w:val="single"/>
                </w:rPr>
                <w:t>olicy</w:t>
              </w:r>
            </w:hyperlink>
            <w:hyperlink w:anchor="tandemdiabetescareincclawb.htm">
              <w:r>
                <w:rPr>
                  <w:rStyle w:val="InternetLink"/>
                  <w:rFonts w:ascii="Times New Roman;sans-serif" w:hAnsi="Times New Roman;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84"/>
        <w:gridCol w:w="249"/>
        <w:gridCol w:w="251"/>
        <w:gridCol w:w="109"/>
        <w:gridCol w:w="109"/>
        <w:gridCol w:w="109"/>
        <w:gridCol w:w="1923"/>
        <w:gridCol w:w="1923"/>
        <w:gridCol w:w="192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Certain confidential portions of this exhibit have been redacted pursuant to Item 601(b)(10)(iv) of Regulation S-K. The Company has determined that such omitted information is (i) not material, and (ii) is of the type of information that the Company customarily and actually treats as private or confidential.</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Certification pursuant to 18 U.S.C. Section 1350, adopted pursuant to Section 906 of the Sarbanes-Oxley Act of 2002, as amended; furnished herewith.</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Annual Report to be signed on its behalf by the undersigned, thereunto duly authorized.</w:t>
      </w:r>
    </w:p>
    <w:tbl>
      <w:tblPr>
        <w:tblW w:w="7551" w:type="dxa"/>
        <w:jc w:val="left"/>
        <w:tblInd w:w="0" w:type="dxa"/>
        <w:tblLayout w:type="fixed"/>
        <w:tblCellMar>
          <w:top w:w="28" w:type="dxa"/>
          <w:left w:w="28" w:type="dxa"/>
          <w:bottom w:w="28" w:type="dxa"/>
          <w:right w:w="28" w:type="dxa"/>
        </w:tblCellMar>
      </w:tblPr>
      <w:tblGrid>
        <w:gridCol w:w="754"/>
        <w:gridCol w:w="664"/>
        <w:gridCol w:w="667"/>
        <w:gridCol w:w="251"/>
        <w:gridCol w:w="251"/>
        <w:gridCol w:w="251"/>
        <w:gridCol w:w="251"/>
        <w:gridCol w:w="251"/>
        <w:gridCol w:w="251"/>
        <w:gridCol w:w="1159"/>
        <w:gridCol w:w="1159"/>
        <w:gridCol w:w="16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John F. Sheridan and Leigh A. Vosseller, and each of them individually, his and her true and lawful attorneys-in-fact and agents, with full power of substitution and resubstitution, for him and her and in his and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216"/>
        <w:gridCol w:w="789"/>
        <w:gridCol w:w="782"/>
        <w:gridCol w:w="109"/>
        <w:gridCol w:w="109"/>
        <w:gridCol w:w="109"/>
        <w:gridCol w:w="1852"/>
        <w:gridCol w:w="1793"/>
        <w:gridCol w:w="1816"/>
        <w:gridCol w:w="109"/>
        <w:gridCol w:w="109"/>
        <w:gridCol w:w="109"/>
        <w:gridCol w:w="379"/>
        <w:gridCol w:w="379"/>
        <w:gridCol w:w="545"/>
      </w:tblGrid>
      <w:tr>
        <w:trPr/>
        <w:tc>
          <w:tcPr>
            <w:tcW w:w="1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F. SHERIDAN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LEIGH A. VOSSELLER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DICK P.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Dick P.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KIM D. BLICKENSTAFF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 D. Blickenstaff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MYOUNGIL CHA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Myoungil Cha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PEYTON R. HOWELL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Peyton R. Howell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JOAO PAULO FALCAO MALAGUEIRA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Joao Paulo Falcao Malagueira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KATHLEEN MCGRODDY-GOETZ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Kathleen McGroddy-Goetz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REBECCA B.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B.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RAJWANT S. SODHI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Rajwant S. Sodhi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CHRISTOPHER J. TWOMEY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J. Twomey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all material characteristics of the capital stock of Tandem Diabetes Care, Inc., as set forth in our Amended and Restated Certificate of Incorporation, as amended, or our Charter, and our Amended and Restated Bylaws, as amended, or our Bylaws. References to "we," "us," and "our" refer to Tandem Diabetes Care, Inc. The summary does not purport to be complete and is qualified in its entirety by reference to our Charter and Bylaws, copies of which have been filed as exhibits to our public filings with the Securities and Exchange Commission.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 xml:space="preserve">We may issue shares of our common stock from time to time. We are authorized to issue 200,000,000 shares of common stock, par value $0.001 per share.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Dividend Rights. </w:t>
      </w:r>
      <w:r>
        <w:rPr>
          <w:rFonts w:ascii="Times New Roman;sans-serif" w:hAnsi="Times New Roman;sans-serif"/>
          <w:b w:val="false"/>
          <w:color w:val="000000"/>
          <w:sz w:val="20"/>
        </w:rPr>
        <w:t>Subject to preferences that may apply to any shares of preferred stock outstanding at the time, the holders of outstanding shares of our common stock are entitled to receive dividends out of funds legally available at the times and in the amounts that our board of directors may determine.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Holders of our common stock are entitled to one vote per share. We have not provided for cumulative voting for the election of directors in our Charter. Each director is elected annually at each year’s annual meeting of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No Preemptive or Similar Rights. </w:t>
      </w:r>
      <w:r>
        <w:rPr>
          <w:rFonts w:ascii="Times New Roman;sans-serif" w:hAnsi="Times New Roman;sans-serif"/>
          <w:b w:val="false"/>
          <w:color w:val="000000"/>
          <w:sz w:val="20"/>
        </w:rPr>
        <w:t>Our common stock is not entitled to preemptive rights, and is not subject to redemption. There are no sinking fund provisions applicable to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Conversion. </w:t>
      </w:r>
      <w:r>
        <w:rPr>
          <w:rFonts w:ascii="Times New Roman;sans-serif" w:hAnsi="Times New Roman;sans-serif"/>
          <w:b w:val="false"/>
          <w:color w:val="000000"/>
          <w:sz w:val="20"/>
        </w:rPr>
        <w:t>Our common stock is not convertible into any other shares of our capital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Right to Receive Liquidation Distributions. </w:t>
      </w:r>
      <w:r>
        <w:rPr>
          <w:rFonts w:ascii="Times New Roman;sans-serif" w:hAnsi="Times New Roman;sans-serif"/>
          <w:b w:val="false"/>
          <w:color w:val="000000"/>
          <w:sz w:val="20"/>
        </w:rPr>
        <w:t>Upon our liquidation, dissolution, distribution of assets or winding-up, the assets legally available for distribution to our stockholders would be distributable ratably among the holders of our common stock and any participating preferred stock outstanding at that time, if any, after payment of liquidation preferences, if any, on any outstanding shares of preferred stock and payment of claims of creditors.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before="0" w:after="0"/>
        <w:jc w:val="left"/>
        <w:rPr/>
      </w:pPr>
      <w:r>
        <w:rPr/>
      </w:r>
    </w:p>
    <w:p>
      <w:pPr>
        <w:pStyle w:val="TextBody"/>
        <w:bidi w:val="0"/>
        <w:spacing w:lineRule="auto" w:line="288" w:before="0" w:after="0"/>
        <w:ind w:left="0" w:right="0" w:firstLine="7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our Charter, our board of directors is authorized, subject to limitations prescribed by Delaware law, to issue up to 5,000,000 shares of preferred stock, par value $0.001 per share,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Our board of directors also can increase or decrease the number of shares of any series of preferred stock, but not below the number of shares of that series then outstanding.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or the removal of management and could adversely affect the market price of our common stock and the voting and other rights of the holders of our common stock.</w:t>
      </w:r>
    </w:p>
    <w:p>
      <w:pPr>
        <w:pStyle w:val="TextBody"/>
        <w:bidi w:val="0"/>
        <w:spacing w:before="0" w:after="0"/>
        <w:ind w:left="0" w:right="0" w:firstLine="795"/>
        <w:jc w:val="left"/>
        <w:rPr/>
      </w:pPr>
      <w:r>
        <w:rPr/>
      </w:r>
    </w:p>
    <w:p>
      <w:pPr>
        <w:pStyle w:val="TextBody"/>
        <w:bidi w:val="0"/>
        <w:spacing w:lineRule="auto" w:line="288" w:before="0" w:after="0"/>
        <w:ind w:left="0" w:right="0" w:firstLine="795"/>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General Corporation Law, or the DGCL, provides that the holders of preferred stock will have the right to vote separately as a class on any proposed fundamental change in the rights of the preferred stock. This right is in addition to any voting rights that may be provided for in the applicable certificate of designation.</w:t>
      </w:r>
    </w:p>
    <w:p>
      <w:pPr>
        <w:pStyle w:val="TextBody"/>
        <w:bidi w:val="0"/>
        <w:ind w:left="0" w:right="0" w:firstLine="795"/>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Delaware Law and Certain Charter and Bylaw Provisions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Delaware law, as well as certain terms of our Charter and Bylaws, may have the effect of delaying, deferring or discouraging another person from acquiring control of us by means of a tender offer, a proxy contest or otherwise, or removing incumbent officers and directors. These provisions, some of which are summarized below, are expected to discourage certain types of coercive takeover practices and takeover bids that our board of directors may consider inadequate and to encourage any person seeking to acquire control of us to first negotiate with our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Delaware Law. </w:t>
      </w:r>
      <w:r>
        <w:rPr>
          <w:rFonts w:ascii="Times New Roman;sans-serif" w:hAnsi="Times New Roman;sans-serif"/>
          <w:b w:val="false"/>
          <w:color w:val="000000"/>
          <w:sz w:val="20"/>
        </w:rPr>
        <w:t>We are governed by the provisions of Section 203 of the DGCL. In general, Section 203 prohibits a public Delaware corporation from engaging in a “business combination” with an “interested stockholder” for a period of three years after the date such stockholder became an “interested stockholder.” A “business combination” includes mergers, asset sales or other transactions resulting in a financial benefit to the stockholder. An “interested stockholder” is a person who, together with affiliates and associates, owns, or within three years did, prior to the determination of interested stockholder status, own, 15% or more of the corporation’s outstanding voting stock.</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Charter and Bylaw Provisions. </w:t>
      </w:r>
      <w:r>
        <w:rPr>
          <w:rFonts w:ascii="Times New Roman;sans-serif" w:hAnsi="Times New Roman;sans-serif"/>
          <w:b w:val="false"/>
          <w:color w:val="000000"/>
          <w:sz w:val="20"/>
        </w:rPr>
        <w:t>Our Charter and Bylaws include a number of provisions that could deter hostile takeovers or delay or prevent changes in control of our management team,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Issuance of Undesignated Preferred Stock.</w:t>
      </w:r>
      <w:r>
        <w:rPr>
          <w:color w:val="000000"/>
        </w:rPr>
        <w:t xml:space="preserve"> </w:t>
      </w:r>
      <w:r>
        <w:rPr>
          <w:rFonts w:ascii="Times New Roman;sans-serif" w:hAnsi="Times New Roman;sans-serif"/>
          <w:b w:val="false"/>
          <w:color w:val="000000"/>
          <w:sz w:val="20"/>
        </w:rPr>
        <w:t>Our board of directors will have the authority, without further action by our stockholders, to issue up to 5,000,000 shares of undesignated preferred stock with rights and preferences designated from time to time by our board of directors. Our board of directors may utilize such shares for a variety of corporate purposes. See the section entitled “</w:t>
      </w:r>
      <w:r>
        <w:rPr>
          <w:rFonts w:ascii="Times New Roman;sans-serif" w:hAnsi="Times New Roman;sans-serif"/>
          <w:b w:val="false"/>
          <w:i/>
          <w:color w:val="000000"/>
          <w:sz w:val="20"/>
        </w:rPr>
        <w:t>Preferred Stock</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Stockholder Action; Special Meeting of Stockholders.</w:t>
      </w:r>
      <w:r>
        <w:rPr>
          <w:color w:val="000000"/>
        </w:rPr>
        <w:t xml:space="preserve"> </w:t>
      </w:r>
      <w:r>
        <w:rPr>
          <w:rFonts w:ascii="Times New Roman;sans-serif" w:hAnsi="Times New Roman;sans-serif"/>
          <w:b w:val="false"/>
          <w:color w:val="000000"/>
          <w:sz w:val="20"/>
        </w:rPr>
        <w:t>Our Charter eliminates the right of stockholders to act by written consent. Our Charter further provides that special meetings of our stockholders may be called only by a majority of our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Advance Notice Requirements for Stockholder Proposals and Director Nominations.</w:t>
      </w:r>
      <w:r>
        <w:rPr>
          <w:color w:val="000000"/>
        </w:rPr>
        <w:t xml:space="preserve"> </w:t>
      </w:r>
      <w:r>
        <w:rPr>
          <w:rFonts w:ascii="Times New Roman;sans-serif" w:hAnsi="Times New Roman;sans-serif"/>
          <w:b w:val="false"/>
          <w:color w:val="000000"/>
          <w:sz w:val="20"/>
        </w:rPr>
        <w:t>Our Charter and Bylaws provide advance notice procedures for stockholders seeking to bring business before our annual meeting of stockholders, or to nominate candidates for election as directors at our annual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Amendment. </w:t>
      </w:r>
      <w:r>
        <w:rPr>
          <w:rFonts w:ascii="Times New Roman;sans-serif" w:hAnsi="Times New Roman;sans-serif"/>
          <w:b w:val="false"/>
          <w:color w:val="000000"/>
          <w:sz w:val="20"/>
        </w:rPr>
        <w:t>Our Charter and Bylaws provide that the affirmative vote of the holders of at least 66 2/3% of our voting stock then outstanding is required to amend certain provisions.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Size of Board and Vacancies. </w:t>
      </w:r>
      <w:r>
        <w:rPr>
          <w:rFonts w:ascii="Times New Roman;sans-serif" w:hAnsi="Times New Roman;sans-serif"/>
          <w:b w:val="false"/>
          <w:color w:val="000000"/>
          <w:sz w:val="20"/>
        </w:rPr>
        <w:t>Our Charter and Bylaws provide that the number of directors on our board of directors is fixed exclusively by our board of directors. Newly created directorships resulting from any increase in our authorized number of directors, and any vacancies resulting from death, resignation, retirement, disqualification, removal from office or other cause, will generally be filled by a majority of our board of directors then in office.</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ans-serif" w:hAnsi="Times New Roman;sans-serif"/>
          <w:b w:val="false"/>
          <w:i/>
          <w:color w:val="000000"/>
          <w:sz w:val="20"/>
        </w:rPr>
        <w:t>No Cumulative Voting.</w:t>
      </w:r>
      <w:r>
        <w:rPr>
          <w:color w:val="000000"/>
        </w:rPr>
        <w:t xml:space="preserve"> </w:t>
      </w:r>
      <w:r>
        <w:rPr>
          <w:rFonts w:ascii="Times New Roman;sans-serif" w:hAnsi="Times New Roman;sans-serif"/>
          <w:b w:val="false"/>
          <w:color w:val="000000"/>
          <w:sz w:val="20"/>
        </w:rPr>
        <w:t>The DGCL provides that stockholders are denied the right to cumulate votes in the election of directors unless our Charter provides otherwise. Our Charter does not provide for cumulative voting.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10.25</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52575" cy="352425"/>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39"/>
                    <a:stretch>
                      <a:fillRect/>
                    </a:stretch>
                  </pic:blipFill>
                  <pic:spPr bwMode="auto">
                    <a:xfrm>
                      <a:off x="0" y="0"/>
                      <a:ext cx="1552575" cy="35242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Novara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Mark Novara: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 (“Tandem” or the “Company”) is pleased to offer you employment on the terms and conditions set forth below.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color w:val="000000"/>
          <w:sz w:val="20"/>
        </w:rPr>
        <w:t xml:space="preserve">Position: </w:t>
      </w:r>
      <w:r>
        <w:rPr>
          <w:rFonts w:ascii="Times New Roman;sans-serif" w:hAnsi="Times New Roman;sans-serif"/>
          <w:b w:val="false"/>
          <w:color w:val="000000"/>
          <w:sz w:val="20"/>
        </w:rPr>
        <w:t>You will serve in a full-time capacity as Executive Vice President &amp; Chief Commercial Officer</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You will report to John Sheridan, President &amp; CEO. By signing this offer letter, you represent and warrant to the Company that you are under no contractual commitments that would limit your ability to work for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color w:val="000000"/>
          <w:sz w:val="20"/>
        </w:rPr>
        <w:t>Salary:</w:t>
      </w:r>
      <w:r>
        <w:rPr>
          <w:color w:val="000000"/>
        </w:rPr>
        <w:t xml:space="preserve"> </w:t>
      </w:r>
      <w:r>
        <w:rPr>
          <w:rFonts w:ascii="Times New Roman;sans-serif" w:hAnsi="Times New Roman;sans-serif"/>
          <w:b w:val="false"/>
          <w:color w:val="000000"/>
          <w:sz w:val="20"/>
        </w:rPr>
        <w:t xml:space="preserve">You will be paid at rate of </w:t>
      </w:r>
      <w:r>
        <w:rPr>
          <w:rFonts w:ascii="Times New Roman;sans-serif" w:hAnsi="Times New Roman;sans-serif"/>
          <w:b/>
          <w:color w:val="000000"/>
          <w:sz w:val="20"/>
        </w:rPr>
        <w:t>$16,811.19 USD Biweekly,</w:t>
      </w:r>
      <w:r>
        <w:rPr>
          <w:color w:val="000000"/>
        </w:rPr>
        <w:t xml:space="preserve"> </w:t>
      </w:r>
      <w:r>
        <w:rPr>
          <w:rFonts w:ascii="Times New Roman;sans-serif" w:hAnsi="Times New Roman;sans-serif"/>
          <w:b w:val="false"/>
          <w:color w:val="000000"/>
          <w:sz w:val="20"/>
        </w:rPr>
        <w:t xml:space="preserve">which is equivalent to </w:t>
      </w:r>
      <w:r>
        <w:rPr>
          <w:rFonts w:ascii="Times New Roman;sans-serif" w:hAnsi="Times New Roman;sans-serif"/>
          <w:b/>
          <w:color w:val="000000"/>
          <w:sz w:val="20"/>
        </w:rPr>
        <w:t>$437,091.00 annually</w:t>
      </w:r>
      <w:r>
        <w:rPr>
          <w:rFonts w:ascii="Times New Roman;sans-serif" w:hAnsi="Times New Roman;sans-serif"/>
          <w:b w:val="false"/>
          <w:color w:val="000000"/>
          <w:sz w:val="20"/>
        </w:rPr>
        <w:t>, less required payroll taxes and withholdings. This is payable in accordance with the company’s standard payroll practices and in accordance with applicable laws for exempt employees. As an exempt employee, you will not be entitled to overtime pay. Tandem’s annual compensation review process occurs in April each year. Employees hired on or after December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will become eligible to participate in the compensation review process that occurs following their one-year anniversary.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3. </w:t>
      </w:r>
      <w:r>
        <w:rPr>
          <w:rFonts w:ascii="Times New Roman;sans-serif" w:hAnsi="Times New Roman;sans-serif"/>
          <w:b/>
          <w:color w:val="000000"/>
          <w:sz w:val="20"/>
        </w:rPr>
        <w:t>Corporate Bonus.</w:t>
      </w:r>
      <w:r>
        <w:rPr>
          <w:color w:val="000000"/>
        </w:rPr>
        <w:t xml:space="preserve"> </w:t>
      </w:r>
      <w:r>
        <w:rPr>
          <w:rFonts w:ascii="Times New Roman;sans-serif" w:hAnsi="Times New Roman;sans-serif"/>
          <w:b w:val="false"/>
          <w:color w:val="000000"/>
          <w:sz w:val="20"/>
        </w:rPr>
        <w:t xml:space="preserve">Your target bonus under the Cash Bonus Plan established by the Company is </w:t>
      </w:r>
      <w:r>
        <w:rPr>
          <w:rFonts w:ascii="Times New Roman;sans-serif" w:hAnsi="Times New Roman;sans-serif"/>
          <w:b/>
          <w:color w:val="000000"/>
          <w:sz w:val="20"/>
        </w:rPr>
        <w:t>60%</w:t>
      </w:r>
      <w:r>
        <w:rPr>
          <w:color w:val="000000"/>
        </w:rPr>
        <w:t xml:space="preserve"> </w:t>
      </w:r>
      <w:r>
        <w:rPr>
          <w:rFonts w:ascii="Times New Roman;sans-serif" w:hAnsi="Times New Roman;sans-serif"/>
          <w:b w:val="false"/>
          <w:color w:val="000000"/>
          <w:sz w:val="20"/>
        </w:rPr>
        <w:t>of regular wages, less required payroll taxes and withholdings. The actual bonus payout under the Cash Bonus Plan, if any, will be determined at the discretion of our Board of Directors and is conditioned on your employment on any payment date. Your target bonus is not a promise of compensation and is not intended to create any obligation on the part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color w:val="000000"/>
          <w:sz w:val="20"/>
        </w:rPr>
        <w:t>Employee Benefits.</w:t>
      </w:r>
      <w:r>
        <w:rPr>
          <w:color w:val="000000"/>
        </w:rPr>
        <w:t xml:space="preserve"> </w:t>
      </w:r>
      <w:r>
        <w:rPr>
          <w:rFonts w:ascii="Times New Roman;sans-serif" w:hAnsi="Times New Roman;sans-serif"/>
          <w:b w:val="false"/>
          <w:color w:val="000000"/>
          <w:sz w:val="20"/>
        </w:rPr>
        <w:t>As a full-time employee of the Company, you will be eligible to participate in a number of Company-sponsored benefits in accordance with the terms of the Company’s benefit plans. In addition, you will be entitled to Flexible Vacation time off and Paid Sick Leave in accordance with the Company’s policy set forth in the Employee Handbook. Under the Flexible Vacation program, you will be afforded the flexibility to take planned time off as needed and as approved by your manager so long as you are able to fulfill your job duties and responsibilities. The Company reserves the right to change or eliminate these benefits on a prospective basis at any time.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5. </w:t>
      </w:r>
      <w:r>
        <w:rPr>
          <w:rFonts w:ascii="Times New Roman;sans-serif" w:hAnsi="Times New Roman;sans-serif"/>
          <w:b/>
          <w:color w:val="000000"/>
          <w:sz w:val="20"/>
        </w:rPr>
        <w:t>Equity</w:t>
      </w:r>
      <w:r>
        <w:rPr>
          <w:rFonts w:ascii="Times New Roman;sans-serif" w:hAnsi="Times New Roman;sans-serif"/>
          <w:b w:val="false"/>
          <w:color w:val="000000"/>
          <w:sz w:val="20"/>
        </w:rPr>
        <w:t xml:space="preserve">. In connection with the commencement of your employment, the Company will recommend that the Board of Directors grant you Restricted Stock Units (RSUs) with a value equal to approximately </w:t>
      </w:r>
      <w:r>
        <w:rPr>
          <w:rFonts w:ascii="Times New Roman;sans-serif" w:hAnsi="Times New Roman;sans-serif"/>
          <w:b/>
          <w:color w:val="000000"/>
          <w:sz w:val="20"/>
        </w:rPr>
        <w:t xml:space="preserve">400% </w:t>
      </w:r>
      <w:r>
        <w:rPr>
          <w:rFonts w:ascii="Times New Roman;sans-serif" w:hAnsi="Times New Roman;sans-serif"/>
          <w:b w:val="false"/>
          <w:color w:val="000000"/>
          <w:sz w:val="20"/>
        </w:rPr>
        <w:t>of your base salary. The actual number of RSUs granted will be at the discretion of the Board. The RSUs will be issued pursuant to the Company’s 2023 Long-Term Incentive Plan, which may be amended from time to time (the “2023 Plan”). The RSUs will vest based on the following schedule: 33.3% on the first anniversary of the grant date (as specified in the grant agreement), and in 8 equal quarterly installments thereafter such that all of the RSUs will have vested on the three-year anniversary of the grant date, subject to your continued employment with the Company and in accordance with the equity agreement approved by the Board for use with the 2023 Plan. The grant of such RSUs by the Company is subject to the Board’s approval, and this recommendation is not a promise of compensation and is not intended to create any obligation on the part of the Company. The grant of RSUs is not a guarantee of continued employment for any specific period of time and is subject to the terms and conditions outlined in the 2023 plan. Further details on the 2023 Plan will be provided upon approval of such grant by the Board.</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10.25</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left"/>
                              <w:rPr/>
                            </w:pPr>
                            <w:r>
                              <w:rPr>
                                <w:rFonts w:ascii="Times New Roman;sans-serif" w:hAnsi="Times New Roman;sans-serif"/>
                                <w:b w:val="false"/>
                                <w:color w:val="000000"/>
                                <w:sz w:val="16"/>
                              </w:rPr>
                              <w:t>12400 High Bluff Drive</w:t>
                            </w:r>
                            <w:r>
                              <w:rPr>
                                <w:color w:val="FEFFFF"/>
                              </w:rPr>
                              <w:t>–</w:t>
                            </w:r>
                            <w:r>
                              <w:rPr>
                                <w:color w:val="009CE8"/>
                              </w:rPr>
                              <w:t>›››</w:t>
                            </w:r>
                            <w:r>
                              <w:rPr>
                                <w:color w:val="FEFFFF"/>
                              </w:rPr>
                              <w:t>–</w:t>
                            </w:r>
                            <w:r>
                              <w:rPr>
                                <w:rFonts w:ascii="Times New Roman;sans-serif" w:hAnsi="Times New Roman;sans-serif"/>
                                <w:b w:val="false"/>
                                <w:color w:val="000000"/>
                                <w:sz w:val="16"/>
                              </w:rPr>
                              <w:t>San Diego, CA 92130</w:t>
                            </w:r>
                            <w:r>
                              <w:rPr>
                                <w:color w:val="FEFFFF"/>
                              </w:rPr>
                              <w:t>–</w:t>
                            </w:r>
                            <w:r>
                              <w:rPr>
                                <w:color w:val="009CE8"/>
                              </w:rPr>
                              <w:t>›››</w:t>
                            </w:r>
                            <w:r>
                              <w:rPr>
                                <w:color w:val="FEFFFF"/>
                              </w:rPr>
                              <w:t>–</w:t>
                            </w:r>
                            <w:r>
                              <w:rPr>
                                <w:rFonts w:ascii="Times New Roman;sans-serif" w:hAnsi="Times New Roman;sans-serif"/>
                                <w:b w:val="false"/>
                                <w:color w:val="000000"/>
                                <w:sz w:val="16"/>
                              </w:rPr>
                              <w:t>(858) 366-6900</w:t>
                            </w:r>
                            <w:r>
                              <w:rPr>
                                <w:color w:val="FEFFFF"/>
                              </w:rPr>
                              <w:t>–</w:t>
                            </w:r>
                            <w:r>
                              <w:rPr>
                                <w:color w:val="009CE8"/>
                              </w:rPr>
                              <w:t>›››</w:t>
                            </w:r>
                            <w:r>
                              <w:rPr>
                                <w:color w:val="FEFFFF"/>
                              </w:rPr>
                              <w:t>–</w:t>
                            </w:r>
                            <w:r>
                              <w:rPr>
                                <w:rFonts w:ascii="Times New Roman;sans-serif" w:hAnsi="Times New Roman;sans-serif"/>
                                <w:b/>
                                <w:color w:val="009CE8"/>
                                <w:sz w:val="16"/>
                              </w:rPr>
                              <w:t>tandemdiabetes.com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276" w:before="0" w:after="0"/>
                        <w:jc w:val="left"/>
                        <w:rPr/>
                      </w:pPr>
                      <w:r>
                        <w:rPr>
                          <w:rFonts w:ascii="Times New Roman;sans-serif" w:hAnsi="Times New Roman;sans-serif"/>
                          <w:b w:val="false"/>
                          <w:color w:val="000000"/>
                          <w:sz w:val="16"/>
                        </w:rPr>
                        <w:t>12400 High Bluff Drive</w:t>
                      </w:r>
                      <w:r>
                        <w:rPr>
                          <w:color w:val="FEFFFF"/>
                        </w:rPr>
                        <w:t>–</w:t>
                      </w:r>
                      <w:r>
                        <w:rPr>
                          <w:color w:val="009CE8"/>
                        </w:rPr>
                        <w:t>›››</w:t>
                      </w:r>
                      <w:r>
                        <w:rPr>
                          <w:color w:val="FEFFFF"/>
                        </w:rPr>
                        <w:t>–</w:t>
                      </w:r>
                      <w:r>
                        <w:rPr>
                          <w:rFonts w:ascii="Times New Roman;sans-serif" w:hAnsi="Times New Roman;sans-serif"/>
                          <w:b w:val="false"/>
                          <w:color w:val="000000"/>
                          <w:sz w:val="16"/>
                        </w:rPr>
                        <w:t>San Diego, CA 92130</w:t>
                      </w:r>
                      <w:r>
                        <w:rPr>
                          <w:color w:val="FEFFFF"/>
                        </w:rPr>
                        <w:t>–</w:t>
                      </w:r>
                      <w:r>
                        <w:rPr>
                          <w:color w:val="009CE8"/>
                        </w:rPr>
                        <w:t>›››</w:t>
                      </w:r>
                      <w:r>
                        <w:rPr>
                          <w:color w:val="FEFFFF"/>
                        </w:rPr>
                        <w:t>–</w:t>
                      </w:r>
                      <w:r>
                        <w:rPr>
                          <w:rFonts w:ascii="Times New Roman;sans-serif" w:hAnsi="Times New Roman;sans-serif"/>
                          <w:b w:val="false"/>
                          <w:color w:val="000000"/>
                          <w:sz w:val="16"/>
                        </w:rPr>
                        <w:t>(858) 366-6900</w:t>
                      </w:r>
                      <w:r>
                        <w:rPr>
                          <w:color w:val="FEFFFF"/>
                        </w:rPr>
                        <w:t>–</w:t>
                      </w:r>
                      <w:r>
                        <w:rPr>
                          <w:color w:val="009CE8"/>
                        </w:rPr>
                        <w:t>›››</w:t>
                      </w:r>
                      <w:r>
                        <w:rPr>
                          <w:color w:val="FEFFFF"/>
                        </w:rPr>
                        <w:t>–</w:t>
                      </w:r>
                      <w:r>
                        <w:rPr>
                          <w:rFonts w:ascii="Times New Roman;sans-serif" w:hAnsi="Times New Roman;sans-serif"/>
                          <w:b/>
                          <w:color w:val="009CE8"/>
                          <w:sz w:val="16"/>
                        </w:rPr>
                        <w:t>tandemdiabetes.com</w:t>
                      </w:r>
                    </w:p>
                  </w:txbxContent>
                </v:textbox>
                <w10:wrap type="none"/>
              </v:rect>
            </w:pict>
          </mc:Fallback>
        </mc:AlternateContent>
      </w:r>
    </w:p>
    <w:p>
      <w:pPr>
        <w:pStyle w:val="TextBody"/>
        <w:bidi w:val="0"/>
        <w:spacing w:before="0" w:after="0"/>
        <w:jc w:val="left"/>
        <w:rPr/>
      </w:pPr>
      <w:r>
        <w:rPr/>
        <w:drawing>
          <wp:inline distT="0" distB="0" distL="0" distR="0">
            <wp:extent cx="1552575" cy="352425"/>
            <wp:effectExtent l="0" t="0" r="0" b="0"/>
            <wp:docPr id="1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 descr=""/>
                    <pic:cNvPicPr>
                      <a:picLocks noChangeAspect="1" noChangeArrowheads="1"/>
                    </pic:cNvPicPr>
                  </pic:nvPicPr>
                  <pic:blipFill>
                    <a:blip r:embed="rId40"/>
                    <a:stretch>
                      <a:fillRect/>
                    </a:stretch>
                  </pic:blipFill>
                  <pic:spPr bwMode="auto">
                    <a:xfrm>
                      <a:off x="0" y="0"/>
                      <a:ext cx="1552575" cy="352425"/>
                    </a:xfrm>
                    <a:prstGeom prst="rect">
                      <a:avLst/>
                    </a:prstGeom>
                  </pic:spPr>
                </pic:pic>
              </a:graphicData>
            </a:graphic>
          </wp:inline>
        </w:drawing>
      </w:r>
    </w:p>
    <w:p>
      <w:pPr>
        <w:pStyle w:val="TextBody"/>
        <w:bidi w:val="0"/>
        <w:spacing w:lineRule="auto" w:line="288" w:before="0" w:after="0"/>
        <w:jc w:val="left"/>
        <w:rPr/>
      </w:pPr>
      <w:r>
        <w:rPr>
          <w:rFonts w:ascii="Times New Roman;sans-serif" w:hAnsi="Times New Roman;sans-serif"/>
          <w:b w:val="false"/>
          <w:color w:val="000000"/>
          <w:sz w:val="20"/>
        </w:rPr>
        <w:t>6.</w:t>
      </w:r>
      <w:r>
        <w:rPr>
          <w:color w:val="000000"/>
        </w:rPr>
        <w:t xml:space="preserve"> </w:t>
      </w:r>
      <w:r>
        <w:rPr>
          <w:rFonts w:ascii="Times New Roman;sans-serif" w:hAnsi="Times New Roman;sans-serif"/>
          <w:b/>
          <w:color w:val="000000"/>
          <w:sz w:val="20"/>
        </w:rPr>
        <w:t xml:space="preserve">Sign-on Bonus. </w:t>
      </w:r>
      <w:r>
        <w:rPr>
          <w:rFonts w:ascii="Times New Roman;sans-serif" w:hAnsi="Times New Roman;sans-serif"/>
          <w:b w:val="false"/>
          <w:color w:val="000000"/>
          <w:sz w:val="20"/>
        </w:rPr>
        <w:t xml:space="preserve">The Company will advance you a </w:t>
      </w:r>
      <w:r>
        <w:rPr>
          <w:rFonts w:ascii="Times New Roman;sans-serif" w:hAnsi="Times New Roman;sans-serif"/>
          <w:b/>
          <w:color w:val="000000"/>
          <w:sz w:val="20"/>
        </w:rPr>
        <w:t xml:space="preserve">$100,000.00 </w:t>
      </w:r>
      <w:r>
        <w:rPr>
          <w:rFonts w:ascii="Times New Roman;sans-serif" w:hAnsi="Times New Roman;sans-serif"/>
          <w:b w:val="false"/>
          <w:color w:val="000000"/>
          <w:sz w:val="20"/>
        </w:rPr>
        <w:t>one-time bonus within one month of your start date, less required payroll taxes and withholdings. The bonus is deemed fully earned after twenty-four (24) months of continuous active employment. Should your employment with the Company terminate for any reason (voluntarily or involuntarily) before you have completed twelve (12) months of continuous active employment, 100% of the bonus is required to be repaid to the Company. Should your employment with the Company terminate for any reason (voluntarily or involuntarily) after twelve (12) months but prior to completing twenty-four (24) months of continuous active employment, a prorated portion of the bonus is required to be repaid to the Company. The prorated repayment shall be equal to 100% of the bonus, reduced by 1/24th for each full month of active employment at Tandem. Any required repayment must be made on or before your final date of active employment and shall be by certified check to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7. </w:t>
      </w:r>
      <w:r>
        <w:rPr>
          <w:rFonts w:ascii="Times New Roman;sans-serif" w:hAnsi="Times New Roman;sans-serif"/>
          <w:b/>
          <w:color w:val="000000"/>
          <w:sz w:val="20"/>
        </w:rPr>
        <w:t>Payroll Taxes and Withholdings.</w:t>
      </w:r>
      <w:r>
        <w:rPr>
          <w:color w:val="000000"/>
        </w:rPr>
        <w:t xml:space="preserve"> </w:t>
      </w:r>
      <w:r>
        <w:rPr>
          <w:rFonts w:ascii="Times New Roman;sans-serif" w:hAnsi="Times New Roman;sans-serif"/>
          <w:b w:val="false"/>
          <w:color w:val="000000"/>
          <w:sz w:val="20"/>
        </w:rPr>
        <w:t>All forms of compensation referred to in this letter are subject to applicable payroll taxes and withholdings.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8.</w:t>
      </w:r>
      <w:r>
        <w:rPr>
          <w:color w:val="000000"/>
        </w:rPr>
        <w:t xml:space="preserve"> </w:t>
      </w:r>
      <w:r>
        <w:rPr>
          <w:rFonts w:ascii="Times New Roman;sans-serif" w:hAnsi="Times New Roman;sans-serif"/>
          <w:b/>
          <w:color w:val="000000"/>
          <w:sz w:val="20"/>
        </w:rPr>
        <w:t>Employment At-Will.</w:t>
      </w:r>
      <w:r>
        <w:rPr>
          <w:color w:val="000000"/>
        </w:rPr>
        <w:t xml:space="preserve"> </w:t>
      </w:r>
      <w:r>
        <w:rPr>
          <w:rFonts w:ascii="Times New Roman;sans-serif" w:hAnsi="Times New Roman;sans-serif"/>
          <w:b w:val="false"/>
          <w:color w:val="000000"/>
          <w:sz w:val="20"/>
        </w:rPr>
        <w:t>The Company is an at-will employer and cannot guarantee employment for any specific duration. You are free to quit, and the Company is entitled to terminate your employment at any time, with or without cause or prior warning. This provision supersedes all prior agreements and understandings concerning termination of employment, whether oral, written or implied. Although your job duties, title, reporting structure, compensation and benefits, as well as the Company’s personnel policies and procedures may change from time to time, the “at-will” nature of your employment may only be changed in an express written agreement signed by you and a duly authorized officer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9. </w:t>
      </w:r>
      <w:r>
        <w:rPr>
          <w:rFonts w:ascii="Times New Roman;sans-serif" w:hAnsi="Times New Roman;sans-serif"/>
          <w:b/>
          <w:color w:val="000000"/>
          <w:sz w:val="20"/>
        </w:rPr>
        <w:t xml:space="preserve">Employee Proprietary Information Agreement. </w:t>
      </w:r>
      <w:r>
        <w:rPr>
          <w:rFonts w:ascii="Times New Roman;sans-serif" w:hAnsi="Times New Roman;sans-serif"/>
          <w:b w:val="false"/>
          <w:color w:val="000000"/>
          <w:sz w:val="20"/>
        </w:rPr>
        <w:t>As a condition of your employment, you are required to sign the Company’s Employee Proprietary Information Agreement, which includes an Assignment of Inventions provision.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10.</w:t>
      </w:r>
      <w:r>
        <w:rPr>
          <w:color w:val="000000"/>
        </w:rPr>
        <w:t xml:space="preserve"> </w:t>
      </w:r>
      <w:r>
        <w:rPr>
          <w:rFonts w:ascii="Times New Roman;sans-serif" w:hAnsi="Times New Roman;sans-serif"/>
          <w:b/>
          <w:color w:val="000000"/>
          <w:sz w:val="20"/>
        </w:rPr>
        <w:t xml:space="preserve">Pre-Employment Screening. </w:t>
      </w:r>
      <w:r>
        <w:rPr>
          <w:rFonts w:ascii="Times New Roman;sans-serif" w:hAnsi="Times New Roman;sans-serif"/>
          <w:b w:val="false"/>
          <w:color w:val="000000"/>
          <w:sz w:val="20"/>
        </w:rPr>
        <w:t>Your employment is contingent on successfully passing a drug test, background check, and satisfactory references check. The drug test and background and reference checks will be conducted through our 3rd party vendor in accordance with applicable laws and may be conducted before or after your employment begins.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11. </w:t>
      </w:r>
      <w:r>
        <w:rPr>
          <w:rFonts w:ascii="Times New Roman;sans-serif" w:hAnsi="Times New Roman;sans-serif"/>
          <w:b/>
          <w:color w:val="000000"/>
          <w:sz w:val="20"/>
        </w:rPr>
        <w:t>Conflicts of Interest.</w:t>
      </w:r>
      <w:r>
        <w:rPr>
          <w:color w:val="000000"/>
        </w:rPr>
        <w:t xml:space="preserve"> </w:t>
      </w:r>
      <w:r>
        <w:rPr>
          <w:rFonts w:ascii="Times New Roman;sans-serif" w:hAnsi="Times New Roman;sans-serif"/>
          <w:b w:val="false"/>
          <w:color w:val="000000"/>
          <w:sz w:val="20"/>
        </w:rPr>
        <w:t>Conflicts of interest exist where an individual's actions or activities, on behalf of Tandem or otherwise, involve the obtaining of an improper personal gain or advantage, or an adverse effect upon the interest of Tandem. For this reason, employees must refrain from engaging in any activity, practice, act, other employment or outside activities which conflict or interfere with the interests of Tandem, its corporate entities, or those it serves.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12.</w:t>
      </w:r>
      <w:r>
        <w:rPr>
          <w:color w:val="000000"/>
        </w:rPr>
        <w:t xml:space="preserve"> </w:t>
      </w:r>
      <w:r>
        <w:rPr>
          <w:rFonts w:ascii="Times New Roman;sans-serif" w:hAnsi="Times New Roman;sans-serif"/>
          <w:b/>
          <w:color w:val="000000"/>
          <w:sz w:val="20"/>
        </w:rPr>
        <w:t>Company Policies.</w:t>
      </w:r>
      <w:r>
        <w:rPr>
          <w:color w:val="000000"/>
        </w:rPr>
        <w:t xml:space="preserve"> </w:t>
      </w:r>
      <w:r>
        <w:rPr>
          <w:rFonts w:ascii="Times New Roman;sans-serif" w:hAnsi="Times New Roman;sans-serif"/>
          <w:b w:val="false"/>
          <w:color w:val="000000"/>
          <w:sz w:val="20"/>
        </w:rPr>
        <w:t>You agree to abide by the Company’s policies and procedures, including those set forth in the Company’s Employee Handbook and other Company documents, except to the extent they are inconsistent with the terms of this letter. You will be required to sign the signature page of the Employee Handbook and associated policies at the commencement of your employment with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13.</w:t>
      </w:r>
      <w:r>
        <w:rPr>
          <w:color w:val="000000"/>
        </w:rPr>
        <w:t xml:space="preserve"> </w:t>
      </w:r>
      <w:r>
        <w:rPr>
          <w:rFonts w:ascii="Times New Roman;sans-serif" w:hAnsi="Times New Roman;sans-serif"/>
          <w:b/>
          <w:color w:val="000000"/>
          <w:sz w:val="20"/>
        </w:rPr>
        <w:t>Employment Eligibility</w:t>
      </w:r>
      <w:r>
        <w:rPr>
          <w:rFonts w:ascii="Times New Roman;sans-serif" w:hAnsi="Times New Roman;sans-serif"/>
          <w:b w:val="false"/>
          <w:color w:val="000000"/>
          <w:sz w:val="20"/>
        </w:rPr>
        <w:t>. Your employment is contingent on you providing the Company with the legally required proof of your identity and authorization to work in the United States. You must also maintain your eligibility to work in the United States throughout your employment.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14.</w:t>
      </w:r>
      <w:r>
        <w:rPr>
          <w:color w:val="000000"/>
        </w:rPr>
        <w:t xml:space="preserve"> </w:t>
      </w:r>
      <w:r>
        <w:rPr>
          <w:rFonts w:ascii="Times New Roman;sans-serif" w:hAnsi="Times New Roman;sans-serif"/>
          <w:b/>
          <w:color w:val="000000"/>
          <w:sz w:val="20"/>
        </w:rPr>
        <w:t>Prior Employer Confidential Information/Restrictions</w:t>
      </w:r>
      <w:r>
        <w:rPr>
          <w:rFonts w:ascii="Times New Roman;sans-serif" w:hAnsi="Times New Roman;sans-serif"/>
          <w:b w:val="false"/>
          <w:color w:val="000000"/>
          <w:sz w:val="20"/>
        </w:rPr>
        <w:t>. You understand that you are expected to abide by all confidentiality agreements you may have signed at your previous employer(s). Thus, you should not bring with you or provide the Company with any confidential information belonging to a previous employer or engage in any unauthorized use of confidential information of prior employers or any other third parties.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This letter and attachments supersede any prior understandings or agreements, whether oral or written, between you and the Company.</w: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10.25</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left"/>
                              <w:rPr/>
                            </w:pPr>
                            <w:r>
                              <w:rPr>
                                <w:rFonts w:ascii="Times New Roman;sans-serif" w:hAnsi="Times New Roman;sans-serif"/>
                                <w:b w:val="false"/>
                                <w:color w:val="000000"/>
                                <w:sz w:val="16"/>
                              </w:rPr>
                              <w:t>12400 High Bluff Drive</w:t>
                            </w:r>
                            <w:r>
                              <w:rPr>
                                <w:color w:val="FEFFFF"/>
                              </w:rPr>
                              <w:t>–</w:t>
                            </w:r>
                            <w:r>
                              <w:rPr>
                                <w:color w:val="009CE8"/>
                              </w:rPr>
                              <w:t>›››</w:t>
                            </w:r>
                            <w:r>
                              <w:rPr>
                                <w:color w:val="FEFFFF"/>
                              </w:rPr>
                              <w:t>–</w:t>
                            </w:r>
                            <w:r>
                              <w:rPr>
                                <w:rFonts w:ascii="Times New Roman;sans-serif" w:hAnsi="Times New Roman;sans-serif"/>
                                <w:b w:val="false"/>
                                <w:color w:val="000000"/>
                                <w:sz w:val="16"/>
                              </w:rPr>
                              <w:t>San Diego, CA 92130</w:t>
                            </w:r>
                            <w:r>
                              <w:rPr>
                                <w:color w:val="FEFFFF"/>
                              </w:rPr>
                              <w:t>–</w:t>
                            </w:r>
                            <w:r>
                              <w:rPr>
                                <w:color w:val="009CE8"/>
                              </w:rPr>
                              <w:t>›››</w:t>
                            </w:r>
                            <w:r>
                              <w:rPr>
                                <w:color w:val="FEFFFF"/>
                              </w:rPr>
                              <w:t>–</w:t>
                            </w:r>
                            <w:r>
                              <w:rPr>
                                <w:rFonts w:ascii="Times New Roman;sans-serif" w:hAnsi="Times New Roman;sans-serif"/>
                                <w:b w:val="false"/>
                                <w:color w:val="000000"/>
                                <w:sz w:val="16"/>
                              </w:rPr>
                              <w:t>(858) 366-6900</w:t>
                            </w:r>
                            <w:r>
                              <w:rPr>
                                <w:color w:val="FEFFFF"/>
                              </w:rPr>
                              <w:t>–</w:t>
                            </w:r>
                            <w:r>
                              <w:rPr>
                                <w:color w:val="009CE8"/>
                              </w:rPr>
                              <w:t>›››</w:t>
                            </w:r>
                            <w:r>
                              <w:rPr>
                                <w:color w:val="FEFFFF"/>
                              </w:rPr>
                              <w:t>–</w:t>
                            </w:r>
                            <w:r>
                              <w:rPr>
                                <w:rFonts w:ascii="Times New Roman;sans-serif" w:hAnsi="Times New Roman;sans-serif"/>
                                <w:b/>
                                <w:color w:val="009CE8"/>
                                <w:sz w:val="16"/>
                              </w:rPr>
                              <w:t>tandemdiabetes.com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276" w:before="0" w:after="0"/>
                        <w:jc w:val="left"/>
                        <w:rPr/>
                      </w:pPr>
                      <w:r>
                        <w:rPr>
                          <w:rFonts w:ascii="Times New Roman;sans-serif" w:hAnsi="Times New Roman;sans-serif"/>
                          <w:b w:val="false"/>
                          <w:color w:val="000000"/>
                          <w:sz w:val="16"/>
                        </w:rPr>
                        <w:t>12400 High Bluff Drive</w:t>
                      </w:r>
                      <w:r>
                        <w:rPr>
                          <w:color w:val="FEFFFF"/>
                        </w:rPr>
                        <w:t>–</w:t>
                      </w:r>
                      <w:r>
                        <w:rPr>
                          <w:color w:val="009CE8"/>
                        </w:rPr>
                        <w:t>›››</w:t>
                      </w:r>
                      <w:r>
                        <w:rPr>
                          <w:color w:val="FEFFFF"/>
                        </w:rPr>
                        <w:t>–</w:t>
                      </w:r>
                      <w:r>
                        <w:rPr>
                          <w:rFonts w:ascii="Times New Roman;sans-serif" w:hAnsi="Times New Roman;sans-serif"/>
                          <w:b w:val="false"/>
                          <w:color w:val="000000"/>
                          <w:sz w:val="16"/>
                        </w:rPr>
                        <w:t>San Diego, CA 92130</w:t>
                      </w:r>
                      <w:r>
                        <w:rPr>
                          <w:color w:val="FEFFFF"/>
                        </w:rPr>
                        <w:t>–</w:t>
                      </w:r>
                      <w:r>
                        <w:rPr>
                          <w:color w:val="009CE8"/>
                        </w:rPr>
                        <w:t>›››</w:t>
                      </w:r>
                      <w:r>
                        <w:rPr>
                          <w:color w:val="FEFFFF"/>
                        </w:rPr>
                        <w:t>–</w:t>
                      </w:r>
                      <w:r>
                        <w:rPr>
                          <w:rFonts w:ascii="Times New Roman;sans-serif" w:hAnsi="Times New Roman;sans-serif"/>
                          <w:b w:val="false"/>
                          <w:color w:val="000000"/>
                          <w:sz w:val="16"/>
                        </w:rPr>
                        <w:t>(858) 366-6900</w:t>
                      </w:r>
                      <w:r>
                        <w:rPr>
                          <w:color w:val="FEFFFF"/>
                        </w:rPr>
                        <w:t>–</w:t>
                      </w:r>
                      <w:r>
                        <w:rPr>
                          <w:color w:val="009CE8"/>
                        </w:rPr>
                        <w:t>›››</w:t>
                      </w:r>
                      <w:r>
                        <w:rPr>
                          <w:color w:val="FEFFFF"/>
                        </w:rPr>
                        <w:t>–</w:t>
                      </w:r>
                      <w:r>
                        <w:rPr>
                          <w:rFonts w:ascii="Times New Roman;sans-serif" w:hAnsi="Times New Roman;sans-serif"/>
                          <w:b/>
                          <w:color w:val="009CE8"/>
                          <w:sz w:val="16"/>
                        </w:rPr>
                        <w:t>tandemdiabetes.com</w:t>
                      </w:r>
                    </w:p>
                  </w:txbxContent>
                </v:textbox>
                <w10:wrap type="none"/>
              </v:rect>
            </w:pict>
          </mc:Fallback>
        </mc:AlternateContent>
      </w:r>
    </w:p>
    <w:p>
      <w:pPr>
        <w:pStyle w:val="TextBody"/>
        <w:bidi w:val="0"/>
        <w:spacing w:before="0" w:after="0"/>
        <w:jc w:val="left"/>
        <w:rPr/>
      </w:pPr>
      <w:r>
        <w:rPr/>
        <w:drawing>
          <wp:inline distT="0" distB="0" distL="0" distR="0">
            <wp:extent cx="1552575" cy="352425"/>
            <wp:effectExtent l="0" t="0" r="0" b="0"/>
            <wp:docPr id="1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 descr=""/>
                    <pic:cNvPicPr>
                      <a:picLocks noChangeAspect="1" noChangeArrowheads="1"/>
                    </pic:cNvPicPr>
                  </pic:nvPicPr>
                  <pic:blipFill>
                    <a:blip r:embed="rId41"/>
                    <a:stretch>
                      <a:fillRect/>
                    </a:stretch>
                  </pic:blipFill>
                  <pic:spPr bwMode="auto">
                    <a:xfrm>
                      <a:off x="0" y="0"/>
                      <a:ext cx="1552575" cy="35242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we are very enthusiastic about you joining the team. We are impressed with your experience and abilities, and believe that your skills and background provide an excellent match for Tandem.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offer will remain valid until the close of business on 10/31/2023 with an anticipated start date of 11/13/2023. If the terms are agreeable, please sign, date and return one copy of this letter indicating your acceptance, retaining the second copies for your records.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you have questions or just wish to discuss things further, please don’t hesitate to contact 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Gioia Woo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Talent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read and accept this employment offer:</w:t>
      </w:r>
    </w:p>
    <w:p>
      <w:pPr>
        <w:pStyle w:val="TextBody"/>
        <w:bidi w:val="0"/>
        <w:spacing w:before="0" w:after="0"/>
        <w:jc w:val="left"/>
        <w:rPr/>
      </w:pPr>
      <w:r>
        <w:rPr/>
      </w:r>
    </w:p>
    <w:tbl>
      <w:tblPr>
        <w:tblW w:w="2490" w:type="dxa"/>
        <w:jc w:val="left"/>
        <w:tblInd w:w="0" w:type="dxa"/>
        <w:tblLayout w:type="fixed"/>
        <w:tblCellMar>
          <w:top w:w="28" w:type="dxa"/>
          <w:left w:w="28" w:type="dxa"/>
          <w:bottom w:w="28" w:type="dxa"/>
          <w:right w:w="28" w:type="dxa"/>
        </w:tblCellMar>
      </w:tblPr>
      <w:tblGrid>
        <w:gridCol w:w="237"/>
        <w:gridCol w:w="210"/>
        <w:gridCol w:w="213"/>
        <w:gridCol w:w="535"/>
        <w:gridCol w:w="535"/>
        <w:gridCol w:w="760"/>
      </w:tblGrid>
      <w:tr>
        <w:trPr/>
        <w:tc>
          <w:tcPr>
            <w:tcW w:w="2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NOVARA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 Novara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10/31/2023</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*Tandem Diabetes Care reserves the right to review all compensation plans and make changes, additions, and/or deletions at any time.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21.1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left"/>
                              <w:rPr/>
                            </w:pPr>
                            <w:r>
                              <w:rPr>
                                <w:rFonts w:ascii="Times New Roman;sans-serif" w:hAnsi="Times New Roman;sans-serif"/>
                                <w:b w:val="false"/>
                                <w:color w:val="000000"/>
                                <w:sz w:val="16"/>
                              </w:rPr>
                              <w:t>12400 High Bluff Drive</w:t>
                            </w:r>
                            <w:r>
                              <w:rPr>
                                <w:color w:val="FEFFFF"/>
                              </w:rPr>
                              <w:t>–</w:t>
                            </w:r>
                            <w:r>
                              <w:rPr>
                                <w:color w:val="009CE8"/>
                              </w:rPr>
                              <w:t>›››</w:t>
                            </w:r>
                            <w:r>
                              <w:rPr>
                                <w:color w:val="FEFFFF"/>
                              </w:rPr>
                              <w:t>–</w:t>
                            </w:r>
                            <w:r>
                              <w:rPr>
                                <w:rFonts w:ascii="Times New Roman;sans-serif" w:hAnsi="Times New Roman;sans-serif"/>
                                <w:b w:val="false"/>
                                <w:color w:val="000000"/>
                                <w:sz w:val="16"/>
                              </w:rPr>
                              <w:t>San Diego, CA 92130</w:t>
                            </w:r>
                            <w:r>
                              <w:rPr>
                                <w:color w:val="FEFFFF"/>
                              </w:rPr>
                              <w:t>–</w:t>
                            </w:r>
                            <w:r>
                              <w:rPr>
                                <w:color w:val="009CE8"/>
                              </w:rPr>
                              <w:t>›››</w:t>
                            </w:r>
                            <w:r>
                              <w:rPr>
                                <w:color w:val="FEFFFF"/>
                              </w:rPr>
                              <w:t>–</w:t>
                            </w:r>
                            <w:r>
                              <w:rPr>
                                <w:rFonts w:ascii="Times New Roman;sans-serif" w:hAnsi="Times New Roman;sans-serif"/>
                                <w:b w:val="false"/>
                                <w:color w:val="000000"/>
                                <w:sz w:val="16"/>
                              </w:rPr>
                              <w:t>(858) 366-6900</w:t>
                            </w:r>
                            <w:r>
                              <w:rPr>
                                <w:color w:val="FEFFFF"/>
                              </w:rPr>
                              <w:t>–</w:t>
                            </w:r>
                            <w:r>
                              <w:rPr>
                                <w:color w:val="009CE8"/>
                              </w:rPr>
                              <w:t>›››</w:t>
                            </w:r>
                            <w:r>
                              <w:rPr>
                                <w:color w:val="FEFFFF"/>
                              </w:rPr>
                              <w:t>–</w:t>
                            </w:r>
                            <w:r>
                              <w:rPr>
                                <w:rFonts w:ascii="Times New Roman;sans-serif" w:hAnsi="Times New Roman;sans-serif"/>
                                <w:b/>
                                <w:color w:val="009CE8"/>
                                <w:sz w:val="16"/>
                              </w:rPr>
                              <w:t>tandemdiabetes.com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jc w:val="left"/>
                        <w:rPr/>
                      </w:pPr>
                      <w:r>
                        <w:rPr>
                          <w:rFonts w:ascii="Times New Roman;sans-serif" w:hAnsi="Times New Roman;sans-serif"/>
                          <w:b w:val="false"/>
                          <w:color w:val="000000"/>
                          <w:sz w:val="16"/>
                        </w:rPr>
                        <w:t>12400 High Bluff Drive</w:t>
                      </w:r>
                      <w:r>
                        <w:rPr>
                          <w:color w:val="FEFFFF"/>
                        </w:rPr>
                        <w:t>–</w:t>
                      </w:r>
                      <w:r>
                        <w:rPr>
                          <w:color w:val="009CE8"/>
                        </w:rPr>
                        <w:t>›››</w:t>
                      </w:r>
                      <w:r>
                        <w:rPr>
                          <w:color w:val="FEFFFF"/>
                        </w:rPr>
                        <w:t>–</w:t>
                      </w:r>
                      <w:r>
                        <w:rPr>
                          <w:rFonts w:ascii="Times New Roman;sans-serif" w:hAnsi="Times New Roman;sans-serif"/>
                          <w:b w:val="false"/>
                          <w:color w:val="000000"/>
                          <w:sz w:val="16"/>
                        </w:rPr>
                        <w:t>San Diego, CA 92130</w:t>
                      </w:r>
                      <w:r>
                        <w:rPr>
                          <w:color w:val="FEFFFF"/>
                        </w:rPr>
                        <w:t>–</w:t>
                      </w:r>
                      <w:r>
                        <w:rPr>
                          <w:color w:val="009CE8"/>
                        </w:rPr>
                        <w:t>›››</w:t>
                      </w:r>
                      <w:r>
                        <w:rPr>
                          <w:color w:val="FEFFFF"/>
                        </w:rPr>
                        <w:t>–</w:t>
                      </w:r>
                      <w:r>
                        <w:rPr>
                          <w:rFonts w:ascii="Times New Roman;sans-serif" w:hAnsi="Times New Roman;sans-serif"/>
                          <w:b w:val="false"/>
                          <w:color w:val="000000"/>
                          <w:sz w:val="16"/>
                        </w:rPr>
                        <w:t>(858) 366-6900</w:t>
                      </w:r>
                      <w:r>
                        <w:rPr>
                          <w:color w:val="FEFFFF"/>
                        </w:rPr>
                        <w:t>–</w:t>
                      </w:r>
                      <w:r>
                        <w:rPr>
                          <w:color w:val="009CE8"/>
                        </w:rPr>
                        <w:t>›››</w:t>
                      </w:r>
                      <w:r>
                        <w:rPr>
                          <w:color w:val="FEFFFF"/>
                        </w:rPr>
                        <w:t>–</w:t>
                      </w:r>
                      <w:r>
                        <w:rPr>
                          <w:rFonts w:ascii="Times New Roman;sans-serif" w:hAnsi="Times New Roman;sans-serif"/>
                          <w:b/>
                          <w:color w:val="009CE8"/>
                          <w:sz w:val="16"/>
                        </w:rPr>
                        <w:t>tandemdiabetes.com</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OF THE REGISTRANT</w:t>
      </w:r>
    </w:p>
    <w:p>
      <w:pPr>
        <w:pStyle w:val="TextBody"/>
        <w:bidi w:val="0"/>
        <w:spacing w:before="0" w:after="0"/>
        <w:jc w:val="left"/>
        <w:rPr/>
      </w:pPr>
      <w:r>
        <w:rPr/>
      </w:r>
    </w:p>
    <w:p>
      <w:pPr>
        <w:pStyle w:val="TextBody"/>
        <w:bidi w:val="0"/>
        <w:spacing w:before="0" w:after="0"/>
        <w:jc w:val="left"/>
        <w:rPr/>
      </w:pPr>
      <w:r>
        <w:rPr/>
      </w:r>
    </w:p>
    <w:tbl>
      <w:tblPr>
        <w:tblW w:w="6043" w:type="dxa"/>
        <w:jc w:val="left"/>
        <w:tblInd w:w="0" w:type="dxa"/>
        <w:tblLayout w:type="fixed"/>
        <w:tblCellMar>
          <w:top w:w="28" w:type="dxa"/>
          <w:left w:w="28" w:type="dxa"/>
          <w:bottom w:w="28" w:type="dxa"/>
          <w:right w:w="28" w:type="dxa"/>
        </w:tblCellMar>
      </w:tblPr>
      <w:tblGrid>
        <w:gridCol w:w="1200"/>
        <w:gridCol w:w="1052"/>
        <w:gridCol w:w="1062"/>
        <w:gridCol w:w="799"/>
        <w:gridCol w:w="799"/>
        <w:gridCol w:w="1131"/>
      </w:tblGrid>
      <w:tr>
        <w:trPr/>
        <w:tc>
          <w:tcPr>
            <w:tcW w:w="12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Entity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State/Country of Organization</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Capillary Biomedical, LLC</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Sugarmate, LLC</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Canada, Inc.</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Europe B.V.</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Switzerland Sarl</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lineRule="auto" w:line="288" w:before="200" w:after="283"/>
        <w:ind w:left="0" w:right="0" w:firstLine="9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incorporation by reference in the following Registration Statements: </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 Registration Statement (Form S-8 No. 333-232944) pertaining to the 2013 Stock Incentive Plan of Tandem Diabetes Care Inc.,</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 Registration Statement (Form S-8 No. 333-226915) pertaining to the 2013 Stock Incentive Plan, and 2013 Employee Stock Purchase Plan of Tandem Diabetes Care Inc.,</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 Registration Statement (Form S-8 No. 333-192406) pertaining to the 2006 Stock Incentive Plan, 2013 Stock Incentive Plan, and 2013 Employee Stock Purchase Plan of Tandem Diabetes Care Inc.,</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 Registration Statement (Form S-8 No. 333-202254) pertaining to the 2013 Stock Incentive Plan and 2013 Employee Stock Purchase Plan of Tandem Diabetes Care, Inc., </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(5) Registration Statement (Form S-8 No. 333-209685) pertaining to the 2013 Stock Incentive Plan and 2013 Employee Stock Purchase Plan of Tandem Diabetes Care, Inc.,</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 Registration Statement (Form S-8 No. 333-223377) pertaining to the 2013 Stock Incentive Plan and 2013 Employee Stock Purchase Plan of Tandem Diabetes Care, Inc.,</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(7) Registration Statement (Form S-8 No. 333-216529) pertaining to the 2013 Stock Incentive Plan and 2013 Employee Stock Purchase Plan of Tandem Diabetes Care, Inc., and</w:t>
      </w:r>
    </w:p>
    <w:p>
      <w:pPr>
        <w:pStyle w:val="TextBody"/>
        <w:bidi w:val="0"/>
        <w:spacing w:lineRule="auto" w:line="288" w:before="20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(8) Registration Statement (Form S-8 No. 333-273648) pertaining to the 2023 Long-Term Incentive Plan of Tandem Diabetes Care, Inc.</w:t>
      </w:r>
    </w:p>
    <w:p>
      <w:pPr>
        <w:pStyle w:val="TextBody"/>
        <w:bidi w:val="0"/>
        <w:spacing w:lineRule="auto" w:line="288" w:before="20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our reports dated February 21, 2024, with respect to the consolidated financial statements of Tandem Diabetes Care, Inc. and the effectiveness of internal control over financial reporting of Tandem Diabetes Care, Inc., included in this Annual Report (Form 10-K) of Tandem Diabetes Care, Inc. for the year ended December 31, 2023.</w:t>
      </w:r>
    </w:p>
    <w:p>
      <w:pPr>
        <w:pStyle w:val="TextBody"/>
        <w:bidi w:val="0"/>
        <w:spacing w:before="200" w:after="283"/>
        <w:jc w:val="left"/>
        <w:rPr/>
      </w:pPr>
      <w:r>
        <w:rPr/>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/s/Ernst &amp; Young LLP</w:t>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Diego, California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21, 2024</w:t>
      </w:r>
    </w:p>
    <w:p>
      <w:pPr>
        <w:pStyle w:val="TextBody"/>
        <w:bidi w:val="0"/>
        <w:spacing w:before="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F. Sheridan,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529" w:type="dxa"/>
        <w:jc w:val="left"/>
        <w:tblInd w:w="0" w:type="dxa"/>
        <w:tblLayout w:type="fixed"/>
        <w:tblCellMar>
          <w:top w:w="28" w:type="dxa"/>
          <w:left w:w="28" w:type="dxa"/>
          <w:bottom w:w="28" w:type="dxa"/>
          <w:right w:w="28" w:type="dxa"/>
        </w:tblCellMar>
      </w:tblPr>
      <w:tblGrid>
        <w:gridCol w:w="792"/>
        <w:gridCol w:w="696"/>
        <w:gridCol w:w="702"/>
        <w:gridCol w:w="387"/>
        <w:gridCol w:w="387"/>
        <w:gridCol w:w="387"/>
        <w:gridCol w:w="1301"/>
        <w:gridCol w:w="1301"/>
        <w:gridCol w:w="1313"/>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21, 2024</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Leigh A. Vosseller,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848" w:type="dxa"/>
        <w:jc w:val="left"/>
        <w:tblInd w:w="0" w:type="dxa"/>
        <w:tblLayout w:type="fixed"/>
        <w:tblCellMar>
          <w:top w:w="28" w:type="dxa"/>
          <w:left w:w="28" w:type="dxa"/>
          <w:bottom w:w="28" w:type="dxa"/>
          <w:right w:w="28" w:type="dxa"/>
        </w:tblCellMar>
      </w:tblPr>
      <w:tblGrid>
        <w:gridCol w:w="792"/>
        <w:gridCol w:w="696"/>
        <w:gridCol w:w="702"/>
        <w:gridCol w:w="387"/>
        <w:gridCol w:w="387"/>
        <w:gridCol w:w="387"/>
        <w:gridCol w:w="1740"/>
        <w:gridCol w:w="1740"/>
        <w:gridCol w:w="1754"/>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21, 2024</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Tandem Diabetes Care, Inc. (the “Company”) for the period ended December 31, 2023,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637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159"/>
        <w:gridCol w:w="1159"/>
        <w:gridCol w:w="16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Tandem Diabetes Care, Inc. (the “Company”) for the period ended December 31, 2023,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769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547"/>
        <w:gridCol w:w="1547"/>
        <w:gridCol w:w="218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lineRule="auto" w:line="288" w:before="0" w:after="0"/>
        <w:jc w:val="left"/>
        <w:rPr/>
      </w:pPr>
      <w:r>
        <w:rPr>
          <w:rFonts w:ascii="Times New Roman;sans-serif" w:hAnsi="Times New Roman;sans-serif"/>
          <w:b/>
          <w:color w:val="000000"/>
          <w:sz w:val="20"/>
        </w:rPr>
        <w:t>1.</w:t>
      </w:r>
      <w:r>
        <w:rPr>
          <w:rFonts w:ascii="Times New Roman;sans-serif" w:hAnsi="Times New Roman;sans-serif"/>
          <w:b/>
          <w:color w:val="000000"/>
          <w:sz w:val="20"/>
        </w:rPr>
        <w:t>GENERAL</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Compensation Committee (the “</w:t>
      </w:r>
      <w:r>
        <w:rPr>
          <w:rFonts w:ascii="Times New Roman;sans-serif" w:hAnsi="Times New Roman;sans-serif"/>
          <w:b/>
          <w:color w:val="000000"/>
          <w:sz w:val="20"/>
        </w:rPr>
        <w:t>Compensation Committee</w:t>
      </w:r>
      <w:r>
        <w:rPr>
          <w:color w:val="000000"/>
        </w:rPr>
        <w:t>”</w:t>
      </w:r>
      <w:r>
        <w:rPr>
          <w:rFonts w:ascii="Times New Roman;sans-serif" w:hAnsi="Times New Roman;sans-serif"/>
          <w:b w:val="false"/>
          <w:color w:val="000000"/>
          <w:sz w:val="20"/>
        </w:rPr>
        <w:t>) of the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of Tandem Diabetes Care, Inc., a Delaware corporation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has determined that it is in the best interests of the Company and its stockholders to adopt this Clawback Policy (this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providing for the Company’s recoupment of Recoverable Incentive Compensation that is received by Covered Officers of the Company under certain circumstances. Certain capitalized terms used in this Policy have the meanings given to such terms in Section 3 below. This Policy is designed to comply with, and shall be interpreted to be consistent with, Section 10D of the Exchange Act, Rule 10D-1 promulgated thereunder (“</w:t>
      </w:r>
      <w:r>
        <w:rPr>
          <w:rFonts w:ascii="Times New Roman;sans-serif" w:hAnsi="Times New Roman;sans-serif"/>
          <w:b/>
          <w:color w:val="000000"/>
          <w:sz w:val="20"/>
        </w:rPr>
        <w:t>Rule 10D-1</w:t>
      </w:r>
      <w:r>
        <w:rPr>
          <w:color w:val="000000"/>
        </w:rPr>
        <w:t>”</w:t>
      </w:r>
      <w:r>
        <w:rPr>
          <w:rFonts w:ascii="Times New Roman;sans-serif" w:hAnsi="Times New Roman;sans-serif"/>
          <w:b w:val="false"/>
          <w:color w:val="000000"/>
          <w:sz w:val="20"/>
        </w:rPr>
        <w:t>) and Nasdaq Listing Rule 5608 (the “</w:t>
      </w:r>
      <w:r>
        <w:rPr>
          <w:rFonts w:ascii="Times New Roman;sans-serif" w:hAnsi="Times New Roman;sans-serif"/>
          <w:b/>
          <w:color w:val="000000"/>
          <w:sz w:val="20"/>
        </w:rPr>
        <w:t>Listing Standards</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2.</w:t>
      </w:r>
      <w:r>
        <w:rPr>
          <w:rFonts w:ascii="Times New Roman;sans-serif" w:hAnsi="Times New Roman;sans-serif"/>
          <w:b/>
          <w:color w:val="000000"/>
          <w:sz w:val="20"/>
        </w:rPr>
        <w:t>EFFECTIVE DATE</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This Policy shall apply to all Incentive Compensation that is received by a Covered Officer on or after October 2, 2023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Incentive Compensation is deemed “</w:t>
      </w:r>
      <w:r>
        <w:rPr>
          <w:rFonts w:ascii="Times New Roman;sans-serif" w:hAnsi="Times New Roman;sans-serif"/>
          <w:b/>
          <w:color w:val="000000"/>
          <w:sz w:val="20"/>
        </w:rPr>
        <w:t>received</w:t>
      </w:r>
      <w:r>
        <w:rPr>
          <w:color w:val="000000"/>
        </w:rPr>
        <w:t xml:space="preserve">” </w:t>
      </w:r>
      <w:r>
        <w:rPr>
          <w:rFonts w:ascii="Times New Roman;sans-serif" w:hAnsi="Times New Roman;sans-serif"/>
          <w:b w:val="false"/>
          <w:color w:val="000000"/>
          <w:sz w:val="20"/>
        </w:rPr>
        <w:t>in the Company’s fiscal period in which the Financial Reporting Measure specified in the Incentive Compensation award is attained, even if the payment or grant of such Incentive Compensation occurs after the end of that period. For example, if a Financial Reporting Measure specified in an Incentive Compensation award is attained on June 30, 2024 and the associated Incentive Compensation is paid in March 2025, the Incentive Compensation is deemed received in the fiscal quarter ended June 30, 2024 rather than the fiscal quarter ended March 31, 2025. The clawback policy adopted by the Board on August 19, 2020 (the “</w:t>
      </w:r>
      <w:r>
        <w:rPr>
          <w:rFonts w:ascii="Times New Roman;sans-serif" w:hAnsi="Times New Roman;sans-serif"/>
          <w:b/>
          <w:color w:val="000000"/>
          <w:sz w:val="20"/>
        </w:rPr>
        <w:t>Original Policy</w:t>
      </w:r>
      <w:r>
        <w:rPr>
          <w:color w:val="000000"/>
        </w:rPr>
        <w:t>”</w:t>
      </w:r>
      <w:r>
        <w:rPr>
          <w:rFonts w:ascii="Times New Roman;sans-serif" w:hAnsi="Times New Roman;sans-serif"/>
          <w:b w:val="false"/>
          <w:color w:val="000000"/>
          <w:sz w:val="20"/>
        </w:rPr>
        <w:t>) shall continue to apply to Incentive Compensation (as defined in the Original Policy) received by an Executive Officer or Non-Officer Employee (each, as defined in the Original Policy) from the date of the Original Policy until immediately prior to the Effective Date.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3.</w:t>
      </w:r>
      <w:r>
        <w:rPr>
          <w:rFonts w:ascii="Times New Roman;sans-serif" w:hAnsi="Times New Roman;sans-serif"/>
          <w:b/>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the following terms shall have the meanings set forth below:</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3.1</w:t>
      </w:r>
      <w:r>
        <w:rPr>
          <w:rFonts w:ascii="Times New Roman;sans-serif" w:hAnsi="Times New Roman;sans-serif"/>
          <w:b/>
          <w:color w:val="000000"/>
          <w:sz w:val="20"/>
        </w:rPr>
        <w:t>Accounting Restatement</w:t>
      </w:r>
      <w:r>
        <w:rPr>
          <w:color w:val="000000"/>
        </w:rPr>
        <w:t xml:space="preserve"> </w:t>
      </w:r>
      <w:r>
        <w:rPr>
          <w:rFonts w:ascii="Times New Roman;sans-serif" w:hAnsi="Times New Roman;sans-serif"/>
          <w:b w:val="false"/>
          <w:color w:val="000000"/>
          <w:sz w:val="20"/>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3.2</w:t>
      </w:r>
      <w:r>
        <w:rPr>
          <w:rFonts w:ascii="Times New Roman;sans-serif" w:hAnsi="Times New Roman;sans-serif"/>
          <w:b/>
          <w:color w:val="000000"/>
          <w:sz w:val="20"/>
        </w:rPr>
        <w:t>Accounting Restatement Date</w:t>
      </w:r>
      <w:r>
        <w:rPr>
          <w:color w:val="000000"/>
        </w:rPr>
        <w:t xml:space="preserve"> </w:t>
      </w:r>
      <w:r>
        <w:rPr>
          <w:rFonts w:ascii="Times New Roman;sans-serif" w:hAnsi="Times New Roman;sans-serif"/>
          <w:b w:val="false"/>
          <w:color w:val="000000"/>
          <w:sz w:val="20"/>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3.3</w:t>
      </w:r>
      <w:r>
        <w:rPr>
          <w:rFonts w:ascii="Times New Roman;sans-serif" w:hAnsi="Times New Roman;sans-serif"/>
          <w:b/>
          <w:color w:val="000000"/>
          <w:sz w:val="20"/>
        </w:rPr>
        <w:t>Administrator</w:t>
      </w:r>
      <w:r>
        <w:rPr>
          <w:color w:val="000000"/>
        </w:rPr>
        <w:t xml:space="preserve"> </w:t>
      </w:r>
      <w:r>
        <w:rPr>
          <w:rFonts w:ascii="Times New Roman;sans-serif" w:hAnsi="Times New Roman;sans-serif"/>
          <w:b w:val="false"/>
          <w:color w:val="000000"/>
          <w:sz w:val="20"/>
        </w:rPr>
        <w:t>means the Compensation Committee or, in the absence of such committee, the Board.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3.4</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U.S. Internal Revenue Code of 1986, as amended, and the regulations promulgated thereunder.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3.5</w:t>
      </w:r>
      <w:r>
        <w:rPr>
          <w:rFonts w:ascii="Times New Roman;sans-serif" w:hAnsi="Times New Roman;sans-serif"/>
          <w:b/>
          <w:color w:val="000000"/>
          <w:sz w:val="20"/>
        </w:rPr>
        <w:t>Compensation Committee</w:t>
      </w:r>
      <w:r>
        <w:rPr>
          <w:color w:val="000000"/>
        </w:rPr>
        <w:t xml:space="preserve"> </w:t>
      </w:r>
      <w:r>
        <w:rPr>
          <w:rFonts w:ascii="Times New Roman;sans-serif" w:hAnsi="Times New Roman;sans-serif"/>
          <w:b w:val="false"/>
          <w:color w:val="000000"/>
          <w:sz w:val="20"/>
        </w:rPr>
        <w:t>means the Compensation Committee of the Board.</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3.6</w:t>
      </w:r>
      <w:r>
        <w:rPr>
          <w:rFonts w:ascii="Times New Roman;sans-serif" w:hAnsi="Times New Roman;sans-serif"/>
          <w:b/>
          <w:color w:val="000000"/>
          <w:sz w:val="20"/>
        </w:rPr>
        <w:t>Covered Officer</w:t>
      </w:r>
      <w:r>
        <w:rPr>
          <w:color w:val="000000"/>
        </w:rPr>
        <w:t xml:space="preserve"> </w:t>
      </w:r>
      <w:r>
        <w:rPr>
          <w:rFonts w:ascii="Times New Roman;sans-serif" w:hAnsi="Times New Roman;sans-serif"/>
          <w:b w:val="false"/>
          <w:color w:val="000000"/>
          <w:sz w:val="20"/>
        </w:rPr>
        <w:t>means each current and former Executive Officer.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3.7</w:t>
      </w:r>
      <w:r>
        <w:rPr>
          <w:rFonts w:ascii="Times New Roman;sans-serif" w:hAnsi="Times New Roman;sans-serif"/>
          <w:b/>
          <w:color w:val="000000"/>
          <w:sz w:val="20"/>
        </w:rPr>
        <w:t>Exchange</w:t>
      </w:r>
      <w:r>
        <w:rPr>
          <w:color w:val="000000"/>
        </w:rPr>
        <w:t xml:space="preserve"> </w:t>
      </w:r>
      <w:r>
        <w:rPr>
          <w:rFonts w:ascii="Times New Roman;sans-serif" w:hAnsi="Times New Roman;sans-serif"/>
          <w:b w:val="false"/>
          <w:color w:val="000000"/>
          <w:sz w:val="20"/>
        </w:rPr>
        <w:t>means the Nasdaq Stock Market.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3.8</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Securities and Exchange Act of 1934, as amended.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3.9</w:t>
      </w:r>
      <w:r>
        <w:rPr>
          <w:rFonts w:ascii="Times New Roman;sans-serif" w:hAnsi="Times New Roman;sans-serif"/>
          <w:b/>
          <w:color w:val="000000"/>
          <w:sz w:val="20"/>
        </w:rPr>
        <w:t>Executive Officer</w:t>
      </w:r>
      <w:r>
        <w:rPr>
          <w:color w:val="000000"/>
        </w:rPr>
        <w:t xml:space="preserve"> </w:t>
      </w:r>
      <w:r>
        <w:rPr>
          <w:rFonts w:ascii="Times New Roman;sans-serif" w:hAnsi="Times New Roman;sans-serif"/>
          <w:b w:val="false"/>
          <w:color w:val="000000"/>
          <w:sz w:val="20"/>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3.10</w:t>
      </w:r>
      <w:r>
        <w:rPr>
          <w:rFonts w:ascii="Times New Roman;sans-serif" w:hAnsi="Times New Roman;sans-serif"/>
          <w:b/>
          <w:color w:val="000000"/>
          <w:sz w:val="20"/>
        </w:rPr>
        <w:t>Financial Reporting Measures</w:t>
      </w:r>
      <w:r>
        <w:rPr>
          <w:color w:val="000000"/>
        </w:rPr>
        <w:t xml:space="preserve"> </w:t>
      </w:r>
      <w:r>
        <w:rPr>
          <w:rFonts w:ascii="Times New Roman;sans-serif" w:hAnsi="Times New Roman;sans-serif"/>
          <w:b w:val="false"/>
          <w:color w:val="000000"/>
          <w:sz w:val="20"/>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color w:val="000000"/>
          <w:sz w:val="20"/>
        </w:rPr>
        <w:t>TSR</w:t>
      </w:r>
      <w:r>
        <w:rPr>
          <w:color w:val="000000"/>
        </w:rPr>
        <w:t>”</w:t>
      </w:r>
      <w:r>
        <w:rPr>
          <w:rFonts w:ascii="Times New Roman;sans-serif" w:hAnsi="Times New Roman;sans-serif"/>
          <w:b w:val="false"/>
          <w:color w:val="000000"/>
          <w:sz w:val="20"/>
        </w:rPr>
        <w:t>). A measure need not be presented in the Company’s financial statements or included in a filing with the SEC in order to be a Financial Reporting Measure.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3.11</w:t>
      </w:r>
      <w:r>
        <w:rPr>
          <w:rFonts w:ascii="Times New Roman;sans-serif" w:hAnsi="Times New Roman;sans-serif"/>
          <w:b/>
          <w:color w:val="000000"/>
          <w:sz w:val="20"/>
        </w:rPr>
        <w:t>Incentive Compensation</w:t>
      </w:r>
      <w:r>
        <w:rPr>
          <w:color w:val="000000"/>
        </w:rPr>
        <w:t xml:space="preserve"> </w:t>
      </w:r>
      <w:r>
        <w:rPr>
          <w:rFonts w:ascii="Times New Roman;sans-serif" w:hAnsi="Times New Roman;sans-serif"/>
          <w:b w:val="false"/>
          <w:color w:val="000000"/>
          <w:sz w:val="20"/>
        </w:rPr>
        <w:t>means any compensation that is granted, earned or vested based wholly or in part upon the attainment of a Financial Reporting Measure.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3.12</w:t>
      </w:r>
      <w:r>
        <w:rPr>
          <w:rFonts w:ascii="Times New Roman;sans-serif" w:hAnsi="Times New Roman;sans-serif"/>
          <w:b/>
          <w:color w:val="000000"/>
          <w:sz w:val="20"/>
        </w:rPr>
        <w:t>Lookback Period</w:t>
      </w:r>
      <w:r>
        <w:rPr>
          <w:color w:val="000000"/>
        </w:rPr>
        <w:t xml:space="preserve"> </w:t>
      </w:r>
      <w:r>
        <w:rPr>
          <w:rFonts w:ascii="Times New Roman;sans-serif" w:hAnsi="Times New Roman;sans-serif"/>
          <w:b w:val="false"/>
          <w:color w:val="000000"/>
          <w:sz w:val="20"/>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3.13</w:t>
      </w:r>
      <w:r>
        <w:rPr>
          <w:rFonts w:ascii="Times New Roman;sans-serif" w:hAnsi="Times New Roman;sans-serif"/>
          <w:b/>
          <w:color w:val="000000"/>
          <w:sz w:val="20"/>
        </w:rPr>
        <w:t>Recoverable Incentive Compensation</w:t>
      </w:r>
      <w:r>
        <w:rPr>
          <w:color w:val="000000"/>
        </w:rPr>
        <w:t xml:space="preserve"> </w:t>
      </w:r>
      <w:r>
        <w:rPr>
          <w:rFonts w:ascii="Times New Roman;sans-serif" w:hAnsi="Times New Roman;sans-serif"/>
          <w:b w:val="false"/>
          <w:color w:val="000000"/>
          <w:sz w:val="20"/>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(i.e.,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3.14</w:t>
      </w: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means the Securities and Exchange Commission.</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4.RECOUPMENT OF CERTAIN INCENTIVE COMPENSATION AWARDED OR PAID TO EXECUTIVE OFFICERS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4.1</w:t>
      </w:r>
      <w:r>
        <w:rPr>
          <w:rFonts w:ascii="Times New Roman;sans-serif" w:hAnsi="Times New Roman;sans-serif"/>
          <w:b/>
          <w:color w:val="000000"/>
          <w:sz w:val="20"/>
        </w:rPr>
        <w:t xml:space="preserve">Applicability of Policy. </w:t>
      </w:r>
      <w:r>
        <w:rPr>
          <w:rFonts w:ascii="Times New Roman;sans-serif" w:hAnsi="Times New Roman;sans-serif"/>
          <w:b w:val="false"/>
          <w:color w:val="000000"/>
          <w:sz w:val="20"/>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4.2</w:t>
      </w:r>
      <w:r>
        <w:rPr>
          <w:rFonts w:ascii="Times New Roman;sans-serif" w:hAnsi="Times New Roman;sans-serif"/>
          <w:b/>
          <w:color w:val="000000"/>
          <w:sz w:val="20"/>
        </w:rPr>
        <w:t xml:space="preserve">Recoupment Generally. </w:t>
      </w:r>
      <w:r>
        <w:rPr>
          <w:rFonts w:ascii="Times New Roman;sans-serif" w:hAnsi="Times New Roman;sans-serif"/>
          <w:b w:val="false"/>
          <w:color w:val="000000"/>
          <w:sz w:val="20"/>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4.3</w:t>
      </w:r>
      <w:r>
        <w:rPr>
          <w:rFonts w:ascii="Times New Roman;sans-serif" w:hAnsi="Times New Roman;sans-serif"/>
          <w:b/>
          <w:color w:val="000000"/>
          <w:sz w:val="20"/>
        </w:rPr>
        <w:t>Impracticability of Recovery.</w:t>
      </w:r>
      <w:r>
        <w:rPr>
          <w:color w:val="000000"/>
        </w:rPr>
        <w:t xml:space="preserve"> </w:t>
      </w:r>
      <w:r>
        <w:rPr>
          <w:rFonts w:ascii="Times New Roman;sans-serif" w:hAnsi="Times New Roman;sans-serif"/>
          <w:b w:val="false"/>
          <w:color w:val="000000"/>
          <w:sz w:val="20"/>
        </w:rPr>
        <w:t>Recoupment may be determined to be impracticable if, and only if:</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4.3.1the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4.3.2recoupment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4.4</w:t>
      </w:r>
      <w:r>
        <w:rPr>
          <w:rFonts w:ascii="Times New Roman;sans-serif" w:hAnsi="Times New Roman;sans-serif"/>
          <w:b/>
          <w:color w:val="000000"/>
          <w:sz w:val="20"/>
        </w:rPr>
        <w:t>Sources of Recoupment.</w:t>
      </w:r>
      <w:r>
        <w:rPr>
          <w:color w:val="000000"/>
        </w:rPr>
        <w:t xml:space="preserve"> </w:t>
      </w:r>
      <w:r>
        <w:rPr>
          <w:rFonts w:ascii="Times New Roman;sans-serif" w:hAnsi="Times New Roman;sans-serif"/>
          <w:b w:val="false"/>
          <w:color w:val="000000"/>
          <w:sz w:val="20"/>
        </w:rPr>
        <w:t>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e.g.,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0"/>
        <w:ind w:left="0" w:right="0" w:hanging="360"/>
        <w:jc w:val="left"/>
        <w:rPr/>
      </w:pPr>
      <w:r>
        <w:rPr/>
      </w:r>
    </w:p>
    <w:p>
      <w:pPr>
        <w:pStyle w:val="TextBody"/>
        <w:bidi w:val="0"/>
        <w:spacing w:lineRule="auto" w:line="288"/>
        <w:ind w:left="0" w:right="0" w:hanging="720"/>
        <w:jc w:val="left"/>
        <w:rPr/>
      </w:pPr>
      <w:r>
        <w:rPr>
          <w:rFonts w:ascii="Times New Roman;sans-serif" w:hAnsi="Times New Roman;sans-serif"/>
          <w:b w:val="false"/>
          <w:color w:val="000000"/>
          <w:sz w:val="20"/>
        </w:rPr>
        <w:t>4.5</w:t>
      </w:r>
      <w:r>
        <w:rPr>
          <w:rFonts w:ascii="Times New Roman;sans-serif" w:hAnsi="Times New Roman;sans-serif"/>
          <w:b/>
          <w:color w:val="000000"/>
          <w:sz w:val="20"/>
        </w:rPr>
        <w:t>No Indemnification of Covered Officers.</w:t>
      </w:r>
      <w:r>
        <w:rPr>
          <w:color w:val="000000"/>
        </w:rPr>
        <w:t xml:space="preserve"> </w:t>
      </w:r>
      <w:r>
        <w:rPr>
          <w:rFonts w:ascii="Times New Roman;sans-serif" w:hAnsi="Times New Roman;sans-serif"/>
          <w:b w:val="false"/>
          <w:color w:val="000000"/>
          <w:sz w:val="20"/>
        </w:rPr>
        <w:t xml:space="preserve">Notwithstanding any indemnification agreement, applicable insurance policy or any other agreement or provision of the Company’s certificate of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4.6</w:t>
      </w:r>
      <w:r>
        <w:rPr>
          <w:rFonts w:ascii="Times New Roman;sans-serif" w:hAnsi="Times New Roman;sans-serif"/>
          <w:b/>
          <w:color w:val="000000"/>
          <w:sz w:val="20"/>
        </w:rPr>
        <w:t>Indemnification of Administrator.</w:t>
      </w:r>
      <w:r>
        <w:rPr>
          <w:color w:val="000000"/>
        </w:rPr>
        <w:t xml:space="preserve"> </w:t>
      </w:r>
      <w:r>
        <w:rPr>
          <w:rFonts w:ascii="Times New Roman;sans-serif" w:hAnsi="Times New Roman;sans-serif"/>
          <w:b w:val="false"/>
          <w:color w:val="000000"/>
          <w:sz w:val="20"/>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4.7</w:t>
      </w:r>
      <w:r>
        <w:rPr>
          <w:rFonts w:ascii="Times New Roman;sans-serif" w:hAnsi="Times New Roman;sans-serif"/>
          <w:b/>
          <w:color w:val="000000"/>
          <w:sz w:val="20"/>
        </w:rPr>
        <w:t>No “Good Reason” for Covered Officers.</w:t>
      </w:r>
      <w:r>
        <w:rPr>
          <w:color w:val="000000"/>
        </w:rPr>
        <w:t xml:space="preserve"> </w:t>
      </w:r>
      <w:r>
        <w:rPr>
          <w:rFonts w:ascii="Times New Roman;sans-serif" w:hAnsi="Times New Roman;sans-serif"/>
          <w:b w:val="false"/>
          <w:color w:val="000000"/>
          <w:sz w:val="20"/>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0"/>
        </w:rPr>
        <w:t>5.</w:t>
      </w:r>
      <w:r>
        <w:rPr>
          <w:rFonts w:ascii="Times New Roman;sans-serif" w:hAnsi="Times New Roman;sans-serif"/>
          <w:b/>
          <w:color w:val="000000"/>
          <w:sz w:val="20"/>
        </w:rPr>
        <w:t>ADMINISTRATION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6.</w:t>
      </w:r>
      <w:r>
        <w:rPr>
          <w:rFonts w:ascii="Times New Roman;sans-serif" w:hAnsi="Times New Roman;sans-serif"/>
          <w:b/>
          <w:color w:val="000000"/>
          <w:sz w:val="20"/>
        </w:rPr>
        <w:t>SEVERABILITY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0"/>
        </w:rPr>
        <w:t>7.</w:t>
      </w:r>
      <w:r>
        <w:rPr>
          <w:rFonts w:ascii="Times New Roman;sans-serif" w:hAnsi="Times New Roman;sans-serif"/>
          <w:b/>
          <w:color w:val="000000"/>
          <w:sz w:val="20"/>
        </w:rPr>
        <w:t>NO IMPAIRMENT OF OTHER REMEDIES</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sans-serif" w:hAnsi="Times New Roman;sans-serif"/>
          <w:b/>
          <w:color w:val="000000"/>
          <w:sz w:val="20"/>
        </w:rPr>
        <w:t>SOX 304</w:t>
      </w:r>
      <w:r>
        <w:rPr>
          <w:color w:val="000000"/>
        </w:rPr>
        <w:t>”</w:t>
      </w:r>
      <w:r>
        <w:rPr>
          <w:rFonts w:ascii="Times New Roman;sans-serif" w:hAnsi="Times New Roman;sans-serif"/>
          <w:b w:val="false"/>
          <w:color w:val="000000"/>
          <w:sz w:val="20"/>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8.</w:t>
      </w:r>
      <w:r>
        <w:rPr>
          <w:rFonts w:ascii="Times New Roman;sans-serif" w:hAnsi="Times New Roman;sans-serif"/>
          <w:b/>
          <w:color w:val="000000"/>
          <w:sz w:val="20"/>
        </w:rPr>
        <w:t>AMENDMENT; TERMINATION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9.</w:t>
      </w:r>
      <w:r>
        <w:rPr>
          <w:rFonts w:ascii="Times New Roman;sans-serif" w:hAnsi="Times New Roman;sans-serif"/>
          <w:b/>
          <w:color w:val="000000"/>
          <w:sz w:val="20"/>
        </w:rPr>
        <w:t>SUCCESSORS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10.</w:t>
      </w:r>
      <w:r>
        <w:rPr>
          <w:rFonts w:ascii="Times New Roman;sans-serif" w:hAnsi="Times New Roman;sans-serif"/>
          <w:b/>
          <w:color w:val="000000"/>
          <w:sz w:val="20"/>
        </w:rPr>
        <w:t>REQUIRED FILINGS</w:t>
      </w:r>
    </w:p>
    <w:p>
      <w:pPr>
        <w:pStyle w:val="TextBody"/>
        <w:bidi w:val="0"/>
        <w:spacing w:before="0" w:after="0"/>
        <w:ind w:left="0" w:right="0" w:firstLine="36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shall make any disclosures and filings with respect to this Policy that are required by law, including as required by the SEC.</w:t>
      </w:r>
    </w:p>
    <w:p>
      <w:pPr>
        <w:pStyle w:val="TextBody"/>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438133/000143813323000153/exhibit31amendedandrestate.htm" TargetMode="External"/><Relationship Id="rId6" Type="http://schemas.openxmlformats.org/officeDocument/2006/relationships/hyperlink" Target="https://www.sec.gov/Archives/edgar/data/1438133/000143813323000153/exhibit32amendedandrestate.htm" TargetMode="External"/><Relationship Id="rId7" Type="http://schemas.openxmlformats.org/officeDocument/2006/relationships/hyperlink" Target="https://www.sec.gov/Archives/edgar/data/1438133/000143813323000153/exhibit31amendedandrestate.htm" TargetMode="External"/><Relationship Id="rId8" Type="http://schemas.openxmlformats.org/officeDocument/2006/relationships/hyperlink" Target="https://www.sec.gov/Archives/edgar/data/1438133/000143813323000153/exhibit31amendedandrestate.htm" TargetMode="External"/><Relationship Id="rId9" Type="http://schemas.openxmlformats.org/officeDocument/2006/relationships/hyperlink" Target="https://www.sec.gov/Archives/edgar/data/1438133/000143813323000153/exhibit32amendedandrestate.htm" TargetMode="External"/><Relationship Id="rId10" Type="http://schemas.openxmlformats.org/officeDocument/2006/relationships/hyperlink" Target="http://www.sec.gov/Archives/edgar/data/1438133/000119312513423605/d576419dex41.htm" TargetMode="External"/><Relationship Id="rId11" Type="http://schemas.openxmlformats.org/officeDocument/2006/relationships/hyperlink" Target="http://www.sec.gov/Archives/edgar/data/1438133/000119312517074757/d355394dex43.htm" TargetMode="External"/><Relationship Id="rId12" Type="http://schemas.openxmlformats.org/officeDocument/2006/relationships/hyperlink" Target="https://www.sec.gov/Archives/edgar/data/1438133/000143813320000054/ex41indenture.htm" TargetMode="External"/><Relationship Id="rId13" Type="http://schemas.openxmlformats.org/officeDocument/2006/relationships/hyperlink" Target="https://www.sec.gov/Archives/edgar/data/1438133/000143813320000054/ex41indenture.htm" TargetMode="External"/><Relationship Id="rId14" Type="http://schemas.openxmlformats.org/officeDocument/2006/relationships/hyperlink" Target="https://www.sec.gov/Archives/edgar/data/1438133/000143813320000114/ex102amended2013stockp.htm" TargetMode="External"/><Relationship Id="rId15" Type="http://schemas.openxmlformats.org/officeDocument/2006/relationships/hyperlink" Target="https://www.sec.gov/Archives/edgar/data/1438133/000143813320000114/ex101formofagreementrsu.htm" TargetMode="External"/><Relationship Id="rId16" Type="http://schemas.openxmlformats.org/officeDocument/2006/relationships/hyperlink" Target="http://www.sec.gov/Archives/edgar/data/1438133/000119312513423605/d576419dex107.htm" TargetMode="External"/><Relationship Id="rId17" Type="http://schemas.openxmlformats.org/officeDocument/2006/relationships/hyperlink" Target="http://www.sec.gov/Archives/edgar/data/1438133/000119312513423605/d576419dex108.htm" TargetMode="External"/><Relationship Id="rId18" Type="http://schemas.openxmlformats.org/officeDocument/2006/relationships/hyperlink" Target="https://www.sec.gov/Archives/edgar/data/1438133/000143813323000067/exhibit101-2023bonusplan.htm" TargetMode="External"/><Relationship Id="rId19" Type="http://schemas.openxmlformats.org/officeDocument/2006/relationships/hyperlink" Target="https://www.sec.gov/Archives/edgar/data/1438133/000143813323000067/exhibit101-2023bonusplan.htm" TargetMode="External"/><Relationship Id="rId20" Type="http://schemas.openxmlformats.org/officeDocument/2006/relationships/hyperlink" Target="https://www.sec.gov/Archives/edgar/data/1438133/000143813323000067/exhibit101-2023bonusplan.htm" TargetMode="External"/><Relationship Id="rId21" Type="http://schemas.openxmlformats.org/officeDocument/2006/relationships/hyperlink" Target="https://www.sec.gov/Archives/edgar/data/1438133/000143813323000153/exhibit101-2023longxtermin.htm" TargetMode="External"/><Relationship Id="rId22" Type="http://schemas.openxmlformats.org/officeDocument/2006/relationships/hyperlink" Target="https://www.sec.gov/Archives/edgar/data/1438133/000143813323000153/exhibit102formofrestricted.htm" TargetMode="External"/><Relationship Id="rId23" Type="http://schemas.openxmlformats.org/officeDocument/2006/relationships/hyperlink" Target="http://www.sec.gov/Archives/edgar/data/1438133/000119312513392967/d576419dex1013.htm" TargetMode="External"/><Relationship Id="rId24" Type="http://schemas.openxmlformats.org/officeDocument/2006/relationships/hyperlink" Target="https://www.sec.gov/Archives/edgar/data/1438133/000119312513435460/d576419dex1017.htm" TargetMode="External"/><Relationship Id="rId25" Type="http://schemas.openxmlformats.org/officeDocument/2006/relationships/hyperlink" Target="http://www.sec.gov/Archives/edgar/data/1438133/000119312513435460/d576419dex1019.htm" TargetMode="External"/><Relationship Id="rId26" Type="http://schemas.openxmlformats.org/officeDocument/2006/relationships/hyperlink" Target="http://www.sec.gov/Archives/edgar/data/1438133/000095012318000216/tndm-ex1025_89.htm" TargetMode="External"/><Relationship Id="rId27" Type="http://schemas.openxmlformats.org/officeDocument/2006/relationships/hyperlink" Target="https://www.sec.gov/Archives/edgar/data/1438133/000143813323000179/exhibit101separationagreem.htm" TargetMode="External"/><Relationship Id="rId28" Type="http://schemas.openxmlformats.org/officeDocument/2006/relationships/hyperlink" Target="https://www.sec.gov/Archives/edgar/data/1438133/000143813323000253/exhibit101separationagreem.htm" TargetMode="External"/><Relationship Id="rId29" Type="http://schemas.openxmlformats.org/officeDocument/2006/relationships/hyperlink" Target="https://www.sec.gov/Archives/edgar/data/1438133/000119312513392967/d576419dex1011.htm" TargetMode="External"/><Relationship Id="rId30" Type="http://schemas.openxmlformats.org/officeDocument/2006/relationships/hyperlink" Target="https://www.sec.gov/Archives/edgar/data/1438133/000119312513392967/d576419dex1011.htm" TargetMode="External"/><Relationship Id="rId31" Type="http://schemas.openxmlformats.org/officeDocument/2006/relationships/hyperlink" Target="http://www.sec.gov/Archives/edgar/data/1438133/000119312513435460/d576419dex1020.htm" TargetMode="External"/><Relationship Id="rId32" Type="http://schemas.openxmlformats.org/officeDocument/2006/relationships/hyperlink" Target="http://www.sec.gov/Archives/edgar/data/1438133/000156459018028978/tndm-ex105_14.htm" TargetMode="External"/><Relationship Id="rId33" Type="http://schemas.openxmlformats.org/officeDocument/2006/relationships/hyperlink" Target="https://www.sec.gov/Archives/edgar/data/1438133/000143813321000015/ex1024dexcom-tandemxdevelo.htm" TargetMode="External"/><Relationship Id="rId34" Type="http://schemas.openxmlformats.org/officeDocument/2006/relationships/hyperlink" Target="https://www.sec.gov/Archives/edgar/data/1438133/000143813321000015/ex1025dexcom-tandemxcommer.htm" TargetMode="External"/><Relationship Id="rId35" Type="http://schemas.openxmlformats.org/officeDocument/2006/relationships/hyperlink" Target="https://www.sec.gov/Archives/edgar/data/1438133/000143813320000040/tndm-dxcmagmtx20200331.htm" TargetMode="External"/><Relationship Id="rId36" Type="http://schemas.openxmlformats.org/officeDocument/2006/relationships/hyperlink" Target="https://www.sec.gov/Archives/edgar/data/1438133/000143813322000021/exhibit1035agreementbetwee.htm" TargetMode="External"/><Relationship Id="rId37" Type="http://schemas.openxmlformats.org/officeDocument/2006/relationships/hyperlink" Target="https://www.sec.gov/Archives/edgar/data/1438133/000143813321000195/exhibit101-highbluffleasea.htm" TargetMode="External"/><Relationship Id="rId38" Type="http://schemas.openxmlformats.org/officeDocument/2006/relationships/hyperlink" Target="https://www.sec.gov/Archives/edgar/data/1438133/000143813323000031/ex1033sharepurchaseagreeme.htm" TargetMode="External"/><Relationship Id="rId39" Type="http://schemas.openxmlformats.org/officeDocument/2006/relationships/image" Target="media/image4.jpeg"/><Relationship Id="rId40" Type="http://schemas.openxmlformats.org/officeDocument/2006/relationships/image" Target="media/image4.jpeg"/><Relationship Id="rId41" Type="http://schemas.openxmlformats.org/officeDocument/2006/relationships/image" Target="media/image4.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75959</Words>
  <Characters>429545</Characters>
  <CharactersWithSpaces>502887</CharactersWithSpaces>
  <Paragraphs>3961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