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8" w:lineRule="exact"/>
        <w:rPr>
          <w:sz w:val="24"/>
          <w:szCs w:val="24"/>
          <w:color w:val="auto"/>
        </w:rPr>
      </w:pPr>
    </w:p>
    <w:p>
      <w:pPr>
        <w:ind w:left="600" w:hanging="457"/>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0"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760" w:type="dxa"/>
            <w:vAlign w:val="bottom"/>
          </w:tcPr>
          <w:p>
            <w:pPr>
              <w:jc w:val="right"/>
              <w:ind w:right="61"/>
              <w:spacing w:after="0"/>
              <w:rPr>
                <w:sz w:val="20"/>
                <w:szCs w:val="20"/>
                <w:color w:val="auto"/>
              </w:rPr>
            </w:pPr>
            <w:r>
              <w:rPr>
                <w:rFonts w:ascii="Arial" w:cs="Arial" w:eastAsia="Arial" w:hAnsi="Arial"/>
                <w:sz w:val="18"/>
                <w:szCs w:val="18"/>
                <w:b w:val="1"/>
                <w:bCs w:val="1"/>
                <w:color w:val="auto"/>
              </w:rPr>
              <w:t>20-4327508</w:t>
            </w:r>
          </w:p>
        </w:tc>
      </w:tr>
      <w:tr>
        <w:trPr>
          <w:trHeight w:val="148"/>
        </w:trPr>
        <w:tc>
          <w:tcPr>
            <w:tcW w:w="6040" w:type="dxa"/>
            <w:vAlign w:val="bottom"/>
          </w:tcPr>
          <w:p>
            <w:pPr>
              <w:jc w:val="center"/>
              <w:ind w:right="3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760" w:type="dxa"/>
            <w:vAlign w:val="bottom"/>
          </w:tcPr>
          <w:p>
            <w:pPr>
              <w:jc w:val="center"/>
              <w:ind w:left="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40" w:type="dxa"/>
            <w:vAlign w:val="bottom"/>
          </w:tcPr>
          <w:p>
            <w:pPr>
              <w:jc w:val="center"/>
              <w:ind w:right="3559"/>
              <w:spacing w:after="0"/>
              <w:rPr>
                <w:sz w:val="20"/>
                <w:szCs w:val="20"/>
                <w:color w:val="auto"/>
              </w:rPr>
            </w:pPr>
            <w:r>
              <w:rPr>
                <w:rFonts w:ascii="Arial" w:cs="Arial" w:eastAsia="Arial" w:hAnsi="Arial"/>
                <w:sz w:val="14"/>
                <w:szCs w:val="14"/>
                <w:b w:val="1"/>
                <w:bCs w:val="1"/>
                <w:color w:val="auto"/>
                <w:w w:val="94"/>
              </w:rPr>
              <w:t>incorporation or organization)</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6"/>
              </w:rPr>
              <w:t>Identification No.)</w:t>
            </w:r>
          </w:p>
        </w:tc>
      </w:tr>
      <w:tr>
        <w:trPr>
          <w:trHeight w:val="232"/>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87"/>
              </w:rPr>
              <w:t>11075 Roselle Street</w:t>
            </w: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29"/>
        </w:trPr>
        <w:tc>
          <w:tcPr>
            <w:tcW w:w="6040" w:type="dxa"/>
            <w:vAlign w:val="bottom"/>
          </w:tcPr>
          <w:p>
            <w:pPr>
              <w:ind w:left="420"/>
              <w:spacing w:after="0"/>
              <w:rPr>
                <w:sz w:val="20"/>
                <w:szCs w:val="20"/>
                <w:color w:val="auto"/>
              </w:rPr>
            </w:pPr>
            <w:r>
              <w:rPr>
                <w:rFonts w:ascii="Arial" w:cs="Arial" w:eastAsia="Arial" w:hAnsi="Arial"/>
                <w:sz w:val="18"/>
                <w:szCs w:val="18"/>
                <w:b w:val="1"/>
                <w:bCs w:val="1"/>
                <w:color w:val="auto"/>
              </w:rPr>
              <w:t>San Diego, California</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040" w:type="dxa"/>
            <w:vAlign w:val="bottom"/>
          </w:tcPr>
          <w:p>
            <w:pPr>
              <w:jc w:val="center"/>
              <w:ind w:right="3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60" w:type="dxa"/>
            <w:vAlign w:val="bottom"/>
          </w:tcPr>
          <w:p>
            <w:pPr>
              <w:spacing w:after="0"/>
              <w:rPr>
                <w:sz w:val="16"/>
                <w:szCs w:val="16"/>
                <w:color w:val="auto"/>
              </w:rPr>
            </w:pPr>
          </w:p>
        </w:tc>
      </w:tr>
      <w:tr>
        <w:trPr>
          <w:trHeight w:val="313"/>
        </w:trPr>
        <w:tc>
          <w:tcPr>
            <w:tcW w:w="6040" w:type="dxa"/>
            <w:vAlign w:val="bottom"/>
          </w:tcPr>
          <w:p>
            <w:pPr>
              <w:jc w:val="right"/>
              <w:ind w:right="1619"/>
              <w:spacing w:after="0"/>
              <w:rPr>
                <w:sz w:val="20"/>
                <w:szCs w:val="20"/>
                <w:color w:val="auto"/>
              </w:rPr>
            </w:pPr>
            <w:r>
              <w:rPr>
                <w:rFonts w:ascii="Arial" w:cs="Arial" w:eastAsia="Arial" w:hAnsi="Arial"/>
                <w:sz w:val="18"/>
                <w:szCs w:val="18"/>
                <w:b w:val="1"/>
                <w:bCs w:val="1"/>
                <w:color w:val="auto"/>
              </w:rPr>
              <w:t>(858) 366-6900</w:t>
            </w:r>
          </w:p>
        </w:tc>
        <w:tc>
          <w:tcPr>
            <w:tcW w:w="1760" w:type="dxa"/>
            <w:vAlign w:val="bottom"/>
          </w:tcPr>
          <w:p>
            <w:pPr>
              <w:spacing w:after="0"/>
              <w:rPr>
                <w:sz w:val="24"/>
                <w:szCs w:val="24"/>
                <w:color w:val="auto"/>
              </w:rPr>
            </w:pPr>
          </w:p>
        </w:tc>
      </w:tr>
      <w:tr>
        <w:trPr>
          <w:trHeight w:val="186"/>
        </w:trPr>
        <w:tc>
          <w:tcPr>
            <w:tcW w:w="6040" w:type="dxa"/>
            <w:vAlign w:val="bottom"/>
          </w:tcPr>
          <w:p>
            <w:pPr>
              <w:jc w:val="center"/>
              <w:ind w:left="14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bl>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6"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63"/>
        </w:trPr>
        <w:tc>
          <w:tcPr>
            <w:tcW w:w="3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420" w:type="dxa"/>
            <w:vAlign w:val="bottom"/>
          </w:tcPr>
          <w:p>
            <w:pPr>
              <w:spacing w:after="0"/>
              <w:rPr>
                <w:sz w:val="22"/>
                <w:szCs w:val="22"/>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TNDM</w:t>
            </w:r>
          </w:p>
        </w:tc>
        <w:tc>
          <w:tcPr>
            <w:tcW w:w="8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ind w:right="5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October 28, 2022, there were 64,298,785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22"/>
        </w:trPr>
        <w:tc>
          <w:tcPr>
            <w:tcW w:w="76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Financial Information</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Financial Statements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Balance Sheets at September 30, 2022 (Unaudited) and December 31, 2021</w:t>
            </w:r>
          </w:p>
        </w:tc>
        <w:tc>
          <w:tcPr>
            <w:tcW w:w="18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1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75"/>
        </w:trPr>
        <w:tc>
          <w:tcPr>
            <w:tcW w:w="760" w:type="dxa"/>
            <w:vAlign w:val="bottom"/>
            <w:tcBorders>
              <w:top w:val="single" w:sz="8" w:color="CCEEFF"/>
            </w:tcBorders>
          </w:tcPr>
          <w:p>
            <w:pPr>
              <w:spacing w:after="0"/>
              <w:rPr>
                <w:sz w:val="15"/>
                <w:szCs w:val="15"/>
                <w:color w:val="auto"/>
              </w:rPr>
            </w:pPr>
          </w:p>
        </w:tc>
        <w:tc>
          <w:tcPr>
            <w:tcW w:w="990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w w:val="97"/>
              </w:rPr>
              <w:t>Condensed Consolidated Statements of Operations and Comprehensive Income (Loss) for the Three and Nine Months Ended</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9900" w:type="dxa"/>
            <w:vAlign w:val="bottom"/>
          </w:tcPr>
          <w:p>
            <w:pPr>
              <w:ind w:left="140"/>
              <w:spacing w:after="0" w:line="202" w:lineRule="exact"/>
              <w:rPr>
                <w:sz w:val="20"/>
                <w:szCs w:val="20"/>
                <w:color w:val="auto"/>
              </w:rPr>
            </w:pPr>
            <w:r>
              <w:rPr>
                <w:rFonts w:ascii="Arial" w:cs="Arial" w:eastAsia="Arial" w:hAnsi="Arial"/>
                <w:sz w:val="18"/>
                <w:szCs w:val="18"/>
                <w:color w:val="auto"/>
              </w:rPr>
              <w:t>September 30, 2022 and 2021 (Unaudited)</w:t>
            </w:r>
          </w:p>
        </w:tc>
        <w:tc>
          <w:tcPr>
            <w:tcW w:w="180" w:type="dxa"/>
            <w:vAlign w:val="bottom"/>
            <w:gridSpan w:val="3"/>
          </w:tcPr>
          <w:p>
            <w:pPr>
              <w:jc w:val="center"/>
              <w:spacing w:after="0" w:line="202" w:lineRule="exact"/>
              <w:rPr>
                <w:sz w:val="20"/>
                <w:szCs w:val="20"/>
                <w:color w:val="auto"/>
              </w:rPr>
            </w:pPr>
            <w:r>
              <w:rPr>
                <w:rFonts w:ascii="Arial" w:cs="Arial" w:eastAsia="Arial" w:hAnsi="Arial"/>
                <w:sz w:val="18"/>
                <w:szCs w:val="18"/>
                <w:color w:val="0000FF"/>
                <w:w w:val="99"/>
              </w:rPr>
              <w:t>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Condensed Consolidated Statements of Stockholders’ Equity for the Three and Nine Months Ended September 30, 2022 and 2021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(Unaudited)</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99"/>
              </w:rPr>
              <w:t>3</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189"/>
        </w:trPr>
        <w:tc>
          <w:tcPr>
            <w:tcW w:w="760" w:type="dxa"/>
            <w:vAlign w:val="bottom"/>
          </w:tcPr>
          <w:p>
            <w:pPr>
              <w:spacing w:after="0"/>
              <w:rPr>
                <w:sz w:val="16"/>
                <w:szCs w:val="16"/>
                <w:color w:val="auto"/>
              </w:rPr>
            </w:pP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w w:val="99"/>
              </w:rPr>
              <w:t>Condensed Consolidated Statements of Cash Flows for the Nine Months Ended September 30, 2022 and 2021 (Unaudited)</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Unaudited Condensed Consolidated Financial Statements</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25</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42</w:t>
            </w:r>
          </w:p>
        </w:tc>
        <w:tc>
          <w:tcPr>
            <w:tcW w:w="22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9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44</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Risk Factors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44</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360" w:type="dxa"/>
            <w:vAlign w:val="bottom"/>
            <w:gridSpan w:val="4"/>
            <w:shd w:val="clear" w:color="auto" w:fill="CCEEFF"/>
          </w:tcPr>
          <w:p>
            <w:pPr>
              <w:jc w:val="center"/>
              <w:ind w:right="180"/>
              <w:spacing w:after="0" w:line="189" w:lineRule="exact"/>
              <w:rPr>
                <w:sz w:val="20"/>
                <w:szCs w:val="20"/>
                <w:color w:val="auto"/>
              </w:rPr>
            </w:pPr>
            <w:r>
              <w:rPr>
                <w:rFonts w:ascii="Arial" w:cs="Arial" w:eastAsia="Arial" w:hAnsi="Arial"/>
                <w:sz w:val="18"/>
                <w:szCs w:val="18"/>
                <w:color w:val="0000FF"/>
                <w:w w:val="89"/>
              </w:rPr>
              <w:t>81</w:t>
            </w:r>
          </w:p>
        </w:tc>
        <w:tc>
          <w:tcPr>
            <w:tcW w:w="220" w:type="dxa"/>
            <w:vAlign w:val="bottom"/>
          </w:tcPr>
          <w:p>
            <w:pPr>
              <w:spacing w:after="0"/>
              <w:rPr>
                <w:sz w:val="18"/>
                <w:szCs w:val="18"/>
                <w:color w:val="auto"/>
              </w:rPr>
            </w:pPr>
          </w:p>
        </w:tc>
      </w:tr>
      <w:tr>
        <w:trPr>
          <w:trHeight w:val="1910"/>
        </w:trPr>
        <w:tc>
          <w:tcPr>
            <w:tcW w:w="760" w:type="dxa"/>
            <w:vAlign w:val="bottom"/>
            <w:tcBorders>
              <w:top w:val="single" w:sz="8" w:color="CCEEFF"/>
              <w:bottom w:val="single" w:sz="8" w:color="9A9A9A"/>
            </w:tcBorders>
          </w:tcPr>
          <w:p>
            <w:pPr>
              <w:spacing w:after="0"/>
              <w:rPr>
                <w:sz w:val="24"/>
                <w:szCs w:val="24"/>
                <w:color w:val="auto"/>
              </w:rPr>
            </w:pPr>
          </w:p>
        </w:tc>
        <w:tc>
          <w:tcPr>
            <w:tcW w:w="99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1"/>
        </w:trPr>
        <w:tc>
          <w:tcPr>
            <w:tcW w:w="680" w:type="dxa"/>
            <w:vAlign w:val="bottom"/>
          </w:tcPr>
          <w:p>
            <w:pPr>
              <w:spacing w:after="0"/>
              <w:rPr>
                <w:sz w:val="24"/>
                <w:szCs w:val="24"/>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rPr>
              <w:t>TANDEM DIABETES CARE, INC.</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w w:val="89"/>
              </w:rPr>
              <w:t>(In thousands, except par value)</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1"/>
        </w:trPr>
        <w:tc>
          <w:tcPr>
            <w:tcW w:w="6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r>
      <w:tr>
        <w:trPr>
          <w:trHeight w:val="203"/>
        </w:trPr>
        <w:tc>
          <w:tcPr>
            <w:tcW w:w="6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8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2"/>
              <w:spacing w:after="0"/>
              <w:rPr>
                <w:sz w:val="20"/>
                <w:szCs w:val="20"/>
                <w:color w:val="auto"/>
              </w:rPr>
            </w:pPr>
            <w:r>
              <w:rPr>
                <w:rFonts w:ascii="Arial" w:cs="Arial" w:eastAsia="Arial" w:hAnsi="Arial"/>
                <w:sz w:val="14"/>
                <w:szCs w:val="14"/>
                <w:b w:val="1"/>
                <w:bCs w:val="1"/>
                <w:color w:val="auto"/>
                <w:w w:val="92"/>
              </w:rPr>
              <w:t>(Note 1)</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552,630</w:t>
            </w: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w:t>
            </w: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104,774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68,551</w:t>
            </w: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811,520</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50,386</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27,503</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r>
      <w:tr>
        <w:trPr>
          <w:trHeight w:val="20"/>
        </w:trPr>
        <w:tc>
          <w:tcPr>
            <w:tcW w:w="68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r>
      <w:tr>
        <w:trPr>
          <w:trHeight w:val="229"/>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9,419</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Employee-related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51,556</w:t>
            </w: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9,279</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23,388</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131,856</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281,467</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Deferred revenue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16,940</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472,025</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8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Common stock, $0.001 par value; 200,000 shares authorized, 64,265 and 63,833 shares issued and</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1,140,158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1,068,259</w:t>
            </w:r>
          </w:p>
        </w:tc>
      </w:tr>
      <w:tr>
        <w:trPr>
          <w:trHeight w:val="230"/>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(634,595)</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433,112</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492,803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230,317</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262,486</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190,009</w:t>
            </w: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103,529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62,562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Acquired in-process research and development expenses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151,918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372,534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252,571</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other,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short-term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to compute basic net income (loss)</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63,167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64,066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62,780</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Weighted average shares used to compute diluted 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64,237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64,784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64,067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64,198</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16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2022</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64,210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CFF0FC"/>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1,118,168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(664,366)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449,584</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shd w:val="clear" w:color="auto" w:fill="CFF0FC"/>
          </w:tcPr>
          <w:p>
            <w:pPr>
              <w:ind w:left="180"/>
              <w:spacing w:after="0" w:line="135"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gridSpan w:val="2"/>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22,359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(48,970)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(48,970)</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64,265</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1,140,158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(713,336)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421,822</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2022</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8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18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63,833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CFF0FC"/>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1,068,259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(634,595)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433,112</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40" w:type="dxa"/>
            <w:vAlign w:val="bottom"/>
            <w:shd w:val="clear" w:color="auto" w:fill="CFF0FC"/>
          </w:tcPr>
          <w:p>
            <w:pPr>
              <w:ind w:left="180"/>
              <w:spacing w:after="0" w:line="135" w:lineRule="exact"/>
              <w:rPr>
                <w:sz w:val="20"/>
                <w:szCs w:val="20"/>
                <w:color w:val="auto"/>
              </w:rPr>
            </w:pPr>
            <w:r>
              <w:rPr>
                <w:rFonts w:ascii="Arial" w:cs="Arial" w:eastAsia="Arial" w:hAnsi="Arial"/>
                <w:sz w:val="14"/>
                <w:szCs w:val="14"/>
                <w:color w:val="auto"/>
                <w:w w:val="98"/>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(3,527)</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Arial" w:cs="Arial" w:eastAsia="Arial" w:hAnsi="Arial"/>
                <w:sz w:val="14"/>
                <w:szCs w:val="14"/>
                <w:color w:val="auto"/>
                <w:w w:val="94"/>
              </w:rPr>
              <w:t>Issuance of common stock under Employee Stock Purchase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7,915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Plan</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60,447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(3,899)</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(3,899)</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(78,741)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(78,741)</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64,265</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1,140,158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(713,336)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421,822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 w:name="page6"/>
    <w:bookmarkEnd w:id="5"/>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2021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3"/>
                <w:szCs w:val="3"/>
                <w:color w:val="auto"/>
              </w:rPr>
            </w:pPr>
          </w:p>
        </w:tc>
        <w:tc>
          <w:tcPr>
            <w:tcW w:w="118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3"/>
                <w:szCs w:val="3"/>
                <w:color w:val="auto"/>
              </w:rPr>
            </w:pPr>
          </w:p>
        </w:tc>
        <w:tc>
          <w:tcPr>
            <w:tcW w:w="116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997,190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(651,197)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346,085</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15,873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63,451</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1,034,980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(645,403)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389,654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2021</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3"/>
                <w:szCs w:val="3"/>
                <w:color w:val="auto"/>
              </w:rPr>
            </w:pPr>
          </w:p>
        </w:tc>
        <w:tc>
          <w:tcPr>
            <w:tcW w:w="1380" w:type="dxa"/>
            <w:vAlign w:val="bottom"/>
            <w:gridSpan w:val="2"/>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3"/>
                <w:szCs w:val="3"/>
                <w:color w:val="auto"/>
              </w:rPr>
            </w:pPr>
          </w:p>
        </w:tc>
        <w:tc>
          <w:tcPr>
            <w:tcW w:w="1160" w:type="dxa"/>
            <w:vAlign w:val="bottom"/>
            <w:vMerge w:val="restart"/>
          </w:tcPr>
          <w:p>
            <w:pPr>
              <w:jc w:val="center"/>
              <w:ind w:right="108"/>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(659,210)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184"/>
        </w:trPr>
        <w:tc>
          <w:tcPr>
            <w:tcW w:w="3740" w:type="dxa"/>
            <w:vAlign w:val="bottom"/>
          </w:tcPr>
          <w:p>
            <w:pPr>
              <w:ind w:left="180"/>
              <w:spacing w:after="0"/>
              <w:rPr>
                <w:sz w:val="20"/>
                <w:szCs w:val="20"/>
                <w:color w:val="auto"/>
              </w:rPr>
            </w:pPr>
            <w:r>
              <w:rPr>
                <w:rFonts w:ascii="Arial" w:cs="Arial" w:eastAsia="Arial" w:hAnsi="Arial"/>
                <w:sz w:val="14"/>
                <w:szCs w:val="14"/>
                <w:color w:val="auto"/>
                <w:w w:val="98"/>
              </w:rPr>
              <w:t>Effect of change in accounting for convertible senior notes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80"/>
              <w:spacing w:after="0"/>
              <w:rPr>
                <w:sz w:val="20"/>
                <w:szCs w:val="20"/>
                <w:color w:val="auto"/>
              </w:rPr>
            </w:pPr>
            <w:r>
              <w:rPr>
                <w:rFonts w:ascii="Arial" w:cs="Arial" w:eastAsia="Arial" w:hAnsi="Arial"/>
                <w:sz w:val="14"/>
                <w:szCs w:val="14"/>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30,300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30,301</w:t>
            </w:r>
          </w:p>
        </w:tc>
        <w:tc>
          <w:tcPr>
            <w:tcW w:w="0" w:type="dxa"/>
            <w:vAlign w:val="bottom"/>
          </w:tcPr>
          <w:p>
            <w:pPr>
              <w:spacing w:after="0"/>
              <w:rPr>
                <w:sz w:val="1"/>
                <w:szCs w:val="1"/>
                <w:color w:val="auto"/>
              </w:rPr>
            </w:pPr>
          </w:p>
        </w:tc>
      </w:tr>
      <w:tr>
        <w:trPr>
          <w:trHeight w:val="184"/>
        </w:trPr>
        <w:tc>
          <w:tcPr>
            <w:tcW w:w="3740" w:type="dxa"/>
            <w:vAlign w:val="bottom"/>
          </w:tcPr>
          <w:p>
            <w:pPr>
              <w:ind w:left="180"/>
              <w:spacing w:after="0"/>
              <w:rPr>
                <w:sz w:val="20"/>
                <w:szCs w:val="20"/>
                <w:color w:val="auto"/>
              </w:rPr>
            </w:pPr>
            <w:r>
              <w:rPr>
                <w:rFonts w:ascii="Arial" w:cs="Arial" w:eastAsia="Arial" w:hAnsi="Arial"/>
                <w:sz w:val="14"/>
                <w:szCs w:val="14"/>
                <w:color w:val="auto"/>
                <w:w w:val="98"/>
              </w:rPr>
              <w:t>Vesting of restricted stock units, net of shares withheld for</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4"/>
              </w:rPr>
              <w:t>Issuance of common stock under Employee Stock Purchase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Plan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6,317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204"/>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44,005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4"/>
        </w:trPr>
        <w:tc>
          <w:tcPr>
            <w:tcW w:w="3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4,758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63,451</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1,034,980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(645,403)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389,654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40" w:firstLine="8"/>
        <w:spacing w:after="0" w:line="293"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Company adopted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effective January 1, 2021 (see Note 2, “Summary of Significant Accounting Policies”).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6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(78,741)</w:t>
            </w:r>
          </w:p>
        </w:tc>
        <w:tc>
          <w:tcPr>
            <w:tcW w:w="12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10,689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10,325</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2,955</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Provision for inventory obsolescence</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Change in fair value of common stock warrants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premium (discount) on short-term investments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60,477</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43,653</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Acquired in-process research and development expenses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31,016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Other</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(4,796)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(37,062)</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Prepaid and other current assets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long-term assets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1"/>
        </w:trPr>
        <w:tc>
          <w:tcPr>
            <w:tcW w:w="760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28,038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10,854</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Employee-related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4,998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7,774</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Operating leases and Other current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24,305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39"/>
        </w:trPr>
        <w:tc>
          <w:tcPr>
            <w:tcW w:w="76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44,644</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91,724</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short-term investments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(362,494)</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(542,838)</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maturities of short-term investments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401,062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427,257</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sales of short-term investments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21,845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23,288</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(28,470)</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(8,434)</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including in-process research and development, net of cash acquired</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(25,697)</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Acquisition of intangible assets and strategic investments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(8,855)</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(9,331)</w:t>
            </w:r>
          </w:p>
        </w:tc>
        <w:tc>
          <w:tcPr>
            <w:tcW w:w="0" w:type="dxa"/>
            <w:vAlign w:val="bottom"/>
          </w:tcPr>
          <w:p>
            <w:pPr>
              <w:spacing w:after="0"/>
              <w:rPr>
                <w:sz w:val="1"/>
                <w:szCs w:val="1"/>
                <w:color w:val="auto"/>
              </w:rPr>
            </w:pPr>
          </w:p>
        </w:tc>
      </w:tr>
      <w:tr>
        <w:trPr>
          <w:trHeight w:val="39"/>
        </w:trPr>
        <w:tc>
          <w:tcPr>
            <w:tcW w:w="76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(110,058)</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11,369</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35,453</w:t>
            </w:r>
          </w:p>
        </w:tc>
        <w:tc>
          <w:tcPr>
            <w:tcW w:w="0" w:type="dxa"/>
            <w:vAlign w:val="bottom"/>
          </w:tcPr>
          <w:p>
            <w:pPr>
              <w:spacing w:after="0"/>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financing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10,777</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36,046</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52,605</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17,762</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71,181</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94,613</w:t>
            </w:r>
          </w:p>
        </w:tc>
        <w:tc>
          <w:tcPr>
            <w:tcW w:w="0" w:type="dxa"/>
            <w:vAlign w:val="bottom"/>
          </w:tcPr>
          <w:p>
            <w:pPr>
              <w:spacing w:after="0"/>
              <w:rPr>
                <w:sz w:val="1"/>
                <w:szCs w:val="1"/>
                <w:color w:val="auto"/>
              </w:rPr>
            </w:pP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123,786</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112,375</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2,156</w:t>
            </w:r>
          </w:p>
        </w:tc>
        <w:tc>
          <w:tcPr>
            <w:tcW w:w="120" w:type="dxa"/>
            <w:vAlign w:val="bottom"/>
          </w:tcPr>
          <w:p>
            <w:pPr>
              <w:spacing w:after="0"/>
              <w:rPr>
                <w:sz w:val="17"/>
                <w:szCs w:val="17"/>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6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obligations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110,980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15,087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tcPr>
          <w:p>
            <w:pPr>
              <w:ind w:left="20"/>
              <w:spacing w:after="0"/>
              <w:rPr>
                <w:sz w:val="20"/>
                <w:szCs w:val="20"/>
                <w:color w:val="auto"/>
              </w:rPr>
            </w:pPr>
            <w:r>
              <w:rPr>
                <w:rFonts w:ascii="Arial" w:cs="Arial" w:eastAsia="Arial" w:hAnsi="Arial"/>
                <w:sz w:val="14"/>
                <w:szCs w:val="14"/>
                <w:color w:val="auto"/>
              </w:rPr>
              <w:t>Purchase of property and equipment included in accounts payable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4,319</w:t>
            </w:r>
          </w:p>
        </w:tc>
        <w:tc>
          <w:tcPr>
            <w:tcW w:w="120" w:type="dxa"/>
            <w:vAlign w:val="bottom"/>
          </w:tcPr>
          <w:p>
            <w:pPr>
              <w:spacing w:after="0"/>
              <w:rPr>
                <w:sz w:val="14"/>
                <w:szCs w:val="14"/>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39"/>
        </w:trPr>
        <w:tc>
          <w:tcPr>
            <w:tcW w:w="76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 in the United States, Canada and the Netherlands.</w:t>
      </w:r>
    </w:p>
    <w:p>
      <w:pPr>
        <w:spacing w:after="0" w:line="187"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t:connect mobile app and cloud-based diabetes management application (t:connect), and the Tandem Device Updater, a Mac- and PC-compatible tool which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2021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76"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Starting with the first quarter of 2022, the Company included the liability related to common stock warrants (see Note 5, “Fair Value Measurements”) as a component of other current liabilities on the Company’s condensed consolidated balance sheet. In addition, deferred revenue long-term, which was previously reported as a component of other long-term liabilities, is now separately reported on the condensed consolidated balance sheet. The corresponding balances at December 31, 2021, have been reclassified to conform to the current year presentation.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right="220" w:firstLine="810"/>
        <w:spacing w:after="0" w:line="286" w:lineRule="auto"/>
        <w:rPr>
          <w:sz w:val="20"/>
          <w:szCs w:val="20"/>
          <w:color w:val="auto"/>
        </w:rPr>
      </w:pPr>
      <w:r>
        <w:rPr>
          <w:rFonts w:ascii="Arial" w:cs="Arial" w:eastAsia="Arial" w:hAnsi="Arial"/>
          <w:sz w:val="17"/>
          <w:szCs w:val="17"/>
          <w:color w:val="auto"/>
        </w:rPr>
        <w:t>There have been no material changes to the Company’s significant accounting policies during the nine months ended September 30, 2022, as compared to those disclosed in the Company’s 2021 Annual Report, except for adding the accounting policies related to an asset acquisition and recently launched Tandem Choice technology access program (Tandem Choice), which are included herein.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810"/>
        <w:spacing w:after="0" w:line="293" w:lineRule="auto"/>
        <w:rPr>
          <w:sz w:val="20"/>
          <w:szCs w:val="20"/>
          <w:color w:val="auto"/>
        </w:rPr>
      </w:pPr>
      <w:r>
        <w:rPr>
          <w:rFonts w:ascii="Arial" w:cs="Arial" w:eastAsia="Arial" w:hAnsi="Arial"/>
          <w:sz w:val="16"/>
          <w:szCs w:val="16"/>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including credit risks as a result of the coronavirus pandemic,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80" w:firstLine="810"/>
        <w:spacing w:after="0" w:line="279" w:lineRule="auto"/>
        <w:rPr>
          <w:sz w:val="20"/>
          <w:szCs w:val="20"/>
          <w:color w:val="auto"/>
        </w:rPr>
      </w:pPr>
      <w:r>
        <w:rPr>
          <w:rFonts w:ascii="Arial" w:cs="Arial" w:eastAsia="Arial" w:hAnsi="Arial"/>
          <w:sz w:val="17"/>
          <w:szCs w:val="17"/>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carrying value and estimated fair value of certain of the Company’s common stock warrants was determined using the Black-Scholes pricing model as of September 30, 2022 and December 31, 2021 (see Note 5, “Fair Value Measurements”).</w:t>
      </w:r>
    </w:p>
    <w:p>
      <w:pPr>
        <w:spacing w:after="0" w:line="131" w:lineRule="exact"/>
        <w:rPr>
          <w:sz w:val="20"/>
          <w:szCs w:val="20"/>
          <w:color w:val="auto"/>
        </w:rPr>
      </w:pPr>
    </w:p>
    <w:p>
      <w:pPr>
        <w:ind w:right="200" w:firstLine="810"/>
        <w:spacing w:after="0" w:line="259" w:lineRule="auto"/>
        <w:rPr>
          <w:sz w:val="20"/>
          <w:szCs w:val="20"/>
          <w:color w:val="auto"/>
        </w:rPr>
      </w:pPr>
      <w:r>
        <w:rPr>
          <w:rFonts w:ascii="Arial" w:cs="Arial" w:eastAsia="Arial" w:hAnsi="Arial"/>
          <w:sz w:val="18"/>
          <w:szCs w:val="18"/>
          <w:color w:val="auto"/>
        </w:rPr>
        <w:t>The Company’s convertible senior notes are carried at amortized cost on the condensed consolidated balance sheets (see Note 7, “Debt”). The Company measures the fair value of its convertible senior notes for disclosure purposes. The Company estimated the fair value of its convertible senior notes to be $257.6 million and $430.0 million at September 30, 2022 and December 31, 2021, respectively, based on Level 2 quoted market prices as of those dates.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Right-of-Use Assets and Liabilities</w:t>
      </w:r>
    </w:p>
    <w:p>
      <w:pPr>
        <w:spacing w:after="0" w:line="18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85" w:lineRule="exact"/>
        <w:rPr>
          <w:sz w:val="20"/>
          <w:szCs w:val="20"/>
          <w:color w:val="auto"/>
        </w:rPr>
      </w:pPr>
    </w:p>
    <w:p>
      <w:pPr>
        <w:ind w:firstLine="810"/>
        <w:spacing w:after="0" w:line="248" w:lineRule="auto"/>
        <w:rPr>
          <w:sz w:val="20"/>
          <w:szCs w:val="20"/>
          <w:color w:val="auto"/>
        </w:rPr>
      </w:pPr>
      <w:r>
        <w:rPr>
          <w:rFonts w:ascii="Arial" w:cs="Arial" w:eastAsia="Arial" w:hAnsi="Arial"/>
          <w:sz w:val="18"/>
          <w:szCs w:val="18"/>
          <w:color w:val="auto"/>
        </w:rPr>
        <w:t>During the third quarter of 2022, the Company made an $8.3 million investment in a private company. The investment is accounted for using the cost method, as the investment does not have a readily determinable fair value, and is included as a component of other long-term assets on the condensed consolidated balance sheet at September 30, 2022.</w:t>
      </w:r>
    </w:p>
    <w:p>
      <w:pPr>
        <w:spacing w:after="0" w:line="15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During the second quarter of 2021, the Company made an $8.1 million equity investment in a private company, which represented less than 5% of the outstanding equity of that company as of the date of investment. The investment is accounted for using the cost minus impairment, if any, adjusted for changes in observable prices and is included as a component of other long-term assets on the consolidated balance sheets. The Company monitors this investment to evaluate whether any increase or decline in its value has occurred, based on the implied value of recent company financings, public market prices of comparable companies and general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Capillary Biomedical Acquisition</w:t>
      </w:r>
    </w:p>
    <w:p>
      <w:pPr>
        <w:spacing w:after="0" w:line="185"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On July 21, 2022, the Company acquired Capillary Biomedical, Inc. (Capillary Biomedical) an infusion set developer, for total cash consideration of $24.7 million, and the assumption of $4.7 million of long-term debt. The debt becomes due and payable upon the first sale or license of the commercialized product, and is included as a component of other long-term liabilities on the condensed consolidated balance sheet at September 30, 2022. Capillary Biomedical’s extended-wear infusion set technology is currently in development and is not yet commercially available. The Company funded the purchase price using existing cash balances. The transaction was accounted for as an asset acquisition as substantially all the value of the gross assets were concentrated in a single asset. At the acquisition date, the Company recorded a $31.0 million charge representing the value of acquired in-process research and development assets with no alternative future use, and acquisition related expenses, in acquired in-process research and development expenses on its condensed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98" w:lineRule="exact"/>
        <w:rPr>
          <w:sz w:val="20"/>
          <w:szCs w:val="20"/>
          <w:color w:val="auto"/>
        </w:rPr>
      </w:pPr>
    </w:p>
    <w:p>
      <w:pPr>
        <w:ind w:right="180" w:firstLine="810"/>
        <w:spacing w:after="0" w:line="279" w:lineRule="auto"/>
        <w:rPr>
          <w:sz w:val="20"/>
          <w:szCs w:val="20"/>
          <w:color w:val="auto"/>
        </w:rPr>
      </w:pPr>
      <w:r>
        <w:rPr>
          <w:rFonts w:ascii="Arial" w:cs="Arial" w:eastAsia="Arial" w:hAnsi="Arial"/>
          <w:sz w:val="17"/>
          <w:szCs w:val="17"/>
          <w:color w:val="auto"/>
        </w:rPr>
        <w:t>Finite-lived intangible assets are recorded at cost, net of accumulated amortization and, if applicable, impairment charges. Amortization of finite-lived intangible assets is recognized over their estimated useful lives on a straight-line basis. The Company reviews its finite-lived intangible assets for impairment whenever events or changes in circumstances indicate that the carrying amount of an asset may not be recoverable. The Company did not recognize any impairment losses during the nine months ended September 30, 2022 and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Performance Obligations</w:t>
      </w:r>
    </w:p>
    <w:p>
      <w:pPr>
        <w:spacing w:after="0" w:line="185"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ind w:left="820"/>
        <w:spacing w:after="0"/>
        <w:rPr>
          <w:sz w:val="20"/>
          <w:szCs w:val="20"/>
          <w:color w:val="auto"/>
        </w:rPr>
      </w:pPr>
      <w:r>
        <w:rPr>
          <w:rFonts w:ascii="Arial" w:cs="Arial" w:eastAsia="Arial" w:hAnsi="Arial"/>
          <w:sz w:val="18"/>
          <w:szCs w:val="18"/>
          <w:i w:val="1"/>
          <w:iCs w:val="1"/>
          <w:color w:val="auto"/>
        </w:rPr>
        <w:t>Tandem Choice Program</w:t>
      </w:r>
    </w:p>
    <w:p>
      <w:pPr>
        <w:spacing w:after="0" w:line="198" w:lineRule="exact"/>
        <w:rPr>
          <w:sz w:val="20"/>
          <w:szCs w:val="20"/>
          <w:color w:val="auto"/>
        </w:rPr>
      </w:pPr>
    </w:p>
    <w:p>
      <w:pPr>
        <w:ind w:right="260" w:firstLine="810"/>
        <w:spacing w:after="0" w:line="259" w:lineRule="auto"/>
        <w:rPr>
          <w:sz w:val="20"/>
          <w:szCs w:val="20"/>
          <w:color w:val="auto"/>
        </w:rPr>
      </w:pPr>
      <w:r>
        <w:rPr>
          <w:rFonts w:ascii="Arial" w:cs="Arial" w:eastAsia="Arial" w:hAnsi="Arial"/>
          <w:sz w:val="18"/>
          <w:szCs w:val="18"/>
          <w:color w:val="auto"/>
        </w:rPr>
        <w:t>In September 2022, the Company announced and launched a new technology access program, (Tandem Choice) that provides eligible, in-warranty t:slim X2 customers in the United States with the flexibility to obtain the next generation hardware platform when it is commercially available. Participating customers have the right to purchase the next generation Tandem pump for a fee (the Choice Right). The Tandem Choice expires on December 31, 2024.</w:t>
      </w:r>
    </w:p>
    <w:p>
      <w:pPr>
        <w:spacing w:after="0" w:line="146"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For purposes of evaluating the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contemplates the likelihood that the respective option will be exercised. At September 30, 2022, $0.6 million was allocated to the material right and recorded in current deferred revenue on the condensed consolidated balance sheet.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98"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154"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three and nine months ended September 30, 2022 and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8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(decreases) in warranty estimates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r>
      <w:tr>
        <w:trPr>
          <w:trHeight w:val="248"/>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the period</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As of September 30, 2022 and December 31, 2021, total product warranty reserves were included in the following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60" w:firstLine="810"/>
        <w:spacing w:after="0" w:line="287"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8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 the three and nine months ended September 30, 2022, the net loss used in the calculation of diluted net loss per share was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$12,000 and $0.1 million, respectively, to remove the gain recognized from the change in fair value of certain common stock warrants based on the dilutive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of assumed exercise, and the denominator was increased by 937 shares and 959 shares, respectively, calculated under the treasury stock method.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and nine months ended September 30, 2021, the numerator and denominator of the diluted net income per share computation were calculated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880" w:type="dxa"/>
            <w:vAlign w:val="bottom"/>
          </w:tcPr>
          <w:p>
            <w:pPr>
              <w:jc w:val="right"/>
              <w:ind w:right="27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2021</w:t>
            </w:r>
          </w:p>
        </w:tc>
        <w:tc>
          <w:tcPr>
            <w:tcW w:w="220" w:type="dxa"/>
            <w:vAlign w:val="bottom"/>
          </w:tcPr>
          <w:p>
            <w:pPr>
              <w:spacing w:after="0"/>
              <w:rPr>
                <w:sz w:val="18"/>
                <w:szCs w:val="18"/>
                <w:color w:val="auto"/>
              </w:rPr>
            </w:pPr>
          </w:p>
        </w:tc>
        <w:tc>
          <w:tcPr>
            <w:tcW w:w="188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September 30, 2021</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Net income - basic and diluted</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line="199" w:lineRule="exact"/>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line="199"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Dilutive common share equivalents:</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to purchase common stock</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Unvested restricted stock units</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to purchase common stock</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Awards to be granted under the ESPP</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4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ind w:right="420" w:firstLine="810"/>
        <w:spacing w:after="0" w:line="277"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60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2"/>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4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w w:val="89"/>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bottom w:val="single" w:sz="8" w:color="auto"/>
            </w:tcBorders>
            <w:gridSpan w:val="3"/>
          </w:tcPr>
          <w:p>
            <w:pPr>
              <w:jc w:val="center"/>
              <w:ind w:left="913"/>
              <w:spacing w:after="0"/>
              <w:rPr>
                <w:sz w:val="20"/>
                <w:szCs w:val="20"/>
                <w:color w:val="auto"/>
              </w:rPr>
            </w:pPr>
            <w:r>
              <w:rPr>
                <w:rFonts w:ascii="Arial" w:cs="Arial" w:eastAsia="Arial" w:hAnsi="Arial"/>
                <w:sz w:val="16"/>
                <w:szCs w:val="16"/>
                <w:b w:val="1"/>
                <w:bCs w:val="1"/>
                <w:color w:val="auto"/>
                <w:w w:val="91"/>
              </w:rPr>
              <w:t>September 30,</w:t>
            </w:r>
          </w:p>
        </w:tc>
        <w:tc>
          <w:tcPr>
            <w:tcW w:w="100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6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Awards granted under the ESPP</w:t>
            </w: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3"/>
        </w:trPr>
        <w:tc>
          <w:tcPr>
            <w:tcW w:w="490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5,454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6,049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r>
      <w:tr>
        <w:trPr>
          <w:trHeight w:val="20"/>
        </w:trPr>
        <w:tc>
          <w:tcPr>
            <w:tcW w:w="4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 xml:space="preserve">In June 2020, the FASB issued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which is intended to simplify the accounting for convertible instruments. This new guidance eliminated certain models that require separate accounting for embedded conversion features, and eliminated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could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(see Note 7, “Debt”).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189"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September 30, 2022 and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September 30, 2022</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ind w:left="60"/>
              <w:spacing w:after="0"/>
              <w:rPr>
                <w:sz w:val="20"/>
                <w:szCs w:val="20"/>
                <w:color w:val="auto"/>
              </w:rPr>
            </w:pPr>
            <w:r>
              <w:rPr>
                <w:rFonts w:ascii="Arial" w:cs="Arial" w:eastAsia="Arial" w:hAnsi="Arial"/>
                <w:sz w:val="16"/>
                <w:szCs w:val="16"/>
                <w:b w:val="1"/>
                <w:bCs w:val="1"/>
                <w:color w:val="auto"/>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ind w:left="180"/>
              <w:spacing w:after="0" w:line="175" w:lineRule="exact"/>
              <w:rPr>
                <w:sz w:val="20"/>
                <w:szCs w:val="20"/>
                <w:color w:val="auto"/>
              </w:rPr>
            </w:pPr>
            <w:r>
              <w:rPr>
                <w:rFonts w:ascii="Arial" w:cs="Arial" w:eastAsia="Arial" w:hAnsi="Arial"/>
                <w:sz w:val="16"/>
                <w:szCs w:val="16"/>
                <w:b w:val="1"/>
                <w:bCs w:val="1"/>
                <w:color w:val="auto"/>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259,258</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255,956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222,206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contractual maturities of available-for-sale debt securities as of September 30, 2022,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Years to Maturity</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4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At September 30, 2022</w:t>
            </w:r>
          </w:p>
        </w:tc>
        <w:tc>
          <w:tcPr>
            <w:tcW w:w="2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Within One Year</w:t>
            </w:r>
          </w:p>
        </w:tc>
        <w:tc>
          <w:tcPr>
            <w:tcW w:w="2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211"/>
              <w:spacing w:after="0" w:line="175" w:lineRule="exact"/>
              <w:rPr>
                <w:sz w:val="20"/>
                <w:szCs w:val="20"/>
                <w:color w:val="auto"/>
              </w:rPr>
            </w:pPr>
            <w:r>
              <w:rPr>
                <w:rFonts w:ascii="Arial" w:cs="Arial" w:eastAsia="Arial" w:hAnsi="Arial"/>
                <w:sz w:val="16"/>
                <w:szCs w:val="16"/>
                <w:b w:val="1"/>
                <w:bCs w:val="1"/>
                <w:color w:val="auto"/>
                <w:w w:val="97"/>
              </w:rPr>
              <w:t>One to Two 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right"/>
              <w:ind w:right="111"/>
              <w:spacing w:after="0" w:line="175" w:lineRule="exact"/>
              <w:rPr>
                <w:sz w:val="20"/>
                <w:szCs w:val="20"/>
                <w:color w:val="auto"/>
              </w:rPr>
            </w:pPr>
            <w:r>
              <w:rPr>
                <w:rFonts w:ascii="Arial" w:cs="Arial" w:eastAsia="Arial" w:hAnsi="Arial"/>
                <w:sz w:val="16"/>
                <w:szCs w:val="16"/>
                <w:b w:val="1"/>
                <w:bCs w:val="1"/>
                <w:color w:val="auto"/>
                <w:w w:val="95"/>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255,956</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142,906</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U.S. Government-sponsored enterprises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66,217</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457,239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484,941</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810"/>
        <w:spacing w:after="0" w:line="261"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8" w:lineRule="exact"/>
        <w:rPr>
          <w:sz w:val="20"/>
          <w:szCs w:val="20"/>
          <w:color w:val="auto"/>
        </w:rPr>
      </w:pPr>
    </w:p>
    <w:p>
      <w:pPr>
        <w:ind w:right="20" w:firstLine="810"/>
        <w:spacing w:after="0" w:line="261" w:lineRule="auto"/>
        <w:rPr>
          <w:sz w:val="20"/>
          <w:szCs w:val="20"/>
          <w:color w:val="auto"/>
        </w:rPr>
      </w:pPr>
      <w:r>
        <w:rPr>
          <w:rFonts w:ascii="Arial" w:cs="Arial" w:eastAsia="Arial" w:hAnsi="Arial"/>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September 30, 2022 were primarily due to the recent increase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September 30,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Composition of Certain Financial Statement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net consisted of the following at September 30, 2022 and December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8"/>
                <w:szCs w:val="18"/>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2021</w:t>
            </w:r>
          </w:p>
        </w:tc>
      </w:tr>
      <w:tr>
        <w:trPr>
          <w:trHeight w:val="22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114,974</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the allowance for estimated accounts receivable credit losses for the three and nine months ended September 30, 2022 and 2021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09"/>
        </w:trPr>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3"/>
              </w:rPr>
              <w:t>4,249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8"/>
              </w:rPr>
              <w:t>3,857</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534"/>
              <w:spacing w:after="0"/>
              <w:rPr>
                <w:sz w:val="20"/>
                <w:szCs w:val="20"/>
                <w:color w:val="auto"/>
              </w:rPr>
            </w:pPr>
            <w:r>
              <w:rPr>
                <w:rFonts w:ascii="Arial" w:cs="Arial" w:eastAsia="Arial" w:hAnsi="Arial"/>
                <w:sz w:val="18"/>
                <w:szCs w:val="18"/>
                <w:color w:val="auto"/>
                <w:w w:val="93"/>
              </w:rPr>
              <w:t>2,955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center"/>
              <w:ind w:left="352"/>
              <w:spacing w:after="0"/>
              <w:rPr>
                <w:sz w:val="20"/>
                <w:szCs w:val="20"/>
                <w:color w:val="auto"/>
              </w:rPr>
            </w:pPr>
            <w:r>
              <w:rPr>
                <w:rFonts w:ascii="Arial" w:cs="Arial" w:eastAsia="Arial" w:hAnsi="Arial"/>
                <w:sz w:val="18"/>
                <w:szCs w:val="18"/>
                <w:color w:val="auto"/>
                <w:w w:val="88"/>
              </w:rPr>
              <w:t>1,462</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(1,292)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1"/>
              </w:rPr>
              <w:t>(2,931)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94"/>
              </w:rPr>
              <w:t>(1,525)</w:t>
            </w:r>
          </w:p>
        </w:tc>
      </w:tr>
      <w:tr>
        <w:trPr>
          <w:trHeight w:val="223"/>
        </w:trPr>
        <w:tc>
          <w:tcPr>
            <w:tcW w:w="486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93"/>
              </w:rPr>
              <w:t>4,273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8"/>
              </w:rPr>
              <w:t>3,794</w:t>
            </w:r>
          </w:p>
        </w:tc>
      </w:tr>
      <w:tr>
        <w:trPr>
          <w:trHeight w:val="21"/>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at September 30, 2022 and December 31,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w w:val="90"/>
              </w:rPr>
              <w:t>December 31, 2021</w:t>
            </w:r>
          </w:p>
        </w:tc>
      </w:tr>
      <w:tr>
        <w:trPr>
          <w:trHeight w:val="226"/>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16,612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w:t>
            </w: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68,551</w:t>
            </w:r>
          </w:p>
        </w:tc>
      </w:tr>
      <w:tr>
        <w:trPr>
          <w:trHeight w:val="21"/>
        </w:trPr>
        <w:tc>
          <w:tcPr>
            <w:tcW w:w="8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46"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04" w:lineRule="exact"/>
        <w:rPr>
          <w:sz w:val="20"/>
          <w:szCs w:val="20"/>
          <w:color w:val="auto"/>
        </w:rPr>
      </w:pPr>
    </w:p>
    <w:p>
      <w:pPr>
        <w:ind w:left="1000" w:right="260" w:hanging="971"/>
        <w:spacing w:after="0" w:line="235"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67" w:lineRule="exact"/>
        <w:rPr>
          <w:sz w:val="20"/>
          <w:szCs w:val="20"/>
          <w:color w:val="auto"/>
        </w:rPr>
      </w:pPr>
    </w:p>
    <w:p>
      <w:pPr>
        <w:ind w:left="1000" w:right="80" w:hanging="971"/>
        <w:spacing w:after="0" w:line="235"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67" w:lineRule="exact"/>
        <w:rPr>
          <w:sz w:val="20"/>
          <w:szCs w:val="20"/>
          <w:color w:val="auto"/>
        </w:rPr>
      </w:pPr>
    </w:p>
    <w:p>
      <w:pPr>
        <w:ind w:left="1000" w:right="600" w:hanging="971"/>
        <w:spacing w:after="0" w:line="235" w:lineRule="auto"/>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September 30, 2022 and December 31, 2021, and indicates the fair value hierarchy of the valuation techniques used by the Company to determine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76,749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76,749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Common stock warrants</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81"/>
        </w:trPr>
        <w:tc>
          <w:tcPr>
            <w:tcW w:w="5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600,916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Common stock warrants</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Generally, cash equivalents include money market funds and investments with a maturity of three months or less from the date of purchase.</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other current liabilities on the Company’s condensed consolidated balance sheets.</w:t>
      </w:r>
    </w:p>
    <w:p>
      <w:pPr>
        <w:spacing w:after="0" w:line="21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46" w:lineRule="exact"/>
        <w:rPr>
          <w:sz w:val="20"/>
          <w:szCs w:val="20"/>
          <w:color w:val="auto"/>
        </w:rPr>
      </w:pPr>
    </w:p>
    <w:p>
      <w:pPr>
        <w:ind w:right="100" w:firstLine="810"/>
        <w:spacing w:after="0" w:line="301" w:lineRule="auto"/>
        <w:rPr>
          <w:sz w:val="20"/>
          <w:szCs w:val="20"/>
          <w:color w:val="auto"/>
        </w:rPr>
      </w:pPr>
      <w:r>
        <w:rPr>
          <w:rFonts w:ascii="Arial" w:cs="Arial" w:eastAsia="Arial" w:hAnsi="Arial"/>
          <w:sz w:val="16"/>
          <w:szCs w:val="16"/>
          <w:color w:val="auto"/>
        </w:rPr>
        <w:t>The Company's Level 3 liabilities at September 30, 2022 and December 31, 2021 included the remaining Series A warrants issued by the Company in connection with the public offering of common stock in October 2017. The Series A warrants, which expire in October 2022, provide holders the right to purchase shares of the Company’s common stock at an exercise price of $3.50 per share. As of September 30, 2022 and December 31, 2021, there were Series A warrants outstanding to purchase 1,000 shares of the Company’s common stock (see Note 8, “Stockholders’ Equity”).</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16" w:name="page17"/>
    <w:bookmarkEnd w:id="16"/>
    <w:p>
      <w:pPr>
        <w:ind w:right="160" w:firstLine="810"/>
        <w:spacing w:after="0" w:line="296"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using a Black-Scholes pricing model. Variables used in the pricing model include the closing market price of the Company’s common stock at the balance sheet date, as well as estimated stock price volatility, dividend yield, remaining warrant term, and risk-free interest rate.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September 30, 2022 and December 31, 2021 are presented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920" w:type="dxa"/>
            <w:vAlign w:val="bottom"/>
            <w:tcBorders>
              <w:bottom w:val="single" w:sz="8" w:color="auto"/>
            </w:tcBorders>
            <w:gridSpan w:val="3"/>
          </w:tcPr>
          <w:p>
            <w:pPr>
              <w:jc w:val="right"/>
              <w:ind w:right="1232"/>
              <w:spacing w:after="0"/>
              <w:rPr>
                <w:sz w:val="20"/>
                <w:szCs w:val="20"/>
                <w:color w:val="auto"/>
              </w:rPr>
            </w:pPr>
            <w:r>
              <w:rPr>
                <w:rFonts w:ascii="Arial" w:cs="Arial" w:eastAsia="Arial" w:hAnsi="Arial"/>
                <w:sz w:val="16"/>
                <w:szCs w:val="16"/>
                <w:b w:val="1"/>
                <w:bCs w:val="1"/>
                <w:color w:val="auto"/>
              </w:rPr>
              <w:t>Series A Warrants</w:t>
            </w:r>
          </w:p>
        </w:tc>
      </w:tr>
      <w:tr>
        <w:trPr>
          <w:trHeight w:val="210"/>
        </w:trPr>
        <w:tc>
          <w:tcPr>
            <w:tcW w:w="732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 2022</w:t>
            </w:r>
          </w:p>
        </w:tc>
        <w:tc>
          <w:tcPr>
            <w:tcW w:w="190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6"/>
                <w:szCs w:val="16"/>
                <w:color w:val="auto"/>
              </w:rPr>
            </w:pPr>
          </w:p>
        </w:tc>
      </w:tr>
      <w:tr>
        <w:trPr>
          <w:trHeight w:val="213"/>
        </w:trPr>
        <w:tc>
          <w:tcPr>
            <w:tcW w:w="8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(Gain) loss recognized from the change in fair value of common stock warrants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exercised during the period</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8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condensed consolidated balance sheets. The Company is required to recognize operating lease right-of-use assets and liabilities, and begin recording lease expense when the Company takes possession of the leased property (the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before that date.</w:t>
      </w:r>
    </w:p>
    <w:p>
      <w:pPr>
        <w:spacing w:after="0" w:line="12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Sorrento Lease</w:t>
      </w:r>
    </w:p>
    <w:p>
      <w:pPr>
        <w:spacing w:after="0" w:line="19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March 2021, the Company entered into a second amendment (Second Amendment) to its lease agreement for office space located on Vista Sorrento Parkway in San Diego, California (Vista Sorrento Lease) covering 59,013 square feet of general administrative office space (Existing Premises).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operating lease right-of-use assets and corresponding operating lease liabilities of $15.1 million on the condensed consolidated balance sheet in the first quarter of 2021 related to the Second Amendment.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Tech Center Lease</w:t>
      </w:r>
    </w:p>
    <w:p>
      <w:pPr>
        <w:spacing w:after="0" w:line="198"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occupying 77,458 square feet of leased space, located on Roselle Street in San Diego, California, that is scheduled to expire in May 2023.</w:t>
      </w:r>
    </w:p>
    <w:p>
      <w:pPr>
        <w:spacing w:after="0" w:line="121"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The initial lease term Phase I Commencement Date occurred in March 2022 when the Company was tendered possession of the Phase I portion of the Premises, and rent payments commenced in September 2022 (the Phase I Rent Commencement Date). The Phase II Commencement Date is expected to occur upon the earlier of (i) the date upon which the Company first commences business in the Phase II portion of the Premises, and (ii) May 1, 2025 (the Phase II Rent Commencement Date). The Tech Center Lease term expires in April 2035. The Company has two options to extend the term of the lease, with each option providing for an additional period of five years. The Tech Center Lease term was determined assuming the renewal options would not be exercised.</w:t>
      </w:r>
    </w:p>
    <w:p>
      <w:pPr>
        <w:spacing w:after="0" w:line="152"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color w:val="auto"/>
        </w:rPr>
        <w:t>The Tech Center Lease also includes a first right of offer with respect to an additional 34,569 rentable square feet of general office space should the space become available. The lease term and associated base rent for the additional space will not be known until the Company is notified that the additional space has become available, and the Company elects to lease the space on terms mutually satisfactory to the Company and the landlord.</w:t>
      </w:r>
    </w:p>
    <w:p>
      <w:pPr>
        <w:spacing w:after="0" w:line="122"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initial base rent for the Tech Center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condensed consolidated balance sheet on the Phase I Commencement Date in the first quarter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Bluff Lease</w:t>
      </w:r>
    </w:p>
    <w:p>
      <w:pPr>
        <w:spacing w:after="0" w:line="225" w:lineRule="exact"/>
        <w:rPr>
          <w:sz w:val="20"/>
          <w:szCs w:val="20"/>
          <w:color w:val="auto"/>
        </w:rPr>
      </w:pPr>
    </w:p>
    <w:p>
      <w:pPr>
        <w:ind w:right="120" w:firstLine="810"/>
        <w:spacing w:after="0" w:line="275" w:lineRule="auto"/>
        <w:rPr>
          <w:sz w:val="20"/>
          <w:szCs w:val="20"/>
          <w:color w:val="auto"/>
        </w:rPr>
      </w:pPr>
      <w:r>
        <w:rPr>
          <w:rFonts w:ascii="Arial" w:cs="Arial" w:eastAsia="Arial" w:hAnsi="Arial"/>
          <w:sz w:val="17"/>
          <w:szCs w:val="17"/>
          <w:color w:val="auto"/>
        </w:rPr>
        <w:t>In May 2021, the Company entered into a lease agreement for approximately 31,372 square feet of general office space located on High Bluff Drive, in San Diego, California (High Bluff Lease). The High Bluff Lease is a direct lease agreement for property the Company previously occupied subject to a sublease agreement. The lease term began in April 2022 following the termination of the High Bluff sublease in March 2022, and is scheduled to expire in March 2024. The Company recognized operating lease right-of-use assets and corresponding operating lease liabilities of $3.0 million on the condensed consolidated balance sheet on the Commencement Date in the second quarter of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Lease Disclosure Information</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costs recorded in the condensed consolidated statements of operations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304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760" w:type="dxa"/>
            <w:vAlign w:val="bottom"/>
            <w:gridSpan w:val="4"/>
          </w:tcPr>
          <w:p>
            <w:pPr>
              <w:jc w:val="right"/>
              <w:ind w:right="17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p>
      <w:pPr>
        <w:ind w:left="820"/>
        <w:spacing w:after="0"/>
        <w:rPr>
          <w:sz w:val="20"/>
          <w:szCs w:val="20"/>
          <w:color w:val="auto"/>
        </w:rPr>
      </w:pPr>
      <w:r>
        <w:rPr>
          <w:rFonts w:ascii="Arial" w:cs="Arial" w:eastAsia="Arial" w:hAnsi="Arial"/>
          <w:sz w:val="18"/>
          <w:szCs w:val="18"/>
          <w:color w:val="auto"/>
        </w:rPr>
        <w:t>Maturities of operating lease liabilities at September 30, 2022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880" w:type="dxa"/>
            <w:vAlign w:val="bottom"/>
            <w:shd w:val="clear" w:color="auto" w:fill="CCEEFF"/>
          </w:tcPr>
          <w:p>
            <w:pPr>
              <w:spacing w:after="0"/>
              <w:rPr>
                <w:sz w:val="20"/>
                <w:szCs w:val="20"/>
                <w:color w:val="auto"/>
              </w:rPr>
            </w:pP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14,614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17,475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120,235</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189,836</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(50,607)</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139,229</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127,109</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r>
      <w:tr>
        <w:trPr>
          <w:trHeight w:val="460"/>
        </w:trPr>
        <w:tc>
          <w:tcPr>
            <w:tcW w:w="9400" w:type="dxa"/>
            <w:vAlign w:val="bottom"/>
            <w:gridSpan w:val="5"/>
          </w:tcPr>
          <w:p>
            <w:pPr>
              <w:ind w:left="820"/>
              <w:spacing w:after="0"/>
              <w:rPr>
                <w:sz w:val="20"/>
                <w:szCs w:val="20"/>
                <w:color w:val="auto"/>
              </w:rPr>
            </w:pPr>
            <w:r>
              <w:rPr>
                <w:rFonts w:ascii="Arial" w:cs="Arial" w:eastAsia="Arial" w:hAnsi="Arial"/>
                <w:sz w:val="18"/>
                <w:szCs w:val="18"/>
                <w:color w:val="212529"/>
                <w:w w:val="91"/>
              </w:rPr>
              <w:t>The weighted-average remaining lease term and weighted-average discount rate for operating leases were as follows:</w:t>
            </w:r>
          </w:p>
        </w:tc>
        <w:tc>
          <w:tcPr>
            <w:tcW w:w="1840" w:type="dxa"/>
            <w:vAlign w:val="bottom"/>
          </w:tcPr>
          <w:p>
            <w:pPr>
              <w:spacing w:after="0"/>
              <w:rPr>
                <w:sz w:val="24"/>
                <w:szCs w:val="24"/>
                <w:color w:val="auto"/>
              </w:rPr>
            </w:pPr>
          </w:p>
        </w:tc>
      </w:tr>
      <w:tr>
        <w:trPr>
          <w:trHeight w:val="416"/>
        </w:trPr>
        <w:tc>
          <w:tcPr>
            <w:tcW w:w="6980" w:type="dxa"/>
            <w:vAlign w:val="bottom"/>
          </w:tcPr>
          <w:p>
            <w:pPr>
              <w:spacing w:after="0"/>
              <w:rPr>
                <w:sz w:val="24"/>
                <w:szCs w:val="24"/>
                <w:color w:val="auto"/>
              </w:rPr>
            </w:pPr>
          </w:p>
        </w:tc>
        <w:tc>
          <w:tcPr>
            <w:tcW w:w="242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 2022</w:t>
            </w:r>
          </w:p>
        </w:tc>
        <w:tc>
          <w:tcPr>
            <w:tcW w:w="18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December 31, 2021</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322" w:lineRule="exact"/>
        <w:rPr>
          <w:sz w:val="20"/>
          <w:szCs w:val="20"/>
          <w:color w:val="auto"/>
        </w:rPr>
      </w:pPr>
    </w:p>
    <w:p>
      <w:pPr>
        <w:ind w:right="880" w:firstLine="810"/>
        <w:spacing w:after="0" w:line="288"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$9.4 million and $7.1 million for the nine months ended September 30, 2022 and 2021, respectively</w:t>
      </w:r>
      <w:r>
        <w:rPr>
          <w:rFonts w:ascii="Arial" w:cs="Arial" w:eastAsia="Arial" w:hAnsi="Arial"/>
          <w:sz w:val="21"/>
          <w:szCs w:val="21"/>
          <w:color w:val="008080"/>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For Which Accounting Has Not Yet Commenced</w:t>
      </w:r>
    </w:p>
    <w:p>
      <w:pPr>
        <w:spacing w:after="0" w:line="185" w:lineRule="exact"/>
        <w:rPr>
          <w:sz w:val="20"/>
          <w:szCs w:val="20"/>
          <w:color w:val="auto"/>
        </w:rPr>
      </w:pPr>
    </w:p>
    <w:p>
      <w:pPr>
        <w:ind w:right="280" w:firstLine="810"/>
        <w:spacing w:after="0" w:line="296" w:lineRule="auto"/>
        <w:rPr>
          <w:sz w:val="20"/>
          <w:szCs w:val="20"/>
          <w:color w:val="auto"/>
        </w:rPr>
      </w:pPr>
      <w:r>
        <w:rPr>
          <w:rFonts w:ascii="Arial" w:cs="Arial" w:eastAsia="Arial" w:hAnsi="Arial"/>
          <w:sz w:val="16"/>
          <w:szCs w:val="16"/>
          <w:color w:val="auto"/>
        </w:rPr>
        <w:t>As of September 30, 2022, the Commencement Date for Phase II of the Tech Center Lease had not yet occurred. Accordingly, the condensed consolidated balance sheet at September 30, 2022 does not include operating lease right-of-use assets and operating lease liabilities, and the condensed consolidated statements of operations for the three and nine months ended September 30, 2022 do not include any lease costs, related to Phase II of the Tech Center Lease. In addition, the above disclosures of the Company’s lease costs, maturities of operating lease liabilities, and the weighted-average remaining lease term and weighted-average discount rate, do not include any amounts related to Phase II of the Tech Center Lease.</w:t>
      </w:r>
    </w:p>
    <w:p>
      <w:pPr>
        <w:spacing w:after="0" w:line="121" w:lineRule="exact"/>
        <w:rPr>
          <w:sz w:val="20"/>
          <w:szCs w:val="20"/>
          <w:color w:val="auto"/>
        </w:rPr>
      </w:pPr>
    </w:p>
    <w:p>
      <w:pPr>
        <w:jc w:val="both"/>
        <w:ind w:right="40" w:firstLine="810"/>
        <w:spacing w:after="0" w:line="287" w:lineRule="auto"/>
        <w:rPr>
          <w:sz w:val="20"/>
          <w:szCs w:val="20"/>
          <w:color w:val="auto"/>
        </w:rPr>
      </w:pPr>
      <w:r>
        <w:rPr>
          <w:rFonts w:ascii="Arial" w:cs="Arial" w:eastAsia="Arial" w:hAnsi="Arial"/>
          <w:sz w:val="16"/>
          <w:szCs w:val="16"/>
          <w:color w:val="auto"/>
        </w:rPr>
        <w:t>The Company currently estimates that Phase II Commencement Date will occur in the first quarter of 2025, at which time the Phase II operating lease right-of-use assets and liabilities will be recorded. Future minimum payments for monthly base rent due under Phase II of the Tech Center Lease, are currently estimated to total $34.7 million from 2025 through 2035, subject to a number of factors, including the actual Commencement Date of Phase II.</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Because the incremental borrowing rate will not be available until the Phase II Commencement Date, we are not yet able to determine the Phase II operating lease right-of-use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8"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14"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ind w:right="24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The Company expects to settle conversions through a combination settlement, which involves payment in cash equal to the principal portion and delivery of shares of common stock for the excess of the conversion value over the principal portion.</w:t>
      </w:r>
    </w:p>
    <w:p>
      <w:pPr>
        <w:spacing w:after="0" w:line="219"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Company may not redeem the Notes before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15"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before November 1, 2024, in multiples of $1,000 principal amounts, only under the following circumstances:</w:t>
      </w:r>
    </w:p>
    <w:p>
      <w:pPr>
        <w:spacing w:after="0" w:line="197" w:lineRule="exact"/>
        <w:rPr>
          <w:sz w:val="20"/>
          <w:szCs w:val="20"/>
          <w:color w:val="auto"/>
        </w:rPr>
      </w:pPr>
    </w:p>
    <w:p>
      <w:pPr>
        <w:ind w:left="1300" w:right="120" w:hanging="482"/>
        <w:spacing w:after="0" w:line="263"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10" w:lineRule="exact"/>
        <w:rPr>
          <w:rFonts w:ascii="Arial" w:cs="Arial" w:eastAsia="Arial" w:hAnsi="Arial"/>
          <w:sz w:val="18"/>
          <w:szCs w:val="18"/>
          <w:color w:val="auto"/>
        </w:rPr>
      </w:pPr>
    </w:p>
    <w:p>
      <w:pPr>
        <w:ind w:left="1300" w:right="20" w:hanging="482"/>
        <w:spacing w:after="0" w:line="286"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60" w:hanging="482"/>
        <w:spacing w:after="0" w:line="27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52"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97"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net carrying amount of the Notes on the condensed consolidated balance sheets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r>
      <w:tr>
        <w:trPr>
          <w:trHeight w:val="230"/>
        </w:trPr>
        <w:tc>
          <w:tcPr>
            <w:tcW w:w="72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r>
      <w:tr>
        <w:trPr>
          <w:trHeight w:val="248"/>
        </w:trPr>
        <w:tc>
          <w:tcPr>
            <w:tcW w:w="7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282,787</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281,467</w:t>
            </w:r>
          </w:p>
        </w:tc>
      </w:tr>
      <w:tr>
        <w:trPr>
          <w:trHeight w:val="20"/>
        </w:trPr>
        <w:tc>
          <w:tcPr>
            <w:tcW w:w="7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As of September 30, 2022, the unamortized debt issuance costs of $4.7 million associated with the Notes will be amortized to interest expense, at an effective interest rate of 2.2% over the remaining period of approximately 2.7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p>
      <w:pPr>
        <w:ind w:right="180" w:firstLine="810"/>
        <w:spacing w:after="0" w:line="277" w:lineRule="auto"/>
        <w:rPr>
          <w:sz w:val="20"/>
          <w:szCs w:val="20"/>
          <w:color w:val="auto"/>
        </w:rPr>
      </w:pPr>
      <w:r>
        <w:rPr>
          <w:rFonts w:ascii="Arial" w:cs="Arial" w:eastAsia="Arial" w:hAnsi="Arial"/>
          <w:sz w:val="18"/>
          <w:szCs w:val="18"/>
          <w:color w:val="auto"/>
        </w:rPr>
        <w:t>The following table details interest expense related to the Notes recognized for the three and nine months ended September 30, 2022 and 2021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0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3060" w:type="dxa"/>
            <w:vAlign w:val="bottom"/>
            <w:tcBorders>
              <w:bottom w:val="single" w:sz="8" w:color="auto"/>
            </w:tcBorders>
            <w:gridSpan w:val="4"/>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Notes will have a dilutive effect to the extent the average market price per share of common stock for a given reporting period exceeds the conversion price of $112.57. As of September 30, 2022, the if-converted value of the Notes did not exceed the principal amount. As of December 31, 2021, the if-converted value of the Notes exceeded the principal amount by $96.9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19" w:lineRule="exact"/>
        <w:rPr>
          <w:sz w:val="20"/>
          <w:szCs w:val="20"/>
          <w:color w:val="auto"/>
        </w:rPr>
      </w:pPr>
    </w:p>
    <w:p>
      <w:pPr>
        <w:ind w:right="120" w:firstLine="810"/>
        <w:spacing w:after="0" w:line="301" w:lineRule="auto"/>
        <w:rPr>
          <w:sz w:val="20"/>
          <w:szCs w:val="20"/>
          <w:color w:val="auto"/>
        </w:rPr>
      </w:pPr>
      <w:r>
        <w:rPr>
          <w:rFonts w:ascii="Arial" w:cs="Arial" w:eastAsia="Arial" w:hAnsi="Arial"/>
          <w:sz w:val="16"/>
          <w:szCs w:val="16"/>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52"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color w:val="auto"/>
        </w:rPr>
        <w:t>On May 18, 2022, the Company entered into a three-year Revolving Line of Credit Agreement that provides the Company with a maximum principal borrowing amount of $100.0 million (the Line of Credit), reduced by any letters of credit issued and outstanding under a $15.0 million letter of credit sub-limit.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prior to the May 1, 2025 maturity date of the Company’s Convertible Senior Notes, that the Company does not satisfy a predefined liquidity threshold. During the term of the Line of Credit, the Company is required to maintain compliance with two financial maintenance covenants: a minimum consolidated interest coverage ratio and a maximum consolidated net leverage ratio. The Company was in compliance with these financial maintenance covenants as of September 30, 2022. The Line of Credit is secured by a first priority security interest in substantially all of the assets of the Company and its subsidiaries.</w:t>
      </w:r>
    </w:p>
    <w:p>
      <w:pPr>
        <w:spacing w:after="0" w:line="126"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before the maturity date, without premium or penalty.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 of September 30, 2022, the Company’s outstanding borrowings and available balance under the Line of Credit were as follows (in millions):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principal amount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Outstanding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letters of credit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9880" w:type="dxa"/>
            <w:vAlign w:val="bottom"/>
          </w:tcPr>
          <w:p>
            <w:pPr>
              <w:ind w:left="180"/>
              <w:spacing w:after="0"/>
              <w:rPr>
                <w:sz w:val="20"/>
                <w:szCs w:val="20"/>
                <w:color w:val="auto"/>
              </w:rPr>
            </w:pPr>
            <w:r>
              <w:rPr>
                <w:rFonts w:ascii="Arial" w:cs="Arial" w:eastAsia="Arial" w:hAnsi="Arial"/>
                <w:sz w:val="18"/>
                <w:szCs w:val="18"/>
                <w:color w:val="auto"/>
              </w:rPr>
              <w:t>Total available balance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8. Stockholders’ Equity</w:t>
            </w: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9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80" w:type="dxa"/>
            <w:vAlign w:val="bottom"/>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20" w:type="dxa"/>
            <w:vAlign w:val="bottom"/>
            <w:gridSpan w:val="2"/>
          </w:tcPr>
          <w:p>
            <w:pPr>
              <w:ind w:left="820"/>
              <w:spacing w:after="0"/>
              <w:rPr>
                <w:sz w:val="20"/>
                <w:szCs w:val="20"/>
                <w:color w:val="auto"/>
              </w:rPr>
            </w:pPr>
            <w:r>
              <w:rPr>
                <w:rFonts w:ascii="Arial" w:cs="Arial" w:eastAsia="Arial" w:hAnsi="Arial"/>
                <w:sz w:val="18"/>
                <w:szCs w:val="18"/>
                <w:color w:val="auto"/>
                <w:w w:val="93"/>
              </w:rPr>
              <w:t>The following shares of the Company's common stock were reserved for future issuance at September 30, 2022 (in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September 30, 2022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ind w:left="2120"/>
              <w:spacing w:after="0"/>
              <w:rPr>
                <w:sz w:val="20"/>
                <w:szCs w:val="20"/>
                <w:color w:val="auto"/>
              </w:rPr>
            </w:pPr>
            <w:r>
              <w:rPr>
                <w:rFonts w:ascii="Arial" w:cs="Arial" w:eastAsia="Arial" w:hAnsi="Arial"/>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360" w:type="dxa"/>
            <w:vAlign w:val="bottom"/>
          </w:tcPr>
          <w:p>
            <w:pPr>
              <w:jc w:val="right"/>
              <w:ind w:right="254"/>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Expiration Date of Warrants Outstanding</w:t>
            </w:r>
          </w:p>
        </w:tc>
        <w:tc>
          <w:tcPr>
            <w:tcW w:w="0" w:type="dxa"/>
            <w:vAlign w:val="bottom"/>
          </w:tcPr>
          <w:p>
            <w:pPr>
              <w:spacing w:after="0"/>
              <w:rPr>
                <w:sz w:val="1"/>
                <w:szCs w:val="1"/>
                <w:color w:val="auto"/>
              </w:rPr>
            </w:pPr>
          </w:p>
        </w:tc>
      </w:tr>
      <w:tr>
        <w:trPr>
          <w:trHeight w:val="213"/>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360" w:type="dxa"/>
            <w:vAlign w:val="bottom"/>
          </w:tcPr>
          <w:p>
            <w:pPr>
              <w:jc w:val="right"/>
              <w:ind w:right="154"/>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395"/>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March 2017</w:t>
            </w:r>
          </w:p>
        </w:tc>
        <w:tc>
          <w:tcPr>
            <w:tcW w:w="1360" w:type="dxa"/>
            <w:vAlign w:val="bottom"/>
            <w:tcBorders>
              <w:bottom w:val="single" w:sz="8" w:color="CCEEFF"/>
            </w:tcBorders>
          </w:tcPr>
          <w:p>
            <w:pPr>
              <w:jc w:val="right"/>
              <w:ind w:right="355"/>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193,788</w:t>
            </w:r>
          </w:p>
        </w:tc>
        <w:tc>
          <w:tcPr>
            <w:tcW w:w="1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194,788</w:t>
            </w: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respective warrant. The Company issued zero shares and 5,678 shares of its common stock, respectively, upon the exercise of warrants during the three and nine months ended September 30, 2022, and 29,985 and 155,517 shares of its common stock, respectively, upon the exercise of warrants during the three and nine months ended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143"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18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Common stock options have an exercise price equal to the closing price of the Company's common stock on the applicable grant date, and have a maximum term of ten years.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2" w:name="page23"/>
    <w:bookmarkEnd w:id="22"/>
    <w:p>
      <w:pPr>
        <w:ind w:right="360" w:firstLine="810"/>
        <w:spacing w:after="0" w:line="308" w:lineRule="auto"/>
        <w:rPr>
          <w:sz w:val="20"/>
          <w:szCs w:val="20"/>
          <w:color w:val="auto"/>
        </w:rPr>
      </w:pPr>
      <w:r>
        <w:rPr>
          <w:rFonts w:ascii="Arial" w:cs="Arial" w:eastAsia="Arial" w:hAnsi="Arial"/>
          <w:sz w:val="17"/>
          <w:szCs w:val="17"/>
          <w:color w:val="auto"/>
        </w:rPr>
        <w:t>The Company estimates the fair value of stock options using the Black-Scholes option-pricing model on the grant date. The total number of common stock options granted and the respective assumptions used in the Black-Scholes option-pricing model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83,008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355,008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56.89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Restricted stock units (RSUs) have a grant value equal to the closing price of the Company’s common stock on the award date. RSUs granted before March 2022, generally vest over a four-year period based on continued service to the Company as to 25% of the underlying shares on the first anniversary of the award, with the balance of the RSUs vesting quarterly over the following three years. RSUs granted in March 2022 and thereafter vest over a three-year period based on continued service to the Company as to 33% of the underlying shares on the first anniversary of the award, with the balance of the RSUs vesting quarterly over the following two years. In addition, the Company granted 53,662 and 25,674 performance-based RSUs, respectively, during the nine months ended September 30, 2022 and 2021.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total number of RSUs granted, which includes performance-based RSUs, and the respective weighted average grant date fair value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440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granted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330,807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437,340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109.63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70.33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87.98</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p>
      <w:pPr>
        <w:spacing w:after="0" w:line="99"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Nine Months Ended</w:t>
      </w:r>
    </w:p>
    <w:p>
      <w:pPr>
        <w:jc w:val="center"/>
        <w:ind w:left="724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2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29.24</w:t>
            </w:r>
          </w:p>
        </w:tc>
        <w:tc>
          <w:tcPr>
            <w:tcW w:w="6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0.1 %</w:t>
            </w:r>
          </w:p>
        </w:tc>
        <w:tc>
          <w:tcPr>
            <w:tcW w:w="6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47.5 %</w:t>
            </w:r>
          </w:p>
        </w:tc>
        <w:tc>
          <w:tcPr>
            <w:tcW w:w="6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864"/>
        </w:trPr>
        <w:tc>
          <w:tcPr>
            <w:tcW w:w="4580" w:type="dxa"/>
            <w:vAlign w:val="bottom"/>
          </w:tcPr>
          <w:p>
            <w:pPr>
              <w:spacing w:after="0"/>
              <w:rPr>
                <w:sz w:val="24"/>
                <w:szCs w:val="24"/>
                <w:color w:val="auto"/>
              </w:rPr>
            </w:pPr>
          </w:p>
        </w:tc>
        <w:tc>
          <w:tcPr>
            <w:tcW w:w="2740" w:type="dxa"/>
            <w:vAlign w:val="bottom"/>
          </w:tcPr>
          <w:p>
            <w:pPr>
              <w:jc w:val="right"/>
              <w:ind w:right="1510"/>
              <w:spacing w:after="0"/>
              <w:rPr>
                <w:sz w:val="20"/>
                <w:szCs w:val="20"/>
                <w:color w:val="auto"/>
              </w:rPr>
            </w:pPr>
            <w:r>
              <w:rPr>
                <w:rFonts w:ascii="Arial" w:cs="Arial" w:eastAsia="Arial" w:hAnsi="Arial"/>
                <w:sz w:val="18"/>
                <w:szCs w:val="18"/>
                <w:color w:val="auto"/>
              </w:rPr>
              <w:t>21</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p>
      <w:pPr>
        <w:spacing w:after="0" w:line="63"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condensed consolidated statements of operations for all stock-based compensation arrangements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560" w:type="dxa"/>
            <w:vAlign w:val="bottom"/>
            <w:gridSpan w:val="6"/>
            <w:vMerge w:val="restart"/>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3560" w:type="dxa"/>
            <w:vAlign w:val="bottom"/>
            <w:gridSpan w:val="6"/>
            <w:vMerge w:val="continue"/>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40,711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60,477</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$0.9 million at September 30, 2022, and $1.0 million at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Company did not provide a matching contribution before 2022, but began making a discretionary match in the first quarter of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jc w:val="both"/>
        <w:ind w:right="560" w:firstLine="810"/>
        <w:spacing w:after="0" w:line="311" w:lineRule="auto"/>
        <w:rPr>
          <w:sz w:val="20"/>
          <w:szCs w:val="20"/>
          <w:color w:val="auto"/>
        </w:rPr>
      </w:pPr>
      <w:r>
        <w:rPr>
          <w:rFonts w:ascii="Arial" w:cs="Arial" w:eastAsia="Arial" w:hAnsi="Arial"/>
          <w:sz w:val="16"/>
          <w:szCs w:val="16"/>
          <w:color w:val="auto"/>
        </w:rPr>
        <w:t>For the three and nine months ended September 30, 2022, the Company recognized income tax expense of $1.6 million and $2.0 million, respectively, on a pre-tax loss of $47.3 million and $76.7 million. Income tax expense for the three and nine months ended September 30, 2022 was primarily attributable to federal, state and foreign income tax expense as a result of current taxable income in certain jurisdictions.</w:t>
      </w:r>
    </w:p>
    <w:p>
      <w:pPr>
        <w:spacing w:after="0" w:line="108"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For the three and nine months ended September 30, 2021, the Company recognized income tax expense of $0.1 million on a pre-tax income of $5.8 million, and an income tax benefit of $2,000 on pre-tax income of $4.8 million, respectively. The income tax benefit for the nine months ended September 30, 2021 was primarily attributable to excess tax benefits from stock compensation, offset by state and foreign income tax expense as a result of current taxable income in certain jurisdictions.</w:t>
      </w:r>
    </w:p>
    <w:p>
      <w:pPr>
        <w:spacing w:after="0" w:line="160" w:lineRule="exact"/>
        <w:rPr>
          <w:sz w:val="20"/>
          <w:szCs w:val="20"/>
          <w:color w:val="auto"/>
        </w:rPr>
      </w:pPr>
    </w:p>
    <w:p>
      <w:pPr>
        <w:ind w:right="620" w:firstLine="810"/>
        <w:spacing w:after="0" w:line="342" w:lineRule="auto"/>
        <w:rPr>
          <w:sz w:val="20"/>
          <w:szCs w:val="20"/>
          <w:color w:val="auto"/>
        </w:rPr>
      </w:pPr>
      <w:r>
        <w:rPr>
          <w:rFonts w:ascii="Arial" w:cs="Arial" w:eastAsia="Arial" w:hAnsi="Arial"/>
          <w:sz w:val="16"/>
          <w:szCs w:val="16"/>
          <w:color w:val="auto"/>
        </w:rPr>
        <w:t>The Company calculated the provision (benefit) for income taxes for the three and nine months ended September 30, 2022 and 2021, by applying an estimate of the annual effective tax rate for the full year to ordinary income (loss) adjusted by the tax impact of discrete items.</w:t>
      </w:r>
    </w:p>
    <w:p>
      <w:pPr>
        <w:spacing w:after="0" w:line="83"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The Company continues to maintain a full valuation allowance against its net deferred tax assets as of September 30, 2022, based on the current assessment that it is not more likely than not these future benefits will be realized before expiration.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jc w:val="both"/>
        <w:ind w:right="100" w:firstLine="810"/>
        <w:spacing w:after="0" w:line="301"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Saudi Arabia and South Africa. In the United States and Canada, the Company uses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185"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During the three and nine months ended September 30, 2022 and 2021,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8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364,025</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the United States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128,778</w:t>
            </w:r>
          </w:p>
        </w:tc>
      </w:tr>
      <w:tr>
        <w:trPr>
          <w:trHeight w:val="248"/>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492,803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Sales to distributors accounted for 66% and 68% of the Company’s total United States sales for the three months ended September 30, 2022 and 2021, respectively, and 65% and 68% of the Company’s total United States sales for the nine months ended September 30, 2022 and 2021, respectively. Sales to distributors accounted for 96% and 96% of the Company’s total sales outside the United States for the three months ended September 30, 2022 and 2021, respectively, and 96% and 95% of the Company’s total sales outside the United States for the nine months ended September 30, 2022 and 2021,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 xml:space="preserve">In May 2020, the Company was named as a defendant in three California state court class action lawsuits arising from a phishing incident that occurred in January 2020. Collectively, these lawsuits seek statutory, compensatory, actual, and punitive damages; equitable relief, including restitution; pre- and post-judgment interest; injunctive relief; and attorney fees, costs, and expenses from the Company. On July 24, 2020, these three lawsuits were consolidated into a single case in the Superior Court of the State of California in the County of San Bernardino entitled </w:t>
      </w:r>
      <w:r>
        <w:rPr>
          <w:rFonts w:ascii="Arial" w:cs="Arial" w:eastAsia="Arial" w:hAnsi="Arial"/>
          <w:sz w:val="16"/>
          <w:szCs w:val="16"/>
          <w:i w:val="1"/>
          <w:iCs w:val="1"/>
          <w:color w:val="auto"/>
        </w:rPr>
        <w:t>Joseph Deluna et al. v. Tandem</w:t>
      </w:r>
      <w:r>
        <w:rPr>
          <w:rFonts w:ascii="Arial" w:cs="Arial" w:eastAsia="Arial" w:hAnsi="Arial"/>
          <w:sz w:val="16"/>
          <w:szCs w:val="16"/>
          <w:color w:val="auto"/>
        </w:rPr>
        <w:t xml:space="preserve"> </w:t>
      </w:r>
      <w:r>
        <w:rPr>
          <w:rFonts w:ascii="Arial" w:cs="Arial" w:eastAsia="Arial" w:hAnsi="Arial"/>
          <w:sz w:val="16"/>
          <w:szCs w:val="16"/>
          <w:i w:val="1"/>
          <w:iCs w:val="1"/>
          <w:color w:val="auto"/>
        </w:rPr>
        <w:t>Diabetes Care, Inc</w:t>
      </w:r>
      <w:r>
        <w:rPr>
          <w:rFonts w:ascii="Arial" w:cs="Arial" w:eastAsia="Arial" w:hAnsi="Arial"/>
          <w:sz w:val="16"/>
          <w:szCs w:val="16"/>
          <w:color w:val="auto"/>
        </w:rPr>
        <w:t>. The consolidated case alleges violations of the Confidentiality of Medical Information Act (CMIA), California Consumer Privacy Act</w:t>
      </w:r>
      <w:r>
        <w:rPr>
          <w:rFonts w:ascii="Arial" w:cs="Arial" w:eastAsia="Arial" w:hAnsi="Arial"/>
          <w:sz w:val="16"/>
          <w:szCs w:val="16"/>
          <w:i w:val="1"/>
          <w:iCs w:val="1"/>
          <w:color w:val="auto"/>
        </w:rPr>
        <w:t xml:space="preserve"> </w:t>
      </w:r>
      <w:r>
        <w:rPr>
          <w:rFonts w:ascii="Arial" w:cs="Arial" w:eastAsia="Arial" w:hAnsi="Arial"/>
          <w:sz w:val="16"/>
          <w:szCs w:val="16"/>
          <w:color w:val="auto"/>
        </w:rPr>
        <w:t>(CCPA), California’s Unfair Competition Law (UCL), and breach of contract. The Company filed a 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and the Company filed a motion for summary adjudication on plaintiffs’ CMIA claim on April 7, 2022. Both motions are fully briefed. The Company anticipates the Court will hear argument on both motions in the fourth quarter of 2022 or the first quarter of 2023. Although the Company continues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ind w:right="60" w:firstLine="810"/>
        <w:spacing w:after="0" w:line="272" w:lineRule="auto"/>
        <w:rPr>
          <w:sz w:val="20"/>
          <w:szCs w:val="20"/>
          <w:color w:val="auto"/>
        </w:rPr>
      </w:pPr>
      <w:r>
        <w:rPr>
          <w:rFonts w:ascii="Arial" w:cs="Arial" w:eastAsia="Arial" w:hAnsi="Arial"/>
          <w:sz w:val="17"/>
          <w:szCs w:val="17"/>
          <w:color w:val="auto"/>
        </w:rPr>
        <w:t>From time to time, the Company is involved in various other legal proceedings, regulatory matters, and other disputes or claims arising from or related to the normal course of its business activities, including actions with respect to intellectual property, data privacy, employment, regulatory, product liability and contractual matters. Although the results of legal proceedings, disputes and other claims cannot be predicted with certainty, the Company believes it is not currently a party to any other legal proceeding(s) which, if determined adversely to the Company, would, individually or taken together, have a material adverse effect on the Company’s business, operating results, financial condition or cash flows. However, regardless of the merit of the claims raised or the outcome, legal proceedings may have an adverse impact on the Company as a result of defense and settlement costs, diversion of management time and resources, and other factors.</w:t>
      </w:r>
    </w:p>
    <w:p>
      <w:pPr>
        <w:spacing w:after="0" w:line="177"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Except as set forth above, as of September 30, 2022,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8" w:lineRule="exact"/>
        <w:rPr>
          <w:sz w:val="20"/>
          <w:szCs w:val="20"/>
          <w:color w:val="auto"/>
        </w:rPr>
      </w:pPr>
    </w:p>
    <w:p>
      <w:pPr>
        <w:ind w:right="540" w:firstLine="810"/>
        <w:spacing w:after="0" w:line="301" w:lineRule="auto"/>
        <w:rPr>
          <w:sz w:val="20"/>
          <w:szCs w:val="20"/>
          <w:color w:val="auto"/>
        </w:rPr>
      </w:pPr>
      <w:r>
        <w:rPr>
          <w:rFonts w:ascii="Arial" w:cs="Arial" w:eastAsia="Arial" w:hAnsi="Arial"/>
          <w:sz w:val="16"/>
          <w:szCs w:val="16"/>
          <w:color w:val="auto"/>
        </w:rPr>
        <w:t>The Company leases general office space, research and development, manufacturing and warehouse facilities, and equipment under noncancelable operating leases for use in its operations (see Note 6, “Leases”). In connection with one of the operating leases, the Company has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6" w:name="page27"/>
    <w:bookmarkEnd w:id="26"/>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September 30, 2022 (Quarterly Report).</w:t>
      </w:r>
    </w:p>
    <w:p>
      <w:pPr>
        <w:spacing w:after="0" w:line="143"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on our business,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38"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37"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8"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80" w:firstLine="810"/>
        <w:spacing w:after="0" w:line="279" w:lineRule="auto"/>
        <w:rPr>
          <w:sz w:val="20"/>
          <w:szCs w:val="20"/>
          <w:color w:val="auto"/>
        </w:rPr>
      </w:pPr>
      <w:r>
        <w:rPr>
          <w:rFonts w:ascii="Arial" w:cs="Arial" w:eastAsia="Arial" w:hAnsi="Arial"/>
          <w:sz w:val="17"/>
          <w:szCs w:val="17"/>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portfolio of delivery devices, software, and data insight solutions to people living with diabetes, as well as their caregivers and healthcare providers.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Since our initial commercial launch, we have rapidly innovated and brought more products to market than our competitors. We have</w:t>
      </w:r>
    </w:p>
    <w:p>
      <w:pPr>
        <w:spacing w:after="0" w:line="1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commercially launched seven insulin pump configurations in the United States since 2012 and three insulin pump configurations outside the United States since 2018. Today, our software-updatable t:slim X2 Insulin Delivery System (t:slim X2) hardware platform represents 100% of our new pump shipments. In the four-year period ended September 30, 2022, we shipped more than 400,000 insulin pumps, which is representative of our estimated global installed customer base, assuming the typical four-year reimbursement cycle. More than 280,000 of these pumps were shipped to customers in the United States and over 120,000 were shipped in the more than 20 countries in which we operated in the third quarter of 2022 outside the United States.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20" w:firstLine="810"/>
        <w:spacing w:after="0" w:line="290" w:lineRule="auto"/>
        <w:rPr>
          <w:sz w:val="20"/>
          <w:szCs w:val="20"/>
          <w:color w:val="auto"/>
        </w:rPr>
      </w:pPr>
      <w:r>
        <w:rPr>
          <w:rFonts w:ascii="Arial" w:cs="Arial" w:eastAsia="Arial" w:hAnsi="Arial"/>
          <w:sz w:val="16"/>
          <w:szCs w:val="16"/>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We have commercially offered two different automated insulin dosing (AID) algorithms on t:slim X2, including our Control-IQ technology, which is an advanced hybrid-closed loop feature, designed to help increase a user's time in their targeted glycemic range. It was the first system cleared by the U.S. Food and Drug Administration (FDA) to deliver automatic correction boluses in addition to adjusting insulin to help prevent high and low blood sugar based on continuous glucose monitoring (CGM) readings. Our Control-IQ technology launched in the United States in the first quarter of 2020, and is now available in all of the countries in which we operate. Our Control-IQ technology uses information from Dexcom Inc.’s (Dexcom) G6 sensor, which is the third generation of Dexcom CGM that we have integrated and commercially launched with our pump technology.</w:t>
      </w:r>
    </w:p>
    <w:p>
      <w:pPr>
        <w:spacing w:after="0" w:line="179" w:lineRule="exact"/>
        <w:rPr>
          <w:sz w:val="20"/>
          <w:szCs w:val="20"/>
          <w:color w:val="auto"/>
        </w:rPr>
      </w:pPr>
    </w:p>
    <w:p>
      <w:pPr>
        <w:ind w:right="40" w:firstLine="810"/>
        <w:spacing w:after="0" w:line="262" w:lineRule="auto"/>
        <w:rPr>
          <w:sz w:val="20"/>
          <w:szCs w:val="20"/>
          <w:color w:val="auto"/>
        </w:rPr>
      </w:pPr>
      <w:r>
        <w:rPr>
          <w:rFonts w:ascii="Arial" w:cs="Arial" w:eastAsia="Arial" w:hAnsi="Arial"/>
          <w:sz w:val="17"/>
          <w:szCs w:val="17"/>
          <w:color w:val="auto"/>
        </w:rPr>
        <w:t>The t:slim X2 is unique in that it is the only pump on which remote software updates have been made commercially available in the United States. Now available in the countries we serve worldwide, our Tandem Device Updater (TDU) is a revolutionary tool that allows people to update their t:slim X2 software from a personal computer. In July 2022, we launched a new pump software update though TDU to allow all t:slim X2 pump users in the United States to bolus insulin using our smartphone app that is available on both iOS and Android device models.</w:t>
      </w:r>
    </w:p>
    <w:p>
      <w:pPr>
        <w:spacing w:after="0" w:line="199" w:lineRule="exact"/>
        <w:rPr>
          <w:sz w:val="20"/>
          <w:szCs w:val="20"/>
          <w:color w:val="auto"/>
        </w:rPr>
      </w:pPr>
    </w:p>
    <w:p>
      <w:pPr>
        <w:ind w:right="60" w:firstLine="810"/>
        <w:spacing w:after="0" w:line="23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Additionally, we sell accessories such as belt clips and cases for use with pumps which are designed to enhance usability.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5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Our business has been impacted in a variety of ways since the onset of the COVID-19 global pandemic in early 2020, and will likely continue to be impacted for the remainder of 2022. Specific factors that have influenced our financial results and the way in which we operate include fluctuations in shelter-in-place restrictions, supply chain constraints, generalized labor shortages impacting global markets, the timing and extent of vaccine availability and surges in infection and hospitalization rates as new COVID variants have emerged. Most notably, our sales results reflected a high degree of variability across the quarters during this time, unlike historical seasonal trends. Our raw material costs and inventory levels have also fluctuated as we respond to supply chain constraints due to the timing of availability of components from the various suppliers we use to build our products. In addition, we experienced extended regulatory review timelines for new product submissions in the United States. Throughout this time, we have responded to each of these unique challenges, while prioritizing the health and safety of our employees and customers and working diligently to maintain a continuous supply of products, training and customer support.</w:t>
      </w:r>
    </w:p>
    <w:p>
      <w:pPr>
        <w:spacing w:after="0" w:line="208"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Overall, we anticipate that our sales and operating results will continue to be impacted and subject to unpredictable variability. The full extent of the impact of the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 and any resulting changes to general economic conditions in the countries in which we operate and sell our products.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185"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239" w:lineRule="exact"/>
        <w:rPr>
          <w:sz w:val="20"/>
          <w:szCs w:val="20"/>
          <w:color w:val="auto"/>
        </w:rPr>
      </w:pPr>
    </w:p>
    <w:p>
      <w:pPr>
        <w:ind w:right="40" w:firstLine="810"/>
        <w:spacing w:after="0"/>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Mobi</w:t>
      </w:r>
    </w:p>
    <w:p>
      <w:pPr>
        <w:spacing w:after="0" w:line="239" w:lineRule="exact"/>
        <w:rPr>
          <w:sz w:val="20"/>
          <w:szCs w:val="20"/>
          <w:color w:val="auto"/>
        </w:rPr>
      </w:pPr>
    </w:p>
    <w:p>
      <w:pPr>
        <w:ind w:right="60" w:firstLine="810"/>
        <w:spacing w:after="0" w:line="243" w:lineRule="auto"/>
        <w:rPr>
          <w:sz w:val="20"/>
          <w:szCs w:val="20"/>
          <w:color w:val="auto"/>
        </w:rPr>
      </w:pPr>
      <w:r>
        <w:rPr>
          <w:rFonts w:ascii="Arial" w:cs="Arial" w:eastAsia="Arial" w:hAnsi="Arial"/>
          <w:sz w:val="18"/>
          <w:szCs w:val="18"/>
          <w:color w:val="auto"/>
        </w:rPr>
        <w:t>Formerly referred to by its development name, t:sport, Tandem Mobi is approximately half the size of our t:slim X2 pump, and is being designed for people who seek even greater discretion and flexibility with the use of their insulin pump. In addition to being waterproof, Mobi’s features include a 200-unit cartridge, an on-pump bolus button, inductive charging, and an AID algorithm. We anticipate that Mobi will be our first insulin pump to support full pump-control from our mobile application.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X3</w:t>
      </w:r>
    </w:p>
    <w:p>
      <w:pPr>
        <w:spacing w:after="0" w:line="19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 Tubeless</w:t>
      </w:r>
    </w:p>
    <w:p>
      <w:pPr>
        <w:spacing w:after="0" w:line="239" w:lineRule="exact"/>
        <w:rPr>
          <w:sz w:val="20"/>
          <w:szCs w:val="20"/>
          <w:color w:val="auto"/>
        </w:rPr>
      </w:pPr>
    </w:p>
    <w:p>
      <w:pPr>
        <w:ind w:right="260" w:firstLine="810"/>
        <w:spacing w:after="0" w:line="324" w:lineRule="auto"/>
        <w:rPr>
          <w:sz w:val="20"/>
          <w:szCs w:val="20"/>
          <w:color w:val="auto"/>
        </w:rPr>
      </w:pPr>
      <w:r>
        <w:rPr>
          <w:rFonts w:ascii="Arial" w:cs="Arial" w:eastAsia="Arial" w:hAnsi="Arial"/>
          <w:sz w:val="16"/>
          <w:szCs w:val="16"/>
          <w:color w:val="auto"/>
        </w:rPr>
        <w:t>This offering is being developed to provide an alternative tubeless infusion site option for Mobi pump users. A goal of this design is to allow people living with diabetes to customize the way they wear their pump with each cartridge change to best suit their personal preferences and lifestyle.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Patch</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Our patch pump design is in its early stages and is being developed for people living with diabetes who want a disposable tubeless solution.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Sets</w:t>
      </w:r>
    </w:p>
    <w:p>
      <w:pPr>
        <w:spacing w:after="0" w:line="185"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Infusion sets provide additional choice and flexibility to people living with diabetes. Our goals for infusion set innovations focus on solutions that extend wear time and enhance user experience, while reducing occlusions, body burden and waste. In support of this effort, in July 2022 we acquired infusion set developer, Capillary Biomedical, Inc. (Capillary Biomedical). Capillary Biomedical’s unique extended wear infusion set technology is currently in development.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Control-IQ Advancements</w:t>
      </w:r>
    </w:p>
    <w:p>
      <w:pPr>
        <w:spacing w:after="0" w:line="239" w:lineRule="exact"/>
        <w:rPr>
          <w:sz w:val="20"/>
          <w:szCs w:val="20"/>
          <w:color w:val="auto"/>
        </w:rPr>
      </w:pPr>
    </w:p>
    <w:p>
      <w:pPr>
        <w:ind w:right="120" w:firstLine="810"/>
        <w:spacing w:after="0" w:line="243" w:lineRule="auto"/>
        <w:rPr>
          <w:sz w:val="20"/>
          <w:szCs w:val="20"/>
          <w:color w:val="auto"/>
        </w:rPr>
      </w:pPr>
      <w:r>
        <w:rPr>
          <w:rFonts w:ascii="Arial" w:cs="Arial" w:eastAsia="Arial" w:hAnsi="Arial"/>
          <w:sz w:val="18"/>
          <w:szCs w:val="18"/>
          <w:color w:val="auto"/>
        </w:rPr>
        <w:t>We are driving innovation in our algorithms, emphasizing automation, personalization and simplification, all intended to continue to improve therapeutic outcomes and provide a positive patient experience characterized by simplicity and ease of use. Additionally, we have initiated clinical studies to expand the indications of our Control-IQ technology to include people with type 1 diabetes ages 2 to 5 years old, as well as people living with type 2 diabetes. We are also researching the use of different insulins with our Control-IQ technology.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Control</w:t>
      </w:r>
    </w:p>
    <w:p>
      <w:pPr>
        <w:spacing w:after="0" w:line="185"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w:t>
      </w:r>
    </w:p>
    <w:p>
      <w:pPr>
        <w:spacing w:after="0" w:line="198"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30"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i w:val="1"/>
          <w:iCs w:val="1"/>
          <w:color w:val="auto"/>
        </w:rPr>
        <w:t>Dexcom CGM</w:t>
      </w:r>
      <w:r>
        <w:rPr>
          <w:rFonts w:ascii="Arial" w:cs="Arial" w:eastAsia="Arial" w:hAnsi="Arial"/>
          <w:sz w:val="18"/>
          <w:szCs w:val="18"/>
          <w:color w:val="auto"/>
        </w:rPr>
        <w:t>: In November 2020, we entered into an agreement with Dexcom to extend our current collaboration to include integration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future G7 CGM technology. Following integrated product development work, and required regulatory clearances or approvals, this will be the fourth generation of Dexcom CGM that we intend to integrate with our devices.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9" w:name="page30"/>
    <w:bookmarkEnd w:id="29"/>
    <w:p>
      <w:pPr>
        <w:ind w:firstLine="810"/>
        <w:spacing w:after="0" w:line="259" w:lineRule="auto"/>
        <w:rPr>
          <w:sz w:val="20"/>
          <w:szCs w:val="20"/>
          <w:color w:val="auto"/>
        </w:rPr>
      </w:pPr>
      <w:r>
        <w:rPr>
          <w:rFonts w:ascii="Arial" w:cs="Arial" w:eastAsia="Arial" w:hAnsi="Arial"/>
          <w:sz w:val="18"/>
          <w:szCs w:val="18"/>
          <w:i w:val="1"/>
          <w:iCs w:val="1"/>
          <w:color w:val="auto"/>
        </w:rPr>
        <w:t>Abbott CGM</w:t>
      </w:r>
      <w:r>
        <w:rPr>
          <w:rFonts w:ascii="Arial" w:cs="Arial" w:eastAsia="Arial" w:hAnsi="Arial"/>
          <w:sz w:val="18"/>
          <w:szCs w:val="18"/>
          <w:color w:val="auto"/>
        </w:rPr>
        <w:t>: In June 2020, we announced an agreement with Abbott Laboratories (Abbott), to develop and commercialize integrated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combine Abbott’s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252"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Key areas of development include making these insights easy to understand, provided in a flexible format with mobile or web apps, and available real time. In addition, we are working to integrate health-related information from third-party sources and use our data to support current and future products under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Source</w:t>
      </w:r>
    </w:p>
    <w:p>
      <w:pPr>
        <w:spacing w:after="0" w:line="252" w:lineRule="exact"/>
        <w:rPr>
          <w:sz w:val="20"/>
          <w:szCs w:val="20"/>
          <w:color w:val="auto"/>
        </w:rPr>
      </w:pPr>
    </w:p>
    <w:p>
      <w:pPr>
        <w:ind w:right="300" w:firstLine="810"/>
        <w:spacing w:after="0" w:line="259" w:lineRule="auto"/>
        <w:rPr>
          <w:sz w:val="20"/>
          <w:szCs w:val="20"/>
          <w:color w:val="auto"/>
        </w:rPr>
      </w:pPr>
      <w:r>
        <w:rPr>
          <w:rFonts w:ascii="Arial" w:cs="Arial" w:eastAsia="Arial" w:hAnsi="Arial"/>
          <w:sz w:val="18"/>
          <w:szCs w:val="18"/>
          <w:color w:val="auto"/>
        </w:rPr>
        <w:t>Expanding the capabilities of our t:connect data management application available for customers in the United States, Tandem Source is our second-generation web-based data management application that is being designed to be deployed globally. This application enhances clinical data visualization, and provides added interface customization for users to personalize how they engage with their data and for healthcare providers to better manage their care.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Settings Automation</w:t>
      </w:r>
    </w:p>
    <w:p>
      <w:pPr>
        <w:spacing w:after="0" w:line="252"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Pump Shipments</w:t>
      </w:r>
    </w:p>
    <w:p>
      <w:pPr>
        <w:spacing w:after="0" w:line="198"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From inception in 2012 through June 2018, we derived nearly all of our sales from the shipment of insulin pumps and associated supplies to customers in the United States. Starting in the third quarter of 2018, we began selling our t:slim X2 insulin pump in select geographies outside the United States and now offer our technology solutions in more than 20 countries worldwide. We consider the number of insulin pump units shipped to be an important metric for managing our business.</w:t>
      </w:r>
    </w:p>
    <w:p>
      <w:pPr>
        <w:spacing w:after="0" w:line="187"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Insulin pumps in the markets we serve worldwide are generally subject to a four-year reimbursement cycle, imposed by the third-party insurance carrier, government plan or healthcare system that serves as the primary payor. In the past four years, we have shipped more than 400,000 insulin pumps worldwide, which is representative of our estimated global in-warranty installed customer base. Our estimated worldwide installed base has increased approximately 35% compared to the third quarter of 2021.</w:t>
      </w:r>
    </w:p>
    <w:p>
      <w:pPr>
        <w:spacing w:after="0" w:line="187"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our typical renewal cycle, or time from original pump purchase to a subsequent pump purchase by the same customer, averages five years. The majority of our insulin pump sales through the current period have been generated by new customers, but the opportunity for existing customers to purchase a renewal insulin pump increases each period as additional customer warranties expire. With programs dedicated to customer retention efforts, we expect such renewal purchases to represent a more significant portion of our shipments in the long-term.</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0" w:name="page31"/>
    <w:bookmarkEnd w:id="30"/>
    <w:p>
      <w:pPr>
        <w:ind w:right="420" w:firstLine="810"/>
        <w:spacing w:after="0" w:line="263" w:lineRule="auto"/>
        <w:rPr>
          <w:sz w:val="20"/>
          <w:szCs w:val="20"/>
          <w:color w:val="auto"/>
        </w:rPr>
      </w:pPr>
      <w:r>
        <w:rPr>
          <w:rFonts w:ascii="Arial" w:cs="Arial" w:eastAsia="Arial" w:hAnsi="Arial"/>
          <w:sz w:val="18"/>
          <w:szCs w:val="18"/>
          <w:color w:val="auto"/>
        </w:rPr>
        <w:t>More than 280,000 pumps were shipped to customers in the United States in the past four years, which aligns with the standard four-year warranty period. Pump shipments to customers in the United States by fiscal quarter for the last five years, which aligns more closely with our typical renewal cycle,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United States Pump Unit Shipments</w:t>
            </w:r>
          </w:p>
        </w:tc>
        <w:tc>
          <w:tcPr>
            <w:tcW w:w="1300" w:type="dxa"/>
            <w:vAlign w:val="bottom"/>
          </w:tcPr>
          <w:p>
            <w:pPr>
              <w:spacing w:after="0"/>
              <w:rPr>
                <w:sz w:val="14"/>
                <w:szCs w:val="14"/>
                <w:color w:val="auto"/>
              </w:rPr>
            </w:pPr>
          </w:p>
        </w:tc>
      </w:tr>
      <w:tr>
        <w:trPr>
          <w:trHeight w:val="192"/>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6"/>
        </w:trPr>
        <w:tc>
          <w:tcPr>
            <w:tcW w:w="420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9"/>
        </w:trPr>
        <w:tc>
          <w:tcPr>
            <w:tcW w:w="4200" w:type="dxa"/>
            <w:vAlign w:val="bottom"/>
            <w:tcBorders>
              <w:top w:val="single" w:sz="8" w:color="CCEEFF"/>
            </w:tcBorders>
            <w:shd w:val="clear" w:color="auto" w:fill="CCEEFF"/>
          </w:tcPr>
          <w:p>
            <w:pPr>
              <w:jc w:val="right"/>
              <w:ind w:right="3730"/>
              <w:spacing w:after="0"/>
              <w:rPr>
                <w:sz w:val="20"/>
                <w:szCs w:val="20"/>
                <w:color w:val="auto"/>
              </w:rPr>
            </w:pPr>
            <w:r>
              <w:rPr>
                <w:rFonts w:ascii="Arial" w:cs="Arial" w:eastAsia="Arial" w:hAnsi="Arial"/>
                <w:sz w:val="18"/>
                <w:szCs w:val="18"/>
                <w:color w:val="auto"/>
                <w:w w:val="89"/>
              </w:rPr>
              <w:t>2017</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53,735</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83,317</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20,818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0"/>
                <w:szCs w:val="20"/>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59,870</w:t>
            </w:r>
          </w:p>
        </w:tc>
      </w:tr>
    </w:tbl>
    <w:p>
      <w:pPr>
        <w:spacing w:after="0" w:line="200" w:lineRule="exact"/>
        <w:rPr>
          <w:sz w:val="20"/>
          <w:szCs w:val="20"/>
          <w:color w:val="auto"/>
        </w:rPr>
      </w:pPr>
    </w:p>
    <w:p>
      <w:pPr>
        <w:spacing w:after="0" w:line="392"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Since commencing sales outside the United States in the third quarter of 2018, we shipped over 120,000 pumps to customers in more than 20 countries, and are only beginning to complete a full four-year reimbursement cycle in certain of our markets outside of the United States. Pump shipments to customers outside the United States by fiscal quarter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Outside the United States Pump Unit Shipments</w:t>
            </w:r>
          </w:p>
        </w:tc>
        <w:tc>
          <w:tcPr>
            <w:tcW w:w="1300" w:type="dxa"/>
            <w:vAlign w:val="bottom"/>
          </w:tcPr>
          <w:p>
            <w:pPr>
              <w:spacing w:after="0"/>
              <w:rPr>
                <w:sz w:val="14"/>
                <w:szCs w:val="14"/>
                <w:color w:val="auto"/>
              </w:rPr>
            </w:pPr>
          </w:p>
        </w:tc>
      </w:tr>
      <w:tr>
        <w:trPr>
          <w:trHeight w:val="192"/>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5"/>
        </w:trPr>
        <w:tc>
          <w:tcPr>
            <w:tcW w:w="420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30"/>
        </w:trPr>
        <w:tc>
          <w:tcPr>
            <w:tcW w:w="4200" w:type="dxa"/>
            <w:vAlign w:val="bottom"/>
            <w:tcBorders>
              <w:top w:val="single" w:sz="8" w:color="CFF0FC"/>
            </w:tcBorders>
            <w:shd w:val="clear" w:color="auto" w:fill="CFF0FC"/>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29"/>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44,995</w:t>
            </w:r>
          </w:p>
        </w:tc>
      </w:tr>
      <w:tr>
        <w:trPr>
          <w:trHeight w:val="229"/>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Overall, we have experienced considerable sales growth each year since the commercial launch of our first product in the third quarter of 2012, only recognizing an operating profit on a full year basis for the first time in 2021.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43" w:lineRule="exact"/>
        <w:rPr>
          <w:sz w:val="20"/>
          <w:szCs w:val="20"/>
          <w:color w:val="auto"/>
        </w:rPr>
      </w:pPr>
    </w:p>
    <w:p>
      <w:pPr>
        <w:ind w:left="1140" w:right="36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29" w:lineRule="exact"/>
        <w:rPr>
          <w:rFonts w:ascii="Arial" w:cs="Arial" w:eastAsia="Arial" w:hAnsi="Arial"/>
          <w:sz w:val="18"/>
          <w:szCs w:val="18"/>
          <w:color w:val="auto"/>
        </w:rPr>
      </w:pPr>
    </w:p>
    <w:p>
      <w:pPr>
        <w:ind w:left="1140" w:right="92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29"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of the medical insurance plans used by our customers and the customers of our distributors;</w:t>
      </w:r>
    </w:p>
    <w:p>
      <w:pPr>
        <w:spacing w:after="0" w:line="143"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 or create uncertainty or delay with respect to regulatory approvals;</w:t>
      </w:r>
    </w:p>
    <w:p>
      <w:pPr>
        <w:spacing w:after="0" w:line="129" w:lineRule="exact"/>
        <w:rPr>
          <w:rFonts w:ascii="Arial" w:cs="Arial" w:eastAsia="Arial" w:hAnsi="Arial"/>
          <w:sz w:val="18"/>
          <w:szCs w:val="18"/>
          <w:color w:val="auto"/>
        </w:rPr>
      </w:pPr>
    </w:p>
    <w:p>
      <w:pPr>
        <w:ind w:left="1140" w:right="14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and market uncertainty such as recessionary concerns, rising inflation rates, changes in discretionary spending, increased interest rates, and other macroeconomic factors;</w:t>
      </w:r>
    </w:p>
    <w:p>
      <w:pPr>
        <w:sectPr>
          <w:pgSz w:w="11900" w:h="16838" w:orient="portrait"/>
          <w:cols w:equalWidth="0" w:num="1">
            <w:col w:w="11220"/>
          </w:cols>
          <w:pgMar w:left="320" w:top="1070"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type w:val="continuous"/>
        </w:sectPr>
      </w:pPr>
    </w:p>
    <w:bookmarkStart w:id="31" w:name="page32"/>
    <w:bookmarkEnd w:id="31"/>
    <w:p>
      <w:pPr>
        <w:ind w:left="1140" w:right="22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holidays and summer vacations, which may vary by geography and may be further influenced by the lifting or relaxation of COVID-19 related restrictions and broader availability of vaccines;</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184"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43"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29" w:lineRule="exact"/>
        <w:rPr>
          <w:rFonts w:ascii="Arial" w:cs="Arial" w:eastAsia="Arial" w:hAnsi="Arial"/>
          <w:sz w:val="18"/>
          <w:szCs w:val="18"/>
          <w:color w:val="auto"/>
        </w:rPr>
      </w:pPr>
    </w:p>
    <w:p>
      <w:pPr>
        <w:ind w:left="1140" w:right="120" w:hanging="484"/>
        <w:spacing w:after="0" w:line="259"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potential claims, investigations, information requests, or legal, regulatory or administrative proceedings with respect to potential or asserted violations of law, including: sales and marketing practices, anti-corruption and the Foreign Corrupt Practices Act, antitrust, securities, employment, product liability, environmental, data privacy breaches and patent infringement, which may subject us to fines, penalties, expenses, or reputational harm;</w:t>
      </w:r>
    </w:p>
    <w:p>
      <w:pPr>
        <w:spacing w:after="0" w:line="146"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198"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30"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30"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purchasing behavior due to the economic environment such as inflation or threat of recession;</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new product launches and the timing of their commercial availability;</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recently announced Tandem Choice program and its related financial and accounting impact;</w:t>
      </w:r>
    </w:p>
    <w:p>
      <w:pPr>
        <w:spacing w:after="0" w:line="184"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43" w:lineRule="exact"/>
        <w:rPr>
          <w:rFonts w:ascii="Arial" w:cs="Arial" w:eastAsia="Arial" w:hAnsi="Arial"/>
          <w:sz w:val="18"/>
          <w:szCs w:val="18"/>
          <w:color w:val="auto"/>
        </w:rPr>
      </w:pPr>
    </w:p>
    <w:p>
      <w:pPr>
        <w:ind w:left="1140" w:right="60" w:hanging="484"/>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in additional geographies, and the ability to access new pump software using our Tandem Device Updater;</w:t>
      </w:r>
    </w:p>
    <w:p>
      <w:pPr>
        <w:spacing w:after="0" w:line="129"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ability to enter into, maintain agreements, and accomplish continued success in current and future product integrations with CGM partners;</w:t>
      </w:r>
    </w:p>
    <w:p>
      <w:pPr>
        <w:spacing w:after="0" w:line="221" w:lineRule="exact"/>
        <w:rPr>
          <w:rFonts w:ascii="Arial" w:cs="Arial" w:eastAsia="Arial" w:hAnsi="Arial"/>
          <w:sz w:val="16"/>
          <w:szCs w:val="16"/>
          <w:color w:val="auto"/>
        </w:rPr>
      </w:pPr>
    </w:p>
    <w:p>
      <w:pPr>
        <w:ind w:left="1140" w:hanging="484"/>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expansion and new product launches in select geographies outside the United States, including initial orders to stock inventories; and</w:t>
      </w:r>
    </w:p>
    <w:p>
      <w:pPr>
        <w:spacing w:after="0" w:line="196" w:lineRule="exact"/>
        <w:rPr>
          <w:rFonts w:ascii="Arial" w:cs="Arial" w:eastAsia="Arial" w:hAnsi="Arial"/>
          <w:sz w:val="17"/>
          <w:szCs w:val="17"/>
          <w:color w:val="auto"/>
        </w:rPr>
      </w:pPr>
    </w:p>
    <w:p>
      <w:pPr>
        <w:ind w:left="1140" w:right="340" w:hanging="484"/>
        <w:spacing w:after="0" w:line="286" w:lineRule="auto"/>
        <w:tabs>
          <w:tab w:leader="none" w:pos="11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ability to effectively scale our operations to support rapid growth, including expanding our facilities, advancing our research and development efforts, increasing manufacturing capacity through third-party manufacturers, financial impact and integration of acquired assets or businesses, and hiring and retaining employees in customer service and support functions.</w:t>
      </w:r>
    </w:p>
    <w:p>
      <w:pPr>
        <w:spacing w:after="0" w:line="12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In addition to working to achieve our sales growth expectations, in the long-term we intend to continue to leverage our infrastructure investments to realize additional manufacturing, sales, marketing and administrative cost efficiencies with the goal of improving our operating margins and ultimately achieving sustained profitability. While we have achieved profitability in each fourth quarter since 2018, we were profitable for the first time on a full-year basis in 2021. We believe we can ultimately achieve sustained profitability by driving incremental sales growth in markets worldwide, meeting our pump renewal sales objectives, maximizing manufacturing efficiencies on increased production volumes, and leveraging the investments made in our sales, clinical, marketing and customer support organizations.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insulin cartridges and infusion sets, as well as our complementary t:connect, TDU and mobile application products. We also offer additional accessories including protective cases, belt clips, and power adapters, although sales of these products are not significant.</w:t>
      </w:r>
    </w:p>
    <w:p>
      <w:pPr>
        <w:spacing w:after="0" w:line="178"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the United States, 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we can continue to increase sales by promoting our products to a greater number of potential customers, caregivers and healthcare providers, although pressures related to the broader economic environment, new competitive product launches and the COVID-19 global pandemic have had, and may continue to have, an adverse impact on our sales.</w:t>
      </w:r>
    </w:p>
    <w:p>
      <w:pPr>
        <w:spacing w:after="0" w:line="164"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the third quarter of 2018, we began the launch of our t:slim X2 hardware platform through distribution partners outside the United States. Our products are now sold in more than 20 countries, including in Canada, France and Germany. Today, distributor orders are primarily fulfilled in the United States. In the first half of 2022, we laid the commercial and operational groundwork, as well as the IT infrastructure, to begin working with a third-party logistics service provider in the Netherlands to support our distributors in Europe with the intent to scale utilization in the next twelve months. Our independent distributor partners outside the United States and Canada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markets outside the United States based on a number of factors, such as the geographical mix, nature of the reimbursement environment, government regulations and the extent to which we rely on distributor relationships to provide sales, clinical and marketing support.</w:t>
      </w:r>
    </w:p>
    <w:p>
      <w:pPr>
        <w:spacing w:after="0" w:line="166"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pump shipments in the United States have typically decreased significantly from the fourth quarter to the following first quarter. Outside the United States, we do not expect this same impact from seasonality associated with reimbursement, although the quarterly sales trends may be impacted by a number of other factors, including summer vacations, the timing of product launches into new geographies and variability in the ordering patterns of our distributor partners.</w:t>
      </w:r>
    </w:p>
    <w:p>
      <w:pPr>
        <w:spacing w:after="0" w:line="19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Since early 2020, the COVID-19 global pandemic had a major impact on businesses around the world, as well as our own quarterly trends. Initially, the impact on our business was relatively consistent worldwide but we have since seen varying degrees of impact in individual markets based on local conditions. We anticipate that our sales may not follow historical trends and may continue to be subject to unpredictable variability across the markets in which we operate.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61"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w:t>
      </w:r>
    </w:p>
    <w:p>
      <w:pPr>
        <w:spacing w:after="0" w:line="161" w:lineRule="exact"/>
        <w:rPr>
          <w:sz w:val="20"/>
          <w:szCs w:val="20"/>
          <w:color w:val="auto"/>
        </w:rPr>
      </w:pPr>
    </w:p>
    <w:p>
      <w:pPr>
        <w:ind w:right="260" w:firstLine="810"/>
        <w:spacing w:after="0" w:line="308" w:lineRule="auto"/>
        <w:rPr>
          <w:sz w:val="20"/>
          <w:szCs w:val="20"/>
          <w:color w:val="auto"/>
        </w:rPr>
      </w:pPr>
      <w:r>
        <w:rPr>
          <w:rFonts w:ascii="Arial" w:cs="Arial" w:eastAsia="Arial" w:hAnsi="Arial"/>
          <w:sz w:val="17"/>
          <w:szCs w:val="17"/>
          <w:color w:val="auto"/>
        </w:rPr>
        <w:t>In September 2022, we launched Tandem Choice, a technology access program that provides in-warranty eligible t:slim X2 customers a path towards ownership of the next generation hardware platform for a fee when available. Tandem Choice expires on December 31, 2024.</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3" w:name="page34"/>
    <w:bookmarkEnd w:id="33"/>
    <w:p>
      <w:pPr>
        <w:ind w:right="40" w:firstLine="810"/>
        <w:spacing w:after="0" w:line="257" w:lineRule="auto"/>
        <w:rPr>
          <w:sz w:val="20"/>
          <w:szCs w:val="20"/>
          <w:color w:val="auto"/>
        </w:rPr>
      </w:pPr>
      <w:r>
        <w:rPr>
          <w:rFonts w:ascii="Arial" w:cs="Arial" w:eastAsia="Arial" w:hAnsi="Arial"/>
          <w:sz w:val="18"/>
          <w:szCs w:val="18"/>
          <w:color w:val="auto"/>
        </w:rPr>
        <w:t>The accounting treatment for Tandem Choice has a high degree of complexity. Initially, the program requires the deferral of some portion of sales for shipments of eligible pumps beginning in the third quarter of 2022. If a customer elects to participate in Tandem Choice upon launch of our next generation hardware platform, we will recognize the existing deferral, fees received and the associated costs of providing the new hardware at the time of fulfillment. Any remaining deferrals will be recognized at program expiration. At this time, we are not able to estimate the financial impact for the duration of Tandem Choice.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40" w:firstLine="810"/>
        <w:spacing w:after="0" w:line="259" w:lineRule="auto"/>
        <w:rPr>
          <w:sz w:val="20"/>
          <w:szCs w:val="20"/>
          <w:color w:val="auto"/>
        </w:rPr>
      </w:pPr>
      <w:r>
        <w:rPr>
          <w:rFonts w:ascii="Arial" w:cs="Arial" w:eastAsia="Arial" w:hAnsi="Arial"/>
          <w:sz w:val="18"/>
          <w:szCs w:val="18"/>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w:t>
      </w:r>
    </w:p>
    <w:p>
      <w:pPr>
        <w:spacing w:after="0" w:line="187" w:lineRule="exact"/>
        <w:rPr>
          <w:sz w:val="20"/>
          <w:szCs w:val="20"/>
          <w:color w:val="auto"/>
        </w:rPr>
      </w:pPr>
    </w:p>
    <w:p>
      <w:pPr>
        <w:ind w:right="100" w:firstLine="810"/>
        <w:spacing w:after="0" w:line="279" w:lineRule="auto"/>
        <w:rPr>
          <w:sz w:val="20"/>
          <w:szCs w:val="20"/>
          <w:color w:val="auto"/>
        </w:rPr>
      </w:pPr>
      <w:r>
        <w:rPr>
          <w:rFonts w:ascii="Arial" w:cs="Arial" w:eastAsia="Arial" w:hAnsi="Arial"/>
          <w:sz w:val="17"/>
          <w:szCs w:val="17"/>
          <w:color w:val="auto"/>
        </w:rPr>
        <w:t>Historically, we have manufactured our pumps and disposable insulin cartridges at our manufacturing facility in San Diego, California. In early 2020, our third-party cartridge manufacturer completed validation and commenced commercial-scale manufacturing to supplement our existing cartridge manufacturing capacity. By the end of 2021, the majority of our t:slim cartridge manufacturing capacity transitioned to our partner to create capacity for Tandem Mobi cartridge manufacturing in the future. Infusion sets and pump accessories are manufactured by third-party suppliers.</w:t>
      </w:r>
    </w:p>
    <w:p>
      <w:pPr>
        <w:spacing w:after="0" w:line="171"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pump sales increase, as we launch new portfolio products with lower costs to manufacture, improved average selling prices and leverage of our fixed overhead costs. We expect we will be able to achieve this leverage with products that use the same technology platform and manufacturing infrastructure, as well as increased automation, process improvements and raw materials cost reductions. We also expect our warranty cost per unit to decrease as we release additional product features and functionality using the Tandem Device Updater.</w:t>
      </w:r>
    </w:p>
    <w:p>
      <w:pPr>
        <w:spacing w:after="0" w:line="176" w:lineRule="exact"/>
        <w:rPr>
          <w:sz w:val="20"/>
          <w:szCs w:val="20"/>
          <w:color w:val="auto"/>
        </w:rPr>
      </w:pPr>
    </w:p>
    <w:p>
      <w:pPr>
        <w:ind w:right="60" w:firstLine="810"/>
        <w:spacing w:after="0" w:line="253" w:lineRule="auto"/>
        <w:rPr>
          <w:sz w:val="20"/>
          <w:szCs w:val="20"/>
          <w:color w:val="auto"/>
        </w:rPr>
      </w:pPr>
      <w:r>
        <w:rPr>
          <w:rFonts w:ascii="Arial" w:cs="Arial" w:eastAsia="Arial" w:hAnsi="Arial"/>
          <w:sz w:val="18"/>
          <w:szCs w:val="18"/>
          <w:color w:val="auto"/>
        </w:rPr>
        <w:t>Pumps have, and are expected to continue to have, a higher gross margin percentage than our pump-related supplies. Therefore, the percentage of pump sales relative to total sales could have a significant impact on our overall gross margin percentage. In the event that customers delay their pump purchasing decisions or physicians pause in prescribing new pumps,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are experiencing higher costs as we manage global supply challenges and anticipate that this will continue for the remainder of 2022 and first half of 2023. In addition, as demand for our products increases, we may continue to make additional investments in manufacturing capacity or increase our reliance on third parties for manufacturing-related services, either of which could have a negative impact on our gross margins.</w:t>
      </w:r>
    </w:p>
    <w:p>
      <w:pPr>
        <w:spacing w:after="0" w:line="196"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Other factors impacting our overall gross margin percentage may include the changing percentage of products sold to distributors versus directly to individual customers, varying levels of reimbursement among third-party payors in individual markets worldwide, the timing and success of new regulatory approvals and product launches,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had approximately 110 sales territories in the United States in the third quarter of 2022, up from approximately 95 in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ind w:right="180" w:firstLine="810"/>
        <w:spacing w:after="0" w:line="290" w:lineRule="auto"/>
        <w:rPr>
          <w:sz w:val="20"/>
          <w:szCs w:val="20"/>
          <w:color w:val="auto"/>
        </w:rPr>
      </w:pPr>
      <w:r>
        <w:rPr>
          <w:rFonts w:ascii="Arial" w:cs="Arial" w:eastAsia="Arial" w:hAnsi="Arial"/>
          <w:sz w:val="16"/>
          <w:szCs w:val="16"/>
          <w:color w:val="auto"/>
        </w:rPr>
        <w:t>Other significant SG&amp;A expenses typically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While we experienced reduced spending in areas such as travel and trade shows in 2021 due to the COVID-19 global pandemic, we may experience additional costs as our employees return to work at our offices and as we adapt to alternative hybrid work models, or as needed to respond to general labor shortages and heightened competition for employees with specialized skills. Overall, we expect our SG&amp;A expenses, including the cost of our customer support infrastructure, to continue to increase as our customer base grows worldwide. In addition, we will continue to evaluate, and may further increase, the number of our field sales and clinical personnel to optimize the coverage of our existing territories. In the longer term, SG&amp;A expenses may also increase due to anticipated costs associated with additional compliance and regulatory reporting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185" w:lineRule="exact"/>
        <w:rPr>
          <w:sz w:val="20"/>
          <w:szCs w:val="20"/>
          <w:color w:val="auto"/>
        </w:rPr>
      </w:pPr>
    </w:p>
    <w:p>
      <w:pPr>
        <w:ind w:right="840" w:firstLine="810"/>
        <w:spacing w:after="0" w:line="277" w:lineRule="auto"/>
        <w:rPr>
          <w:sz w:val="20"/>
          <w:szCs w:val="20"/>
          <w:color w:val="auto"/>
        </w:rPr>
      </w:pPr>
      <w:r>
        <w:rPr>
          <w:rFonts w:ascii="Arial" w:cs="Arial" w:eastAsia="Arial" w:hAnsi="Arial"/>
          <w:sz w:val="18"/>
          <w:szCs w:val="18"/>
          <w:color w:val="auto"/>
        </w:rPr>
        <w:t>Acquired IPR&amp;D reflects costs of external research and development projects acquired directly in a transaction other than a business combination, that do not have an alternative future use.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98" w:lineRule="exact"/>
        <w:rPr>
          <w:sz w:val="20"/>
          <w:szCs w:val="20"/>
          <w:color w:val="auto"/>
        </w:rPr>
      </w:pPr>
    </w:p>
    <w:p>
      <w:pPr>
        <w:jc w:val="both"/>
        <w:ind w:right="100" w:firstLine="810"/>
        <w:spacing w:after="0" w:line="275" w:lineRule="auto"/>
        <w:rPr>
          <w:sz w:val="20"/>
          <w:szCs w:val="20"/>
          <w:color w:val="auto"/>
        </w:rPr>
      </w:pPr>
      <w:r>
        <w:rPr>
          <w:rFonts w:ascii="Arial" w:cs="Arial" w:eastAsia="Arial" w:hAnsi="Arial"/>
          <w:sz w:val="17"/>
          <w:szCs w:val="17"/>
          <w:color w:val="auto"/>
        </w:rPr>
        <w:t>Other income and expense primarily consists of interest expense which includes the amortization of debt issuance costs related to our 1.50% Convertible Senior Notes due 2025, interest earned on our cash equivalents and short-term investments, and changes in the fair value of certain common stock warrants which were issued in October 2017 and expire in October 2022. We expect interest income in future quarters to fluctuate depending on the total amount of cash equivalents and short-term investments and market interest rates. We expect interest expense in future quarters to be comparable with the amount expensed in 2021, through the date of conversion or redemption of the Notes.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480" w:firstLine="810"/>
        <w:spacing w:after="0" w:line="311"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vMerge w:val="restart"/>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146,035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133,106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422,985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364,025</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Outside the United States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58,512</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46,521</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157,731</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128,778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204,547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179,627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580,716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492,803</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100,122</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82,882</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283,252</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230,317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104,425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96,745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297,464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262,486</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84,104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64,923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237,989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190,009</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36,798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24,102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103,529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62,562</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31,016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31,016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151,918</w:t>
            </w: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89,025</w:t>
            </w: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372,534</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252,571</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(47,493)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7,720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(75,070)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and other,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2,858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(1,668)</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(47,349)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(76,738)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2,003</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(48,970)</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(78,741)</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29" w:lineRule="exact"/>
        <w:rPr>
          <w:sz w:val="20"/>
          <w:szCs w:val="20"/>
          <w:color w:val="auto"/>
        </w:rPr>
      </w:pPr>
    </w:p>
    <w:p>
      <w:pPr>
        <w:jc w:val="both"/>
        <w:ind w:right="400" w:firstLine="810"/>
        <w:spacing w:after="0" w:line="286"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three months ended September 30, 2022, sales were $204.5 million, which included $58.5 million of sales outside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For the three months ended September 30, 2022, we deferred $0.6 million of pump sales as the result of our recently launched Tandem Choice. Sales were $179.6 million for the same period in 2021, which included $46.5 million of sales outside the United States.</w:t>
      </w:r>
    </w:p>
    <w:p>
      <w:pPr>
        <w:spacing w:after="0" w:line="192"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The increase in worldwide sales of $24.9 million in the third quarter of 2022, compared to the third quarter of 2021, was primarily driven by a 25% increase in pump-related supply sales. Sales of pump-related supplies increased primarily due to the 35% growth in our estimated worldwide installed base of customers. Pump sales increased 5% in the third quarter of 2022, net of the deferral associated with the Tandem Choice, which began during the third quarter of 2022.</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2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80" w:type="dxa"/>
            <w:vAlign w:val="bottom"/>
            <w:tcBorders>
              <w:bottom w:val="single" w:sz="8" w:color="CFF0FC"/>
            </w:tcBorders>
          </w:tcPr>
          <w:p>
            <w:pPr>
              <w:spacing w:after="0"/>
              <w:rPr>
                <w:sz w:val="17"/>
                <w:szCs w:val="17"/>
                <w:color w:val="auto"/>
              </w:rPr>
            </w:pPr>
          </w:p>
        </w:tc>
        <w:tc>
          <w:tcPr>
            <w:tcW w:w="38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3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80,696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78,771</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3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37,725</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3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in the United States</w:t>
            </w:r>
          </w:p>
        </w:tc>
        <w:tc>
          <w:tcPr>
            <w:tcW w:w="3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146,035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133,106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34</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firstLine="810"/>
        <w:spacing w:after="0" w:line="290" w:lineRule="auto"/>
        <w:rPr>
          <w:sz w:val="20"/>
          <w:szCs w:val="20"/>
          <w:color w:val="auto"/>
        </w:rPr>
      </w:pPr>
      <w:r>
        <w:rPr>
          <w:rFonts w:ascii="Arial" w:cs="Arial" w:eastAsia="Arial" w:hAnsi="Arial"/>
          <w:sz w:val="16"/>
          <w:szCs w:val="16"/>
          <w:color w:val="auto"/>
        </w:rPr>
        <w:t>Pump sales in the United States were $80.7 million for the third quarter of 2022, compared to $78.8 million in the third quarter of 2021 as pump shipments increased 1% and pump average selling prices improved compared to the same period in 2021. Pump shipments in the United States were 20,394 in the third quarter of 2022, compared to 20,296 in the third quarter of 2021. Pump shipments were driven by continued demand for our t:slim X2 insulin pump with Control-IQ technology even with the presence of new competitive product launches during the quarter. We also faced challenging marketplace dynamics and economic conditions brought on by the global pandemic and a deteriorating macroeconomic environment, with inflation and the threat of recession beginning to impact pump purchasing decisions. Sales of pump-related supplies increased primarily due to a 28% increase year over year in our estimated installed base of customers in the United States. Sales to distributors accounted for 66% and 68% of our total sales in the United States for the three months ended September 30, 2022 and 2021, respectively, which contributed to modest improvement in average selling prices across all products.</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26"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22225</wp:posOffset>
            </wp:positionV>
            <wp:extent cx="2202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6"/>
        </w:trPr>
        <w:tc>
          <w:tcPr>
            <w:tcW w:w="77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21,964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16,175</w:t>
            </w: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48"/>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58,512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46,521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Pump sales outside the United States were $27.4 million for the third quarter of 2022, compared to $23.8 million in the third quarter of 2021. Pump shipments increased 8% compared to the same period in the prior year due to continued strong demand for our t:slim X2 insulin pump with Control-IQ technology, which is now available in all of the markets we serve. The increase in pump sales was also attributable to an increase in average selling prices. Sales of pump-related supplies benefited from a 57% increase in our estimated installed base of customers outside the United States. The ordering patterns of our distributors outside the United States for pumps and supplies has been, and may continue to be, highly variable from period to period as distributors continue to gain familiarity with the markets in which they operate and the acceptance of our products in those markets evolves. This variability has been compounded by the differing levels of impact from the global pandemic with regard to access to both physicians and customers, as well as shipping logistics. Sales to distributors accounted for 96% and 96% of our total sales outside the United States for the three-month periods ended September 30, 2022 and 2021, respectively.</w:t>
      </w:r>
    </w:p>
    <w:p>
      <w:pPr>
        <w:spacing w:after="0" w:line="181"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September 30, 2022 was $100.1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w:t>
      </w:r>
      <w:r>
        <w:rPr>
          <w:rFonts w:ascii="Arial" w:cs="Arial" w:eastAsia="Arial" w:hAnsi="Arial"/>
          <w:sz w:val="18"/>
          <w:szCs w:val="18"/>
          <w:i w:val="1"/>
          <w:iCs w:val="1"/>
          <w:color w:val="auto"/>
        </w:rPr>
        <w:t xml:space="preserve"> </w:t>
      </w:r>
      <w:r>
        <w:rPr>
          <w:rFonts w:ascii="Arial" w:cs="Arial" w:eastAsia="Arial" w:hAnsi="Arial"/>
          <w:sz w:val="18"/>
          <w:szCs w:val="18"/>
          <w:color w:val="auto"/>
        </w:rPr>
        <w:t>$104.4 million, compared to cost of sales of $82.9 million and gross profit of $96.7 million for the same period in 2021. The gross margin for the three months ended September 30, 2022 and 2021 was 51% and 54%, respectively.</w:t>
      </w:r>
    </w:p>
    <w:p>
      <w:pPr>
        <w:spacing w:after="0" w:line="184"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 increase in our gross profit for the three months ended September 30, 2022 was primarily the result of the $24.9 million increase in total sales, driven by increased supply sales. Gross margin benefits from progress in underlying fundamentals, including an increase in average selling prices and manufacturing efficiencies, as well as leverage of fixed overhead, were more than offset by increased costs associated with global supply chain challenges. More specifically, gross margin was pressured by approximately 2 percentage points from increased pump material costs due to the use of alternative sourcing for certain raw materials to reduce the risk of component shortages in the near-term and higher freight costs consistent with our experience in the second quarter of 2022. We anticipate continued pressure from increased supply chain and material costs through the end of this year into next year as we continue to navigate the challenges of the global pandemic and the challenging economic environment. Other factors that have and may continue to impact the gross margin percentage are changes in product and geographical mix. Pump sales, which have the highest gross margin, were 53% of total worldwide sales in the third quarter of 2022, versus 57% in the third quarter of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ind w:right="20" w:firstLine="81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30% to $84.1 million for the three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from $64.9 million for the same period in 2021. Employee-related expenses for our SG&amp;A functions comprise the majority of SG&amp;A expenses. The increase compared to 2021 was primarily the result of an $11.8 million increase in salaries, incentive compensation, non-cash stock-based compensation, and other employee benefits due to an increase in personnel to support additional sales territories, higher sales and other services in support of our growing installed customer base. Non-cash stock-based compensation expense allocated to SG&amp;A was $15.1 million for the three months ended September 30, 2022, compared to $11.3 million in the same period in 2021. We also experienced a $7.4 million increase in facilities and other non-employee discretionary spending, including outside consulting, outside services, travel, and equipment costs.</w:t>
      </w:r>
    </w:p>
    <w:p>
      <w:pPr>
        <w:spacing w:after="0" w:line="177"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53% to $36.8 million for the three months ended September 30, 2022 from</w:t>
      </w:r>
      <w:r>
        <w:rPr>
          <w:rFonts w:ascii="Arial" w:cs="Arial" w:eastAsia="Arial" w:hAnsi="Arial"/>
          <w:sz w:val="17"/>
          <w:szCs w:val="17"/>
          <w:i w:val="1"/>
          <w:iCs w:val="1"/>
          <w:color w:val="auto"/>
        </w:rPr>
        <w:t xml:space="preserve"> </w:t>
      </w:r>
      <w:r>
        <w:rPr>
          <w:rFonts w:ascii="Arial" w:cs="Arial" w:eastAsia="Arial" w:hAnsi="Arial"/>
          <w:sz w:val="17"/>
          <w:szCs w:val="17"/>
          <w:color w:val="auto"/>
        </w:rPr>
        <w:t>$24.1 million for the same period in 2021. The increase in R&amp;D expenses was primarily the result of an increase of $8.1 million in salaries, incentive compensation, non-cash stock-based compensation, and other employee benefits due to an increase in personnel to support our product development efforts. Non-cash stock-based compensation expense allocated to R&amp;D was $5.2 million for the three months ended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compared to $2.9 million in the same period in 2021. We also experienced a $4.6 million increase in other non-employee discretionary spending, including outside consulting and services, clinical trial expenses, information technology and equipment costs attributable to R&amp;D.</w:t>
      </w:r>
    </w:p>
    <w:p>
      <w:pPr>
        <w:spacing w:after="0" w:line="137"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 xml:space="preserve">Acquired In-Process Research and Development Expenses. </w:t>
      </w:r>
      <w:r>
        <w:rPr>
          <w:rFonts w:ascii="Arial" w:cs="Arial" w:eastAsia="Arial" w:hAnsi="Arial"/>
          <w:sz w:val="18"/>
          <w:szCs w:val="18"/>
          <w:color w:val="auto"/>
        </w:rPr>
        <w:t>Acquired IPR&amp;D expenses of $31.0 million for the three months ended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September 30, 2022 represented the value of assets acquired, and acquisition related expenses, in connection with our acquisition of Capillary Biomedical.</w:t>
      </w:r>
    </w:p>
    <w:p>
      <w:pPr>
        <w:spacing w:after="0" w:line="234"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Total other income (expense), net for the three months ended September 30, 2022 was $0.1 million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$1.9 million expense in the same period in 2021. Other income, net for the three months ended September 30, 2022 primarily consisted of $1.7 million of interest income earned on our cash equivalents and short-term investments, partially offset by $1.6 million of interest expense which included the amortization of debt issuance costs related to our Convertible Senior Notes. Other expense, net for the three months ended September 30, 2021 primarily consisted of $1.5 million of interest expense which included the amortization of debt issuance costs related to our Notes.</w:t>
      </w:r>
    </w:p>
    <w:p>
      <w:pPr>
        <w:spacing w:after="0" w:line="176" w:lineRule="exact"/>
        <w:rPr>
          <w:sz w:val="20"/>
          <w:szCs w:val="20"/>
          <w:color w:val="auto"/>
        </w:rPr>
      </w:pPr>
    </w:p>
    <w:p>
      <w:pPr>
        <w:ind w:right="120" w:firstLine="810"/>
        <w:spacing w:after="0" w:line="275"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We recognized income tax expense of $1.6 million on a pre-tax loss of $47.3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compared to income tax expense of $0.1 million on pre-tax income of $5.8 million for the three months ended September 30, 2021. Income tax expense for the three months ended September 30, 2022 was primarily attributable to federal, state and foreign income tax expense as a result of current taxable income in certain jurisdictions. Income tax expense for the three months ended September 30, 2021 was primarily attributable to state and foreign income tax expense as a result of current taxable income in certain jurisdictions.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29" w:lineRule="exact"/>
        <w:rPr>
          <w:sz w:val="20"/>
          <w:szCs w:val="20"/>
          <w:color w:val="auto"/>
        </w:rPr>
      </w:pPr>
    </w:p>
    <w:p>
      <w:pPr>
        <w:ind w:right="260" w:firstLine="810"/>
        <w:spacing w:after="0" w:line="311" w:lineRule="auto"/>
        <w:rPr>
          <w:sz w:val="20"/>
          <w:szCs w:val="20"/>
          <w:color w:val="auto"/>
        </w:rPr>
      </w:pPr>
      <w:r>
        <w:rPr>
          <w:rFonts w:ascii="Arial" w:cs="Arial" w:eastAsia="Arial" w:hAnsi="Arial"/>
          <w:sz w:val="16"/>
          <w:szCs w:val="16"/>
          <w:i w:val="1"/>
          <w:iCs w:val="1"/>
          <w:color w:val="auto"/>
        </w:rPr>
        <w:t>Sales</w:t>
      </w:r>
      <w:r>
        <w:rPr>
          <w:rFonts w:ascii="Arial" w:cs="Arial" w:eastAsia="Arial" w:hAnsi="Arial"/>
          <w:sz w:val="16"/>
          <w:szCs w:val="16"/>
          <w:color w:val="auto"/>
        </w:rPr>
        <w:t>. For the nine months ended September 30, 2022, sales were $580.7 million, which included $157.7 million of sales outside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For the nine months ended September 30, 2022 we deferred $0.6 million of pump sales as a result of Tandem Choice, launched in late September 2022. For the nine months ended September 30, 2021, sales were $492.8 million, which included $128.8 million of sales outside the United States.</w:t>
      </w:r>
    </w:p>
    <w:p>
      <w:pPr>
        <w:spacing w:after="0" w:line="149" w:lineRule="exact"/>
        <w:rPr>
          <w:sz w:val="20"/>
          <w:szCs w:val="20"/>
          <w:color w:val="auto"/>
        </w:rPr>
      </w:pPr>
    </w:p>
    <w:p>
      <w:pPr>
        <w:ind w:right="300" w:firstLine="810"/>
        <w:spacing w:after="0" w:line="259" w:lineRule="auto"/>
        <w:rPr>
          <w:sz w:val="20"/>
          <w:szCs w:val="20"/>
          <w:color w:val="auto"/>
        </w:rPr>
      </w:pPr>
      <w:r>
        <w:rPr>
          <w:rFonts w:ascii="Arial" w:cs="Arial" w:eastAsia="Arial" w:hAnsi="Arial"/>
          <w:sz w:val="18"/>
          <w:szCs w:val="18"/>
          <w:color w:val="auto"/>
        </w:rPr>
        <w:t>The increase in worldwide sales of $87.9 million in the first nine months of 2022 compared to the first nine months of 2021, was driven by a 34% increase in pump-related supply sales, primarily due to 35% growth in our estimated worldwide installed base of customers. We also had a 7% increase in worldwide pump sales in the first nine months of 2022, compared to the same period in 2021, net of the deferral associated with the Tandem Choice.</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FF0FC"/>
            </w:tcBorders>
          </w:tcPr>
          <w:p>
            <w:pPr>
              <w:spacing w:after="0"/>
              <w:rPr>
                <w:sz w:val="16"/>
                <w:szCs w:val="16"/>
                <w:color w:val="auto"/>
              </w:rPr>
            </w:pPr>
          </w:p>
        </w:tc>
        <w:tc>
          <w:tcPr>
            <w:tcW w:w="372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3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235,849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221,724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3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128,490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3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Sales in the United States</w:t>
            </w:r>
          </w:p>
        </w:tc>
        <w:tc>
          <w:tcPr>
            <w:tcW w:w="3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422,985</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364,025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36</w:t>
            </w: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ind w:right="100" w:firstLine="810"/>
        <w:spacing w:after="0" w:line="254" w:lineRule="auto"/>
        <w:rPr>
          <w:sz w:val="20"/>
          <w:szCs w:val="20"/>
          <w:color w:val="auto"/>
        </w:rPr>
      </w:pPr>
      <w:r>
        <w:rPr>
          <w:rFonts w:ascii="Arial" w:cs="Arial" w:eastAsia="Arial" w:hAnsi="Arial"/>
          <w:sz w:val="18"/>
          <w:szCs w:val="18"/>
          <w:color w:val="auto"/>
        </w:rPr>
        <w:t>Pump sales in the United States were $235.8 million for the first nine months of 2022, compared to $221.7 million in the first nine months of 2021, as pump shipments increased 4% compared to the same period in the prior year, net of the deferral associated with the Tandem Choice, which began during the third quarter of 2022. Pump average selling prices also improved over the prior period. Domestic pump shipments were 59,870 in the first nine months of 2022 compared to 57,605 in the first nine months of 2021. Sales of pump-related supplies increased primarily due to a 28% increase in our estimated domestic installed base of customers compared to September 30, 2021. Sales to distributors accounted for 65% and 68% of our total domestic sales for the nine months ended September 30, 2022 and 2021, respectively, which contributed to modest improvement in average selling prices across all products.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outside the United States by product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r>
      <w:tr>
        <w:trPr>
          <w:trHeight w:val="26"/>
        </w:trPr>
        <w:tc>
          <w:tcPr>
            <w:tcW w:w="7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57,258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41,074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Cartridges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Sales Outside the United States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128,778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Pump sales outside the United States were $75.5 million for the first nine months of 2022, compared to $70.3 million in the first nine months of 2021, as the 1% decrease in pump shipments was more than offset by an increase in average selling prices compared to the same period in the prior year. Sales of pump-related supplies increased 41% primarily due to a 57% increase in our estimated installed base of customers outside the United States. The ordering patterns of our distributors outside the United States for pumps and supplies is highly variable from period to period, as distributors continue to gain familiarity with the markets in which they operate and the acceptance of our products in those markets. This variability was compounded during the period by the differing levels of impact from the global pandemic with regard to both access to physicians and customers, as well as shipping logistics across the more than 20 markets in which we operate outside the United States. Sales to distributors accounted for 96% of our total sales outside the United States for the nine month period ended September 30, 2022, and 95% for the same period in 2021.</w:t>
      </w:r>
    </w:p>
    <w:p>
      <w:pPr>
        <w:spacing w:after="0" w:line="192"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nine months ended September 30, 2022 was $283.3 million resulting in gross profit of</w:t>
      </w:r>
      <w:r>
        <w:rPr>
          <w:rFonts w:ascii="Arial" w:cs="Arial" w:eastAsia="Arial" w:hAnsi="Arial"/>
          <w:sz w:val="18"/>
          <w:szCs w:val="18"/>
          <w:i w:val="1"/>
          <w:iCs w:val="1"/>
          <w:color w:val="auto"/>
        </w:rPr>
        <w:t xml:space="preserve"> </w:t>
      </w:r>
      <w:r>
        <w:rPr>
          <w:rFonts w:ascii="Arial" w:cs="Arial" w:eastAsia="Arial" w:hAnsi="Arial"/>
          <w:sz w:val="18"/>
          <w:szCs w:val="18"/>
          <w:color w:val="auto"/>
        </w:rPr>
        <w:t>$297.5 million, compared to cost of sales of $230.3 million and gross profit of $262.5 million for the same period in 2021. The gross margin for the nine months ended September 30, 2022 was 51% compared to 53% in the same period in 2021.</w:t>
      </w:r>
    </w:p>
    <w:p>
      <w:pPr>
        <w:spacing w:after="0" w:line="211" w:lineRule="exact"/>
        <w:rPr>
          <w:sz w:val="20"/>
          <w:szCs w:val="20"/>
          <w:color w:val="auto"/>
        </w:rPr>
      </w:pPr>
    </w:p>
    <w:p>
      <w:pPr>
        <w:ind w:right="120" w:firstLine="810"/>
        <w:spacing w:after="0" w:line="290" w:lineRule="auto"/>
        <w:rPr>
          <w:sz w:val="20"/>
          <w:szCs w:val="20"/>
          <w:color w:val="auto"/>
        </w:rPr>
      </w:pPr>
      <w:r>
        <w:rPr>
          <w:rFonts w:ascii="Arial" w:cs="Arial" w:eastAsia="Arial" w:hAnsi="Arial"/>
          <w:sz w:val="16"/>
          <w:szCs w:val="16"/>
          <w:color w:val="auto"/>
        </w:rPr>
        <w:t>The increase in our gross profit for the nine months ended September 30, 2022 was primarily the result of the $87.9 million increase in total sales. Gross profit benefited from an increase in average selling prices as well as improvement in manufacturing efficiencies and leverage of fixed overhead. Gross margin was pressured by approximately 2 percentage points from increased pump material costs due to the use of alternative sourcing for raw materials to reduce the risk of component shortages in the near-term and higher freight costs we are experiencing in 2022. We anticipate continued pressure from increased supply chain and material costs through the end of this year into next year as we continue to navigate the challenges of the global pandemic and the economic environment. Other factors that have and may continue to impact the gross margin percentage are changes in product and geographical mix and the level of non-cash stock-based compensation allocated to cost of sales. Pump sales, which have the highest gross margin, were 54% of total worldwide sales in the first nine months of 2022 compared to 59% in the same period in 2021.</w:t>
      </w:r>
    </w:p>
    <w:p>
      <w:pPr>
        <w:spacing w:after="0" w:line="192"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25% to $238.0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from $190.0 million for the same period in 2021. Employee-related expenses for our SG&amp;A functions comprise the majority of SG&amp;A expenses. The increase compared to 2021 was primarily the result of a $34.7 million increase in salaries, incentive compensation, non-cash stock-based compensation, and other employee benefits due to an increase in personnel to support additional sales territories, higher sales and other services in support of our growing installed customer base. Non-cash stock-based compensation expense allocated to SG&amp;A was $40.7 million for the nine months ended September 30, 2022, compared to $31.6 million in the same period in 2021. We also experienced a $13.3 million increase in facilities and non-employee discretionary spending, including outside services, travel, and software maintenance and supplies costs.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ind w:firstLine="810"/>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65% to $103.5 million for the nine months ended September 30, 2022, from</w:t>
      </w:r>
      <w:r>
        <w:rPr>
          <w:rFonts w:ascii="Arial" w:cs="Arial" w:eastAsia="Arial" w:hAnsi="Arial"/>
          <w:sz w:val="17"/>
          <w:szCs w:val="17"/>
          <w:i w:val="1"/>
          <w:iCs w:val="1"/>
          <w:color w:val="auto"/>
        </w:rPr>
        <w:t xml:space="preserve"> </w:t>
      </w:r>
      <w:r>
        <w:rPr>
          <w:rFonts w:ascii="Arial" w:cs="Arial" w:eastAsia="Arial" w:hAnsi="Arial"/>
          <w:sz w:val="17"/>
          <w:szCs w:val="17"/>
          <w:color w:val="auto"/>
        </w:rPr>
        <w:t>$62.6 million for the same period in 2021. The increase in R&amp;D expenses was primarily the result of an increase of $24.4 million in salaries, incentive compensation, non-cash stock-based compensation, and other employee benefits due to an increase in personnel to support our product development efforts. Non-cash stock-based compensation expense allocated to R&amp;D was $14.1 million for the nine months ended September 30, 2022, compared to $7.5 million in the same period in 2021. We also experienced a $16.6 million increase in other non-employee discretionary spending, including outside consulting and services, clinical trial expenses, information technology, facilities and equipment costs attributable to R&amp;D.</w:t>
      </w:r>
    </w:p>
    <w:p>
      <w:pPr>
        <w:spacing w:after="0" w:line="137" w:lineRule="exact"/>
        <w:rPr>
          <w:sz w:val="20"/>
          <w:szCs w:val="20"/>
          <w:color w:val="auto"/>
        </w:rPr>
      </w:pPr>
    </w:p>
    <w:p>
      <w:pPr>
        <w:ind w:right="400" w:firstLine="810"/>
        <w:spacing w:after="0" w:line="263" w:lineRule="auto"/>
        <w:rPr>
          <w:sz w:val="20"/>
          <w:szCs w:val="20"/>
          <w:color w:val="auto"/>
        </w:rPr>
      </w:pPr>
      <w:r>
        <w:rPr>
          <w:rFonts w:ascii="Arial" w:cs="Arial" w:eastAsia="Arial" w:hAnsi="Arial"/>
          <w:sz w:val="18"/>
          <w:szCs w:val="18"/>
          <w:i w:val="1"/>
          <w:iCs w:val="1"/>
          <w:color w:val="auto"/>
        </w:rPr>
        <w:t xml:space="preserve">Acquired In-Process Research and Development Expenses. </w:t>
      </w:r>
      <w:r>
        <w:rPr>
          <w:rFonts w:ascii="Arial" w:cs="Arial" w:eastAsia="Arial" w:hAnsi="Arial"/>
          <w:sz w:val="18"/>
          <w:szCs w:val="18"/>
          <w:color w:val="auto"/>
        </w:rPr>
        <w:t>Acquired IPR&amp;D expenses of $31.0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represented the value of IPR&amp;D assets acquired, and acquisition related expenses, in connection with our acquisition of Capillary Biomedical.</w:t>
      </w:r>
    </w:p>
    <w:p>
      <w:pPr>
        <w:spacing w:after="0" w:line="184"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Total other expense, net for the nine months ended September 30, 2022 and 2021 was $1.7 million and $5.2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Other expense, net for the nine months ended September 30, 2022 primarily consisted of $4.6 million of interest expense which included the amortization of debt issuance costs related to our Convertible Senior Notes, partially offset by $2.9 million of interest income earned on our cash equivalents and short-term investments. Other expense, net for the nine months ended September 30, 2021 primarily consisted of $4.5 million of interest expense which included the amortization of debt issuance costs related to our Notes, and a $1.4 million revaluation loss from the change in the fair value of certain common stock warrants, offset by $0.7 million of interest income earned on our cash equivalents and short-term investments.</w:t>
      </w:r>
    </w:p>
    <w:p>
      <w:pPr>
        <w:spacing w:after="0" w:line="164"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income tax expense of $2.0 million on pre-tax loss of $76.7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compared to an income tax benefit of $2,000 on pre-tax income of $4.8 million for the nine months ended September 30, 2021. Income tax expense for the nine months ended September 30, 2022 was primarily attributable to federal, state and foreign income tax expense as a result of current taxable income in certain jurisdictions. The benefit for income taxes for the nine months ended September 30, 2021 was primarily attributable to excess tax benefits from stock compensation, offset by state and foreign income tax expense as a result of current taxable income in certain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At September 30, 2022, we had $608.7 million in cash and cash equivalents and short-term investments. In addition, we had a total available balance of $95.1 million at September 30, 2022 under our Revolving Line of Credit (the Line of Credit), which expires in May 2025 (see Note 7, “Debt”). We believe that our cash and cash equivalents, short-term investments, borrowing availability under the Line of Credit, and future cash flows from operations will be sufficient to fund our ongoing core business activities.</w:t>
      </w:r>
    </w:p>
    <w:p>
      <w:pPr>
        <w:spacing w:after="0" w:line="146"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exercises of employee stock awards, and debt financing.</w:t>
      </w:r>
    </w:p>
    <w:p>
      <w:pPr>
        <w:spacing w:after="0" w:line="143"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geographies outside the United States, the acquisition of intellectual property, equity investments and acquired assets, expenditures related to increases in our manufacturing capacity and improvements to our manufacturing efficiency, overall expansion of our facilities and operations, and other working capital needs. Additionally, we have used cash to pay the interest expense associated with our convertible senior notes.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0" w:name="page41"/>
    <w:bookmarkEnd w:id="40"/>
    <w:p>
      <w:pPr>
        <w:ind w:left="8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2022 and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18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44,644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91,724</w:t>
            </w:r>
          </w:p>
        </w:tc>
      </w:tr>
      <w:tr>
        <w:trPr>
          <w:trHeight w:val="230"/>
        </w:trPr>
        <w:tc>
          <w:tcPr>
            <w:tcW w:w="8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(2,609)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(110,058)</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10,777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36,046</w:t>
            </w:r>
          </w:p>
        </w:tc>
      </w:tr>
      <w:tr>
        <w:trPr>
          <w:trHeight w:val="22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52,605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17,762</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was $44.6 million for the nine months ended September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$91.7 million in the same period in 2021. The reduction in net cash provided by operating activities for 2022 compared to 2021 was primarily a result of the $83.5 million increase in net loss as well as working capital changes. Working capital changes during the nine months of 2022, primarily consisted of increases in inventories, accounts payable and accrued expenses, and operating leases and other current liabilities. Accounts receivable increased to $112.8 million at September 30, 2022, from $110.7 million at December 31, 2021. Inventories increased to $104.8 million at September 30, 2022 from $68.6 million at December 31, 2021.</w:t>
      </w:r>
    </w:p>
    <w:p>
      <w:pPr>
        <w:spacing w:after="0" w:line="152"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$2.6 million for the nine months ended September 30, 2022, which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$362.5 million of purchases of short-term investments, $28.5 million in purchases of property and equipment, and $25.7 million paid for the acquisition of Capillary Biomedical, including $1.0 million transaction cost. (see Note 2, “Summary of Significant Accounting Policies”), offset by $422.9 million in proceeds from maturities and sales of short-term investments. Net cash used by investing activities was $110.1 million for the nine months ended September 30, 2021, which was primarily related to $542.8 million of purchases of short-term investments, and $8.4 million in purchases of property and equipment, offset by $450.5 million in proceeds from maturities and sales of short-term investments.</w:t>
      </w:r>
    </w:p>
    <w:p>
      <w:pPr>
        <w:spacing w:after="0" w:line="151"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$10.8 million for the nine months ended September 30, 2022,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consisted of proceeds from the issuance of common stock under our stock plans. Net cash provided by financing activities was $36.0 million for the nine months ended September 30, 2021, which primarily consisted of proceeds from the issuance of common stock under our stock plans.</w:t>
      </w:r>
    </w:p>
    <w:p>
      <w:pPr>
        <w:spacing w:after="0" w:line="108"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800" w:right="34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800" w:right="56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800" w:right="66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ind w:left="820"/>
        <w:spacing w:after="0"/>
        <w:rPr>
          <w:sz w:val="20"/>
          <w:szCs w:val="20"/>
          <w:color w:val="auto"/>
        </w:rPr>
      </w:pPr>
      <w:r>
        <w:rPr>
          <w:rFonts w:ascii="Arial" w:cs="Arial" w:eastAsia="Arial" w:hAnsi="Arial"/>
          <w:sz w:val="18"/>
          <w:szCs w:val="18"/>
          <w:color w:val="auto"/>
        </w:rPr>
        <w:t>Both our primary short-term and long-term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w:t>
      </w:r>
    </w:p>
    <w:p>
      <w:pPr>
        <w:spacing w:after="0" w:line="225" w:lineRule="exact"/>
        <w:rPr>
          <w:rFonts w:ascii="Arial" w:cs="Arial" w:eastAsia="Arial" w:hAnsi="Arial"/>
          <w:sz w:val="18"/>
          <w:szCs w:val="18"/>
          <w:color w:val="auto"/>
        </w:rPr>
      </w:pPr>
    </w:p>
    <w:p>
      <w:pPr>
        <w:ind w:left="1800" w:right="400" w:hanging="496"/>
        <w:spacing w:after="0" w:line="27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for the development, improvement and acquisition of manufacturing, testing and packaging equipment to support business growth and increase capacity;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and subsequent integration of businesses, products and technologies.</w:t>
      </w:r>
    </w:p>
    <w:p>
      <w:pPr>
        <w:spacing w:after="0" w:line="18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the Line of Credit,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89"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In May 2020, the Company entered into a purchase agreement with certain counterparties for the sale of an aggregate of $287.5 million principal amount of 1.50% Convertible Senior Notes due 2025 in a private offering to qualified institutional buyers (the Notes). The proceeds from the issuance of the Notes were $244.6 million, net of debt issuance costs and cash used to pay the cost of the Capped Call Transactions (see Note 7, “Debt”). 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payments due by calendar year for our Convertible Senior Notes at September 30, 2022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Remaining in 2022</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2025</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30"/>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Principal amount of convertible senior notes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48"/>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289,656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Convertible Senior Notes may be settled in cash, shares of our common stock, or a combination of cash and shares of our common stock, at our election.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81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which present a significant level of estimation uncertainty and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and have a material impact on our financial condition and results of operations.</w:t>
      </w:r>
    </w:p>
    <w:p>
      <w:pPr>
        <w:spacing w:after="0" w:line="16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2021, except for the accounting policies and estimates related to an asset acquisition and Tandem Choice, which are included in Note 2, “Summary of Significant Accounting Policies” in Part I, Item 1 of this Quarterly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As of September 30, 2022, we are a party to certain standby letter of credit arrangements in support of our operating lease obligations. For a description of the arrangements we consider significant, see Note 12 “Commitments and Contingencies” to the condensed consolidated financial statements in Part I, Item 1 of this Quarterly Report.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Interest Rate Risks</w:t>
      </w:r>
    </w:p>
    <w:p>
      <w:pPr>
        <w:spacing w:after="0" w:line="225" w:lineRule="exact"/>
        <w:rPr>
          <w:sz w:val="20"/>
          <w:szCs w:val="20"/>
          <w:color w:val="auto"/>
        </w:rPr>
      </w:pPr>
    </w:p>
    <w:p>
      <w:pPr>
        <w:ind w:right="100" w:firstLine="810"/>
        <w:spacing w:after="0" w:line="270" w:lineRule="auto"/>
        <w:rPr>
          <w:sz w:val="20"/>
          <w:szCs w:val="20"/>
          <w:color w:val="auto"/>
        </w:rPr>
      </w:pPr>
      <w:r>
        <w:rPr>
          <w:rFonts w:ascii="Arial" w:cs="Arial" w:eastAsia="Arial" w:hAnsi="Arial"/>
          <w:sz w:val="17"/>
          <w:szCs w:val="17"/>
          <w:color w:val="auto"/>
        </w:rPr>
        <w:t>We invest our excess cash in marketable securities consisting primarily of commercial paper, corporate debt securities, U.S. Treasury securities and U.S. Government-sponsored enterprise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from time to time, issued downgrades or revised outlooks to negative for certain issuers of the debt securities held in our short-term investments portfolio. Unrealized losses on available-for-sale debt securities at September 30, 2022 were primarily due to the recent increase in market interest rates. Based on the credit quality of the available-for-sale debt securities that are in an unrealized loss position, and our current estimates of future cash flows to be collected from those securities, we believe the unrealized losses were not credit losses (see Note 3, “Short-Term Investments”).</w:t>
      </w:r>
    </w:p>
    <w:p>
      <w:pPr>
        <w:spacing w:after="0" w:line="181"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4"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2022, it would not have had a material effect on the fair value of our investment portfolio as of that date.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operations are primarily located in the United States. In addition, we have a sales and marketing office in Canada and, beginning in 2022, a distribution center in the Netherlands. Our sales to customers in the United States are made in U.S. dollars. With the exception of sales from our distribution center in the Netherlands and a portion of our sales in Canada, our sales to customers outside of the United States are currently made to independent distributors under agreements denominated in U.S. dollars. Accordingly, we believe our exposure to foreign currency rate fluctuations is currently limited to our operations in Canada and the Netherlands, where fluctuations in the rate of exchange between the U.S. dollar and the local currency could adversely affect our financial results. As we expand and further develop our operations in markets outside the United States, particularly in Europe, we will be exposed to additional foreign currency exchange rate risk.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1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60" w:firstLine="8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As of September 30, 2022,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financial officer concluded that our disclosure controls and procedures were effective at a reasonable assurance level as of September 30, 2022.</w:t>
      </w:r>
    </w:p>
    <w:p>
      <w:pPr>
        <w:spacing w:after="0" w:line="21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40" w:firstLine="810"/>
        <w:spacing w:after="0" w:line="257" w:lineRule="auto"/>
        <w:rPr>
          <w:sz w:val="20"/>
          <w:szCs w:val="20"/>
          <w:color w:val="auto"/>
        </w:rPr>
      </w:pPr>
      <w:r>
        <w:rPr>
          <w:rFonts w:ascii="Arial" w:cs="Arial" w:eastAsia="Arial" w:hAnsi="Arial"/>
          <w:sz w:val="17"/>
          <w:szCs w:val="17"/>
          <w:color w:val="auto"/>
        </w:rPr>
        <w:t xml:space="preserve">In May 2020, the Company was named as a defendant in three California state court class action lawsuits arising from a phishing incident that occurred in January 2020. Collectively, these lawsuits seek statutory, compensatory, actual, and punitive damages; equitable relief, including restitution; pre- and post-judgment interest; injunctive relief; and attorney fees, costs, and expenses from the Company. On July 24, 2020, these three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Diabetes Care, Inc. </w:t>
      </w:r>
      <w:r>
        <w:rPr>
          <w:rFonts w:ascii="Arial" w:cs="Arial" w:eastAsia="Arial" w:hAnsi="Arial"/>
          <w:sz w:val="17"/>
          <w:szCs w:val="17"/>
          <w:color w:val="auto"/>
        </w:rPr>
        <w:t>The consolidated case alleges violations of the Confidentiality of Medical Information Act (CMIA), CCPA, California’s Unfair</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Law (UCL), and breach of contract. The Company filed a 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and the Company filed a motion for summary adjudication on the CMIA claim on April 7, 2022. Both motions are fully briefed. The Company anticipates the Court will hear argument on both motions in the fourth quarter of 2022 or the first quarter of 2023.</w:t>
      </w:r>
    </w:p>
    <w:p>
      <w:pPr>
        <w:spacing w:after="0" w:line="215" w:lineRule="exact"/>
        <w:rPr>
          <w:sz w:val="20"/>
          <w:szCs w:val="20"/>
          <w:color w:val="auto"/>
        </w:rPr>
      </w:pPr>
    </w:p>
    <w:p>
      <w:pPr>
        <w:ind w:right="70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or range of potential losses associated with the lawsuits.</w:t>
      </w:r>
    </w:p>
    <w:p>
      <w:pPr>
        <w:spacing w:after="0" w:line="151" w:lineRule="exact"/>
        <w:rPr>
          <w:sz w:val="20"/>
          <w:szCs w:val="20"/>
          <w:color w:val="auto"/>
        </w:rPr>
      </w:pPr>
    </w:p>
    <w:p>
      <w:pPr>
        <w:ind w:firstLine="810"/>
        <w:spacing w:after="0" w:line="279"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claims incident to the normal course of our business activities, including actions with respect to intellectual property, data privacy, employment, regulatory, product liability and contractual matters.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92"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26" w:lineRule="exact"/>
        <w:rPr>
          <w:rFonts w:ascii="Arial" w:cs="Arial" w:eastAsia="Arial" w:hAnsi="Arial"/>
          <w:sz w:val="21"/>
          <w:szCs w:val="21"/>
          <w:color w:val="auto"/>
        </w:rPr>
      </w:pPr>
    </w:p>
    <w:p>
      <w:pPr>
        <w:ind w:left="660" w:right="20" w:hanging="328"/>
        <w:spacing w:after="0" w:line="238" w:lineRule="auto"/>
        <w:tabs>
          <w:tab w:leader="none" w:pos="651"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currently rely on sales of insulin pump products to generate a significant portion of our revenue, and any factors that negatively impact sales of these products may adversely affect us.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left="660" w:right="4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in current global economic and political conditions could adversely affect our ability to predict product demand and impact our financial results.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ability to maintain and grow our revenue depends on retaining a high percentage of our customer base.</w:t>
      </w:r>
    </w:p>
    <w:p>
      <w:pPr>
        <w:spacing w:after="0" w:line="12"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19" w:lineRule="exact"/>
        <w:rPr>
          <w:rFonts w:ascii="Arial" w:cs="Arial" w:eastAsia="Arial" w:hAnsi="Arial"/>
          <w:sz w:val="19"/>
          <w:szCs w:val="19"/>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26" w:lineRule="exact"/>
        <w:rPr>
          <w:rFonts w:ascii="Arial" w:cs="Arial" w:eastAsia="Arial" w:hAnsi="Arial"/>
          <w:sz w:val="21"/>
          <w:szCs w:val="21"/>
          <w:color w:val="auto"/>
        </w:rPr>
      </w:pPr>
    </w:p>
    <w:p>
      <w:pPr>
        <w:ind w:left="660" w:right="34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depend on a limited number of third-party suppliers for certain components and products.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Any disruption at one of our facilities could adversely affect our business and operating results.</w:t>
      </w:r>
    </w:p>
    <w:p>
      <w:pPr>
        <w:spacing w:after="0" w:line="2" w:lineRule="exact"/>
        <w:rPr>
          <w:rFonts w:ascii="Arial" w:cs="Arial" w:eastAsia="Arial" w:hAnsi="Arial"/>
          <w:sz w:val="21"/>
          <w:szCs w:val="2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economic and market uncertainty may adversely impact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9"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operating results may fluctuate significantly from quarter to quarter.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26" w:lineRule="exact"/>
        <w:rPr>
          <w:rFonts w:ascii="Arial" w:cs="Arial" w:eastAsia="Arial" w:hAnsi="Arial"/>
          <w:sz w:val="21"/>
          <w:szCs w:val="21"/>
          <w:color w:val="auto"/>
        </w:rPr>
      </w:pPr>
    </w:p>
    <w:p>
      <w:pPr>
        <w:ind w:left="660" w:right="60" w:hanging="328"/>
        <w:spacing w:after="0" w:line="238" w:lineRule="auto"/>
        <w:tabs>
          <w:tab w:leader="none" w:pos="651" w:val="left"/>
        </w:tabs>
        <w:numPr>
          <w:ilvl w:val="0"/>
          <w:numId w:val="15"/>
        </w:numPr>
        <w:rPr>
          <w:rFonts w:ascii="Arial" w:cs="Arial" w:eastAsia="Arial" w:hAnsi="Arial"/>
          <w:sz w:val="21"/>
          <w:szCs w:val="21"/>
          <w:color w:val="auto"/>
        </w:rPr>
      </w:pPr>
      <w:r>
        <w:rPr>
          <w:rFonts w:ascii="Arial" w:cs="Arial" w:eastAsia="Arial" w:hAnsi="Arial"/>
          <w:sz w:val="18"/>
          <w:szCs w:val="18"/>
          <w:color w:val="auto"/>
        </w:rPr>
        <w:t>We may be subject to damages resulting from claims that we have wrongfully used or disclosed patient health information, personal information, or trade secrets, or are in breach of non-competition or non-solicitation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4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7"/>
          <w:szCs w:val="17"/>
          <w:color w:val="auto"/>
        </w:rPr>
        <w:t>Our products and operations are subject to extensive governmental regulation, and regulatory approvals could be denied or delayed.</w:t>
      </w:r>
    </w:p>
    <w:p>
      <w:pPr>
        <w:spacing w:after="0" w:line="2" w:lineRule="exact"/>
        <w:rPr>
          <w:rFonts w:ascii="Arial" w:cs="Arial" w:eastAsia="Arial" w:hAnsi="Arial"/>
          <w:sz w:val="20"/>
          <w:szCs w:val="20"/>
          <w:color w:val="auto"/>
        </w:rPr>
      </w:pPr>
    </w:p>
    <w:p>
      <w:pPr>
        <w:ind w:left="660" w:hanging="328"/>
        <w:spacing w:after="0" w:line="24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ind w:left="660" w:right="1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or our third-party suppliers, contract manufacturers or service providers fail to comply with manufacturing regulations, it could impair our ability to market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The price of our common stock may continue to fluctuate significantly.</w:t>
      </w:r>
    </w:p>
    <w:p>
      <w:pPr>
        <w:spacing w:after="0" w:line="15"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fail to maintain an effective system of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Notes could adversely affect our financial condition.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not have sufficient cash flow from our business to service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take actions which could limit our ability to make payments on the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198"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September 30, 2022, we had an accumulated deficit of $713.3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47" w:name="page48"/>
    <w:bookmarkEnd w:id="47"/>
    <w:p>
      <w:pPr>
        <w:ind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97" w:lineRule="exact"/>
        <w:rPr>
          <w:sz w:val="20"/>
          <w:szCs w:val="20"/>
          <w:color w:val="auto"/>
        </w:rPr>
      </w:pPr>
    </w:p>
    <w:p>
      <w:pPr>
        <w:ind w:right="20" w:firstLine="810"/>
        <w:spacing w:after="0" w:line="262" w:lineRule="auto"/>
        <w:rPr>
          <w:sz w:val="20"/>
          <w:szCs w:val="20"/>
          <w:color w:val="auto"/>
        </w:rPr>
      </w:pPr>
      <w:r>
        <w:rPr>
          <w:rFonts w:ascii="Arial" w:cs="Arial" w:eastAsia="Arial" w:hAnsi="Arial"/>
          <w:sz w:val="17"/>
          <w:szCs w:val="17"/>
          <w:color w:val="auto"/>
        </w:rPr>
        <w:t>Since the first quarter of 2013, we have been able to manufacture and sell our insulin pump products at a cost and in volumes sufficient to allow us to achieve a positive overall gross margin. For the years ended December 31, 2021 and 2020, our gross profit was $376.2 million and $260.5 million, respectively. Although we have achieved a positive overall gross margin and generated net income on an annual basis for the first time for the year ended December 31, 2021, we may still operate at a net loss from time to time due to fluctuations in our business.</w:t>
      </w:r>
    </w:p>
    <w:p>
      <w:pPr>
        <w:spacing w:after="0" w:line="186" w:lineRule="exact"/>
        <w:rPr>
          <w:sz w:val="20"/>
          <w:szCs w:val="20"/>
          <w:color w:val="auto"/>
        </w:rPr>
      </w:pPr>
    </w:p>
    <w:p>
      <w:pPr>
        <w:jc w:val="both"/>
        <w:ind w:right="80"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products currently under development both in the United States and the more than 20 countries in which we operate outside the United States.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general economic conditions, and the scope and duration of the impacts caused by the COVID-19 global pandemic. Any additional operating losses will have an adverse effect on our stockholders’ equity, and we cannot assure you that we will be able to sustain profitability.</w:t>
      </w:r>
    </w:p>
    <w:p>
      <w:pPr>
        <w:spacing w:after="0" w:line="1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4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right="140" w:hanging="656"/>
        <w:spacing w:after="0" w:line="342" w:lineRule="auto"/>
        <w:tabs>
          <w:tab w:leader="none" w:pos="19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8" w:name="page49"/>
    <w:bookmarkEnd w:id="48"/>
    <w:p>
      <w:pPr>
        <w:ind w:left="1960" w:right="6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7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Uncertainty in current global economic and political conditions could adversely affect our ability to predict product demand and impact our financial results.</w:t>
      </w:r>
    </w:p>
    <w:p>
      <w:pPr>
        <w:spacing w:after="0" w:line="171" w:lineRule="exact"/>
        <w:rPr>
          <w:sz w:val="20"/>
          <w:szCs w:val="20"/>
          <w:color w:val="auto"/>
        </w:rPr>
      </w:pPr>
    </w:p>
    <w:p>
      <w:pPr>
        <w:ind w:right="20" w:firstLine="810"/>
        <w:spacing w:after="0" w:line="251" w:lineRule="auto"/>
        <w:rPr>
          <w:sz w:val="20"/>
          <w:szCs w:val="20"/>
          <w:color w:val="auto"/>
        </w:rPr>
      </w:pPr>
      <w:r>
        <w:rPr>
          <w:rFonts w:ascii="Arial" w:cs="Arial" w:eastAsia="Arial" w:hAnsi="Arial"/>
          <w:sz w:val="17"/>
          <w:szCs w:val="17"/>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The overall scope of the COVID-19 global pandemic and its impacts continue to fluctuate, and in some instances worsen, in various regions worldwide. Although the overall negative impact from the COVID-19 global pandemic on our business is difficult to estimate, our sales and operating results have been adversely impacted, and we anticipate that they will continue to be impacted and subject to unpredictable variability in future periods.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and continues to impact our development timelines and regulatory strategies and also could have a negative impact on our product commercialization efforts and the future demand for our products.</w:t>
      </w:r>
    </w:p>
    <w:p>
      <w:pPr>
        <w:spacing w:after="0" w:line="210" w:lineRule="exact"/>
        <w:rPr>
          <w:sz w:val="20"/>
          <w:szCs w:val="20"/>
          <w:color w:val="auto"/>
        </w:rPr>
      </w:pPr>
    </w:p>
    <w:p>
      <w:pPr>
        <w:ind w:right="140" w:firstLine="810"/>
        <w:spacing w:after="0" w:line="253" w:lineRule="auto"/>
        <w:rPr>
          <w:sz w:val="20"/>
          <w:szCs w:val="20"/>
          <w:color w:val="auto"/>
        </w:rPr>
      </w:pPr>
      <w:r>
        <w:rPr>
          <w:rFonts w:ascii="Arial" w:cs="Arial" w:eastAsia="Arial" w:hAnsi="Arial"/>
          <w:sz w:val="17"/>
          <w:szCs w:val="17"/>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adapting to a hybrid work model, and we may experience additional costs as our employees return to work, or as we respond to general labor shortages and heightened competition for employees with specialized skills.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9" w:name="page50"/>
    <w:bookmarkEnd w:id="49"/>
    <w:p>
      <w:pPr>
        <w:ind w:right="40" w:firstLine="810"/>
        <w:spacing w:after="0" w:line="288"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has and could continue to have a material adverse impact on the operations of one or more of our suppliers. These adverse impacts on our suppliers could prevent them from delivering products to us or supporting our requirements for manufacturing-related equipment on a timely basis, or at all.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w:t>
      </w:r>
    </w:p>
    <w:p>
      <w:pPr>
        <w:spacing w:after="0" w:line="19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52" w:lineRule="exact"/>
        <w:rPr>
          <w:sz w:val="20"/>
          <w:szCs w:val="20"/>
          <w:color w:val="auto"/>
        </w:rPr>
      </w:pPr>
    </w:p>
    <w:p>
      <w:pPr>
        <w:ind w:right="160"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12" w:lineRule="exact"/>
        <w:rPr>
          <w:sz w:val="20"/>
          <w:szCs w:val="20"/>
          <w:color w:val="auto"/>
        </w:rPr>
      </w:pPr>
    </w:p>
    <w:p>
      <w:pPr>
        <w:ind w:right="140" w:firstLine="810"/>
        <w:spacing w:after="0" w:line="272" w:lineRule="auto"/>
        <w:rPr>
          <w:sz w:val="20"/>
          <w:szCs w:val="20"/>
          <w:color w:val="auto"/>
        </w:rPr>
      </w:pPr>
      <w:r>
        <w:rPr>
          <w:rFonts w:ascii="Arial" w:cs="Arial" w:eastAsia="Arial" w:hAnsi="Arial"/>
          <w:sz w:val="17"/>
          <w:szCs w:val="17"/>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In addition, varying COVID-19 case rates can limit our in-person access to healthcare provider offices and also result in staffing shortages in the practices we serve. Collectively,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77"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4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24"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80" w:firstLine="810"/>
        <w:spacing w:after="0" w:line="255" w:lineRule="auto"/>
        <w:rPr>
          <w:sz w:val="20"/>
          <w:szCs w:val="20"/>
          <w:color w:val="auto"/>
        </w:rPr>
      </w:pPr>
      <w:r>
        <w:rPr>
          <w:rFonts w:ascii="Arial" w:cs="Arial" w:eastAsia="Arial" w:hAnsi="Arial"/>
          <w:sz w:val="17"/>
          <w:szCs w:val="17"/>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existing third-party insulin pump as part of a to-be-developed system and Becton Dickinson and Company recently completed the spin off its diabetes care business as a separate publicly-traded company, Embecta.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80"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39" w:lineRule="exact"/>
        <w:rPr>
          <w:sz w:val="20"/>
          <w:szCs w:val="20"/>
          <w:color w:val="auto"/>
        </w:rPr>
      </w:pPr>
    </w:p>
    <w:p>
      <w:pPr>
        <w:ind w:right="260" w:firstLine="810"/>
        <w:spacing w:after="0" w:line="270" w:lineRule="auto"/>
        <w:rPr>
          <w:sz w:val="20"/>
          <w:szCs w:val="20"/>
          <w:color w:val="auto"/>
        </w:rPr>
      </w:pPr>
      <w:r>
        <w:rPr>
          <w:rFonts w:ascii="Arial" w:cs="Arial" w:eastAsia="Arial" w:hAnsi="Arial"/>
          <w:sz w:val="17"/>
          <w:szCs w:val="17"/>
          <w:color w:val="auto"/>
        </w:rPr>
        <w:t>In some instances, our competitors offer products that include features that we do not currently offer. For instance, Insulet offers an insulin pump with a tubeless delivery system that does not utilize an infusion set and Medtronic is selling a connected insulin pen delivery device. Additionally, Medtronic recently announced the launch in select European countries of an infusion set that can be worn for up to seven days.</w:t>
      </w:r>
    </w:p>
    <w:p>
      <w:pPr>
        <w:spacing w:after="0" w:line="204"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66"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ind w:right="18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18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6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 or unfavorable changes in general economic conditions.</w:t>
      </w:r>
    </w:p>
    <w:p>
      <w:pPr>
        <w:spacing w:after="0" w:line="161" w:lineRule="exact"/>
        <w:rPr>
          <w:sz w:val="20"/>
          <w:szCs w:val="20"/>
          <w:color w:val="auto"/>
        </w:rPr>
      </w:pPr>
    </w:p>
    <w:p>
      <w:pPr>
        <w:ind w:right="52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71"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in the United States and the more than 20 countries in which we operate outside the United States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70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92"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8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ind w:right="1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06"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in the United States have been required to sell our products exclusively and each of them may freely sell the products of our competitors. If we are unable to maintain or expand our network of independent distributors, our sales may be negatively affected.</w:t>
      </w:r>
    </w:p>
    <w:p>
      <w:pPr>
        <w:spacing w:after="0" w:line="151"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For the year ended December 31, 2021, our two largest independent distributors in the United States collectively comprised approximately 21% of our worldwide sales, and our three largest independent international distributors collectively comprised approximately 55%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5" w:name="page56"/>
    <w:bookmarkEnd w:id="55"/>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2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200" w:hanging="656"/>
        <w:spacing w:after="0" w:line="308"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32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6" w:name="page57"/>
    <w:bookmarkEnd w:id="56"/>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In addition, due to shortages of specific components, we have had to qualify alternative components or source components from alternative distributors.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320" w:firstLine="810"/>
        <w:spacing w:after="0" w:line="271" w:lineRule="auto"/>
        <w:rPr>
          <w:sz w:val="20"/>
          <w:szCs w:val="20"/>
          <w:color w:val="auto"/>
        </w:rPr>
      </w:pPr>
      <w:r>
        <w:rPr>
          <w:rFonts w:ascii="Arial" w:cs="Arial" w:eastAsia="Arial" w:hAnsi="Arial"/>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8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38"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and our inventory of certain pump and cartridge components are currently below our targeted stocking levels. 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78" w:lineRule="exact"/>
        <w:rPr>
          <w:sz w:val="20"/>
          <w:szCs w:val="20"/>
          <w:color w:val="auto"/>
        </w:rPr>
      </w:pPr>
    </w:p>
    <w:p>
      <w:pPr>
        <w:jc w:val="both"/>
        <w:ind w:right="320" w:firstLine="810"/>
        <w:spacing w:after="0" w:line="263"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58" w:name="page59"/>
    <w:bookmarkEnd w:id="58"/>
    <w:p>
      <w:pPr>
        <w:ind w:right="26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instance, we are currently subject to allocation limits for certain semiconductor components.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138"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9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two years we substantially expanded various quality and customer and technical support activities in Boise, Idaho.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80" w:firstLine="810"/>
        <w:spacing w:after="0" w:line="268" w:lineRule="auto"/>
        <w:rPr>
          <w:sz w:val="20"/>
          <w:szCs w:val="20"/>
          <w:color w:val="auto"/>
        </w:rPr>
      </w:pPr>
      <w:r>
        <w:rPr>
          <w:rFonts w:ascii="Arial" w:cs="Arial" w:eastAsia="Arial" w:hAnsi="Arial"/>
          <w:sz w:val="17"/>
          <w:szCs w:val="17"/>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8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0" w:name="page61"/>
    <w:bookmarkEnd w:id="60"/>
    <w:p>
      <w:pPr>
        <w:ind w:left="1960" w:right="520" w:hanging="656"/>
        <w:spacing w:after="0" w:line="308" w:lineRule="auto"/>
        <w:tabs>
          <w:tab w:leader="none" w:pos="19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52"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1"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2" w:name="page63"/>
    <w:bookmarkEnd w:id="62"/>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140" w:firstLine="810"/>
        <w:spacing w:after="0" w:line="289"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66"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These risks may increase further when we enable users to control insulin boluses through the mobile app.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 As this is a rapidly evolving area, compliance with any future requirements, regulations, and evolving threat models may require the investment of additional resources in the form of capital, personnel or technology.</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ind w:firstLine="810"/>
        <w:spacing w:after="0" w:line="270"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is pending in the Superior Court of the State of California in the County of San Bernardino.</w:t>
      </w:r>
    </w:p>
    <w:p>
      <w:pPr>
        <w:spacing w:after="0" w:line="195"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 It is possible that our legal expenses and defense costs, alone or together with any monetary damages, may exceed the limits of any applicable insurance coverage that we carry.</w:t>
      </w:r>
    </w:p>
    <w:p>
      <w:pPr>
        <w:spacing w:after="0" w:line="15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There are a number of laws in the United States and outside the United States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64"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9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97"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5" w:name="page66"/>
    <w:bookmarkEnd w:id="65"/>
    <w:p>
      <w:pPr>
        <w:ind w:left="196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5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assimilating, maintaining or operating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costs, impairment charges or write-offs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43" w:lineRule="exact"/>
        <w:rPr>
          <w:sz w:val="20"/>
          <w:szCs w:val="20"/>
          <w:color w:val="auto"/>
        </w:rPr>
      </w:pPr>
    </w:p>
    <w:p>
      <w:pPr>
        <w:ind w:firstLine="810"/>
        <w:spacing w:after="0" w:line="299" w:lineRule="auto"/>
        <w:rPr>
          <w:sz w:val="20"/>
          <w:szCs w:val="20"/>
          <w:color w:val="auto"/>
        </w:rPr>
      </w:pPr>
      <w:r>
        <w:rPr>
          <w:rFonts w:ascii="Arial" w:cs="Arial" w:eastAsia="Arial" w:hAnsi="Arial"/>
          <w:sz w:val="16"/>
          <w:szCs w:val="16"/>
          <w:color w:val="auto"/>
        </w:rPr>
        <w:t>We have experienced and may continue to experience one or more of these risks in connection with our acquisition of Sugarmate, which was completed in 2020. For example, as a result of an update to Dexcom’s data systems in October 2021, Sugarmate users in all geographies were unable to receive Dexcom CGM data in the Sugarmate app. Connections for users in the United States were restored in December 2021 and in June 2022 for users in</w:t>
      </w:r>
    </w:p>
    <w:p>
      <w:pPr>
        <w:spacing w:after="0" w:line="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all geographies except Australia and New Zealand, though we continue to work towards restoring service for users in those geographies.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57"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3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As of September 30, 2022, we had $608.7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200" w:lineRule="exact"/>
        <w:rPr>
          <w:sz w:val="20"/>
          <w:szCs w:val="20"/>
          <w:color w:val="auto"/>
        </w:rPr>
      </w:pPr>
    </w:p>
    <w:p>
      <w:pPr>
        <w:spacing w:after="0" w:line="235" w:lineRule="exact"/>
        <w:rPr>
          <w:sz w:val="20"/>
          <w:szCs w:val="20"/>
          <w:color w:val="auto"/>
        </w:rPr>
      </w:pPr>
    </w:p>
    <w:p>
      <w:pPr>
        <w:ind w:left="1960" w:right="200" w:hanging="656"/>
        <w:spacing w:after="0" w:line="239" w:lineRule="auto"/>
        <w:tabs>
          <w:tab w:leader="none" w:pos="19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248" w:lineRule="exact"/>
        <w:rPr>
          <w:rFonts w:ascii="Arial" w:cs="Arial" w:eastAsia="Arial" w:hAnsi="Arial"/>
          <w:sz w:val="22"/>
          <w:szCs w:val="22"/>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gross profits and gross margin we realize from the sales we generate;</w:t>
      </w:r>
    </w:p>
    <w:p>
      <w:pPr>
        <w:spacing w:after="0" w:line="269" w:lineRule="exact"/>
        <w:rPr>
          <w:rFonts w:ascii="Arial" w:cs="Arial" w:eastAsia="Arial" w:hAnsi="Arial"/>
          <w:sz w:val="22"/>
          <w:szCs w:val="22"/>
          <w:color w:val="auto"/>
        </w:rPr>
      </w:pPr>
    </w:p>
    <w:p>
      <w:pPr>
        <w:ind w:left="1960" w:right="1040" w:hanging="656"/>
        <w:spacing w:after="0" w:line="232" w:lineRule="auto"/>
        <w:tabs>
          <w:tab w:leader="none" w:pos="19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270" w:lineRule="exact"/>
        <w:rPr>
          <w:rFonts w:ascii="Arial" w:cs="Arial" w:eastAsia="Arial" w:hAnsi="Arial"/>
          <w:sz w:val="22"/>
          <w:szCs w:val="22"/>
          <w:color w:val="auto"/>
        </w:rPr>
      </w:pPr>
    </w:p>
    <w:p>
      <w:pPr>
        <w:ind w:left="1960" w:right="40" w:hanging="656"/>
        <w:spacing w:after="0" w:line="297" w:lineRule="auto"/>
        <w:tabs>
          <w:tab w:leader="none" w:pos="1955" w:val="left"/>
        </w:tabs>
        <w:numPr>
          <w:ilvl w:val="0"/>
          <w:numId w:val="31"/>
        </w:numPr>
        <w:rPr>
          <w:rFonts w:ascii="Arial" w:cs="Arial" w:eastAsia="Arial" w:hAnsi="Arial"/>
          <w:sz w:val="19"/>
          <w:szCs w:val="19"/>
          <w:color w:val="auto"/>
        </w:rPr>
      </w:pPr>
      <w:r>
        <w:rPr>
          <w:rFonts w:ascii="Arial" w:cs="Arial" w:eastAsia="Arial" w:hAnsi="Arial"/>
          <w:sz w:val="16"/>
          <w:szCs w:val="16"/>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94" w:lineRule="exact"/>
        <w:rPr>
          <w:rFonts w:ascii="Arial" w:cs="Arial" w:eastAsia="Arial" w:hAnsi="Arial"/>
          <w:sz w:val="19"/>
          <w:szCs w:val="19"/>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expenses associated with developing and commercializing our proposed products or technologies;</w:t>
      </w:r>
    </w:p>
    <w:p>
      <w:pPr>
        <w:spacing w:after="0" w:line="258" w:lineRule="exact"/>
        <w:rPr>
          <w:rFonts w:ascii="Arial" w:cs="Arial" w:eastAsia="Arial" w:hAnsi="Arial"/>
          <w:sz w:val="22"/>
          <w:szCs w:val="22"/>
          <w:color w:val="auto"/>
        </w:rPr>
      </w:pPr>
    </w:p>
    <w:p>
      <w:pPr>
        <w:ind w:left="1940" w:hanging="636"/>
        <w:spacing w:after="0"/>
        <w:tabs>
          <w:tab w:leader="none" w:pos="1940"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46" w:lineRule="exact"/>
        <w:rPr>
          <w:rFonts w:ascii="Arial" w:cs="Arial" w:eastAsia="Arial" w:hAnsi="Arial"/>
          <w:sz w:val="21"/>
          <w:szCs w:val="21"/>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cost of ongoing compliance with legal and regulatory requirements</w:t>
      </w:r>
    </w:p>
    <w:p>
      <w:pPr>
        <w:spacing w:after="0" w:line="260" w:lineRule="exact"/>
        <w:rPr>
          <w:rFonts w:ascii="Arial" w:cs="Arial" w:eastAsia="Arial" w:hAnsi="Arial"/>
          <w:sz w:val="22"/>
          <w:szCs w:val="22"/>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expenses we incur in connection with current or future litigation or governmental investigations;</w:t>
      </w:r>
    </w:p>
    <w:p>
      <w:pPr>
        <w:spacing w:after="0" w:line="269" w:lineRule="exact"/>
        <w:rPr>
          <w:rFonts w:ascii="Arial" w:cs="Arial" w:eastAsia="Arial" w:hAnsi="Arial"/>
          <w:sz w:val="22"/>
          <w:szCs w:val="22"/>
          <w:color w:val="auto"/>
        </w:rPr>
      </w:pPr>
    </w:p>
    <w:p>
      <w:pPr>
        <w:ind w:left="1960" w:right="60" w:hanging="656"/>
        <w:spacing w:after="0" w:line="251" w:lineRule="auto"/>
        <w:tabs>
          <w:tab w:leader="none" w:pos="1955" w:val="left"/>
        </w:tabs>
        <w:numPr>
          <w:ilvl w:val="0"/>
          <w:numId w:val="31"/>
        </w:numPr>
        <w:rPr>
          <w:rFonts w:ascii="Arial" w:cs="Arial" w:eastAsia="Arial" w:hAnsi="Arial"/>
          <w:sz w:val="21"/>
          <w:szCs w:val="21"/>
          <w:color w:val="auto"/>
        </w:rPr>
      </w:pPr>
      <w:r>
        <w:rPr>
          <w:rFonts w:ascii="Arial" w:cs="Arial" w:eastAsia="Arial" w:hAnsi="Arial"/>
          <w:sz w:val="17"/>
          <w:szCs w:val="17"/>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235" w:lineRule="exact"/>
        <w:rPr>
          <w:rFonts w:ascii="Arial" w:cs="Arial" w:eastAsia="Arial" w:hAnsi="Arial"/>
          <w:sz w:val="21"/>
          <w:szCs w:val="21"/>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anticipated or unanticipated capital expenditures;</w:t>
      </w:r>
    </w:p>
    <w:p>
      <w:pPr>
        <w:spacing w:after="0" w:line="246" w:lineRule="exact"/>
        <w:rPr>
          <w:rFonts w:ascii="Arial" w:cs="Arial" w:eastAsia="Arial" w:hAnsi="Arial"/>
          <w:sz w:val="22"/>
          <w:szCs w:val="22"/>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unanticipated general and administrative expenses; and</w:t>
      </w:r>
    </w:p>
    <w:p>
      <w:pPr>
        <w:spacing w:after="0" w:line="269" w:lineRule="exact"/>
        <w:rPr>
          <w:rFonts w:ascii="Arial" w:cs="Arial" w:eastAsia="Arial" w:hAnsi="Arial"/>
          <w:sz w:val="22"/>
          <w:szCs w:val="22"/>
          <w:color w:val="auto"/>
        </w:rPr>
      </w:pPr>
    </w:p>
    <w:p>
      <w:pPr>
        <w:ind w:left="1960" w:right="540" w:hanging="656"/>
        <w:spacing w:after="0" w:line="239" w:lineRule="auto"/>
        <w:tabs>
          <w:tab w:leader="none" w:pos="19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3"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7" w:name="page68"/>
    <w:bookmarkEnd w:id="67"/>
    <w:p>
      <w:pPr>
        <w:ind w:right="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12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clearance or approvals, or adverse regulatory or legal actions, affecting our products or those of our competitors; and</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22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September 30, 2022, our patent portfolio consisted of approximately 127 issued U.S. patents and 82 pending U.S. patent applications. Of these, our issued U.S. patents expire between approximately 2024 and 2041. Our foreign patent portfolio consisted of approximately 45 issued patents and 22 pending patent applications in other countries throughout the world. Of these, our issued foreign patents expire between approximately 2025 and 2039. In addition, we also have 136 trademark registrations, including 27 U.S. trademark registrations and 109 foreign trademark registrations.</w:t>
      </w:r>
    </w:p>
    <w:p>
      <w:pPr>
        <w:spacing w:after="0" w:line="161" w:lineRule="exact"/>
        <w:rPr>
          <w:sz w:val="20"/>
          <w:szCs w:val="20"/>
          <w:color w:val="auto"/>
        </w:rPr>
      </w:pPr>
    </w:p>
    <w:p>
      <w:pPr>
        <w:ind w:right="12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26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allegedly infringes third-party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 those products that allegedly infringe third-party intellectual property; or</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4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00" w:firstLine="810"/>
        <w:spacing w:after="0" w:line="301"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157"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1" w:name="page72"/>
    <w:bookmarkEnd w:id="71"/>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FDA or other regulatory authority can delay, limit or deny clearance or approval of one of our devices for many reasons, including:</w:t>
      </w:r>
    </w:p>
    <w:p>
      <w:pPr>
        <w:spacing w:after="0" w:line="237" w:lineRule="exact"/>
        <w:rPr>
          <w:sz w:val="20"/>
          <w:szCs w:val="20"/>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Since mid-2021 we have completed several audits and inspections, some of which include findings that require us to take one or more corrective actions. Our failure to appropriately respond to these findings and take corrective actions, or our failure to comply with applicable regulations for any other reason,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2" w:name="page73"/>
    <w:bookmarkEnd w:id="72"/>
    <w:p>
      <w:pPr>
        <w:ind w:right="120" w:firstLine="810"/>
        <w:spacing w:after="0" w:line="296"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contract manufacturers and service providers fail to comply with good manufacturing practice regulations, this could impair our ability to market our products in a cost-effective and timely manner.</w:t>
      </w:r>
    </w:p>
    <w:p>
      <w:pPr>
        <w:spacing w:after="0" w:line="170"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We also are subject to similar requirements by regulatory authorities in other geographies. The FDA and other regulatory bodies routinely audit our compliance with the QSR and equivalent international requirements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81"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3" w:name="page74"/>
    <w:bookmarkEnd w:id="73"/>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we only recently commenced offering our Control-IQ technology in Australia.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80" w:hanging="656"/>
        <w:spacing w:after="0" w:line="25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18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40" w:hanging="656"/>
        <w:spacing w:after="0" w:line="259"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60" w:hanging="656"/>
        <w:spacing w:after="0" w:line="25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4" w:name="page75"/>
    <w:bookmarkEnd w:id="74"/>
    <w:p>
      <w:pPr>
        <w:ind w:left="1960" w:right="22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61"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or other extreme weather conditions and related regulations may have a long-term impact on our business.*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a portion of our office facilities located in San Diego are in an area that is prone to flooding, which has occasionally caused temporary disruptions to our business operations and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announcement of a product recall, suspension or other safety notice associated with our products or the products of our competitors, or other similar regulatory enforcement actions;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inclusion or removal of our stock from one or more market indexes;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7" w:name="page78"/>
    <w:bookmarkEnd w:id="77"/>
    <w:p>
      <w:pPr>
        <w:ind w:left="1960" w:right="26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As of December 31, 2021, we had accumulated federal and state net operating loss (NOL) carryforwards of approximately $301.2 million, and $291.0 million, respectively, which included the reduction recorded in 2019 discussed below. Of the total federal NOL carryforwards, approximately $112.1 million were generated after January 1, 2018, and therefore do not expire. NOL generated after January 1, 2018, is subject to 80% limitation in accordance with the Tax Cuts and Jobs Act of 2017. The remaining federal NOL carryforwards of $189.1 million will begin to expire in 2026, and state tax loss carryforwards continue to expire in 2022,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78" w:name="page79"/>
    <w:bookmarkEnd w:id="78"/>
    <w:p>
      <w:pPr>
        <w:ind w:right="40" w:firstLine="810"/>
        <w:spacing w:after="0" w:line="255" w:lineRule="auto"/>
        <w:rPr>
          <w:sz w:val="20"/>
          <w:szCs w:val="20"/>
          <w:color w:val="auto"/>
        </w:rPr>
      </w:pPr>
      <w:r>
        <w:rPr>
          <w:rFonts w:ascii="Arial" w:cs="Arial" w:eastAsia="Arial" w:hAnsi="Arial"/>
          <w:sz w:val="18"/>
          <w:szCs w:val="18"/>
          <w:color w:val="auto"/>
        </w:rPr>
        <w:t>We have completed analyses through December 31, 2021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Risks Related to Our Convertible Senior Notes</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57" w:lineRule="exact"/>
        <w:rPr>
          <w:sz w:val="20"/>
          <w:szCs w:val="20"/>
          <w:color w:val="auto"/>
        </w:rPr>
      </w:pPr>
    </w:p>
    <w:p>
      <w:pPr>
        <w:ind w:firstLine="810"/>
        <w:spacing w:after="0" w:line="252" w:lineRule="auto"/>
        <w:rPr>
          <w:sz w:val="20"/>
          <w:szCs w:val="20"/>
          <w:color w:val="auto"/>
        </w:rPr>
      </w:pPr>
      <w:r>
        <w:rPr>
          <w:rFonts w:ascii="Arial" w:cs="Arial" w:eastAsia="Arial" w:hAnsi="Arial"/>
          <w:sz w:val="17"/>
          <w:szCs w:val="17"/>
          <w:color w:val="auto"/>
        </w:rPr>
        <w:t>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In addition, upon conversion of the Notes, unless we elect to deliver solely shares of our common stock to settle such conversion, we will be required to make cash payments in respect of the Notes being converted. Furthermore, the indenture governing the Notes provides that, in the event 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due to the Notes Offering:</w:t>
      </w:r>
    </w:p>
    <w:p>
      <w:pPr>
        <w:spacing w:after="0" w:line="225"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960" w:right="34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0" w:name="page81"/>
    <w:bookmarkEnd w:id="80"/>
    <w:p>
      <w:pPr>
        <w:ind w:left="40" w:right="36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8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governing the Notes)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4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ind w:right="14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58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Date of First</w:t>
            </w:r>
          </w:p>
        </w:tc>
        <w:tc>
          <w:tcPr>
            <w:tcW w:w="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Exhibit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Borders>
              <w:bottom w:val="single" w:sz="8" w:color="CCEEFF"/>
            </w:tcBorders>
          </w:tcPr>
          <w:p>
            <w:pPr>
              <w:spacing w:after="0"/>
              <w:rPr>
                <w:sz w:val="21"/>
                <w:szCs w:val="21"/>
                <w:color w:val="auto"/>
              </w:rPr>
            </w:pPr>
          </w:p>
        </w:tc>
        <w:tc>
          <w:tcPr>
            <w:tcW w:w="47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020" w:type="dxa"/>
            <w:vAlign w:val="bottom"/>
            <w:tcBorders>
              <w:bottom w:val="single" w:sz="8" w:color="CCEEFF"/>
            </w:tcBorders>
            <w:gridSpan w:val="2"/>
          </w:tcPr>
          <w:p>
            <w:pPr>
              <w:jc w:val="center"/>
              <w:ind w:right="97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69"/>
        </w:trPr>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10.1*</w:t>
            </w:r>
          </w:p>
        </w:tc>
        <w:tc>
          <w:tcPr>
            <w:tcW w:w="20" w:type="dxa"/>
            <w:vAlign w:val="bottom"/>
            <w:shd w:val="clear" w:color="auto" w:fill="CCEEFF"/>
          </w:tcPr>
          <w:p>
            <w:pPr>
              <w:spacing w:after="0"/>
              <w:rPr>
                <w:sz w:val="14"/>
                <w:szCs w:val="14"/>
                <w:color w:val="auto"/>
              </w:rPr>
            </w:pPr>
          </w:p>
        </w:tc>
        <w:tc>
          <w:tcPr>
            <w:tcW w:w="4740" w:type="dxa"/>
            <w:vAlign w:val="bottom"/>
            <w:gridSpan w:val="4"/>
            <w:shd w:val="clear" w:color="auto" w:fill="CCEEFF"/>
          </w:tcPr>
          <w:p>
            <w:pPr>
              <w:spacing w:after="0" w:line="169"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Confidential Intellectual Property Agreement, dated July 10,</w:t>
              </w:r>
            </w:hyperlink>
          </w:p>
        </w:tc>
        <w:tc>
          <w:tcPr>
            <w:tcW w:w="9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36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7"/>
              </w:rPr>
            </w:pPr>
            <w:hyperlink r:id="rId100">
              <w:r>
                <w:rPr>
                  <w:rFonts w:ascii="Arial" w:cs="Arial" w:eastAsia="Arial" w:hAnsi="Arial"/>
                  <w:sz w:val="16"/>
                  <w:szCs w:val="16"/>
                  <w:color w:val="0000FF"/>
                  <w:w w:val="97"/>
                </w:rPr>
                <w:t>2012, by and between Tandem Diabetes Care, Inc. and Smiths</w:t>
              </w:r>
            </w:hyperlink>
          </w:p>
        </w:tc>
        <w:tc>
          <w:tcPr>
            <w:tcW w:w="120" w:type="dxa"/>
            <w:vAlign w:val="bottom"/>
            <w:tcBorders>
              <w:top w:val="single" w:sz="8" w:color="CCEEFF"/>
              <w:bottom w:val="single" w:sz="8" w:color="0000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10-Q</w:t>
            </w:r>
          </w:p>
        </w:tc>
        <w:tc>
          <w:tcPr>
            <w:tcW w:w="1160" w:type="dxa"/>
            <w:vAlign w:val="bottom"/>
            <w:tcBorders>
              <w:top w:val="single" w:sz="8" w:color="CCEEFF"/>
              <w:bottom w:val="single" w:sz="8" w:color="CCEEFF"/>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001-36189</w:t>
            </w:r>
          </w:p>
        </w:tc>
        <w:tc>
          <w:tcPr>
            <w:tcW w:w="134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03-Aug-2022</w:t>
            </w:r>
          </w:p>
        </w:tc>
        <w:tc>
          <w:tcPr>
            <w:tcW w:w="98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10.2</w:t>
            </w: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spacing w:after="0" w:line="169" w:lineRule="exact"/>
              <w:rPr>
                <w:rFonts w:ascii="Arial" w:cs="Arial" w:eastAsia="Arial" w:hAnsi="Arial"/>
                <w:sz w:val="18"/>
                <w:szCs w:val="18"/>
                <w:color w:val="0000FF"/>
              </w:rPr>
            </w:pPr>
            <w:hyperlink r:id="rId100">
              <w:r>
                <w:rPr>
                  <w:rFonts w:ascii="Arial" w:cs="Arial" w:eastAsia="Arial" w:hAnsi="Arial"/>
                  <w:sz w:val="18"/>
                  <w:szCs w:val="18"/>
                  <w:color w:val="0000FF"/>
                </w:rPr>
                <w:t>Medical ASD, Inc.</w:t>
              </w:r>
            </w:hyperlink>
          </w:p>
        </w:tc>
        <w:tc>
          <w:tcPr>
            <w:tcW w:w="2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tbl>
      <w:tblPr>
        <w:tblLayout w:type="fixed"/>
        <w:tblInd w:w="280" w:type="dxa"/>
        <w:tblCellMar>
          <w:top w:w="0" w:type="dxa"/>
          <w:left w:w="0" w:type="dxa"/>
          <w:bottom w:w="0" w:type="dxa"/>
          <w:right w:w="0" w:type="dxa"/>
        </w:tblCellMar>
      </w:tblPr>
      <w:tr>
        <w:trPr>
          <w:trHeight w:val="189"/>
        </w:trPr>
        <w:tc>
          <w:tcPr>
            <w:tcW w:w="780" w:type="dxa"/>
            <w:vAlign w:val="bottom"/>
            <w:vMerge w:val="restart"/>
          </w:tcPr>
          <w:p>
            <w:pPr>
              <w:jc w:val="center"/>
              <w:ind w:right="190"/>
              <w:spacing w:after="0"/>
              <w:rPr>
                <w:sz w:val="20"/>
                <w:szCs w:val="20"/>
                <w:color w:val="auto"/>
              </w:rPr>
            </w:pPr>
            <w:r>
              <w:rPr>
                <w:rFonts w:ascii="Arial" w:cs="Arial" w:eastAsia="Arial" w:hAnsi="Arial"/>
                <w:sz w:val="18"/>
                <w:szCs w:val="18"/>
                <w:color w:val="auto"/>
                <w:w w:val="85"/>
              </w:rPr>
              <w:t>31.1</w:t>
            </w:r>
          </w:p>
        </w:tc>
        <w:tc>
          <w:tcPr>
            <w:tcW w:w="4320" w:type="dxa"/>
            <w:vAlign w:val="bottom"/>
            <w:gridSpan w:val="6"/>
          </w:tcPr>
          <w:p>
            <w:pPr>
              <w:spacing w:after="0" w:line="189" w:lineRule="exact"/>
              <w:rPr>
                <w:sz w:val="20"/>
                <w:szCs w:val="20"/>
                <w:color w:val="auto"/>
              </w:rPr>
            </w:pPr>
            <w:r>
              <w:rPr>
                <w:rFonts w:ascii="Arial" w:cs="Arial" w:eastAsia="Arial" w:hAnsi="Arial"/>
                <w:sz w:val="18"/>
                <w:szCs w:val="18"/>
                <w:color w:val="0000FF"/>
                <w:w w:val="94"/>
              </w:rPr>
              <w:t>Certification of John F. Sheridan, Chief Executive Officer,</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80" w:type="dxa"/>
            <w:vAlign w:val="bottom"/>
            <w:vMerge w:val="continue"/>
          </w:tcPr>
          <w:p>
            <w:pPr>
              <w:spacing w:after="0"/>
              <w:rPr>
                <w:sz w:val="10"/>
                <w:szCs w:val="10"/>
                <w:color w:val="auto"/>
              </w:rPr>
            </w:pPr>
          </w:p>
        </w:tc>
        <w:tc>
          <w:tcPr>
            <w:tcW w:w="4320" w:type="dxa"/>
            <w:vAlign w:val="bottom"/>
            <w:gridSpan w:val="6"/>
            <w:vMerge w:val="restart"/>
          </w:tcPr>
          <w:p>
            <w:pPr>
              <w:spacing w:after="0" w:line="15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432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190"/>
              <w:spacing w:after="0"/>
              <w:rPr>
                <w:sz w:val="20"/>
                <w:szCs w:val="20"/>
                <w:color w:val="auto"/>
              </w:rPr>
            </w:pPr>
            <w:r>
              <w:rPr>
                <w:rFonts w:ascii="Arial" w:cs="Arial" w:eastAsia="Arial" w:hAnsi="Arial"/>
                <w:sz w:val="18"/>
                <w:szCs w:val="18"/>
                <w:color w:val="auto"/>
                <w:w w:val="85"/>
              </w:rPr>
              <w:t>31.2</w:t>
            </w:r>
          </w:p>
        </w:tc>
        <w:tc>
          <w:tcPr>
            <w:tcW w:w="43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Certification of Leigh A. Vosseller, Chief Financial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10"/>
                <w:szCs w:val="10"/>
                <w:color w:val="auto"/>
              </w:rPr>
            </w:pPr>
          </w:p>
        </w:tc>
        <w:tc>
          <w:tcPr>
            <w:tcW w:w="4320" w:type="dxa"/>
            <w:vAlign w:val="bottom"/>
            <w:gridSpan w:val="6"/>
            <w:vMerge w:val="restart"/>
          </w:tcPr>
          <w:p>
            <w:pPr>
              <w:spacing w:after="0" w:line="15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432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190"/>
              <w:spacing w:after="0"/>
              <w:rPr>
                <w:sz w:val="20"/>
                <w:szCs w:val="20"/>
                <w:color w:val="auto"/>
              </w:rPr>
            </w:pPr>
            <w:r>
              <w:rPr>
                <w:rFonts w:ascii="Arial" w:cs="Arial" w:eastAsia="Arial" w:hAnsi="Arial"/>
                <w:sz w:val="18"/>
                <w:szCs w:val="18"/>
                <w:color w:val="auto"/>
              </w:rPr>
              <w:t>32.1**</w:t>
            </w:r>
          </w:p>
        </w:tc>
        <w:tc>
          <w:tcPr>
            <w:tcW w:w="4320" w:type="dxa"/>
            <w:vAlign w:val="bottom"/>
            <w:gridSpan w:val="6"/>
          </w:tcPr>
          <w:p>
            <w:pPr>
              <w:spacing w:after="0"/>
              <w:rPr>
                <w:sz w:val="20"/>
                <w:szCs w:val="20"/>
                <w:color w:val="auto"/>
              </w:rPr>
            </w:pPr>
            <w:r>
              <w:rPr>
                <w:rFonts w:ascii="Arial" w:cs="Arial" w:eastAsia="Arial" w:hAnsi="Arial"/>
                <w:sz w:val="18"/>
                <w:szCs w:val="18"/>
                <w:color w:val="0000FF"/>
                <w:w w:val="94"/>
              </w:rPr>
              <w:t>Certification of John F. Sheridan, Chief Executive Officer,</w:t>
            </w:r>
          </w:p>
        </w:tc>
        <w:tc>
          <w:tcPr>
            <w:tcW w:w="0" w:type="dxa"/>
            <w:vAlign w:val="bottom"/>
          </w:tcPr>
          <w:p>
            <w:pPr>
              <w:spacing w:after="0"/>
              <w:rPr>
                <w:sz w:val="1"/>
                <w:szCs w:val="1"/>
                <w:color w:val="auto"/>
              </w:rPr>
            </w:pPr>
          </w:p>
        </w:tc>
      </w:tr>
      <w:tr>
        <w:trPr>
          <w:trHeight w:val="156"/>
        </w:trPr>
        <w:tc>
          <w:tcPr>
            <w:tcW w:w="780" w:type="dxa"/>
            <w:vAlign w:val="bottom"/>
            <w:vMerge w:val="continue"/>
          </w:tcPr>
          <w:p>
            <w:pPr>
              <w:spacing w:after="0"/>
              <w:rPr>
                <w:sz w:val="13"/>
                <w:szCs w:val="13"/>
                <w:color w:val="auto"/>
              </w:rPr>
            </w:pPr>
          </w:p>
        </w:tc>
        <w:tc>
          <w:tcPr>
            <w:tcW w:w="42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2"/>
              </w:rPr>
              <w:t>pursuant to U.S.C. Section 1350, as adopted pursuant to</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404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190"/>
              <w:spacing w:after="0"/>
              <w:rPr>
                <w:sz w:val="20"/>
                <w:szCs w:val="20"/>
                <w:color w:val="auto"/>
              </w:rPr>
            </w:pPr>
            <w:r>
              <w:rPr>
                <w:rFonts w:ascii="Arial" w:cs="Arial" w:eastAsia="Arial" w:hAnsi="Arial"/>
                <w:sz w:val="18"/>
                <w:szCs w:val="18"/>
                <w:color w:val="auto"/>
              </w:rPr>
              <w:t>32.2**</w:t>
            </w:r>
          </w:p>
        </w:tc>
        <w:tc>
          <w:tcPr>
            <w:tcW w:w="4320" w:type="dxa"/>
            <w:vAlign w:val="bottom"/>
            <w:gridSpan w:val="6"/>
          </w:tcPr>
          <w:p>
            <w:pPr>
              <w:spacing w:after="0"/>
              <w:rPr>
                <w:sz w:val="20"/>
                <w:szCs w:val="20"/>
                <w:color w:val="auto"/>
              </w:rPr>
            </w:pPr>
            <w:r>
              <w:rPr>
                <w:rFonts w:ascii="Arial" w:cs="Arial" w:eastAsia="Arial" w:hAnsi="Arial"/>
                <w:sz w:val="18"/>
                <w:szCs w:val="18"/>
                <w:color w:val="0000FF"/>
                <w:w w:val="94"/>
              </w:rPr>
              <w:t>Certification of Leigh A. Vosseller, Chief Financial Officer,</w:t>
            </w:r>
          </w:p>
        </w:tc>
        <w:tc>
          <w:tcPr>
            <w:tcW w:w="0" w:type="dxa"/>
            <w:vAlign w:val="bottom"/>
          </w:tcPr>
          <w:p>
            <w:pPr>
              <w:spacing w:after="0"/>
              <w:rPr>
                <w:sz w:val="1"/>
                <w:szCs w:val="1"/>
                <w:color w:val="auto"/>
              </w:rPr>
            </w:pPr>
          </w:p>
        </w:tc>
      </w:tr>
      <w:tr>
        <w:trPr>
          <w:trHeight w:val="156"/>
        </w:trPr>
        <w:tc>
          <w:tcPr>
            <w:tcW w:w="780" w:type="dxa"/>
            <w:vAlign w:val="bottom"/>
            <w:vMerge w:val="continue"/>
          </w:tcPr>
          <w:p>
            <w:pPr>
              <w:spacing w:after="0"/>
              <w:rPr>
                <w:sz w:val="13"/>
                <w:szCs w:val="13"/>
                <w:color w:val="auto"/>
              </w:rPr>
            </w:pPr>
          </w:p>
        </w:tc>
        <w:tc>
          <w:tcPr>
            <w:tcW w:w="40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pursuant to U.S.C. Section 1350, as adopted pursuant to</w:t>
            </w:r>
          </w:p>
        </w:tc>
        <w:tc>
          <w:tcPr>
            <w:tcW w:w="2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13232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u w:val="single" w:color="auto"/>
          <w:color w:val="0000FF"/>
        </w:rPr>
        <w:t>Section 906 of the Sarbanes-Oxley Act of 2002.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ectPr>
          <w:pgSz w:w="11900" w:h="16838" w:orient="portrait"/>
          <w:cols w:equalWidth="0" w:num="2">
            <w:col w:w="9940" w:space="720"/>
            <w:col w:w="580"/>
          </w:cols>
          <w:pgMar w:left="320" w:top="891" w:right="339" w:bottom="1440" w:gutter="0" w:footer="0" w:header="0"/>
          <w:type w:val="continuous"/>
        </w:sectPr>
      </w:pPr>
    </w:p>
    <w:tbl>
      <w:tblPr>
        <w:tblLayout w:type="fixed"/>
        <w:tblInd w:w="200" w:type="dxa"/>
        <w:tblCellMar>
          <w:top w:w="0" w:type="dxa"/>
          <w:left w:w="0" w:type="dxa"/>
          <w:bottom w:w="0" w:type="dxa"/>
          <w:right w:w="0" w:type="dxa"/>
        </w:tblCellMar>
      </w:tblP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101.INS</w:t>
            </w:r>
          </w:p>
        </w:tc>
        <w:tc>
          <w:tcPr>
            <w:tcW w:w="4620" w:type="dxa"/>
            <w:vAlign w:val="bottom"/>
          </w:tcPr>
          <w:p>
            <w:pPr>
              <w:ind w:left="10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462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760" w:type="dxa"/>
            <w:vAlign w:val="bottom"/>
            <w:vMerge w:val="restart"/>
          </w:tcPr>
          <w:p>
            <w:pPr>
              <w:spacing w:after="0"/>
              <w:rPr>
                <w:sz w:val="20"/>
                <w:szCs w:val="20"/>
                <w:color w:val="auto"/>
              </w:rPr>
            </w:pPr>
            <w:r>
              <w:rPr>
                <w:rFonts w:ascii="Arial" w:cs="Arial" w:eastAsia="Arial" w:hAnsi="Arial"/>
                <w:sz w:val="18"/>
                <w:szCs w:val="18"/>
                <w:color w:val="auto"/>
              </w:rPr>
              <w:t>101.CAL</w:t>
            </w:r>
          </w:p>
        </w:tc>
        <w:tc>
          <w:tcPr>
            <w:tcW w:w="4620" w:type="dxa"/>
            <w:vAlign w:val="bottom"/>
          </w:tcPr>
          <w:p>
            <w:pPr>
              <w:ind w:left="100"/>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4620" w:type="dxa"/>
            <w:vAlign w:val="bottom"/>
            <w:vMerge w:val="restart"/>
          </w:tcPr>
          <w:p>
            <w:pPr>
              <w:ind w:left="1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60" w:type="dxa"/>
            <w:vAlign w:val="bottom"/>
            <w:vMerge w:val="restart"/>
          </w:tcPr>
          <w:p>
            <w:pPr>
              <w:spacing w:after="0"/>
              <w:rPr>
                <w:sz w:val="20"/>
                <w:szCs w:val="20"/>
                <w:color w:val="auto"/>
              </w:rPr>
            </w:pPr>
            <w:r>
              <w:rPr>
                <w:rFonts w:ascii="Arial" w:cs="Arial" w:eastAsia="Arial" w:hAnsi="Arial"/>
                <w:sz w:val="18"/>
                <w:szCs w:val="18"/>
                <w:color w:val="auto"/>
              </w:rPr>
              <w:t>101.DEF</w:t>
            </w:r>
          </w:p>
        </w:tc>
        <w:tc>
          <w:tcPr>
            <w:tcW w:w="4620" w:type="dxa"/>
            <w:vAlign w:val="bottom"/>
          </w:tcPr>
          <w:p>
            <w:pPr>
              <w:ind w:left="100"/>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149"/>
        </w:trPr>
        <w:tc>
          <w:tcPr>
            <w:tcW w:w="760" w:type="dxa"/>
            <w:vAlign w:val="bottom"/>
            <w:vMerge w:val="continue"/>
          </w:tcPr>
          <w:p>
            <w:pPr>
              <w:spacing w:after="0"/>
              <w:rPr>
                <w:sz w:val="12"/>
                <w:szCs w:val="12"/>
                <w:color w:val="auto"/>
              </w:rPr>
            </w:pPr>
          </w:p>
        </w:tc>
        <w:tc>
          <w:tcPr>
            <w:tcW w:w="4620" w:type="dxa"/>
            <w:vAlign w:val="bottom"/>
            <w:vMerge w:val="restart"/>
          </w:tcPr>
          <w:p>
            <w:pPr>
              <w:ind w:left="1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4620" w:type="dxa"/>
            <w:vAlign w:val="bottom"/>
          </w:tcPr>
          <w:p>
            <w:pPr>
              <w:ind w:left="100"/>
              <w:spacing w:after="0"/>
              <w:rPr>
                <w:sz w:val="20"/>
                <w:szCs w:val="20"/>
                <w:color w:val="auto"/>
              </w:rPr>
            </w:pPr>
            <w:r>
              <w:rPr>
                <w:rFonts w:ascii="Arial" w:cs="Arial" w:eastAsia="Arial" w:hAnsi="Arial"/>
                <w:sz w:val="18"/>
                <w:szCs w:val="18"/>
                <w:color w:val="auto"/>
                <w:w w:val="92"/>
              </w:rPr>
              <w:t>Inline XBRL Taxonomy Extension Label Linkbase Document.</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620" w:type="dxa"/>
            <w:vAlign w:val="bottom"/>
          </w:tcPr>
          <w:p>
            <w:pPr>
              <w:ind w:left="100"/>
              <w:spacing w:after="0" w:line="111" w:lineRule="exact"/>
              <w:rPr>
                <w:sz w:val="20"/>
                <w:szCs w:val="20"/>
                <w:color w:val="auto"/>
              </w:rPr>
            </w:pPr>
            <w:r>
              <w:rPr>
                <w:rFonts w:ascii="Arial" w:cs="Arial" w:eastAsia="Arial" w:hAnsi="Arial"/>
                <w:sz w:val="12"/>
                <w:szCs w:val="12"/>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-892175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6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0"/>
        <w:spacing w:after="0"/>
        <w:tabs>
          <w:tab w:leader="none" w:pos="1040" w:val="left"/>
        </w:tabs>
        <w:rPr>
          <w:sz w:val="20"/>
          <w:szCs w:val="20"/>
          <w:color w:val="auto"/>
        </w:rPr>
      </w:pPr>
      <w:r>
        <w:rPr>
          <w:rFonts w:ascii="Arial" w:cs="Arial" w:eastAsia="Arial" w:hAnsi="Arial"/>
          <w:sz w:val="35"/>
          <w:szCs w:val="35"/>
          <w:color w:val="auto"/>
          <w:vertAlign w:val="superscript"/>
        </w:rPr>
        <w:t>101.PRE</w:t>
      </w:r>
      <w:r>
        <w:rPr>
          <w:sz w:val="20"/>
          <w:szCs w:val="20"/>
          <w:color w:val="auto"/>
        </w:rPr>
        <w:tab/>
      </w:r>
      <w:r>
        <w:rPr>
          <w:rFonts w:ascii="Arial" w:cs="Arial" w:eastAsia="Arial" w:hAnsi="Arial"/>
          <w:sz w:val="16"/>
          <w:szCs w:val="16"/>
          <w:color w:val="auto"/>
        </w:rPr>
        <w:t>Document.</w:t>
      </w:r>
    </w:p>
    <w:p>
      <w:pPr>
        <w:ind w:left="1060" w:right="4440" w:hanging="667"/>
        <w:spacing w:after="0" w:line="189" w:lineRule="auto"/>
        <w:tabs>
          <w:tab w:leader="none" w:pos="1060" w:val="left"/>
        </w:tabs>
        <w:numPr>
          <w:ilvl w:val="0"/>
          <w:numId w:val="43"/>
        </w:numPr>
        <w:rPr>
          <w:rFonts w:ascii="Arial" w:cs="Arial" w:eastAsia="Arial" w:hAnsi="Arial"/>
          <w:sz w:val="28"/>
          <w:szCs w:val="28"/>
          <w:color w:val="auto"/>
          <w:vertAlign w:val="subscript"/>
        </w:rPr>
      </w:pPr>
      <w:r>
        <w:rPr>
          <w:rFonts w:ascii="Arial" w:cs="Arial" w:eastAsia="Arial" w:hAnsi="Arial"/>
          <w:sz w:val="15"/>
          <w:szCs w:val="15"/>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15" w:lineRule="exact"/>
        <w:rPr>
          <w:sz w:val="20"/>
          <w:szCs w:val="20"/>
          <w:color w:val="auto"/>
        </w:rPr>
      </w:pPr>
    </w:p>
    <w:p>
      <w:pPr>
        <w:sectPr>
          <w:pgSz w:w="11900" w:h="16838" w:orient="portrait"/>
          <w:cols w:equalWidth="0" w:num="2">
            <w:col w:w="9940" w:space="720"/>
            <w:col w:w="580"/>
          </w:cols>
          <w:pgMar w:left="320" w:top="891" w:right="339" w:bottom="1440" w:gutter="0" w:footer="0" w:header="0"/>
          <w:type w:val="continuous"/>
        </w:sectPr>
      </w:pPr>
    </w:p>
    <w:p>
      <w:pPr>
        <w:spacing w:after="0" w:line="137" w:lineRule="exact"/>
        <w:rPr>
          <w:sz w:val="20"/>
          <w:szCs w:val="20"/>
          <w:color w:val="auto"/>
        </w:rPr>
      </w:pPr>
    </w:p>
    <w:p>
      <w:pPr>
        <w:ind w:right="140" w:firstLine="8"/>
        <w:spacing w:after="0" w:line="249" w:lineRule="auto"/>
        <w:tabs>
          <w:tab w:leader="none" w:pos="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because the registrant has determined that such redacted information is (i) not material, and (ii) is the type of information the registrant treats as private or confidential. If requested by the Commission or the Staff, the registrant will promptly provide, on a supplemental basis, an unredacted copy of this exhibit and its analysis with respect to the materiality and confidentiality of the redacted information.</w:t>
      </w:r>
    </w:p>
    <w:p>
      <w:pPr>
        <w:spacing w:after="0" w:line="208" w:lineRule="exact"/>
        <w:rPr>
          <w:sz w:val="20"/>
          <w:szCs w:val="20"/>
          <w:color w:val="auto"/>
        </w:rPr>
      </w:pPr>
    </w:p>
    <w:p>
      <w:pPr>
        <w:jc w:val="both"/>
        <w:ind w:right="240" w:firstLine="8"/>
        <w:spacing w:after="0" w:line="263" w:lineRule="auto"/>
        <w:tabs>
          <w:tab w:leader="none" w:pos="2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3" w:name="page84"/>
    <w:bookmarkEnd w:id="8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19"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19"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1350" w:right="47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F. Sheridan</w:t>
      </w:r>
    </w:p>
    <w:p>
      <w:pPr>
        <w:ind w:left="684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Tandem Diabetes Care, Inc.</w:t>
      </w:r>
    </w:p>
    <w:p>
      <w:pPr>
        <w:spacing w:after="0" w:line="2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Leigh A. Vosseller</w:t>
      </w:r>
    </w:p>
    <w:p>
      <w:pPr>
        <w:ind w:left="684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4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360" w:firstLine="810"/>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2022,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F. Sheridan</w:t>
      </w: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277"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360" w:firstLine="810"/>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2022,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Leigh A. Vosseller</w:t>
      </w:r>
    </w:p>
    <w:p>
      <w:pPr>
        <w:ind w:left="686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60"/>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04"/>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00" Type="http://schemas.openxmlformats.org/officeDocument/2006/relationships/hyperlink" Target="https://www.sec.gov/Archives/edgar/data/1438133/000143813322000181/exhibit102-intellectualp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2022-11-02T15:39:06Z</dcterms:created>
  <dcterms:modified xsi:type="dcterms:W3CDTF">2022-11-02T15:39:06Z</dcterms:modified>
</cp:coreProperties>
</file>