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 xml:space="preserve">____________________________________________________________________________________________ </w:t>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 xml:space="preserve">_____________________________________________________________________________________________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001-36189 </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 xml:space="preserve">_____________________________________________________________________________________________ </w:t>
      </w:r>
    </w:p>
    <w:p>
      <w:pPr>
        <w:pStyle w:val="TextBody"/>
        <w:bidi w:val="0"/>
        <w:spacing w:lineRule="auto" w:line="288" w:before="80" w:after="283"/>
        <w:jc w:val="center"/>
        <w:rPr>
          <w:rFonts w:ascii="Times New Roman;serif" w:hAnsi="Times New Roman;serif"/>
          <w:b/>
          <w:color w:val="000000"/>
          <w:sz w:val="40"/>
        </w:rPr>
      </w:pPr>
      <w:r>
        <w:rPr>
          <w:rFonts w:ascii="Times New Roman;serif" w:hAnsi="Times New Roman;serif"/>
          <w:b/>
          <w:color w:val="000000"/>
          <w:sz w:val="40"/>
        </w:rPr>
        <w:t xml:space="preserve">Tandem Diabetes Care,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 xml:space="preserve">_____________________________________________________________________________________________ </w:t>
      </w:r>
    </w:p>
    <w:tbl>
      <w:tblPr>
        <w:tblW w:w="4736" w:type="dxa"/>
        <w:jc w:val="left"/>
        <w:tblInd w:w="0" w:type="dxa"/>
        <w:tblLayout w:type="fixed"/>
        <w:tblCellMar>
          <w:top w:w="28" w:type="dxa"/>
          <w:left w:w="28" w:type="dxa"/>
          <w:bottom w:w="28" w:type="dxa"/>
          <w:right w:w="28" w:type="dxa"/>
        </w:tblCellMar>
      </w:tblPr>
      <w:tblGrid>
        <w:gridCol w:w="539"/>
        <w:gridCol w:w="473"/>
        <w:gridCol w:w="473"/>
        <w:gridCol w:w="473"/>
        <w:gridCol w:w="473"/>
        <w:gridCol w:w="494"/>
        <w:gridCol w:w="109"/>
        <w:gridCol w:w="109"/>
        <w:gridCol w:w="109"/>
        <w:gridCol w:w="433"/>
        <w:gridCol w:w="433"/>
        <w:gridCol w:w="618"/>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20-4327508</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12400 High Bluff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92130</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San Diego,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(858) 366-6900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277" w:type="dxa"/>
        <w:jc w:val="left"/>
        <w:tblInd w:w="0" w:type="dxa"/>
        <w:tblLayout w:type="fixed"/>
        <w:tblCellMar>
          <w:top w:w="28" w:type="dxa"/>
          <w:left w:w="28" w:type="dxa"/>
          <w:bottom w:w="28" w:type="dxa"/>
          <w:right w:w="28" w:type="dxa"/>
        </w:tblCellMar>
      </w:tblPr>
      <w:tblGrid>
        <w:gridCol w:w="1358"/>
        <w:gridCol w:w="1199"/>
        <w:gridCol w:w="1207"/>
        <w:gridCol w:w="484"/>
        <w:gridCol w:w="484"/>
        <w:gridCol w:w="486"/>
        <w:gridCol w:w="895"/>
        <w:gridCol w:w="895"/>
        <w:gridCol w:w="1269"/>
      </w:tblGrid>
      <w:tr>
        <w:trPr/>
        <w:tc>
          <w:tcPr>
            <w:tcW w:w="135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Exchange 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TNDM</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 xml:space="preserve">_____________________________________________________________________________________________ </w:t>
      </w:r>
    </w:p>
    <w:p>
      <w:pPr>
        <w:pStyle w:val="TextBody"/>
        <w:bidi w:val="0"/>
        <w:spacing w:lineRule="auto" w:line="288" w:before="0" w:after="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16"/>
        </w:rPr>
        <w:t xml:space="preserve">Indicate by check mark whether the registrant is a shell company (as defined in Rule 12b-2 of the Exchange Act).    Yes  ☐    No   </w:t>
      </w:r>
      <w:r>
        <w:rPr>
          <w:color w:val="000000"/>
        </w:rPr>
        <w:t>☒</w:t>
      </w:r>
    </w:p>
    <w:p>
      <w:pPr>
        <w:pStyle w:val="TextBody"/>
        <w:bidi w:val="0"/>
        <w:spacing w:lineRule="auto" w:line="240" w:before="80" w:after="283"/>
        <w:ind w:left="0" w:right="0" w:firstLine="900"/>
        <w:jc w:val="left"/>
        <w:rPr>
          <w:rFonts w:ascii="Times New Roman;serif" w:hAnsi="Times New Roman;serif"/>
          <w:b w:val="false"/>
          <w:color w:val="000000"/>
          <w:sz w:val="16"/>
        </w:rPr>
      </w:pPr>
      <w:r>
        <w:rPr>
          <w:rFonts w:ascii="Times New Roman;serif" w:hAnsi="Times New Roman;serif"/>
          <w:b w:val="false"/>
          <w:color w:val="000000"/>
          <w:sz w:val="16"/>
        </w:rPr>
        <w:t>As of August 3, 2026, there were 69,578,707 shares of the registrant’s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47"/>
        <w:gridCol w:w="219"/>
        <w:gridCol w:w="220"/>
        <w:gridCol w:w="3106"/>
        <w:gridCol w:w="3015"/>
        <w:gridCol w:w="3024"/>
        <w:gridCol w:w="109"/>
        <w:gridCol w:w="109"/>
        <w:gridCol w:w="156"/>
      </w:tblGrid>
      <w:tr>
        <w:trPr/>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25">
              <w:r>
                <w:rPr>
                  <w:rStyle w:val="InternetLink"/>
                  <w:rFonts w:ascii="Times New Roman;serif" w:hAnsi="Times New Roman;serif"/>
                  <w:b w:val="false"/>
                  <w:color w:val="0000FF"/>
                  <w:sz w:val="20"/>
                  <w:u w:val="single"/>
                </w:rPr>
                <w:t>1</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61">
              <w:r>
                <w:rPr>
                  <w:rStyle w:val="InternetLink"/>
                  <w:rFonts w:ascii="Times New Roman;serif" w:hAnsi="Times New Roman;serif"/>
                  <w:b w:val="false"/>
                  <w:color w:val="0000FF"/>
                  <w:sz w:val="20"/>
                  <w:u w:val="single"/>
                </w:rPr>
                <w:t>1</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 at June 30, 2026 (Unaudited) and December 31, 2025</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64">
              <w:r>
                <w:rPr>
                  <w:rStyle w:val="InternetLink"/>
                  <w:rFonts w:ascii="Times New Roman;serif" w:hAnsi="Times New Roman;serif"/>
                  <w:b w:val="false"/>
                  <w:color w:val="0000FF"/>
                  <w:sz w:val="20"/>
                  <w:u w:val="single"/>
                </w:rPr>
                <w:t>1</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and Comprehensive Loss for the Three and Six Months Ended June 30, 2026 and 2025 (Unaudited)</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67">
              <w:r>
                <w:rPr>
                  <w:rStyle w:val="InternetLink"/>
                  <w:rFonts w:ascii="Times New Roman;serif" w:hAnsi="Times New Roman;serif"/>
                  <w:b w:val="false"/>
                  <w:color w:val="0000FF"/>
                  <w:sz w:val="20"/>
                  <w:u w:val="single"/>
                </w:rPr>
                <w:t>2</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 for the Three and Six Months Ended June 30, 2026 and 2025 (Unaudited)</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73">
              <w:r>
                <w:rPr>
                  <w:rStyle w:val="InternetLink"/>
                  <w:rFonts w:ascii="Times New Roman;serif" w:hAnsi="Times New Roman;serif"/>
                  <w:b w:val="false"/>
                  <w:color w:val="0000FF"/>
                  <w:sz w:val="20"/>
                  <w:u w:val="single"/>
                </w:rPr>
                <w:t>3</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for the Six Months Ended June 30, 2026 and 2025 (Unaudited)</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85">
              <w:r>
                <w:rPr>
                  <w:rStyle w:val="InternetLink"/>
                  <w:rFonts w:ascii="Times New Roman;serif" w:hAnsi="Times New Roman;serif"/>
                  <w:b w:val="false"/>
                  <w:color w:val="0000FF"/>
                  <w:sz w:val="20"/>
                  <w:u w:val="single"/>
                </w:rPr>
                <w:t>5</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Unaudited Condensed Consolidated Financial Statements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88">
              <w:r>
                <w:rPr>
                  <w:rStyle w:val="InternetLink"/>
                  <w:rFonts w:ascii="Times New Roman;serif" w:hAnsi="Times New Roman;serif"/>
                  <w:b w:val="false"/>
                  <w:color w:val="0000FF"/>
                  <w:sz w:val="20"/>
                  <w:u w:val="single"/>
                </w:rPr>
                <w:t>6</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391">
              <w:r>
                <w:rPr>
                  <w:rStyle w:val="InternetLink"/>
                  <w:rFonts w:ascii="Times New Roman;serif" w:hAnsi="Times New Roman;serif"/>
                  <w:b w:val="false"/>
                  <w:color w:val="0000FF"/>
                  <w:sz w:val="20"/>
                  <w:u w:val="single"/>
                </w:rPr>
                <w:t>25</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481">
              <w:r>
                <w:rPr>
                  <w:rStyle w:val="InternetLink"/>
                  <w:rFonts w:ascii="Times New Roman;serif" w:hAnsi="Times New Roman;serif"/>
                  <w:b w:val="false"/>
                  <w:color w:val="0000FF"/>
                  <w:sz w:val="20"/>
                  <w:u w:val="single"/>
                </w:rPr>
                <w:t>36</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487">
              <w:r>
                <w:rPr>
                  <w:rStyle w:val="InternetLink"/>
                  <w:rFonts w:ascii="Times New Roman;serif" w:hAnsi="Times New Roman;serif"/>
                  <w:b w:val="false"/>
                  <w:color w:val="0000FF"/>
                  <w:sz w:val="20"/>
                  <w:u w:val="single"/>
                </w:rPr>
                <w:t>36</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493">
              <w:r>
                <w:rPr>
                  <w:rStyle w:val="InternetLink"/>
                  <w:rFonts w:ascii="Times New Roman;serif" w:hAnsi="Times New Roman;serif"/>
                  <w:b w:val="false"/>
                  <w:color w:val="0000FF"/>
                  <w:sz w:val="20"/>
                  <w:u w:val="single"/>
                </w:rPr>
                <w:t>37</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496">
              <w:r>
                <w:rPr>
                  <w:rStyle w:val="InternetLink"/>
                  <w:rFonts w:ascii="Times New Roman;serif" w:hAnsi="Times New Roman;serif"/>
                  <w:b w:val="false"/>
                  <w:color w:val="0000FF"/>
                  <w:sz w:val="20"/>
                  <w:u w:val="single"/>
                </w:rPr>
                <w:t>37</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499">
              <w:r>
                <w:rPr>
                  <w:rStyle w:val="InternetLink"/>
                  <w:rFonts w:ascii="Times New Roman;serif" w:hAnsi="Times New Roman;serif"/>
                  <w:b w:val="false"/>
                  <w:color w:val="0000FF"/>
                  <w:sz w:val="20"/>
                  <w:u w:val="single"/>
                </w:rPr>
                <w:t>37</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532">
              <w:r>
                <w:rPr>
                  <w:rStyle w:val="InternetLink"/>
                  <w:rFonts w:ascii="Times New Roman;serif" w:hAnsi="Times New Roman;serif"/>
                  <w:b w:val="false"/>
                  <w:color w:val="0000FF"/>
                  <w:sz w:val="20"/>
                  <w:u w:val="single"/>
                </w:rPr>
                <w:t>76</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2537">
              <w:r>
                <w:rPr>
                  <w:rStyle w:val="InternetLink"/>
                  <w:rFonts w:ascii="Times New Roman;serif" w:hAnsi="Times New Roman;serif"/>
                  <w:b w:val="false"/>
                  <w:color w:val="0000FF"/>
                  <w:sz w:val="20"/>
                  <w:u w:val="single"/>
                </w:rPr>
                <w:t>76</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2545">
              <w:r>
                <w:rPr>
                  <w:rStyle w:val="InternetLink"/>
                  <w:rFonts w:ascii="Times New Roman;serif" w:hAnsi="Times New Roman;serif"/>
                  <w:b w:val="false"/>
                  <w:color w:val="0000FF"/>
                  <w:sz w:val="20"/>
                  <w:u w:val="single"/>
                </w:rPr>
                <w:t>76</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535">
              <w:r>
                <w:rPr>
                  <w:rStyle w:val="InternetLink"/>
                  <w:rFonts w:ascii="Times New Roman;serif" w:hAnsi="Times New Roman;serif"/>
                  <w:b w:val="false"/>
                  <w:color w:val="0000FF"/>
                  <w:sz w:val="20"/>
                  <w:u w:val="single"/>
                </w:rPr>
                <w:t>76</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4f9014d2474689be4b2afd87c5b8ae_541">
              <w:r>
                <w:rPr>
                  <w:rStyle w:val="InternetLink"/>
                  <w:rFonts w:ascii="Times New Roman;serif" w:hAnsi="Times New Roman;serif"/>
                  <w:b w:val="false"/>
                  <w:color w:val="0000FF"/>
                  <w:sz w:val="20"/>
                  <w:u w:val="single"/>
                </w:rPr>
                <w:t>77</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TANDEM DIABETES 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w:t>
      </w:r>
    </w:p>
    <w:tbl>
      <w:tblPr>
        <w:tblW w:w="10205" w:type="dxa"/>
        <w:jc w:val="center"/>
        <w:tblInd w:w="0" w:type="dxa"/>
        <w:tblLayout w:type="fixed"/>
        <w:tblCellMar>
          <w:top w:w="28" w:type="dxa"/>
          <w:left w:w="28" w:type="dxa"/>
          <w:bottom w:w="28" w:type="dxa"/>
          <w:right w:w="28" w:type="dxa"/>
        </w:tblCellMar>
      </w:tblPr>
      <w:tblGrid>
        <w:gridCol w:w="2836"/>
        <w:gridCol w:w="2187"/>
        <w:gridCol w:w="2143"/>
        <w:gridCol w:w="109"/>
        <w:gridCol w:w="109"/>
        <w:gridCol w:w="211"/>
        <w:gridCol w:w="976"/>
        <w:gridCol w:w="109"/>
        <w:gridCol w:w="109"/>
        <w:gridCol w:w="109"/>
        <w:gridCol w:w="109"/>
        <w:gridCol w:w="211"/>
        <w:gridCol w:w="831"/>
        <w:gridCol w:w="156"/>
      </w:tblGrid>
      <w:tr>
        <w:trPr/>
        <w:tc>
          <w:tcPr>
            <w:tcW w:w="2836"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(Note 1)</w:t>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200,000 shares authorized, 69,540 and 68,291 shares issued and outstanding as of June 30, 2026 and December 31, 2025,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(1,252,535)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881,112 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TANDEM DIABETES 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1668"/>
        <w:gridCol w:w="1387"/>
        <w:gridCol w:w="12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76"/>
        <w:gridCol w:w="109"/>
        <w:gridCol w:w="109"/>
        <w:gridCol w:w="157"/>
      </w:tblGrid>
      <w:tr>
        <w:trPr/>
        <w:tc>
          <w:tcPr>
            <w:tcW w:w="166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and settlement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short-term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cash flow hedges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basic and diluted net loss per share</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283"/>
        <w:jc w:val="left"/>
        <w:rPr/>
      </w:pPr>
      <w:r>
        <w:rPr/>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TANDEM DIABETES 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Three Months Ended June 30, 2026</w:t>
      </w:r>
    </w:p>
    <w:tbl>
      <w:tblPr>
        <w:tblW w:w="10205" w:type="dxa"/>
        <w:jc w:val="center"/>
        <w:tblInd w:w="0" w:type="dxa"/>
        <w:tblLayout w:type="fixed"/>
        <w:tblCellMar>
          <w:top w:w="28" w:type="dxa"/>
          <w:left w:w="28" w:type="dxa"/>
          <w:bottom w:w="28" w:type="dxa"/>
          <w:right w:w="28" w:type="dxa"/>
        </w:tblCellMar>
      </w:tblPr>
      <w:tblGrid>
        <w:gridCol w:w="994"/>
        <w:gridCol w:w="631"/>
        <w:gridCol w:w="637"/>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9"/>
        <w:gridCol w:w="794"/>
        <w:gridCol w:w="156"/>
        <w:gridCol w:w="109"/>
        <w:gridCol w:w="109"/>
        <w:gridCol w:w="109"/>
        <w:gridCol w:w="196"/>
        <w:gridCol w:w="906"/>
        <w:gridCol w:w="109"/>
        <w:gridCol w:w="109"/>
        <w:gridCol w:w="109"/>
        <w:gridCol w:w="109"/>
        <w:gridCol w:w="207"/>
        <w:gridCol w:w="783"/>
        <w:gridCol w:w="169"/>
      </w:tblGrid>
      <w:tr>
        <w:trPr/>
        <w:tc>
          <w:tcPr>
            <w:tcW w:w="99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 xml:space="preserve">Equity </w:t>
            </w:r>
          </w:p>
        </w:tc>
      </w:tr>
      <w:tr>
        <w:trPr/>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68,504 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1,400,218 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5,044 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(1,272,928)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132,403 </w:t>
            </w:r>
          </w:p>
        </w:tc>
        <w:tc>
          <w:tcPr>
            <w:tcW w:w="16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of shares withheld for taxes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15,640 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short-term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cash flow hedges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gains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69,540 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(1,294,096)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130,388 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Six Months Ended June 30, 2026</w:t>
      </w:r>
    </w:p>
    <w:tbl>
      <w:tblPr>
        <w:tblW w:w="10205" w:type="dxa"/>
        <w:jc w:val="center"/>
        <w:tblInd w:w="0" w:type="dxa"/>
        <w:tblLayout w:type="fixed"/>
        <w:tblCellMar>
          <w:top w:w="28" w:type="dxa"/>
          <w:left w:w="28" w:type="dxa"/>
          <w:bottom w:w="28" w:type="dxa"/>
          <w:right w:w="28" w:type="dxa"/>
        </w:tblCellMar>
      </w:tblPr>
      <w:tblGrid>
        <w:gridCol w:w="933"/>
        <w:gridCol w:w="665"/>
        <w:gridCol w:w="668"/>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9"/>
        <w:gridCol w:w="793"/>
        <w:gridCol w:w="156"/>
        <w:gridCol w:w="109"/>
        <w:gridCol w:w="109"/>
        <w:gridCol w:w="109"/>
        <w:gridCol w:w="196"/>
        <w:gridCol w:w="904"/>
        <w:gridCol w:w="109"/>
        <w:gridCol w:w="109"/>
        <w:gridCol w:w="109"/>
        <w:gridCol w:w="109"/>
        <w:gridCol w:w="207"/>
        <w:gridCol w:w="782"/>
        <w:gridCol w:w="169"/>
      </w:tblGrid>
      <w:tr>
        <w:trPr/>
        <w:tc>
          <w:tcPr>
            <w:tcW w:w="93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Other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Comprehensive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68,291 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1,402,044 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5,593 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(1,252,535)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155,170 </w:t>
            </w:r>
          </w:p>
        </w:tc>
        <w:tc>
          <w:tcPr>
            <w:tcW w:w="16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of shares withheld for taxes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30,811 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Purchase of capped call options related to convertible notes due 2029</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short-term investments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cash flow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gains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(41,561)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64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69,540 </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2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1,418,011 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6,403 </w:t>
            </w:r>
          </w:p>
        </w:tc>
        <w:tc>
          <w:tcPr>
            <w:tcW w:w="1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(1,294,096)</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130,388 </w:t>
            </w:r>
          </w:p>
        </w:tc>
        <w:tc>
          <w:tcPr>
            <w:tcW w:w="16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283"/>
        <w:jc w:val="left"/>
        <w:rPr/>
      </w:pPr>
      <w:r>
        <w:rPr/>
      </w:r>
    </w:p>
    <w:p>
      <w:pPr>
        <w:pStyle w:val="TextBody"/>
        <w:bidi w:val="0"/>
        <w:spacing w:before="140" w:after="283"/>
        <w:ind w:left="0" w:right="0" w:hanging="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Three Months Ended June 30, 2025</w:t>
      </w:r>
    </w:p>
    <w:tbl>
      <w:tblPr>
        <w:tblW w:w="10205" w:type="dxa"/>
        <w:jc w:val="center"/>
        <w:tblInd w:w="0" w:type="dxa"/>
        <w:tblLayout w:type="fixed"/>
        <w:tblCellMar>
          <w:top w:w="28" w:type="dxa"/>
          <w:left w:w="28" w:type="dxa"/>
          <w:bottom w:w="28" w:type="dxa"/>
          <w:right w:w="28" w:type="dxa"/>
        </w:tblCellMar>
      </w:tblPr>
      <w:tblGrid>
        <w:gridCol w:w="1002"/>
        <w:gridCol w:w="641"/>
        <w:gridCol w:w="647"/>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6"/>
        <w:gridCol w:w="785"/>
        <w:gridCol w:w="155"/>
        <w:gridCol w:w="109"/>
        <w:gridCol w:w="109"/>
        <w:gridCol w:w="109"/>
        <w:gridCol w:w="196"/>
        <w:gridCol w:w="906"/>
        <w:gridCol w:w="109"/>
        <w:gridCol w:w="109"/>
        <w:gridCol w:w="109"/>
        <w:gridCol w:w="109"/>
        <w:gridCol w:w="205"/>
        <w:gridCol w:w="773"/>
        <w:gridCol w:w="166"/>
      </w:tblGrid>
      <w:tr>
        <w:trPr/>
        <w:tc>
          <w:tcPr>
            <w:tcW w:w="100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155,292 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9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9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9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short-term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cash flow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gains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(1,230,781)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133,283 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hanging="270"/>
        <w:jc w:val="center"/>
        <w:rPr/>
      </w:pPr>
      <w:r>
        <w:rPr/>
      </w:r>
    </w:p>
    <w:p>
      <w:pPr>
        <w:pStyle w:val="TextBody"/>
        <w:bidi w:val="0"/>
        <w:spacing w:lineRule="auto" w:line="288" w:before="140" w:after="283"/>
        <w:ind w:left="0" w:right="0" w:hanging="270"/>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Six Months Ended June 30, 2025</w:t>
      </w:r>
    </w:p>
    <w:tbl>
      <w:tblPr>
        <w:tblW w:w="10205" w:type="dxa"/>
        <w:jc w:val="center"/>
        <w:tblInd w:w="0" w:type="dxa"/>
        <w:tblLayout w:type="fixed"/>
        <w:tblCellMar>
          <w:top w:w="28" w:type="dxa"/>
          <w:left w:w="28" w:type="dxa"/>
          <w:bottom w:w="28" w:type="dxa"/>
          <w:right w:w="28" w:type="dxa"/>
        </w:tblCellMar>
      </w:tblPr>
      <w:tblGrid>
        <w:gridCol w:w="936"/>
        <w:gridCol w:w="676"/>
        <w:gridCol w:w="679"/>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2"/>
        <w:gridCol w:w="792"/>
        <w:gridCol w:w="152"/>
        <w:gridCol w:w="109"/>
        <w:gridCol w:w="109"/>
        <w:gridCol w:w="109"/>
        <w:gridCol w:w="196"/>
        <w:gridCol w:w="906"/>
        <w:gridCol w:w="109"/>
        <w:gridCol w:w="109"/>
        <w:gridCol w:w="109"/>
        <w:gridCol w:w="109"/>
        <w:gridCol w:w="205"/>
        <w:gridCol w:w="773"/>
        <w:gridCol w:w="165"/>
      </w:tblGrid>
      <w:tr>
        <w:trPr/>
        <w:tc>
          <w:tcPr>
            <w:tcW w:w="93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263,098 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51,090 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short-term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cash flow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gains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(182,956)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(1,230,781)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133,283 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TANDEM DIABETES 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bl>
      <w:tblPr>
        <w:tblW w:w="10205" w:type="dxa"/>
        <w:jc w:val="center"/>
        <w:tblInd w:w="0" w:type="dxa"/>
        <w:tblLayout w:type="fixed"/>
        <w:tblCellMar>
          <w:top w:w="28" w:type="dxa"/>
          <w:left w:w="28" w:type="dxa"/>
          <w:bottom w:w="28" w:type="dxa"/>
          <w:right w:w="28" w:type="dxa"/>
        </w:tblCellMar>
      </w:tblPr>
      <w:tblGrid>
        <w:gridCol w:w="2800"/>
        <w:gridCol w:w="2343"/>
        <w:gridCol w:w="2362"/>
        <w:gridCol w:w="196"/>
        <w:gridCol w:w="704"/>
        <w:gridCol w:w="109"/>
        <w:gridCol w:w="109"/>
        <w:gridCol w:w="109"/>
        <w:gridCol w:w="109"/>
        <w:gridCol w:w="196"/>
        <w:gridCol w:w="794"/>
        <w:gridCol w:w="109"/>
        <w:gridCol w:w="109"/>
        <w:gridCol w:w="156"/>
      </w:tblGrid>
      <w:tr>
        <w:trPr/>
        <w:tc>
          <w:tcPr>
            <w:tcW w:w="2800"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(used in) operating activities:</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expected credit losses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and other impairment charges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discount or (accretion of premium) on short-term investments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equity method investment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Acquired in-process research and development expenses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other current assets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Employee-related liabilities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leases and other current liabilities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short-term investments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and redemptions of short-term investments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in-process research and development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Purchases of equity investments, strategic investments, and intangible assets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convertible senior notes due 2032, net of $8,843 debt issuance costs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convertible senior notes due 2025</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Payment for capped call transactions related to convertible senior notes due 2032</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to settle withholding taxes on vested restricted stock, net of proceeds from issuance of common stock under Company stock plans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 changes on cash</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and cash equivalents</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Income taxes (refunded) paid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schedule of non-cash investing and financing activities</w:t>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obtained in exchange for operating lease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included in accounts payable and accrued expenses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Intangible costs in other long-term liabilities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240" w:after="283"/>
        <w:jc w:val="left"/>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TANDEM DIABETES CARE,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Tandem Diabetes Care, Inc. is a global insulin delivery and diabetes technology company focused on the design, development, and commercialization of technology solutions that reduce the burden of diabetes management. Tandem Diabetes Care, Inc. is incorporated in the state of Delaware. Unless the context requires otherwise, the terms the “Company” or “Tandem” refer to Tandem Diabetes Care, Inc., together with its wholly-owned subsidiaries.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strategy is to offer flexibility and choice in intelligent insulin delivery systems through an accessible portfolio of market-leading pumps, applications and insights. In support of this strategy, the Company’s pump platforms include t:slim X2 and Tandem Mobi (Mobi). Both pumps feature Control-IQ+ technology, which is the Company’s most advanced algorithm for managing insulin delivery, using information received from compatible continuous glucose monitoring (CGM) sensors. New software for the insulin pumps may be updated remotely by the individual users as new advancements become available. The insulin pumps are compatible with other complementary digital health offerings, such as the Company’s mobile application and cloud-based diabetes management applications. The Company’s insulin pumps are durable medical devices designed for multiple years of daily use. In addition, the Company sells disposable supplies used in conjunction with the pumps, which are replaced periodically. These supplies include cartridges for storing insulin, and infusion sets that contain a cannula and connect the pump to a user’s body to administer insulin.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the accompanying condensed consolidated financial statements include all adjustments, consisting only of normal and recurring adjustments, necessary for a fair presentation.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2025 (Annual Report), from which the condensed consolidated balance sheet presented as of December 31, 2025 herein was derived. The condensed consolidated financial statements include the accounts of Tandem Diabetes Care, Inc. and its wholly-owned subsidiaries. All significant intercompany balances and transactions have been eliminated in consolidation.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each of the Company’s foreign subsidiaries is its respective local currency. The Company translates the financial statements of its foreign subsidiaries into U.S. dollars using period-end exchange rates for assets and liabilities and average exchange rates for each period for revenue, costs and expenses. Translation-related adjustments are included in other comprehensive income (loss) in the condensed consolidated statements of operations, and in accumulated other comprehensive income (loss) in the stockholders’ equity section of the Company’s condensed consolidated balance sheets. Foreign exchange gains or losses resulting from balances denominated in a currency other than the functional currency are recognized in interest income and other income, net 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during the six months ended June 30, 2026, as compared to those disclosed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management to make estimates and judgments that affect the reported amounts of assets, liabilities, revenues and expenses and the disclosure of contingent assets and liabilities in the Company’s condensed consolidated financial statements and accompanying notes as of the date of the condensed consolidated financial statements. Some of those judgments can be subjective and complex, and therefore, actual results could differ materially from those estimates under different assumptions or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customer-related risks, review of outstanding invoices, forecasts about the future, and various other assumptions and estimates that are believed to be reasonable under the circumstances, including the impact of broader macroeconomic conditions such as changes in credit risk, discretionary spending, and interest rates. Uncollectible accounts are written off against the allowance after appropriate collection efforts have been exhausted and when it is deemed that a balance is uncollectible.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Lease Right-of-Use Assets and Liabilities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(the Commencement Date) based on the present value of lease payments over the lease term. For lease agreements that contain lease and non-lease components, the Company accounts for both of those components as a single lease component.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condensed consolidated balance sheets. Landlord improvement allowances and other similar lease incentives are recorded as a reduction of the right-of-use lease assets, and are amortized on a straight-line basis as a reduction to operating lease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Intangible Assets Subject to Amortization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 are recorded at cost, net of accumulated amortization and, if applicable, impairment charges. Amortization of finite-lived intangible assets is recognized over their estimated useful lives using a straight-line or accelerated attribution method, depending on the economic benefit associated with the asset.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second quarter 2025, the Company and various Roche entities (collectively, Roche) entered into a Settlement, Mutual Release and Cross-License Agreement (the Settlement Agreement). The Settlement Agreement resolved all actual or potential patent disputes as of the agreement date, including the actions pending before courts of the Unified Patent Court in France and Germany.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Settlement Agreement, the Company agreed to pay Roche $36.0 million over a four-year period, with an initial cash payment of $8.0 million and four equal annual installments thereafter. Based on a relative fair value approach, $13.3 million was capitalized as an intangible asset for the value of the license, which is being amortized over seven years, reflecting the estimated useful life of the acquired patents. The remaining consideration was expensed as settlement and litigation expense with related legal fees during the second quarter 2025. The Company paid its second annual payment of $7.0 million during the second quarter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Long-lived assets, such as property and equipment, operating lease right-of-use assets, and acquired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unobservable (Level 3) inputs (see Note 5 “Fair Value Measurements”), including discounted cash flow models, future estimated sublease income, and third-party independent appraisals, as considered necessary. There is uncertainty in the projected undiscounted future cash flows used in the Company’s impairment review analysis, which requires the use of estimates and assumptions. If actual performance does not meet or exceed projected performance, or if the assumptions used in the model change in the future, the Company may be required to recognize additional impairment charges in future periods. The Company recognized the impairment of operating lease right-of-use assets in the first quarter of 2025 (see Note 6, “Leases”). There were no other impairments of long-lived assets, including acquired intangible assets,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Equity Method Investment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the equity method to account for investments in companies if it owns more than 20% of the investee company’s outstanding equity or the investment provides the Company with the ability to exercise significant influence but not control over the operating and financial policies of the investee. The Company assesses whether it has significant influence by considering various factors, including the nature and magnitude of the investment, voting rights held, and participation in the governance of the investee, if any. The Company may also consider additional relevant factors, such as the presence of other business relationships.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held an equity method investment in CeQur SA (CeQur), a privately held company, of $132.3 million and $60.4 million as of June 30, 2026 and December 31, 2025, respectively. On May 22, 2026, the Company made an additional investment in CeQur of CHF 64.0 million ($81.4 million USD), remaining at an ownership level of less than 50%. The Company continues to account for the investment under the equity method. The additional investment was recorded as an increase to the carrying value of the existing equity method investment. In connection with the additional investment, the Company obtained, for an immaterial amount, the option to acquire the remainder of CeQur’s shares no earlier than 2028 at its sole discretion. In the event the option is exercised, the price to be paid will be calculated using a predetermined market-based formula. The Company recorded this call option in other long-term assets on the condensed consolidated balance sheets. The call option does not meet the criteria for derivative accounting.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Equity method investments are reviewed for impairment when events or changes in circumstances indicate that the carrying amount may not be recoverable. No impairment charges were recognized for the equity method investment during the three and six months ended June 30, 2026.</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net loss included its proportionate share of the net loss of its equity method investee, which was $5.6 million and $9.5 million for the three and six months ended June 30, 2026, respectively, and $3.4 million and $6.9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is generated primarily from sales of insulin pumps, single-use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rebates, prompt payment discounts, and a provision for product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Revenue Recognition for Arrangements with Multiple Performance Obligations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the individual deliverables in its product offerings to be separate performance obligations.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transaction price is the net consideration to which the Company expects to be entitled, determined from either the stated value in contractual arrangements or the estimated cash to be collected in non-contracted arrangements. The transaction price also includes an estimate of variable consideration at the time of sale. Variable consideration includes, but is not limited to: rebates, prompt payment discounts, and a provision for product returns. These amounts are recorded as a reduction of accounts receivable when no payment is required from the Company and as a liability when a payment is required.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is typically upon shipment or delivery as title transfers. Certain complementary products, such as the Company’s data management and software update platforms, are considered distinct performance obligations that are satisfied over time, as access and support for these products is provided throughout the typical four-year warranty period of the insulin pumps. Accordingly, revenue related to these complementary products is deferred and recognized over the period of the performance obligation according to the agreement.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allocates the transaction price to each individual performance obligation based on the standalone selling price. For the pay-as-you-go reimbursement model, the Company allocates a portion of the transaction price associated with the customer’s initial supply order to the pump based on its relative standalone selling price. When standalone selling prices are not directly observable, the Company estimates such amounts using an expected cost plus a margin approach and allocates any residual consideration to the remaining performance obligations, as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variable consideration that is included in the transaction price is included in revenue only to the extent that it is probable that a significant reversal in the amount of the cumulative revenue recognized will not occur in a future period. The Company is subject to certain rebates on pricing programs with managed care organizations, including pharmacy benefit managers and governmental or third-party commercial payors. The terms of these programs may vary depending on the customer and contractual arrangements. The Company estimates provisions for rebates based on contractual arrangements, estimates of products sold subject to rebate, known market events or trends, and channel inventory data. Sales rebates are recorded as a reduction of revenue and are included within other current or long-term liabilities on the consolidated balance sheets, depending on the anticipated settlement period of the rebate. Actual rebate payments may differ from estimated amounts recorded 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 Instruments and Hedging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the fair value of derivative instruments as either current assets or current liabilities on the condensed consolidated balance sheets. Changes in the fair value of derivative instruments are recorded each period in current earnings or other comprehensive income (loss), depending on whether a derivative instrument is designated as part of a hedging transaction. For a derivative to qualify as a hedge at inception and throughout the hedged period, the Company formally documents the nature and relationships between the hedging instrument and hedged item.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derivatives formally designated as hedges, the Company assesses both at inception and quarterly thereafter, whether the hedging derivatives are highly effective in offsetting changes in either the fair value or cash flows of the hedged item.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Gains or losses on cash flow hedges are reclassified from other comprehensive income (loss) to earnings when the hedged transaction occurs and affects consolidated results. Gains or losses on fair value hedges are recognized in earnings immediately and offset against changes in the fair value of the underlying hedged asset, liability, or firm commitment. If the Company determines that a forecasted transaction is no longer probable or no longer qualifies for hedge accounting treatment, the Company discontinues hedge accounting and any related unrealized gain or loss on the derivative instrument is recognized in current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Warranty Reserve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generally provides a four-year warranty on its insulin pumps to end-user customers and may replace any pumps that do not function as intended in accordance with the product specifications within the warranty period. In addition, the Company offers a six-month warranty on single-use insulin cartridges and infusion sets. Estimated warranty costs are recorded at the time of shipment, and the Company reevaluates the estimate of the warranty reserve obligation at each reporting period. Warranty costs are primarily estimated based on expected replacement rates using historical experience and the expected product replacement cost. Returned insulin pumps may be refurbished and redeployed.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Experience has shown that initial data for any new pump version or pump platform may be insufficient. Therefore, the Company relies on long-term historical replacement data from existing platforms until sufficient data is available. As actual experience accumulates, the Company adjusts its warranty reserve estimate accordingly. In addition, the availability of replacement data may differ by country due to local compliance and privacy regulations, which may require the Company to estimate its warranty liability using available information or data from similar markets. The Company may further adjust the warranty reserve when appropriate, considering revised expectations of product performance based on enhanced hardware, or new features and capabilities that may become available through Tandem Device Updater, a tool that allows Tandem pump users to update their pump software from a personal computer. Warranty expense is recorded as a component of cost of sales in the consolidated statements of operations.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changes in product warranty liabilities for the three and six months ended June 30, 2026 and 2025 (in thousands):</w:t>
      </w:r>
    </w:p>
    <w:tbl>
      <w:tblPr>
        <w:tblW w:w="9490" w:type="dxa"/>
        <w:jc w:val="left"/>
        <w:tblInd w:w="0" w:type="dxa"/>
        <w:tblLayout w:type="fixed"/>
        <w:tblCellMar>
          <w:top w:w="28" w:type="dxa"/>
          <w:left w:w="28" w:type="dxa"/>
          <w:bottom w:w="28" w:type="dxa"/>
          <w:right w:w="28" w:type="dxa"/>
        </w:tblCellMar>
      </w:tblPr>
      <w:tblGrid>
        <w:gridCol w:w="1467"/>
        <w:gridCol w:w="1289"/>
        <w:gridCol w:w="1293"/>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09"/>
        <w:gridCol w:w="109"/>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warranties issued during the period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made during the period</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Increases in warranty estimates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total product warranty reserves were included in the following consolidated balance sheet accounts (in thousands):</w:t>
      </w:r>
    </w:p>
    <w:tbl>
      <w:tblPr>
        <w:tblW w:w="5307" w:type="dxa"/>
        <w:jc w:val="left"/>
        <w:tblInd w:w="0" w:type="dxa"/>
        <w:tblLayout w:type="fixed"/>
        <w:tblCellMar>
          <w:top w:w="28" w:type="dxa"/>
          <w:left w:w="28" w:type="dxa"/>
          <w:bottom w:w="28" w:type="dxa"/>
          <w:right w:w="28" w:type="dxa"/>
        </w:tblCellMar>
      </w:tblPr>
      <w:tblGrid>
        <w:gridCol w:w="809"/>
        <w:gridCol w:w="712"/>
        <w:gridCol w:w="714"/>
        <w:gridCol w:w="234"/>
        <w:gridCol w:w="800"/>
        <w:gridCol w:w="121"/>
        <w:gridCol w:w="109"/>
        <w:gridCol w:w="109"/>
        <w:gridCol w:w="109"/>
        <w:gridCol w:w="309"/>
        <w:gridCol w:w="1056"/>
        <w:gridCol w:w="225"/>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warranty reserve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cost is measured at the grant date based on the estimated fair value of the award, and the portion that is ultimately expected to vest is recognized as compensation expense over the requisite service period on a straight-line basis.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employee purchase rights under the Company’s Employee Stock Purchase Plan (ESPP) using the Black-Scholes option pricing model on the date of grant. The Black-Scholes option pricing model requires the use of assumptions, including stock price volatility, expected term, dividend yield and risk-free interest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restricted stock unit (RSU) awards issued under the Company’s stock incentive plans that vest solely based on service, is estimated based on the fair market value of the underlying stock on the date of grant. The fair value of RSU awards that vest based upon predefined Company performance metrics and the awardee’s continuing service through the measurement date is generally estimated based on the fair market value of the underlying stock on the grant date and the estimated probability of achieving the applicable performance conditions. The Company reassesses the probability of achieving such performance conditions each reporting period, and any resulting adjustment to compensation expense is recognized in the period of change. For certain performance-based RSUs with market-based criteria, the Company uses a Monte Carlo methodology to estimate the fair value at the date of grant. With respect to RSU awards with a market condition, the Company recognizes compensation expense ratably over the requisite service period under an award based on the fair market value of the award at the time of grant, regardless of whether the market condition is satisfied. Previously recognized compensation cost would be reversed only if the employee terminated employment before completing the requisite service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the net loss by the weighted average number of common shares outstanding for the period, without consideration for common share equivalents. Diluted net loss per share is computed by dividing the net loss by the weighted average number of common shares outstanding, including all potentially dilutive common share equivalents. Dilutive common share equivalents are comprised of stock options and unvested RSUs outstanding under the Company’s stock incentive plans, potential awards to be granted pursuant to the ESPP, and common stock warrants, each calculated using the treasury stock method, and shares issuable upon conversion of the Company’s convertible senior notes calculated using the if-converted method.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there was no difference in the weighted average number of shares used to calculate basic and diluted net loss per share due to the Company’s net loss position in each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number of common share equivalents excluded from the computation of diluted earnings per share because either the effect would have been anti-dilutive, or the performance criteria related to the units had not yet been met, are as follows (in thousands):</w:t>
      </w:r>
    </w:p>
    <w:p>
      <w:pPr>
        <w:pStyle w:val="TextBody"/>
        <w:bidi w:val="0"/>
        <w:spacing w:before="200" w:after="283"/>
        <w:ind w:left="0" w:right="0" w:firstLine="720"/>
        <w:jc w:val="left"/>
        <w:rPr/>
      </w:pPr>
      <w:r>
        <w:rPr/>
      </w:r>
    </w:p>
    <w:tbl>
      <w:tblPr>
        <w:tblW w:w="8981" w:type="dxa"/>
        <w:jc w:val="left"/>
        <w:tblInd w:w="0" w:type="dxa"/>
        <w:tblLayout w:type="fixed"/>
        <w:tblCellMar>
          <w:top w:w="28" w:type="dxa"/>
          <w:left w:w="28" w:type="dxa"/>
          <w:bottom w:w="28" w:type="dxa"/>
          <w:right w:w="28" w:type="dxa"/>
        </w:tblCellMar>
      </w:tblPr>
      <w:tblGrid>
        <w:gridCol w:w="1182"/>
        <w:gridCol w:w="1042"/>
        <w:gridCol w:w="1046"/>
        <w:gridCol w:w="388"/>
        <w:gridCol w:w="333"/>
        <w:gridCol w:w="195"/>
        <w:gridCol w:w="195"/>
        <w:gridCol w:w="195"/>
        <w:gridCol w:w="195"/>
        <w:gridCol w:w="392"/>
        <w:gridCol w:w="329"/>
        <w:gridCol w:w="195"/>
        <w:gridCol w:w="109"/>
        <w:gridCol w:w="109"/>
        <w:gridCol w:w="109"/>
        <w:gridCol w:w="495"/>
        <w:gridCol w:w="248"/>
        <w:gridCol w:w="248"/>
        <w:gridCol w:w="248"/>
        <w:gridCol w:w="248"/>
        <w:gridCol w:w="248"/>
        <w:gridCol w:w="382"/>
        <w:gridCol w:w="339"/>
        <w:gridCol w:w="248"/>
        <w:gridCol w:w="109"/>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granted under the ESPP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(if-converted)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20,837 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17,772 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Financial Accounting Standards Board (FASB) issued Accounting Standards Update (ASU) 2025-06 Intangibles–Goodwill and Other–Internal-Use Software (Subtopic 350-40): Targeted Improvements to the Accounting for Internal-Use Software (ASU 2025-06), which modernizes the accounting guidance for internal-use software, including website development costs. The amendments eliminate the consideration of software development stages and introduce a new capitalization threshold based on the entity’s commitment to fund the project and the probability of completion. The Company early adopted ASU 2025-06 effective January 1, 2026 using the prospective method. The adoption of ASU 2025-06 did not have a material impact on the Company’s condensed consolidated financial statements.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Accounting Pronouncements Issued and Not Yet Adopted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and in January 2025, the FASB issued Income Statement - Reporting Comprehensive Income - Expense Disaggregation Disclosures (Subtopic 220-40): Clarifying the Effective Date (ASU 2025-01). ASU 2024-03 requires entities to disclose information about purchases of inventory, employee compensation, and intangible asset amortization in each income statement line item that contains those expenses. ASU 2024-03, as clarified by ASU 2025-01, is effective for the annual reporting period beginning after December 15, 2026 and interim reporting periods within the annual reporting period beginning after December 15, 2027. Early adoption is permitted. The Company is currently evaluating ASU 2024-03, as clarified by ASU 2025-01, to determine the impact it may have on its consolidated financial statements.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ASU 2025-09 Derivatives and Hedging (Topic 815): Hedge Accounting Improvements (ASU 2025-09). This update is intended to better align hedge accounting with entities’ risk management strategies and simplify application. Key provisions include allowing grouping of forecasted transactions with similar risk exposure, introducing a model for hedging variable-rate debt instruments that permit rate selection, permitting component hedging for certain nonfinancial forecasted transactions, clarifying treatment of certain compound derivatives, and restoring operability for specific dual hedge strategies. ASU 2025-09 is effective for fiscal years beginning after December 15, 2026, including interim periods, with early adoption permitted. The Company is currently evaluating ASU 2025-09 to determine the impact it may have on its consolidated financial statements.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(ASU 2025-11), which clarifies and improves the guidance for interim financial reporting. The amendments introduce a disclosure principle requiring entities to disclose events since the end of the previous annual reporting period that materially affect the entity, consolidate a comprehensive list of interim disclosure requirements within ASC 270, and provide guidance on the form and content of condensed interim financial statements. ASU 2025-11 will be effective for interim reporting periods in fiscal years beginning after December 15, 2027. Early adoption is permitted. The Company is currently evaluating ASU 2025-11 to determine the impact it may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3. Short-Term Investments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invests in marketable securities primarily consisting of debt instruments of the United States Government, United States Government-sponsored enterprises, and financial institutions and corporations with strong credit ratings. The following represents a summary of the estimated fair value of short-term investments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1375"/>
        <w:gridCol w:w="1195"/>
        <w:gridCol w:w="1176"/>
        <w:gridCol w:w="109"/>
        <w:gridCol w:w="109"/>
        <w:gridCol w:w="109"/>
        <w:gridCol w:w="109"/>
        <w:gridCol w:w="211"/>
        <w:gridCol w:w="826"/>
        <w:gridCol w:w="109"/>
        <w:gridCol w:w="109"/>
        <w:gridCol w:w="109"/>
        <w:gridCol w:w="109"/>
        <w:gridCol w:w="361"/>
        <w:gridCol w:w="799"/>
        <w:gridCol w:w="189"/>
        <w:gridCol w:w="109"/>
        <w:gridCol w:w="109"/>
        <w:gridCol w:w="109"/>
        <w:gridCol w:w="355"/>
        <w:gridCol w:w="812"/>
        <w:gridCol w:w="184"/>
        <w:gridCol w:w="109"/>
        <w:gridCol w:w="109"/>
        <w:gridCol w:w="109"/>
        <w:gridCol w:w="211"/>
        <w:gridCol w:w="826"/>
        <w:gridCol w:w="159"/>
      </w:tblGrid>
      <w:tr>
        <w:trPr/>
        <w:tc>
          <w:tcPr>
            <w:tcW w:w="137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Government-sponsored enterprises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7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393,178 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380"/>
        <w:gridCol w:w="1213"/>
        <w:gridCol w:w="1154"/>
        <w:gridCol w:w="109"/>
        <w:gridCol w:w="109"/>
        <w:gridCol w:w="109"/>
        <w:gridCol w:w="109"/>
        <w:gridCol w:w="211"/>
        <w:gridCol w:w="826"/>
        <w:gridCol w:w="109"/>
        <w:gridCol w:w="109"/>
        <w:gridCol w:w="109"/>
        <w:gridCol w:w="109"/>
        <w:gridCol w:w="361"/>
        <w:gridCol w:w="799"/>
        <w:gridCol w:w="189"/>
        <w:gridCol w:w="109"/>
        <w:gridCol w:w="109"/>
        <w:gridCol w:w="109"/>
        <w:gridCol w:w="409"/>
        <w:gridCol w:w="728"/>
        <w:gridCol w:w="213"/>
        <w:gridCol w:w="109"/>
        <w:gridCol w:w="109"/>
        <w:gridCol w:w="109"/>
        <w:gridCol w:w="211"/>
        <w:gridCol w:w="826"/>
        <w:gridCol w:w="159"/>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Government-sponsored enterprises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7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202,032 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contractual maturities of available-for-sale debt securities as of June 30, 2026 were as follows (in thousands):</w:t>
      </w:r>
    </w:p>
    <w:tbl>
      <w:tblPr>
        <w:tblW w:w="10205" w:type="dxa"/>
        <w:jc w:val="left"/>
        <w:tblInd w:w="0" w:type="dxa"/>
        <w:tblLayout w:type="fixed"/>
        <w:tblCellMar>
          <w:top w:w="28" w:type="dxa"/>
          <w:left w:w="28" w:type="dxa"/>
          <w:bottom w:w="28" w:type="dxa"/>
          <w:right w:w="28" w:type="dxa"/>
        </w:tblCellMar>
      </w:tblPr>
      <w:tblGrid>
        <w:gridCol w:w="1237"/>
        <w:gridCol w:w="1092"/>
        <w:gridCol w:w="1102"/>
        <w:gridCol w:w="246"/>
        <w:gridCol w:w="966"/>
        <w:gridCol w:w="127"/>
        <w:gridCol w:w="109"/>
        <w:gridCol w:w="109"/>
        <w:gridCol w:w="109"/>
        <w:gridCol w:w="256"/>
        <w:gridCol w:w="1003"/>
        <w:gridCol w:w="132"/>
        <w:gridCol w:w="109"/>
        <w:gridCol w:w="109"/>
        <w:gridCol w:w="109"/>
        <w:gridCol w:w="294"/>
        <w:gridCol w:w="1008"/>
        <w:gridCol w:w="152"/>
        <w:gridCol w:w="109"/>
        <w:gridCol w:w="109"/>
        <w:gridCol w:w="109"/>
        <w:gridCol w:w="284"/>
        <w:gridCol w:w="1113"/>
        <w:gridCol w:w="212"/>
      </w:tblGrid>
      <w:tr>
        <w:trPr/>
        <w:tc>
          <w:tcPr>
            <w:tcW w:w="123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 of June 30, 2026</w:t>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Within One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One to Two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Two to Three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Government-sponsored enterprises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83,477 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119,485 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128,300 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125,915 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225,809 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151,982 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393,178 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classified all marketable securities as short-term investments, regardless of contractual maturity, based on the Company’s ability and intent to use any of these securities to satisfy the Company’s liquidity needs.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its portfolio of available-for-sale debt securities quarterly to determine if any investment is impaired due to changes in credit risk or other potential valuation concerns.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Composition of Certain Financial Statement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 as of June 30, 2026 and December 31, 2025 (in thousands):</w:t>
      </w:r>
    </w:p>
    <w:tbl>
      <w:tblPr>
        <w:tblW w:w="5379" w:type="dxa"/>
        <w:jc w:val="left"/>
        <w:tblInd w:w="0" w:type="dxa"/>
        <w:tblLayout w:type="fixed"/>
        <w:tblCellMar>
          <w:top w:w="28" w:type="dxa"/>
          <w:left w:w="28" w:type="dxa"/>
          <w:bottom w:w="28" w:type="dxa"/>
          <w:right w:w="28" w:type="dxa"/>
        </w:tblCellMar>
      </w:tblPr>
      <w:tblGrid>
        <w:gridCol w:w="984"/>
        <w:gridCol w:w="864"/>
        <w:gridCol w:w="867"/>
        <w:gridCol w:w="211"/>
        <w:gridCol w:w="826"/>
        <w:gridCol w:w="109"/>
        <w:gridCol w:w="109"/>
        <w:gridCol w:w="109"/>
        <w:gridCol w:w="109"/>
        <w:gridCol w:w="211"/>
        <w:gridCol w:w="82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changes in the allowance for estimated accounts receivable credit losses for the three and six months ended June 30, 2026 and 2025 (in thousands):</w:t>
      </w:r>
    </w:p>
    <w:tbl>
      <w:tblPr>
        <w:tblW w:w="8738" w:type="dxa"/>
        <w:jc w:val="left"/>
        <w:tblInd w:w="0" w:type="dxa"/>
        <w:tblLayout w:type="fixed"/>
        <w:tblCellMar>
          <w:top w:w="28" w:type="dxa"/>
          <w:left w:w="28" w:type="dxa"/>
          <w:bottom w:w="28" w:type="dxa"/>
          <w:right w:w="28" w:type="dxa"/>
        </w:tblCellMar>
      </w:tblPr>
      <w:tblGrid>
        <w:gridCol w:w="1347"/>
        <w:gridCol w:w="1184"/>
        <w:gridCol w:w="1188"/>
        <w:gridCol w:w="211"/>
        <w:gridCol w:w="616"/>
        <w:gridCol w:w="109"/>
        <w:gridCol w:w="109"/>
        <w:gridCol w:w="109"/>
        <w:gridCol w:w="109"/>
        <w:gridCol w:w="211"/>
        <w:gridCol w:w="616"/>
        <w:gridCol w:w="109"/>
        <w:gridCol w:w="109"/>
        <w:gridCol w:w="109"/>
        <w:gridCol w:w="109"/>
        <w:gridCol w:w="214"/>
        <w:gridCol w:w="626"/>
        <w:gridCol w:w="110"/>
        <w:gridCol w:w="110"/>
        <w:gridCol w:w="110"/>
        <w:gridCol w:w="110"/>
        <w:gridCol w:w="214"/>
        <w:gridCol w:w="626"/>
        <w:gridCol w:w="110"/>
        <w:gridCol w:w="109"/>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and adjustments,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 as of June 30, 2026 and December 31, 2025 (in thousands):</w:t>
      </w:r>
    </w:p>
    <w:tbl>
      <w:tblPr>
        <w:tblW w:w="4179" w:type="dxa"/>
        <w:jc w:val="left"/>
        <w:tblInd w:w="0" w:type="dxa"/>
        <w:tblLayout w:type="fixed"/>
        <w:tblCellMar>
          <w:top w:w="28" w:type="dxa"/>
          <w:left w:w="28" w:type="dxa"/>
          <w:bottom w:w="28" w:type="dxa"/>
          <w:right w:w="28" w:type="dxa"/>
        </w:tblCellMar>
      </w:tblPr>
      <w:tblGrid>
        <w:gridCol w:w="548"/>
        <w:gridCol w:w="481"/>
        <w:gridCol w:w="486"/>
        <w:gridCol w:w="211"/>
        <w:gridCol w:w="826"/>
        <w:gridCol w:w="109"/>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performs fair value measurements in accordance with U.S. GAAP. Fair value is defined as the price that would be received from the sale of an asset or paid to transfer a liability in the principal or most advantageous market in an orderly transaction between market participants on the measurement date. To measure fair value of assets and liabilities, the Company uses the following fair value hierarchy based on three levels of inputs: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1 — observable inputs, such as quoted prices in active markets for identical assets or liabilities;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2 — significant other observable inputs that are observable either directly or indirectly;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3 — significant unobservable inputs for which there are little or no market data, which require the Company to develop its own assumptions.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financial assets and liabilities measured at fair value on a recurring basis as of June 30, 2026 and December 31, 2025, and indicates the fair value hierarchy of the valuation techniques used by the Company to determine such fair value (in thousands):</w:t>
      </w:r>
    </w:p>
    <w:tbl>
      <w:tblPr>
        <w:tblW w:w="9240" w:type="dxa"/>
        <w:jc w:val="left"/>
        <w:tblInd w:w="0" w:type="dxa"/>
        <w:tblLayout w:type="fixed"/>
        <w:tblCellMar>
          <w:top w:w="28" w:type="dxa"/>
          <w:left w:w="28" w:type="dxa"/>
          <w:bottom w:w="28" w:type="dxa"/>
          <w:right w:w="28" w:type="dxa"/>
        </w:tblCellMar>
      </w:tblPr>
      <w:tblGrid>
        <w:gridCol w:w="1461"/>
        <w:gridCol w:w="1287"/>
        <w:gridCol w:w="130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Measurements as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equivalents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Government-sponsored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240" w:after="283"/>
        <w:jc w:val="left"/>
        <w:rPr/>
      </w:pPr>
      <w:r>
        <w:rPr/>
      </w:r>
    </w:p>
    <w:tbl>
      <w:tblPr>
        <w:tblW w:w="9240" w:type="dxa"/>
        <w:jc w:val="left"/>
        <w:tblInd w:w="0" w:type="dxa"/>
        <w:tblLayout w:type="fixed"/>
        <w:tblCellMar>
          <w:top w:w="28" w:type="dxa"/>
          <w:left w:w="28" w:type="dxa"/>
          <w:bottom w:w="28" w:type="dxa"/>
          <w:right w:w="28" w:type="dxa"/>
        </w:tblCellMar>
      </w:tblPr>
      <w:tblGrid>
        <w:gridCol w:w="1461"/>
        <w:gridCol w:w="1287"/>
        <w:gridCol w:w="130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Measurements as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equivalents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Government-sponsored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(1)Generally, cash equivalents include money market funds and investments with a maturity of three months or less from the date of purchase.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Level 1 financial instruments, which are in active markets, are valued using unadjusted quoted market prices for identical instruments.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 Company’s foreign currency forward contracts are designated as cash flow hedges (see Note 9, “Derivatives”) and are commitments to purchase or sell a foreign currency at a future date at a negotiated forward rate. These contracts are marked-to-market by recognizing the difference between the contract forward exchange rate and the forward market exchange rate.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transfers into or out of Level 3 assets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Fair Value of Convertible Senior Notes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convertible senior notes are carried at amortized cost on the consolidated balance sheets (see Note 7, “Debt”). As of June 30, 2026 and December 31, 2025, the Company estimated the fair value of its convertible senior notes based on Level 2 quoted market prices as follows (in thousands):</w:t>
      </w:r>
    </w:p>
    <w:tbl>
      <w:tblPr>
        <w:tblW w:w="7770" w:type="dxa"/>
        <w:jc w:val="left"/>
        <w:tblInd w:w="0" w:type="dxa"/>
        <w:tblLayout w:type="fixed"/>
        <w:tblCellMar>
          <w:top w:w="28" w:type="dxa"/>
          <w:left w:w="28" w:type="dxa"/>
          <w:bottom w:w="28" w:type="dxa"/>
          <w:right w:w="28" w:type="dxa"/>
        </w:tblCellMar>
      </w:tblPr>
      <w:tblGrid>
        <w:gridCol w:w="1663"/>
        <w:gridCol w:w="1461"/>
        <w:gridCol w:w="1466"/>
        <w:gridCol w:w="212"/>
        <w:gridCol w:w="833"/>
        <w:gridCol w:w="109"/>
        <w:gridCol w:w="109"/>
        <w:gridCol w:w="109"/>
        <w:gridCol w:w="109"/>
        <w:gridCol w:w="284"/>
        <w:gridCol w:w="1114"/>
        <w:gridCol w:w="147"/>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Measurements as of</w:t>
            </w:r>
          </w:p>
        </w:tc>
        <w:tc>
          <w:tcPr>
            <w:tcW w:w="154" w:type="dxa"/>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2029</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324,979 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2032</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fair value of outstanding convertible senior notes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324,979 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leases consist of operating leases for facility space to support general office, research and development, manufacturing and warehouse facilities, and equipment. These non-cancellable operating leases have initial lease terms from two years to thirteen years.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Headquarters Lease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2021, the Company entered into a lease agreement for 181,949 square feet of general administrative, laboratory, and research and development office space located on High Bluff Drive in San Diego, California (Headquarters Lease). The Headquarters Lease term expires in April 2035.</w:t>
      </w:r>
    </w:p>
    <w:p>
      <w:pPr>
        <w:pStyle w:val="TextBody"/>
        <w:bidi w:val="0"/>
        <w:spacing w:lineRule="auto" w:line="288" w:before="200" w:after="283"/>
        <w:ind w:left="0" w:right="0" w:firstLine="720"/>
        <w:jc w:val="left"/>
        <w:rPr/>
      </w:pPr>
      <w:r>
        <w:rPr>
          <w:rFonts w:ascii="Times New Roman;serif" w:hAnsi="Times New Roman;serif"/>
          <w:b w:val="false"/>
          <w:color w:val="000000"/>
          <w:sz w:val="20"/>
        </w:rPr>
        <w:t>In December 2023, the Company entered into an agreement to sublease the Phase II portion of the leased premises under the Headquarters Lease from January 2025 through March 2029, for which accounting commenced in January 2025. The Company recognizes the sublease income on a straight-line basis over the term of the sublease which is classified in the Company’s consolidated statements of operations and comprehensive loss</w:t>
      </w:r>
      <w:r>
        <w:rPr>
          <w:color w:val="000000"/>
        </w:rPr>
        <w:t xml:space="preserve"> </w:t>
      </w:r>
      <w:r>
        <w:rPr>
          <w:rFonts w:ascii="Times New Roman;serif" w:hAnsi="Times New Roman;serif"/>
          <w:b w:val="false"/>
          <w:color w:val="000000"/>
          <w:sz w:val="20"/>
        </w:rPr>
        <w:t>as a reduction of rent expense in selling, general and administrative expense (SG&amp;A).</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Lease Impairment Charges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2025, the Company recorded operating lease impairment charges totaling $6.7 million in operating expenses. This included a $3.6 million impairment related to a portion of the Headquarters Lease in connection with its sublease agreement. The impairment charge also included $3.1 million related to the transfer of certain development activities from Lausanne, Switzerland to the United States and changes in assumptions for estimated future sublease income for the Company’s lease for space on Vista Sorrento Parkway in San Diego, California, which the Company ceased using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Supplemental Lease Disclosure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lease costs recorded in the consolidated statements of operations were as follows for the three and six months ended June 30, 2026 and 2025 (in thousands):</w:t>
      </w:r>
    </w:p>
    <w:p>
      <w:pPr>
        <w:pStyle w:val="TextBody"/>
        <w:bidi w:val="0"/>
        <w:spacing w:before="0" w:after="0"/>
        <w:ind w:left="0" w:right="0" w:firstLine="900"/>
        <w:jc w:val="left"/>
        <w:rPr/>
      </w:pPr>
      <w:r>
        <w:rPr/>
      </w:r>
    </w:p>
    <w:tbl>
      <w:tblPr>
        <w:tblW w:w="10205" w:type="dxa"/>
        <w:jc w:val="left"/>
        <w:tblInd w:w="0" w:type="dxa"/>
        <w:tblLayout w:type="fixed"/>
        <w:tblCellMar>
          <w:top w:w="28" w:type="dxa"/>
          <w:left w:w="28" w:type="dxa"/>
          <w:bottom w:w="28" w:type="dxa"/>
          <w:right w:w="28" w:type="dxa"/>
        </w:tblCellMar>
      </w:tblPr>
      <w:tblGrid>
        <w:gridCol w:w="1758"/>
        <w:gridCol w:w="1537"/>
        <w:gridCol w:w="1547"/>
        <w:gridCol w:w="230"/>
        <w:gridCol w:w="673"/>
        <w:gridCol w:w="119"/>
        <w:gridCol w:w="119"/>
        <w:gridCol w:w="119"/>
        <w:gridCol w:w="119"/>
        <w:gridCol w:w="230"/>
        <w:gridCol w:w="673"/>
        <w:gridCol w:w="119"/>
        <w:gridCol w:w="109"/>
        <w:gridCol w:w="109"/>
        <w:gridCol w:w="109"/>
        <w:gridCol w:w="211"/>
        <w:gridCol w:w="681"/>
        <w:gridCol w:w="109"/>
        <w:gridCol w:w="109"/>
        <w:gridCol w:w="109"/>
        <w:gridCol w:w="109"/>
        <w:gridCol w:w="211"/>
        <w:gridCol w:w="721"/>
        <w:gridCol w:w="109"/>
        <w:gridCol w:w="109"/>
        <w:gridCol w:w="157"/>
      </w:tblGrid>
      <w:tr>
        <w:trPr/>
        <w:tc>
          <w:tcPr>
            <w:tcW w:w="175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4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cost (excluding sublease income)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lease termination and right-of-use asset impairment charges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as of June 30, 2026 were as follows (in thousands):</w:t>
      </w:r>
    </w:p>
    <w:tbl>
      <w:tblPr>
        <w:tblW w:w="5301" w:type="dxa"/>
        <w:jc w:val="left"/>
        <w:tblInd w:w="0" w:type="dxa"/>
        <w:tblLayout w:type="fixed"/>
        <w:tblCellMar>
          <w:top w:w="28" w:type="dxa"/>
          <w:left w:w="28" w:type="dxa"/>
          <w:bottom w:w="28" w:type="dxa"/>
          <w:right w:w="28" w:type="dxa"/>
        </w:tblCellMar>
      </w:tblPr>
      <w:tblGrid>
        <w:gridCol w:w="1489"/>
        <w:gridCol w:w="1308"/>
        <w:gridCol w:w="1313"/>
        <w:gridCol w:w="211"/>
        <w:gridCol w:w="82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Years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long-term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212529"/>
          <w:sz w:val="20"/>
        </w:rPr>
      </w:pPr>
      <w:r>
        <w:rPr>
          <w:rFonts w:ascii="Times New Roman;serif" w:hAnsi="Times New Roman;serif"/>
          <w:b w:val="false"/>
          <w:color w:val="212529"/>
          <w:sz w:val="20"/>
        </w:rPr>
        <w:t>The weighted-average remaining lease term and weighted-average discount rate for operating leases were as follows as of June 30, 2026 and December 31, 2025:</w:t>
      </w:r>
    </w:p>
    <w:tbl>
      <w:tblPr>
        <w:tblW w:w="9355" w:type="dxa"/>
        <w:jc w:val="left"/>
        <w:tblInd w:w="0" w:type="dxa"/>
        <w:tblLayout w:type="fixed"/>
        <w:tblCellMar>
          <w:top w:w="28" w:type="dxa"/>
          <w:left w:w="28" w:type="dxa"/>
          <w:bottom w:w="28" w:type="dxa"/>
          <w:right w:w="28" w:type="dxa"/>
        </w:tblCellMar>
      </w:tblPr>
      <w:tblGrid>
        <w:gridCol w:w="2278"/>
        <w:gridCol w:w="1999"/>
        <w:gridCol w:w="2007"/>
        <w:gridCol w:w="257"/>
        <w:gridCol w:w="257"/>
        <w:gridCol w:w="640"/>
        <w:gridCol w:w="109"/>
        <w:gridCol w:w="109"/>
        <w:gridCol w:w="109"/>
        <w:gridCol w:w="323"/>
        <w:gridCol w:w="323"/>
        <w:gridCol w:w="944"/>
      </w:tblGrid>
      <w:tr>
        <w:trPr/>
        <w:tc>
          <w:tcPr>
            <w:tcW w:w="2278"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used to determine operating lease liabilities</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Convertible Senior Notes Due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1.50% Convertible Senior Notes due 2025 (the 2025 Notes) matured in the second quarter of 2025 and the Company settled the balance of $40.8 million using existing cash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Convertible Senior Notes Due 2029</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8, 2024, the Company completed an offering of $316.3 million aggregate principal amount of 1.50% Convertible Senior Notes due 2029 (the 2029 Notes). The proceeds from the issuance of the 2029 Notes were $306.8 million, net of debt issuance costs.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used a portion of the net proceeds to repurchase a portion of the 2025 Notes, repurchase shares of common stock, and pay the cost of the 2029 Capped Call Transactions discussed below.</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2029 Notes are the Company’s senior unsecured obligations. Interest is payable in cash semi-annually in arrears on March 15 and September 15 of each year beginning on September 15, 2024, at a rate of 1.50% per year. The 2029 Notes mature on March 15, 2029 unless repurchased, redeemed, or converted in accordance with their terms before the maturity date.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initial conversion rate for the 2029 Notes is 28.9361 shares of common stock per $1,000 principal amount of the 2029 Notes, which is equivalent to an initial conversion price of approximately $34.56 per share of the Company’s common stock (2029 Notes Conversion Price). The conversion rate is subject to customary adjustments for certain events as described in the indenture governing the 2029 Notes, but will not be adjusted for any accrued and unpaid interest. In addition, following certain corporate events that occur before the maturity date or if the Company delivers a notice of redemption with respect to the 2029 Notes, the Company will, in certain circumstances, increase the conversion rate for a holder who elects to convert its 2029 Notes in connection with such a corporate event or convert its 2029 Notes called (or deemed called) for redemption in connection with such notice of redemption, as the case may be.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may not redeem the 2029 Notes before March 22, 2027. The Company has the option to redeem for cash all or any portion of the 2029 Notes on or after March 22, 2027 if the last reported sale price of the Company’s common stock has been at least 130% of the 2029 Notes Conversion Price then in effect for at least 20 trading days (whether or not consecutive), during any 30 consecutive trading day period ending on, and including, the trading day immediately preceding the date on which the Company provides notice of redemption, at a redemption price equal to 100% of the principal amount of the 2029 Notes to be redeemed, plus accrued and unpaid interest. No sinking fund is provided for the 2029 Notes.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the 2029 Notes may convert all or a portion of their 2029 Notes at their option before December 15, 2028, in multiples of $1,000 principal amounts, only under the following circumstances: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during any calendar quarter commencing after the calendar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2029 Notes Conversion Price on each applicable trading day; </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during the five business day period after any ten consecutive trading day period (the measurement period) in which the trading price per $1,000 principal amount of the 2029 Notes for each trading day of the measurement period was less than 98% of the product of the last reported sale price of the Company’s common stock and the applicable conversion rate of the 2029 Notes on such trading day;</w:t>
      </w:r>
    </w:p>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if the Company calls such 2029 Notes for redemption, at any time before the close of business on the scheduled trading day immediately preceding the redemption date, but only with respect to the 2029 Notes called (or deemed called) for redemption; or</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on the occurrence of specified corporate events.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or after December 15, 2028, until the close of business on the second scheduled trading day immediately preceding the maturity date, holders may convert their 2029 Notes, in integral multiples of $1,000 principal amount,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 governing the 2029 Notes.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Convertible Senior Notes Due 2032</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27, 2026, the Company completed an offering of $300.0 million aggregate principal amount of 0.00% Convertible Senior Notes due 2032 (the 2032 Notes, and together with the 2029 Notes, the Notes), including the exercise in full of the initial purchasers’ option to purchase up to an additional $35.0 million principal amount of 2032 Notes. The proceeds from the issuance of the 2032 Notes were $291.2 million, net of debt issuance costs.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used approximately $15.3 million of the net proceeds from the offering to pay the cost of the 2032 Capped Call Transactions discussed below.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2032 Notes mature on March 15, 2032 unless repurchased, redeemed, or converted in accordance with their terms before the maturity date. The 2032 Notes will not bear regular interest.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initial conversion rate for the 2032 Notes is 27.0362 shares of common stock per $1,000 principal amount of the 2032 Notes, which is equivalent to an initial conversion price of approximately $36.99 per share of the Company’s common stock (2032 Notes Conversion Price). The conversion rate is subject to customary adjustments for certain events as described in the indenture governing the 2032 Notes, but will not be adjusted for any accrued and unpaid special interest. In addition, following certain corporate events that occur prior to the maturity date or if the Company delivers a notice of redemption with respect to the 2032 Notes, the Company will, in certain circumstances, increase the conversion rate for a holder who elects to convert its 2032 Notes in connection with such a corporate event or convert its 2032 Notes called (or deemed called) for redemption in connection with such notice of redemption, as the case may be.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may not redeem the 2032 Notes before March 20, 2029. The Company has the option to redeem for cash all or any portion of the 2032 Notes on or after March 20, 2029 if the last reported sale price of the Company’s common stock has been at least 130% of the 2032 Notes Conversion Price then in effect for at least 20 trading days (whether or not consecutive), during any 30 consecutive trading day period ending on, and including, the trading day immediately preceding the date on which the Company provides notice of redemption, at a redemption price equal to 100% of the principal amount of the 2032 Notes to be redeemed, plus accrued and unpaid special interest, if any, to, but excluding, the redemption date. No sinking fund is provided for the 2032 Notes.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the 2032 Notes may convert all or a portion of their 2032 Notes at their option before December 15, 2031, in multiples of $1,000 principal amounts, only under the following circumstances: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during any calendar quarter commencing after the calendar quarter ending on June 30, 2026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2032 Notes Conversion Price on each applicable trading day; </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during the five business day period after any ten consecutive trading day period (the measurement period) in which the trading price per $1,000 principal amount of the 2032 Notes for each trading day of the measurement period was less than 98% of the product of the last reported sale price of the Company’s common stock and the applicable conversion rate of the 2032 Notes on each such trading day;</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if the Company calls such 2032 Notes for redemption, at any time before the close of business on the second scheduled trading day immediately preceding the redemption date, but only with respect to the 2032 Notes called (or deemed called) for redemption; or</w:t>
      </w:r>
    </w:p>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on the occurrence of specified corporate events.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or after December 15, 2031, until the close of business on the second scheduled trading day immediately preceding the maturity date, holders may convert all or any portion of their 2032 Notes, in integral multiples of $1,000 principal amount,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 governing the 2032 Notes.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carrying amount of the Notes on the condensed consolidated balance sheets consisted of the following as of June 30, 2026 and December 31, 2025 (in thousands):</w:t>
      </w:r>
    </w:p>
    <w:tbl>
      <w:tblPr>
        <w:tblW w:w="6085" w:type="dxa"/>
        <w:jc w:val="left"/>
        <w:tblInd w:w="0" w:type="dxa"/>
        <w:tblLayout w:type="fixed"/>
        <w:tblCellMar>
          <w:top w:w="28" w:type="dxa"/>
          <w:left w:w="28" w:type="dxa"/>
          <w:bottom w:w="28" w:type="dxa"/>
          <w:right w:w="28" w:type="dxa"/>
        </w:tblCellMar>
      </w:tblPr>
      <w:tblGrid>
        <w:gridCol w:w="1092"/>
        <w:gridCol w:w="958"/>
        <w:gridCol w:w="965"/>
        <w:gridCol w:w="212"/>
        <w:gridCol w:w="833"/>
        <w:gridCol w:w="109"/>
        <w:gridCol w:w="109"/>
        <w:gridCol w:w="109"/>
        <w:gridCol w:w="109"/>
        <w:gridCol w:w="281"/>
        <w:gridCol w:w="1103"/>
        <w:gridCol w:w="205"/>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2029</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2032</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amount</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senior convertible notes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310,036 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if-converted value of the 2029 and 2032 Notes did not exceed the principal amount. As of December 31, 2025, the if-converted value of the 2029 Notes did not exceed the principal amount. No conversion features for the 2029 and 2032 Notes were triggered during the three and six months ended June 30, 2026.</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effective interest rates for each of our convertible senior notes for the three and six months ended June 30, 2026 and 2025:</w:t>
      </w:r>
    </w:p>
    <w:tbl>
      <w:tblPr>
        <w:tblW w:w="8453" w:type="dxa"/>
        <w:jc w:val="left"/>
        <w:tblInd w:w="0" w:type="dxa"/>
        <w:tblLayout w:type="fixed"/>
        <w:tblCellMar>
          <w:top w:w="28" w:type="dxa"/>
          <w:left w:w="28" w:type="dxa"/>
          <w:bottom w:w="28" w:type="dxa"/>
          <w:right w:w="28" w:type="dxa"/>
        </w:tblCellMar>
      </w:tblPr>
      <w:tblGrid>
        <w:gridCol w:w="1092"/>
        <w:gridCol w:w="957"/>
        <w:gridCol w:w="965"/>
        <w:gridCol w:w="204"/>
        <w:gridCol w:w="204"/>
        <w:gridCol w:w="507"/>
        <w:gridCol w:w="204"/>
        <w:gridCol w:w="204"/>
        <w:gridCol w:w="204"/>
        <w:gridCol w:w="204"/>
        <w:gridCol w:w="204"/>
        <w:gridCol w:w="507"/>
        <w:gridCol w:w="109"/>
        <w:gridCol w:w="109"/>
        <w:gridCol w:w="109"/>
        <w:gridCol w:w="109"/>
        <w:gridCol w:w="203"/>
        <w:gridCol w:w="203"/>
        <w:gridCol w:w="464"/>
        <w:gridCol w:w="186"/>
        <w:gridCol w:w="186"/>
        <w:gridCol w:w="186"/>
        <w:gridCol w:w="203"/>
        <w:gridCol w:w="203"/>
        <w:gridCol w:w="464"/>
        <w:gridCol w:w="109"/>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2025</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2029</w:t>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2032</w:t>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interest expense related to the Notes recognized for the three and six months ended June 30, 2026 and 2025 (in thousands):</w:t>
      </w:r>
    </w:p>
    <w:tbl>
      <w:tblPr>
        <w:tblW w:w="8262" w:type="dxa"/>
        <w:jc w:val="left"/>
        <w:tblInd w:w="0" w:type="dxa"/>
        <w:tblLayout w:type="fixed"/>
        <w:tblCellMar>
          <w:top w:w="28" w:type="dxa"/>
          <w:left w:w="28" w:type="dxa"/>
          <w:bottom w:w="28" w:type="dxa"/>
          <w:right w:w="28" w:type="dxa"/>
        </w:tblCellMar>
      </w:tblPr>
      <w:tblGrid>
        <w:gridCol w:w="1085"/>
        <w:gridCol w:w="954"/>
        <w:gridCol w:w="960"/>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10"/>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2029 Capped Call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2029 Notes, the Company entered into capped call transactions in March 2024 with certain counterparties at a net cost of $15.8 million (2029 Capped Call Transactions). The 2029 Capped Call Transactions are expected generally to reduce potential dilution to the common stock upon any conversion of the 2029 Notes and/or offset any cash payments the Company is required to make in excess of the principal amount of converted 2029 Notes, as the case may be, with such reduction and/or offset subject to a cap based on a cap price initially equal to $42.01 per share, and is subject to certain adjustments under the terms of the 2029 Capped Call Transactions.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2032 Capped Call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2032 Notes, the Company entered into capped call transactions in March 2026 with certain counterparties at a net cost of $15.3 million (2032 Capped Call Transactions). The 2032 Capped Call Transactions are expected generally to reduce potential dilution to the common stock upon any conversion of the 2032 Notes and/or offset any cash payments the Company is required to make in excess of the principal amount of converted 2032 Notes, as the case may be, with such reduction and/or offset subject to a cap based on a cap price initially equal to $47.08 per share, and is subject to certain adjustments under the terms of the 2032 Capped Call Transactions.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accounting purposes, each of the capped call transactions described above are separate transactions, and not part of the terms of the 2029 Notes or the 2032 Notes. As these transactions met certain criteria under the applicable accounting guidance, each of the capped call transactions were recorded in stockholders’ equity and were not accounted for as derivatives. The cost of the capped call transactions was recorded as a reduction of the Company’s additional paid-in capital in the Company’s condensed consolidated balance sheet and will not be remeasured.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Shares Reserved for Future Issuance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shares of the Company’s common stock were reserved for future issuance as of June 30, 2026 (in thousands):</w:t>
      </w:r>
    </w:p>
    <w:tbl>
      <w:tblPr>
        <w:tblW w:w="6950" w:type="dxa"/>
        <w:jc w:val="left"/>
        <w:tblInd w:w="0" w:type="dxa"/>
        <w:tblLayout w:type="fixed"/>
        <w:tblCellMar>
          <w:top w:w="28" w:type="dxa"/>
          <w:left w:w="28" w:type="dxa"/>
          <w:bottom w:w="28" w:type="dxa"/>
          <w:right w:w="28" w:type="dxa"/>
        </w:tblCellMar>
      </w:tblPr>
      <w:tblGrid>
        <w:gridCol w:w="2202"/>
        <w:gridCol w:w="1931"/>
        <w:gridCol w:w="1942"/>
        <w:gridCol w:w="360"/>
        <w:gridCol w:w="361"/>
        <w:gridCol w:w="154"/>
      </w:tblGrid>
      <w:tr>
        <w:trPr/>
        <w:tc>
          <w:tcPr>
            <w:tcW w:w="220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reserved for issuance upon conversion of convertible senior notes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outstanding warrants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outstanding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unvested RSUs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authorized for issuance pursuant to awards granted under the ESPP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authorized for future equity award grants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Warrants to purchase shares of the Company’s common stock outstanding as of June 30, 2026 are equity-classified and were as follows:</w:t>
      </w:r>
    </w:p>
    <w:tbl>
      <w:tblPr>
        <w:tblW w:w="9631" w:type="dxa"/>
        <w:jc w:val="left"/>
        <w:tblInd w:w="0" w:type="dxa"/>
        <w:tblLayout w:type="fixed"/>
        <w:tblCellMar>
          <w:top w:w="28" w:type="dxa"/>
          <w:left w:w="28" w:type="dxa"/>
          <w:bottom w:w="28" w:type="dxa"/>
          <w:right w:w="28" w:type="dxa"/>
        </w:tblCellMar>
      </w:tblPr>
      <w:tblGrid>
        <w:gridCol w:w="401"/>
        <w:gridCol w:w="352"/>
        <w:gridCol w:w="357"/>
        <w:gridCol w:w="109"/>
        <w:gridCol w:w="109"/>
        <w:gridCol w:w="109"/>
        <w:gridCol w:w="649"/>
        <w:gridCol w:w="649"/>
        <w:gridCol w:w="652"/>
        <w:gridCol w:w="109"/>
        <w:gridCol w:w="109"/>
        <w:gridCol w:w="109"/>
        <w:gridCol w:w="624"/>
        <w:gridCol w:w="624"/>
        <w:gridCol w:w="626"/>
        <w:gridCol w:w="109"/>
        <w:gridCol w:w="109"/>
        <w:gridCol w:w="109"/>
        <w:gridCol w:w="109"/>
        <w:gridCol w:w="109"/>
        <w:gridCol w:w="109"/>
        <w:gridCol w:w="990"/>
        <w:gridCol w:w="990"/>
        <w:gridCol w:w="1409"/>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 Date of Warrants Outstanding</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193,788 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2027</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warrant allows the holder to purchase one share of common stock at the per share exercise price of the warrant.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allocation of stock-based compensation expense included in the condensed consolidated statements of operations for all stock-based compensation arrangements for the three and six months ended June 30, 2026 and 2025 (in thousands):</w:t>
      </w:r>
    </w:p>
    <w:tbl>
      <w:tblPr>
        <w:tblW w:w="8891" w:type="dxa"/>
        <w:jc w:val="left"/>
        <w:tblInd w:w="0" w:type="dxa"/>
        <w:tblLayout w:type="fixed"/>
        <w:tblCellMar>
          <w:top w:w="28" w:type="dxa"/>
          <w:left w:w="28" w:type="dxa"/>
          <w:bottom w:w="28" w:type="dxa"/>
          <w:right w:w="28" w:type="dxa"/>
        </w:tblCellMar>
      </w:tblPr>
      <w:tblGrid>
        <w:gridCol w:w="1248"/>
        <w:gridCol w:w="1093"/>
        <w:gridCol w:w="1109"/>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stock-based compensation expense capitalized as part of the cost of the Company’s inventories was $0.6 million and $1.2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number of RSUs granted and the respective weighted average grant date fair value were as follows:</w:t>
      </w:r>
    </w:p>
    <w:tbl>
      <w:tblPr>
        <w:tblW w:w="9789" w:type="dxa"/>
        <w:jc w:val="left"/>
        <w:tblInd w:w="0" w:type="dxa"/>
        <w:tblLayout w:type="fixed"/>
        <w:tblCellMar>
          <w:top w:w="28" w:type="dxa"/>
          <w:left w:w="28" w:type="dxa"/>
          <w:bottom w:w="28" w:type="dxa"/>
          <w:right w:w="28" w:type="dxa"/>
        </w:tblCellMar>
      </w:tblPr>
      <w:tblGrid>
        <w:gridCol w:w="1496"/>
        <w:gridCol w:w="1317"/>
        <w:gridCol w:w="1327"/>
        <w:gridCol w:w="249"/>
        <w:gridCol w:w="727"/>
        <w:gridCol w:w="121"/>
        <w:gridCol w:w="121"/>
        <w:gridCol w:w="121"/>
        <w:gridCol w:w="121"/>
        <w:gridCol w:w="249"/>
        <w:gridCol w:w="727"/>
        <w:gridCol w:w="121"/>
        <w:gridCol w:w="109"/>
        <w:gridCol w:w="109"/>
        <w:gridCol w:w="109"/>
        <w:gridCol w:w="249"/>
        <w:gridCol w:w="727"/>
        <w:gridCol w:w="110"/>
        <w:gridCol w:w="110"/>
        <w:gridCol w:w="110"/>
        <w:gridCol w:w="110"/>
        <w:gridCol w:w="249"/>
        <w:gridCol w:w="727"/>
        <w:gridCol w:w="110"/>
        <w:gridCol w:w="109"/>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4552" w:type="dxa"/>
            <w:gridSpan w:val="20"/>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2,457,098 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1,953,827 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2,619,630 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2,044,370 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stock-based compensation expense associated with the ESPP using the Black-Scholes option pricing model. Valuations are performed on the grant date at the beginning of the purchase period, which generally occurs in May and November of each year. The assumptions used in the Black-Scholes option pricing model for the ESPP were as follows for the six months ended June 30, 2026 and 2025:</w:t>
      </w:r>
    </w:p>
    <w:tbl>
      <w:tblPr>
        <w:tblW w:w="8279" w:type="dxa"/>
        <w:jc w:val="left"/>
        <w:tblInd w:w="0" w:type="dxa"/>
        <w:tblLayout w:type="fixed"/>
        <w:tblCellMar>
          <w:top w:w="28" w:type="dxa"/>
          <w:left w:w="28" w:type="dxa"/>
          <w:bottom w:w="28" w:type="dxa"/>
          <w:right w:w="28" w:type="dxa"/>
        </w:tblCellMar>
      </w:tblPr>
      <w:tblGrid>
        <w:gridCol w:w="1500"/>
        <w:gridCol w:w="1315"/>
        <w:gridCol w:w="1324"/>
        <w:gridCol w:w="109"/>
        <w:gridCol w:w="109"/>
        <w:gridCol w:w="201"/>
        <w:gridCol w:w="201"/>
        <w:gridCol w:w="389"/>
        <w:gridCol w:w="943"/>
        <w:gridCol w:w="500"/>
        <w:gridCol w:w="109"/>
        <w:gridCol w:w="109"/>
        <w:gridCol w:w="109"/>
        <w:gridCol w:w="211"/>
        <w:gridCol w:w="616"/>
        <w:gridCol w:w="271"/>
        <w:gridCol w:w="109"/>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688" w:type="dxa"/>
            <w:gridSpan w:val="8"/>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Derivatives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global nature of the Company’s operations, a portion of its operating activities are denominated in currencies other than the U.S. dollar, exposing the Company to foreign currency exchange rate fluctuations. To mitigate the impact of these fluctuations, the Company uses foreign currency forward contracts to hedge a portion of its forecasted international revenue, operating expense and cost of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outstanding foreign currency forward contracts settle within one year. These contracts are designated as cash flow hedges. Unrealized gains or losses on these contracts are recorded in accumulated other comprehensive income (loss) (AOCI). Realized gains and losses of such contracts are recognized in revenue and operating expenses in the same period during which the hedged transactions affect the consolidated results of operations. The cash flow effects of our derivative contracts in the condensed consolidated statements of cash flows are included in net cash provided by operating activities. All derivative instruments are used solely for risk management purposes and are not for speculative trading purposes. For the periods presented, the Company did not have any non-designated hedges.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notional value of foreign currency forward contracts outstanding related to forecasted transactions was $139.1 million as of June 30, 2026. The Company recorded unrealized gains on foreign currency forward contracts of $0.7 million and $2.4 million, respectively, for the three and six months ended June 30, 2026. The Company recorded unrealized losses of $0.6 million for both the three and six months ended June 30,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of foreign currency forward contracts designated as hedging instruments in our condensed consolidated statements of operations for the three and six months ended June 30, 2026 and 2025 (in thousands):</w:t>
      </w:r>
    </w:p>
    <w:tbl>
      <w:tblPr>
        <w:tblW w:w="7163" w:type="dxa"/>
        <w:jc w:val="left"/>
        <w:tblInd w:w="0" w:type="dxa"/>
        <w:tblLayout w:type="fixed"/>
        <w:tblCellMar>
          <w:top w:w="28" w:type="dxa"/>
          <w:left w:w="28" w:type="dxa"/>
          <w:bottom w:w="28" w:type="dxa"/>
          <w:right w:w="28" w:type="dxa"/>
        </w:tblCellMar>
      </w:tblPr>
      <w:tblGrid>
        <w:gridCol w:w="912"/>
        <w:gridCol w:w="803"/>
        <w:gridCol w:w="805"/>
        <w:gridCol w:w="227"/>
        <w:gridCol w:w="501"/>
        <w:gridCol w:w="117"/>
        <w:gridCol w:w="117"/>
        <w:gridCol w:w="117"/>
        <w:gridCol w:w="117"/>
        <w:gridCol w:w="227"/>
        <w:gridCol w:w="582"/>
        <w:gridCol w:w="117"/>
        <w:gridCol w:w="117"/>
        <w:gridCol w:w="117"/>
        <w:gridCol w:w="117"/>
        <w:gridCol w:w="227"/>
        <w:gridCol w:w="501"/>
        <w:gridCol w:w="117"/>
        <w:gridCol w:w="117"/>
        <w:gridCol w:w="117"/>
        <w:gridCol w:w="117"/>
        <w:gridCol w:w="227"/>
        <w:gridCol w:w="582"/>
        <w:gridCol w:w="165"/>
      </w:tblGrid>
      <w:tr>
        <w:trPr/>
        <w:tc>
          <w:tcPr>
            <w:tcW w:w="9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Net Losses Reclassified from AOCI into Operating Income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cash flow hedges:</w:t>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10. Employee Benefits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Defined Contribution Plans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defined contribution plans for certain of its employees. The Company’s largest defined contribution plan is the 401(k) plan for employees in the United States who are at least 18 years of age. Eligible employees may participate in the plan beginning on the first day of the calendar month following their date of hire. Unless they affirmatively elect otherwise, eligible employees are automatically enrolled in the plan following 30 days from their date of hire. Under the terms of the plan, eligible employees may make voluntary contributions as a percent of compensation and the Company may elect to match a discretionary percentage of employee contributions.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11.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recognized income tax expense of $0.5 million and $1.0 million, respectively, on a pre-tax loss of $20.7 million and $40.5 million, respectively. The Company calculated the provision for income taxes for the three and six months ended June 30, 2026 by applying an estimate of the annual effective tax rate for the full year to ordinary loss adjusted by the tax impact of discrete items. Income tax expense for the three and six months ended June 30, 2026 was primarily attributable to state and foreign income tax expense as a result of current taxable income in certain jurisdictions.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the Company recognized income tax benefit of $5.3 million and tax expense of $3.1 million, respectively, on a pre-tax loss of $57.7 million and $179.8 million, respectively. The Company calculated the provision for income taxes for the three and six months ended June 30, 2025 by applying an estimate of the annual effective tax rate for the full year to ordinary loss adjusted by the tax impact of discrete items. Income tax benefit and expense for the three and six months ended June 30, 2025 was primarily attributable to federal, state and foreign income tax benefit and expense as a result of current taxable income in certain jurisdictions.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continues to maintain a full valuation allowance against its net deferred tax assets as of June 30, 2026 based on the current assessment that it is not more likely than not these future benefits will be realized before expiration.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12. Business Segment and Geographic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single-use insulin cartridges, and infusion sets for the storage and delivery of insulin. The Company views its operations and manages its business as one reporting segment because key operating decisions and resource allocations are made by the CODM using consolidated financial data. Accordingly, the Company is organized as a single operating segment and therefore a single reportable segment: Insulin Pumps and Supplies.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CODM is the Chief Executive Officer (CEO), who evaluates segment performance based on segment net income (loss) on a consolidated basis. Segment net income (loss) was consistent with the net loss amounts reported in the Company’s condensed consolidated statements of operations and comprehensive loss for the three and six months ended June 30, 2026 and 2025. There were no significant segment expenses that are regularly provided to the CODM other than those reported in the Company’s condensed consolidated statements of operations and comprehensive loss for the three and six months ended June 30, 2026 and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CODM is provided segment assets information on a consolidated basis for the evaluation of Company performance. Total segment assets were consistent with total assets reported in the Company’s consolidated balance sheets for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Disaggregation of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Segment revenues were consistent with revenue reported in the Company’s condensed consolidated statements of operations and comprehensive loss for the three and six months ended June 30, 2026 and 2025. The Company primarily sells its products through national and regional distributors in the United States on a non-exclusive basis, and primarily through distribution partners internationally. In the United States, Canada and select countries in Europe, the Company also uses a direct sales force. The Company disaggregates its revenue by geography, major sales channel, and product as management believes these categories best depict how the nature, amount, and timing of revenues and cash flows are affected by economic factors.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no individual country internationally generated revenue that represented more than 10% of total revenue. The table below sets forth revenues for the Company’s two primary geographical markets, based on the geographic location to which its products are shipped (in thousands):</w:t>
      </w:r>
    </w:p>
    <w:tbl>
      <w:tblPr>
        <w:tblW w:w="7027" w:type="dxa"/>
        <w:jc w:val="left"/>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within the pharmacy channel accounted for 10% and 3% of the Company’s United States sales for the three months ended June 30, 2026 and 2025, respectively. Sales within the pharmacy channel accounted for 8% and 2% of the Company’s United States sales for the six months ended June 30, 2026 and 2025, respectively. Direct sales to customers accounted for 13% and 12% of the Company’s international sales for the three and six months ended June 30, 2026, respectively. Direct sales to customers accounted for 4% of the Company’s international sales for both the three and six months ended June 30,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sales by product were as follows (in thousands):</w:t>
      </w:r>
    </w:p>
    <w:tbl>
      <w:tblPr>
        <w:tblW w:w="7462" w:type="dxa"/>
        <w:jc w:val="left"/>
        <w:tblInd w:w="0" w:type="dxa"/>
        <w:tblLayout w:type="fixed"/>
        <w:tblCellMar>
          <w:top w:w="28" w:type="dxa"/>
          <w:left w:w="28" w:type="dxa"/>
          <w:bottom w:w="28" w:type="dxa"/>
          <w:right w:w="28" w:type="dxa"/>
        </w:tblCellMar>
      </w:tblPr>
      <w:tblGrid>
        <w:gridCol w:w="590"/>
        <w:gridCol w:w="518"/>
        <w:gridCol w:w="52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13.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entered into an amendment agreement with AMF Medical SA that removed contingent liabilities included in the original share purchase agreement entered into in 2022. Under the revised terms, the Company agreed to pay CHF 68.0 million, consisting of a CHF 40.0 million ($43.5 million USD) payment made in January 2025 and a final payment of CHF 28.0 million ($35.1 million USD) made in October 2025. All other payment obligations under the original contract were removed. As the transaction was determined to be an asset acquisition, the total consideration of CHF 68.0 million ($75.2 million USD) was recognized as acquired in-process research and development (IPR&amp;D) and the Company recorded a $3.4 million foreign currency transaction loss within other income (expense), net, in the Company’s condensed consolidated statements of operations and comprehensive loss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Legal and Regulatory Matters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involved in various legal proceedings, regulatory matters, and other disputes or claims arising from or related to claims incident to the normal course of the Company’s business activities, including actions with respect to intellectual property, data privacy, employment, regulatory, product liability and contractual matters.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provides disclosure and records loss contingencies in accordance with the loss contingencies accounting guidance. In accordance with such guidance, the Company establishes accruals for such matters when potential losses become probable and can be reasonably estimated. If the Company determines that a loss is reasonably possible and the loss or range of loss can be estimated, the Company discloses the possible loss in its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results of legal proceedings and claims cannot be predicted with certainty, as of June 30, 2026 the Company believes it is not currently a party to any legal proceedings, regulatory matters, or other disputes or claims for which a material loss was considered probable or for which the amount or range of loss was reasonably estimable. However, regardless of the merit of the claims raised or the outcome, legal proceedings may have an adverse impact on the Company as a result of defense and settlement costs, diversion of management time and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Letters of Credit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in connection with one of the Company’s operating leases (see Note 6, “Leases”), the Company had a $4.9 million unsecured irrevocable standby letter of credit arrangement with a bank, under which the landlord of the building is the beneficiary. The Company is required to maintain the standby letter of credit throughout the term of the lease, which expires in April 2035.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together with our financial statements and related notes in Part I, Item 1 of this Quarterly Report on Form 10-Q for the quarter ended June 30, 2026 (Quarterly Report).</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the impact of our foreign currency forward hedging contracts, business forecasts and plans, research and product development plans, product pipelines, development timelines, manufacturing plans, strategic plans and objectives, capital needs and financing plans, product launches, geographic expansion, distribution plans, production capacity, clinical trials, regulatory approvals, competitive position and the impact of changes in the competitive environment, supply chain, and the businesses of our contract manufacturers and suppliers, integration of acquisitions and partner technologies, cybersecurity threats, macroeconomic pressures or uncertainties, and the application of accounting guidance. We caution you that the foregoing list may not include all of the forward-looking statements made in this Quarterly Report.</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this Quarterly Report, as well as in the other public filings we make with the Securities and Exchange Commission. You should read this Quarterly Report with the understanding that our actual future financial condition and results may be materially different from and worse than what we expect.</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Forward-looking statements speak only as of the date they were made, and we undertake no obligation to update or review any forward-looking statement because of new information, future events or other factors except as required by law.</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Tandem Diabetes Care is a global leader in insulin delivery and diabetes technology, specializing in the design, development, and commercialization of advanced solutions that reduce the burden of diabetes management. We serve nearly 500,000 people living with diabetes in more than 25 countries worldwide. Our strategy is to offer flexibility and choice in intelligent insulin delivery systems through an accessible portfolio of market-leading pumps, applications and insights. In support of this strategy, our Tandem pump platforms include t:slim X2 and Tandem Mobi (Mobi), both of which feature Control-IQ+ advanced hybrid closed-loop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develop our diabetes technology solutions using a consumer-focused approach. This has resulted in a differentiated insulin pump portfolio, including the t:slim X2 insulin pump (t:slim X2) and Tandem Mobi (Mobi), which provide users with distinct easy-to-use features and functionality. The t:slim X2 is an all-in-one system that features a slim, sleek, user-friendly color touchscreen and holds up to 300 units of insulin. Mobi is designed for people who seek even greater discretion and flexibility, and includes features such as expanded pump-control from a mobile application, inductive charging, and an on-pump button that can be used for bolusing and other actions. Our insulin pumps offer the option to detach in addition to Bluetooth connectivity and are typically used as part of an Automated Insulin Delivery (AID) system.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insulin pumps are compatible for use with industry-leading CGM sensors from Abbott and Dexcom. When used as an AID system, the CGM sensor data powers our Control-IQ+ technology. Results from four independent pivotal studies using Control-IQ technology have been published in the New England Journal of Medicine since 2019. Control-IQ+ launched in 2025 and is our third and newest AID algorithm, which is available globally and indicated for people ages 2+ (type 1). In the United States, it is also indicated for use in pregnancy complicated by type 1 diabetes as well as people 18+ living with type 2 diabetes. This hybrid closed loop algorithm increases a user’s time in targeted glycemic range (70-180 mg/dL) by predicting and helping to prevent the frequency and/or duration of hyperglycemic and/or hypoglycemic events. It is the only predictive algorithm featuring AutoBolus corrective bolusing. Control-IQ+ also offers an easy set-up feature and settings for sleep and exercise activities that adjust the algorithm parameters to better match the different physiological needs during these activities.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ecosystem of diabetes solutions, we also offer a web-based data management platform, Tandem Source, that provides users, their caregivers and their healthcare providers with a fast, easy and visual way to display diabetes therapy management data from our pumps and compatible CGM sensors. Tandem Source also provides us with data that we can analyze to reveal patterns, trends, outcomes and associations that can be used for product development and in the analysis of clinical outcomes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Our Strategy &amp; Future Technology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Diabetes management can vary greatly from person-to-person, creating multiple market segments based on clinical needs, personal preferences and affordability. Our strategy is to redefine global leadership in insulin delivery solutions through commercial excellence, patient-first reimbursement choices, and a differentiated device portfolio. We strive to offer all people with insulin-dependent diabetes flexibility and choice in their intelligent insulin delivery systems, through our portfolio of market-leading pumps, applications, and insights that improve outcomes and reduce the daily burden of living with diabetes.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support of this strategy, we continue to drive innovation in our Tandem pump platforms. This includes a novel, extended-wear infusion site option for Mobi that will transform the pump into a tubeless patch device. In the second quarter 2026, we submitted a 510(k) application with the U.S. Food and Drug Administration (FDA) for Tandem Mobi tubeless capability. In addition, our pipeline also includes a next-generation Mobi patch pump that leverages the technology acquired with the Sigi Patch Pump to deliver further miniaturization. Our development efforts also include extended-wear infusion set technology, dual glucose-ketone sensor compatibility, and algorithm advancement in pursuit of offering fully closed loop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Third-Party Reimbursement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we are pursuing a multi-channel coverage and reimbursement strategy, enhancing coverage and reimbursement through both the durable medical equipment (DME) and pharmacy channels. We believe this strategy will improve access and optimize the potential for better medical outcomes for people living with diabetes, while reducing the overall economic burden of diabetes care. This also provides our customers with flexibility in how they use their insurance benefits to simplify onboarding and provide them with the most advantageous reimbursement terms.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 the medical benefit, pumps were historically reimbursed upfront, separate from the ongoing supply purchases. In 2025, we began contracting for customers to receive their pumps and supplies through a pharmacy benefit with the same upfront reimbursement structure as a medical benefit, but are evolving to an alternative pay-as-you-go reimbursement structure in 2026. This would eliminate the upfront pump reimbursement. Under this model, customers would no longer incur a significant upfront cost when a patient initiates pump therapy, thus reducing the initial financial burden and supporting broader patient access. With a lower upfront cost, this model is expected to increase adoption of our products by reducing a barrier for patients when evaluating pump therapy. Overall, we anticipate higher revenue in this model over the four-year life of each customer compared to the current medical benefit structure.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Internationally, insurance reimbursement models may vary by geography. In markets where we have direct operations, we are responsible for all reimbursement, tender application and fulfillment activities. Otherwise, that responsibility lies with our distributors.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Trends and Uncertainties Impacting Financial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condition and operating results have historically fluctuated on a quarterly or annual basis. We expect periodic fluctuations will continue based on a number of trends and uncertainties, including the following: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Regulatory Approvals and Actions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Sales of new products are subject to local government regulations. The requirements and timelines to receive regulatory clearance can vary substantially from country to country and delays may impact our ability to expand our worldwide customer base and bring products to market in a competitive timeframe. These delays, or failure to receive regulatory approval, could adversely impact our sales and results of operations.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Any adverse event involving products that we distribute could result in future corrective actions, such as recalls or customer notifications, or regulatory agency action, which could include inspection, mandatory recall or other enforcement action. Any action by regulatory bodies against us, and any regulatory challenges we encounter, could have a negative impact on our product sales and harm our reputation.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Markets, Seasonality, Competition, and Product Launches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expect our business to be impacted by the introduction of new diabetes devices and treatments by us or our competitors. The success of our products is variable and we believe it correlates to market acceptance, anticipated product launches and commercial availability.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Seasonality in the United States is associated with annual insurance deductibles and coinsurance requirements of the insurance plan benefit used by our customers and the customers of our distributors. In the United States, we typically experience a higher volume of pump shipments in the second half of the year due to the nature of these reimbursement dynamics under the medical benefit. As we expand our access through the pharmacy benefit with no upfront reimbursement for an insulin pump, we anticipate there will be less of a seasonal impact on the business in future periods related to insurance deductibles and coinsurance requirements. Other factors that may impact sales across the year include the timing of seasonal holidays, particularly in our international markets.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Regulatory approval and/or upcoming launches of new Tandem or competing products could also adversely impact timing of purchasing decisions.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 periods following new product launches, particularly with new hardware platforms, our cost of sales may increase on a per unit basis until the new products achieve manufacturing scale and operating expenses may be elevated by increased sales and marketing spending to support the product launches.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Reimbursement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 2026, our primary focus is to continue increasing our sales through the pharmacy benefit with improved scalability of operations, expanded coverage and a change in the reimbursement model. Our pharmacy contracts are structured as pay-as-you-go with reimbursement for the ongoing supply purchases only, at a price premium to the DME model. Under this model, in 2026, we began experiencing a decrease in sales and gross profit when pumps are shipped. As pharmacy utilization scales, we expect the decrease in sales from pharmacy pump shipments to be offset by an increase in supply sales and gross profit from both our existing installed base and new customers.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We generally have had broad insurance coverage for our products through third-party payors. Our sales and results of operations may be impacted by the failure to secure or retain adequate coverage consistent with current reimbursement levels, changes in reimbursement structures, or availability of affordable options for our customers.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Supply Chain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depend on a limited number of third-party suppliers for certain components and products. Their inability to provide an adequate supply of components or products could harm our business. For example, one of our key infusion set suppliers has recently experienced supply challenges, which has impacted our overall inventory levels and supply sales, and we expect inventory constraints to persist through 2026.</w:t>
      </w:r>
      <w:r>
        <w:rPr>
          <w:color w:val="000000"/>
        </w:rPr>
        <w:t xml:space="preserve"> </w:t>
      </w:r>
      <w:r>
        <w:rPr>
          <w:rFonts w:ascii="Times New Roman;serif" w:hAnsi="Times New Roman;serif"/>
          <w:b w:val="false"/>
          <w:color w:val="000000"/>
          <w:sz w:val="20"/>
        </w:rPr>
        <w:t>If we are unable to obtain sufficient quantities of such supplies or other necessary components to meet demand on a timely basis going forward, we could lose additional customer orders, our reputation may be harmed, and our business could suffer.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Macroeconomic Factors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Global economic and market uncertainty, such as recessionary concerns, changes in discretionary spending, and increased interest rates, have impacted our customers’ purchasing decisions and the buying patterns of our distributors.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High inflation, fluctuations in foreign currency valuations, uncertainty regarding tariffs and trade relations, and the effects of other macroeconomic factors and concerns have disrupted and may continue to disrupt our relationships with suppliers, third-party manufacturers, healthcare providers, distributors, and our existing or potential customers, as well as impact our cost structure as more of our business is exposed to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offer products for people with insulin-dependent diabetes, including a portfolio of hardware platforms, single-use insulin cartridges and infusion sets, data management platforms, and mobile applications. Our primary customers are the end users of our products, non-exclusive distribution partners whose level of service varies based on geography, the healthcare professionals who prescribe our products, and the healthcare systems or payors who provide insurance coverage and access to our products. Our sales may fluctuate from period to period. See also “Trends and Uncertainties Impacting Financial Results” above.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sales primarily consists of raw materials, labor costs, manufacturing overhead expenses, reserves for expected warranty costs, product training costs, royalties, and freight. Manufacturing overhead expenses include expenses relating to quality assurance, manufacturing engineering, material procurement, inventory control, facilities, equipment, information technology, and operations supervision and management. When taking into consideration the differences in reimbursement levels and cost structure, pumps have historically had a higher gross profit and gross margin percentage than our pump-related supplies on a per unit basis. Therefore, the percentage of pump sales relative to total sales has had a significant impact on our overall gross margin percentage. Under the pay-as-you-go model through the pharmacy benefit in the United States, our overall gross profit and gross margin percentage may be negatively impacted when pumps are shipped during the initial stages of this new model, but that impact may be partially or fully offset by the anticipated benefit from higher profits for our recurring sale of supplies.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SG&amp;A expenses primarily consist of salary, cash-based incentive compensation, fringe benefits, and non-cash stock-based compensation for our sales, marketing and administrative functions in the United States and select international markets, which also includes our clinical, customer support, technical services, insurance verification and regulatory affairs personnel. Our sales territories are generally maintained by sales representatives and field clinical specialists, and supported by managed care liaisons, additional sales management, and other customer support personnel. Other significant SG&amp;A expenses typically include costs of technology infrastructure for customer sales and support, commercialization activities associated with new product launches, travel, trade shows, outside legal fees, independent auditor fees, outside consultant fees, insurance premiums, facilities costs, and information technology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and non-cash stock-based compensation. We also incur R&amp;D expenses for supplies, development prototypes, outside design and testing services, depreciation, allocated facilities and information services, clinical trials, payments under our licensing, development and commercialization agreements, and other indirect costs.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Acquired In-process Research and Development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Acquired IPR&amp;D reflects costs of external research and development projects acquired directly in a transaction other than a business combination, which do not have an alternative future use.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Litigation and Settlement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Litigation and settlement expense reflects costs of litigation and settlement in conjunction with the Settlement Agreement with Roche entered into during the second quarter of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Income and Expense, Net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and expense primarily consist of interest earned on our cash equivalents and short-term investments, income or loss from equity method investment, foreign currency transaction gains and losses, and interest expense, which includes the amortization of debt issuance costs related to our convertible senior notes.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full valuation allowance against our domestic and foreign deferred tax assets, our consolidated tax provision or benefit in any period is a result of current taxable income or losses generated in the jurisdictions in which we operate as well as reserves established for current period tax uncertainties.</w:t>
      </w:r>
    </w:p>
    <w:p>
      <w:pPr>
        <w:pStyle w:val="TextBody"/>
        <w:bidi w:val="0"/>
        <w:spacing w:before="0" w:after="0"/>
        <w:jc w:val="left"/>
        <w:rPr/>
      </w:pPr>
      <w:r>
        <w:rPr/>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tbl>
      <w:tblPr>
        <w:tblW w:w="10205" w:type="dxa"/>
        <w:jc w:val="left"/>
        <w:tblInd w:w="0" w:type="dxa"/>
        <w:tblLayout w:type="fixed"/>
        <w:tblCellMar>
          <w:top w:w="28" w:type="dxa"/>
          <w:left w:w="28" w:type="dxa"/>
          <w:bottom w:w="28" w:type="dxa"/>
          <w:right w:w="28" w:type="dxa"/>
        </w:tblCellMar>
      </w:tblPr>
      <w:tblGrid>
        <w:gridCol w:w="1387"/>
        <w:gridCol w:w="1140"/>
        <w:gridCol w:w="1143"/>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83"/>
        <w:gridCol w:w="271"/>
        <w:gridCol w:w="109"/>
        <w:gridCol w:w="156"/>
      </w:tblGrid>
      <w:tr>
        <w:trPr/>
        <w:tc>
          <w:tcPr>
            <w:tcW w:w="138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3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75,268 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161,646 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154,259 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109,780 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220,213 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144,780 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111,642 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109,596 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219,829 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223,449 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 expenses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and settlement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158,572 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177,665 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312,794 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416,950 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(179,811)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(21,168)</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(41,561)</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(182,956)</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Three Months Ended June 30,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we shipped more than 33,000 pumps worldwide. Sales were $254.6 million, which included $75.3 million of international sales. Sales were $240.7 million for the three months ended June 30, 2025, which included $70.5 million of international sales. Overall, the increase was primarily driven by an improvement in price, favorable channel mix and increased pump volumes, while supply sales were impacted by an inventory constraint relating to a key supplier. </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by product in the United States were as follows (in thousands):</w:t>
      </w:r>
    </w:p>
    <w:tbl>
      <w:tblPr>
        <w:tblW w:w="5536" w:type="dxa"/>
        <w:jc w:val="left"/>
        <w:tblInd w:w="0" w:type="dxa"/>
        <w:tblLayout w:type="fixed"/>
        <w:tblCellMar>
          <w:top w:w="28" w:type="dxa"/>
          <w:left w:w="28" w:type="dxa"/>
          <w:bottom w:w="28" w:type="dxa"/>
          <w:right w:w="28" w:type="dxa"/>
        </w:tblCellMar>
      </w:tblPr>
      <w:tblGrid>
        <w:gridCol w:w="959"/>
        <w:gridCol w:w="841"/>
        <w:gridCol w:w="854"/>
        <w:gridCol w:w="211"/>
        <w:gridCol w:w="826"/>
        <w:gridCol w:w="109"/>
        <w:gridCol w:w="109"/>
        <w:gridCol w:w="109"/>
        <w:gridCol w:w="109"/>
        <w:gridCol w:w="211"/>
        <w:gridCol w:w="826"/>
        <w:gridCol w:w="109"/>
        <w:gridCol w:w="109"/>
        <w:gridCol w:w="154"/>
      </w:tblGrid>
      <w:tr>
        <w:trPr/>
        <w:tc>
          <w:tcPr>
            <w:tcW w:w="95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in the United States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second quarter 2026, sales in the United States increased primarily due to favorable channel dynamics with the increased adoption of the new pharmacy channel business model. The adoption of this model resulted in a decrease in pump average selling prices that was more than offset by a corresponding increase in supply prices. This change in reimbursement structure was effective beginning in the first quarter 2026. Pump shipments grew to more than 22,000 pumps in the second quarter 2026 compared to approximately 21,000 pumps for the second quarter 2025. Supply sales increased although volumes were impacted by the constraint in inventory. Sales through the pharmacy channel accounted for 10% and 3% of sales in the United States for the second quarter 2026 and 2025, respectively.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International sales by product were as follows (in thousands):</w:t>
      </w:r>
    </w:p>
    <w:tbl>
      <w:tblPr>
        <w:tblW w:w="4787" w:type="dxa"/>
        <w:jc w:val="left"/>
        <w:tblInd w:w="0" w:type="dxa"/>
        <w:tblLayout w:type="fixed"/>
        <w:tblCellMar>
          <w:top w:w="28" w:type="dxa"/>
          <w:left w:w="28" w:type="dxa"/>
          <w:bottom w:w="28" w:type="dxa"/>
          <w:right w:w="28" w:type="dxa"/>
        </w:tblCellMar>
      </w:tblPr>
      <w:tblGrid>
        <w:gridCol w:w="764"/>
        <w:gridCol w:w="670"/>
        <w:gridCol w:w="681"/>
        <w:gridCol w:w="211"/>
        <w:gridCol w:w="721"/>
        <w:gridCol w:w="109"/>
        <w:gridCol w:w="109"/>
        <w:gridCol w:w="109"/>
        <w:gridCol w:w="109"/>
        <w:gridCol w:w="211"/>
        <w:gridCol w:w="721"/>
        <w:gridCol w:w="109"/>
        <w:gridCol w:w="109"/>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International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second quarter 2026, total international sales increased primarily due to improved average selling prices, an increase in pump shipments, and favorable changes in foreign exchange rates, offset by lower supply sales due to the inventory constraint. Pump shipments were approximately 11,000 pumps in the second quarter 2026 compared to approximately 9,000 pumps for the second quarter 2025. Direct sales to customers accounted for 13% and 4% of international sales in the second quarter 2026 and 2025,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Cost of Sales and Gross Profit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cost of sales for the three months ended June 30, 2026 was $109.8 million, resulting in gross profit of $144.8 million, compared to cost of sales of $114.8 million and gross profit of $125.9 million for the same period in 2025. The gross margins for the three months ended June 30, 2026 and 2025 were 57% and 52%, respectively. This increase in gross margin was primarily driven by favorable pricing from the increase in U.S. pharmacy sales and direct international sales, as well as efficiencies gained in both manufacturing and non-manufacturing costs.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expenses for the three months ended June 30, 2026 were $158.6 million, compared to $177.7 million for the three months ended June 30, 2025. The decrease was primarily driven by a one-time litigation and settlement charge of $20.0 million incurred in the second quarter 2025 (see Note 2, “Intangible Assets Subject to Amortization”).</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SG&amp;A expenses were $111.6 million for the three months ended June 30, 2026, compared to $109.6 million for the same period in 2025. The increase in SG&amp;A expenses was primarily driven by $7.8 million in commercial investments in our U.S. sales infrastructure, costs to support direct operations in Europe, marketing activities, and other initiatives to create future efficiencies. The increase was partially offset by a $5.8 million decrease in stock-based compensation expense.</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R&amp;D expenses were $46.9 million for the three months ended June 30, 2026, compared to $48.1 million for the same period in 2025. The decrease in R&amp;D expenses was primarily driven by a reduction of stock-based compensation expense by $3.4 million, partially offset by an increase in clinical trial expense.</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Litigation and Settlement Expense. </w:t>
      </w:r>
      <w:r>
        <w:rPr>
          <w:rFonts w:ascii="Times New Roman;serif" w:hAnsi="Times New Roman;serif"/>
          <w:b w:val="false"/>
          <w:color w:val="000000"/>
          <w:sz w:val="20"/>
        </w:rPr>
        <w:t>We did not incur any litigation and settlement expenses for the three months ended June 30, 2026. Litigation and settlement expenses of $20.0 million for the three months ended June 30, 2025 related to the Settlement Agreement with Roche.</w:t>
      </w:r>
    </w:p>
    <w:p>
      <w:pPr>
        <w:pStyle w:val="TextBody"/>
        <w:bidi w:val="0"/>
        <w:spacing w:lineRule="auto" w:line="288" w:before="200" w:after="283"/>
        <w:jc w:val="left"/>
        <w:rPr/>
      </w:pPr>
      <w:r>
        <w:rPr>
          <w:rFonts w:ascii="Times New Roman;serif" w:hAnsi="Times New Roman;serif"/>
          <w:b/>
          <w:i/>
          <w:color w:val="000000"/>
          <w:sz w:val="20"/>
        </w:rPr>
        <w:t>Other Income (Expense), Net</w:t>
      </w:r>
      <w:r>
        <w:rPr>
          <w:color w:val="000000"/>
        </w:rPr>
        <w:t xml:space="preserv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 for the three months ended June 30, 2026 was a loss of $6.9 million, compared to a loss of $5.9 million for the same period in 2025. The increase in other income (expense), net was primarily driven by the increase in loss on equity investment and interest expense, offset by an increase in interest income earned on our cash equivalents and short-term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income tax expense of $0.5 million on a pre-tax loss of $20.7 million for the three months ended June 30, 2026, compared to income tax benefit of $5.3 million on a pre-tax loss of $57.7 million for the three months ended June 30, 2025. Income tax expense for the three months ended June 30, 2026, was primarily attributable to state and foreign income tax expense as a result of current taxable income in certain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Comparison of the Six Months Ended June 30, 2026 and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we shipped nearly 63,000 pumps worldwide. Sales were $501.8 million, which included $161.6 million of international sales. Sales were $475.1 million for the six months ended June 30, 2025, which included $154.3 million of international sales. Overall, the increase was primarily driven by an improvement in price, favorable channel mix and increased pump volumes, while supply sales were impacted by an inventory constraint relating to a key supplier. </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by product in the United States were as follows (in thousands):</w:t>
      </w:r>
    </w:p>
    <w:tbl>
      <w:tblPr>
        <w:tblW w:w="5536" w:type="dxa"/>
        <w:jc w:val="left"/>
        <w:tblInd w:w="0" w:type="dxa"/>
        <w:tblLayout w:type="fixed"/>
        <w:tblCellMar>
          <w:top w:w="28" w:type="dxa"/>
          <w:left w:w="28" w:type="dxa"/>
          <w:bottom w:w="28" w:type="dxa"/>
          <w:right w:w="28" w:type="dxa"/>
        </w:tblCellMar>
      </w:tblPr>
      <w:tblGrid>
        <w:gridCol w:w="959"/>
        <w:gridCol w:w="841"/>
        <w:gridCol w:w="854"/>
        <w:gridCol w:w="211"/>
        <w:gridCol w:w="826"/>
        <w:gridCol w:w="109"/>
        <w:gridCol w:w="109"/>
        <w:gridCol w:w="109"/>
        <w:gridCol w:w="109"/>
        <w:gridCol w:w="211"/>
        <w:gridCol w:w="826"/>
        <w:gridCol w:w="109"/>
        <w:gridCol w:w="109"/>
        <w:gridCol w:w="154"/>
      </w:tblGrid>
      <w:tr>
        <w:trPr/>
        <w:tc>
          <w:tcPr>
            <w:tcW w:w="95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in the United States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sales in the United States increased due to favorable channel dynamics with the increased adoption of the new pharmacy channel business model, where the decrease in pump average selling prices was more than offset by a corresponding increase in supply prices. This change in reimbursement structure was effective beginning in the first quarter of 2026. Pump shipments exceeded 41,000 in the six months ended June 30, 2026 compared to more than 38,000 pumps in the six months ended June 30, 2025. Supply sales increased although volumes were impacted by the constraint in inventory, Sales within the pharmacy channel accounted for 8% and 2% of the Company’s U.S. sales for the six months ended June 30, 2026 and 2025, respectively.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International sales by product were as follows (in thousands):</w:t>
      </w:r>
    </w:p>
    <w:tbl>
      <w:tblPr>
        <w:tblW w:w="4997" w:type="dxa"/>
        <w:jc w:val="left"/>
        <w:tblInd w:w="0" w:type="dxa"/>
        <w:tblLayout w:type="fixed"/>
        <w:tblCellMar>
          <w:top w:w="28" w:type="dxa"/>
          <w:left w:w="28" w:type="dxa"/>
          <w:bottom w:w="28" w:type="dxa"/>
          <w:right w:w="28" w:type="dxa"/>
        </w:tblCellMar>
      </w:tblPr>
      <w:tblGrid>
        <w:gridCol w:w="764"/>
        <w:gridCol w:w="670"/>
        <w:gridCol w:w="681"/>
        <w:gridCol w:w="211"/>
        <w:gridCol w:w="826"/>
        <w:gridCol w:w="109"/>
        <w:gridCol w:w="109"/>
        <w:gridCol w:w="109"/>
        <w:gridCol w:w="109"/>
        <w:gridCol w:w="211"/>
        <w:gridCol w:w="826"/>
        <w:gridCol w:w="109"/>
        <w:gridCol w:w="109"/>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International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total international sales increased primarily due to improved average selling prices, favorable changes in foreign exchange rates, and in increase in pump shipments, partially offset by a decrease in supplies volumes. International sales for the six months ended June 30, 2026 also included a one-time benefit for the transition to direct servicing of rental customers in Switzerland. Pump shipments were more than 21,000 in the six months ended June 30, 2026 compared to 20,000 pumps in the six months ended June 30, 2025. Direct sales to customers, including the one-time benefit in Switzerland, accounted for 12% and 4% of international sales for the six months ended June 30, 2026 and 2025,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Cost of Sales and Gross Profit</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Our cost of sales for the six months</w:t>
      </w:r>
      <w:r>
        <w:rPr>
          <w:color w:val="000000"/>
        </w:rPr>
        <w:t xml:space="preserve"> </w:t>
      </w:r>
      <w:r>
        <w:rPr>
          <w:rFonts w:ascii="Times New Roman;serif" w:hAnsi="Times New Roman;serif"/>
          <w:b w:val="false"/>
          <w:color w:val="000000"/>
          <w:sz w:val="20"/>
        </w:rPr>
        <w:t>ended June 30, 2026</w:t>
      </w:r>
      <w:r>
        <w:rPr>
          <w:color w:val="000000"/>
        </w:rPr>
        <w:t xml:space="preserve"> </w:t>
      </w:r>
      <w:r>
        <w:rPr>
          <w:rFonts w:ascii="Times New Roman;serif" w:hAnsi="Times New Roman;serif"/>
          <w:b w:val="false"/>
          <w:color w:val="000000"/>
          <w:sz w:val="20"/>
        </w:rPr>
        <w:t>was $220.2 million</w:t>
      </w:r>
      <w:r>
        <w:rPr>
          <w:rFonts w:ascii="Times New Roman;serif" w:hAnsi="Times New Roman;serif"/>
          <w:b w:val="false"/>
          <w:i/>
          <w:color w:val="000000"/>
          <w:sz w:val="20"/>
        </w:rPr>
        <w:t xml:space="preserve">, </w:t>
      </w:r>
      <w:r>
        <w:rPr>
          <w:rFonts w:ascii="Times New Roman;serif" w:hAnsi="Times New Roman;serif"/>
          <w:b w:val="false"/>
          <w:color w:val="000000"/>
          <w:sz w:val="20"/>
        </w:rPr>
        <w:t>resulting in gross profit of $281.6 million, compared to cost of sales of $230.8 million and gross profit of $244.3 million for the same period in 2025. The gross margins for the six months ended June 30, 2026 and 2025 were 56% and 51%, respectively. This increase in gross margin was primarily driven by favorable pricing from the increase in U.S. pharmacy sales and direct international sales, as well as efficiencies gained in both manufacturing and non-manufacturing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expenses for the six months ended June 30, 2026 were $312.8 million, compared to $417.0 million for the six months ended June 30, 2025. The decrease was primarily driven by a reduction of one-time charges incurred in the six months ended June 30, 2025, including $75.2 million in IPR&amp;D charges (see Note 13, “Acquisitions”), $20.0 million in litigation and settlement expenses (see Note 2, “Intangible Assets Subject to Amortization”) and $11.2 million in operating lease impairment charges and restructuring charges related to relocation of certain R&amp;D activities.</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SG&amp;A expenses were $219.8 million for the six months ended June 30, 2026, compared to $223.4 million for the same period in 2025. After one-time costs, the increase in SG&amp;A expenses was primarily driven by a $17.4 million increase from commercial investments in sales infrastructure, including sales force expansion in the United States, costs to support direct operations in Europe, marketing activities, and other initiatives to create future efficiencies in operations. The increase was offset by a $12.1 million decrease in stock-based compensation expense.</w:t>
      </w:r>
    </w:p>
    <w:tbl>
      <w:tblPr>
        <w:tblW w:w="5978" w:type="dxa"/>
        <w:jc w:val="left"/>
        <w:tblInd w:w="0" w:type="dxa"/>
        <w:tblLayout w:type="fixed"/>
        <w:tblCellMar>
          <w:top w:w="28" w:type="dxa"/>
          <w:left w:w="28" w:type="dxa"/>
          <w:bottom w:w="28" w:type="dxa"/>
          <w:right w:w="28" w:type="dxa"/>
        </w:tblCellMar>
      </w:tblPr>
      <w:tblGrid>
        <w:gridCol w:w="1201"/>
        <w:gridCol w:w="1055"/>
        <w:gridCol w:w="1058"/>
        <w:gridCol w:w="211"/>
        <w:gridCol w:w="826"/>
        <w:gridCol w:w="109"/>
        <w:gridCol w:w="109"/>
        <w:gridCol w:w="109"/>
        <w:gridCol w:w="109"/>
        <w:gridCol w:w="211"/>
        <w:gridCol w:w="826"/>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Non-recurring facility impairment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SG&amp;A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pP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R&amp;D expenses were $93.0 million for the six months ended June 30, 2026, compared to $98.3 million for the same period in 2025. After one-time costs, the decrease in R&amp;D expenses was primarily driven by a $6.6 million decrease in stock-based compensation expense. The decrease was partially offset by an increase in clinical trial expense.</w:t>
      </w:r>
    </w:p>
    <w:tbl>
      <w:tblPr>
        <w:tblW w:w="4763" w:type="dxa"/>
        <w:jc w:val="left"/>
        <w:tblInd w:w="0" w:type="dxa"/>
        <w:tblLayout w:type="fixed"/>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R&amp;D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Acquired In-Process Research and Development (IPR&amp;D) Expenses. </w:t>
      </w:r>
      <w:r>
        <w:rPr>
          <w:rFonts w:ascii="Times New Roman;serif" w:hAnsi="Times New Roman;serif"/>
          <w:b w:val="false"/>
          <w:color w:val="000000"/>
          <w:sz w:val="20"/>
        </w:rPr>
        <w:t xml:space="preserve">We did not incur any IPR&amp;D expenses for the six months ended June 30, 2026. Acquired IPR&amp;D expenses were $75.2 million for the six months ended June 30, 2025, which represented costs associated with the revised AMF purchase agreement (see Note 13, “Acquisitions”). </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Litigation and Settlement Expense. </w:t>
      </w:r>
      <w:r>
        <w:rPr>
          <w:rFonts w:ascii="Times New Roman;serif" w:hAnsi="Times New Roman;serif"/>
          <w:b w:val="false"/>
          <w:color w:val="000000"/>
          <w:sz w:val="20"/>
        </w:rPr>
        <w:t>We did not incur any litigation and settlement expense for the six months ended June 30, 2026. Litigation and settlement expenses of $20.0 million for the six months ended June 30, 2025 related to the Settlement Agreement with Roche.</w:t>
      </w:r>
    </w:p>
    <w:p>
      <w:pPr>
        <w:pStyle w:val="TextBody"/>
        <w:bidi w:val="0"/>
        <w:spacing w:lineRule="auto" w:line="288" w:before="200" w:after="283"/>
        <w:jc w:val="left"/>
        <w:rPr/>
      </w:pPr>
      <w:r>
        <w:rPr>
          <w:rFonts w:ascii="Times New Roman;serif" w:hAnsi="Times New Roman;serif"/>
          <w:b/>
          <w:i/>
          <w:color w:val="000000"/>
          <w:sz w:val="20"/>
        </w:rPr>
        <w:t>Other Income (Expense), Net</w:t>
      </w:r>
      <w:r>
        <w:rPr>
          <w:color w:val="000000"/>
        </w:rPr>
        <w:t xml:space="preserv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 for the six months ended June 30, 2026 was a $9.3 million loss, compared to $7.1 million for the same period in 2025. The increase in other expense, net was primarily driven by an increase in loss on equity investment offset by an increase in interest income earned on our cash equivalents and short-term investments.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recognized income tax expense of $1.0 million on a pre-tax loss of $40.5 million for the six months ended June 30, 2026, compared to income tax expense of $3.1 million on a pre-tax loss of $179.8 million for the six months ended June 30, 2025. Income tax expense for the six months ended June 30, 2026 was primarily attributable to state and foreign income tax expense as a result of current taxable income in certain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$456.0 million in cash and cash equivalents and short-term investments. We believe that our cash and cash equivalents, short-term investments, and future cash flows from operations will be sufficient to fund our ongoing core business activities for at least the next twelve months. We also believe our current liquidity position provides flexibility to support our longer-term operating objectives.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historical cash outflows have primarily been associated with cash used for operating activities such as R&amp;D activities, sales, marketing and commercialization of our products worldwide, expansion of clinical and customer support organizations, the acquisition of intellectual property, equity investments and asset acquisitions, capital expenditures and debt service costs.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our principal sources of cash have included cash collected from product sales, private and public offerings of equity securities, exercises of employee stock awards, and debt financing. We expect to rely primarily on product sales to fund our material cash requirements in both the short and long term.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flows for the six months ended June 30, 2026 and 2025 (in thousands):</w:t>
      </w:r>
    </w:p>
    <w:tbl>
      <w:tblPr>
        <w:tblW w:w="6796" w:type="dxa"/>
        <w:jc w:val="left"/>
        <w:tblInd w:w="0" w:type="dxa"/>
        <w:tblLayout w:type="fixed"/>
        <w:tblCellMar>
          <w:top w:w="28" w:type="dxa"/>
          <w:left w:w="28" w:type="dxa"/>
          <w:bottom w:w="28" w:type="dxa"/>
          <w:right w:w="28" w:type="dxa"/>
        </w:tblCellMar>
      </w:tblPr>
      <w:tblGrid>
        <w:gridCol w:w="1439"/>
        <w:gridCol w:w="1262"/>
        <w:gridCol w:w="1273"/>
        <w:gridCol w:w="211"/>
        <w:gridCol w:w="796"/>
        <w:gridCol w:w="109"/>
        <w:gridCol w:w="109"/>
        <w:gridCol w:w="109"/>
        <w:gridCol w:w="109"/>
        <w:gridCol w:w="211"/>
        <w:gridCol w:w="796"/>
        <w:gridCol w:w="109"/>
        <w:gridCol w:w="109"/>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pPr>
      <w:r>
        <w:rPr>
          <w:rFonts w:ascii="Times New Roman;serif" w:hAnsi="Times New Roman;serif"/>
          <w:b w:val="false"/>
          <w:i/>
          <w:color w:val="000000"/>
          <w:sz w:val="20"/>
        </w:rPr>
        <w:t>Operating Activities</w:t>
      </w:r>
      <w:r>
        <w:rPr>
          <w:rFonts w:ascii="Times New Roman;serif" w:hAnsi="Times New Roman;serif"/>
          <w:b w:val="false"/>
          <w:color w:val="000000"/>
          <w:sz w:val="20"/>
        </w:rPr>
        <w:t>. Net cash used in operating activities was $23.6 million for the six months ended June 30, 2026, compared to $27.8 million of cash used in the same period in 2025. For the six months ended June 30, 2026, net loss was $41.6 million, net non-cash adjustments were $55.8 million, and the change in working capital balances was a decrease of $37.8 million, including a $7.0 million cash outflow for the annual payment related to the Roche Settlement Agreement. For the six months ended June 30, 2025, net loss was $183.0 million, net non-cash adjustments were $151.8 million, and the change in working capital balances was an increase of $3.4 million.</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Investing Activities</w:t>
      </w:r>
      <w:r>
        <w:rPr>
          <w:rFonts w:ascii="Times New Roman;serif" w:hAnsi="Times New Roman;serif"/>
          <w:b w:val="false"/>
          <w:color w:val="000000"/>
          <w:sz w:val="20"/>
        </w:rPr>
        <w:t>. Net cash used in investing activities was $282.8 million for the six months ended June 30, 2026,</w:t>
      </w:r>
      <w:r>
        <w:rPr>
          <w:color w:val="000000"/>
        </w:rPr>
        <w:t xml:space="preserve"> </w:t>
      </w:r>
      <w:r>
        <w:rPr>
          <w:rFonts w:ascii="Times New Roman;serif" w:hAnsi="Times New Roman;serif"/>
          <w:b w:val="false"/>
          <w:color w:val="000000"/>
          <w:sz w:val="20"/>
        </w:rPr>
        <w:t>which primarily consisted of $260.5 million in purchases of short-term investments, $81.4 million in purchases of equity investments and $10.3 million in purchases of property and equipment, partially offset by $69.5 million in proceeds from maturities and redemptions of short-term investments. Net cash provided by investing activities was $67.3 million for the six months ended June 30, 2025, which primarily consisted of $146.4 million in proceeds from maturities and redemptions of short-term investments, offset by $43.5 million paid for IPR&amp;D, $26.5 million in purchases of short-term investments, and $9.2 million in purchases of property and equipment.</w:t>
      </w:r>
    </w:p>
    <w:p>
      <w:pPr>
        <w:pStyle w:val="TextBody"/>
        <w:bidi w:val="0"/>
        <w:spacing w:lineRule="auto" w:line="268" w:before="200" w:after="283"/>
        <w:ind w:left="0" w:right="0" w:firstLine="720"/>
        <w:jc w:val="left"/>
        <w:rPr/>
      </w:pPr>
      <w:r>
        <w:rPr>
          <w:rFonts w:ascii="Times New Roman;serif" w:hAnsi="Times New Roman;serif"/>
          <w:b w:val="false"/>
          <w:i/>
          <w:color w:val="000000"/>
          <w:sz w:val="20"/>
        </w:rPr>
        <w:t xml:space="preserve">Financing Activities. </w:t>
      </w:r>
      <w:r>
        <w:rPr>
          <w:rFonts w:ascii="Times New Roman;serif" w:hAnsi="Times New Roman;serif"/>
          <w:b w:val="false"/>
          <w:color w:val="000000"/>
          <w:sz w:val="20"/>
        </w:rPr>
        <w:t>Net cash provided by financing activities was</w:t>
      </w:r>
      <w:r>
        <w:rPr>
          <w:color w:val="000000"/>
        </w:rPr>
        <w:t xml:space="preserve"> </w:t>
      </w:r>
      <w:r>
        <w:rPr>
          <w:rFonts w:ascii="Times New Roman;serif" w:hAnsi="Times New Roman;serif"/>
          <w:b w:val="false"/>
          <w:color w:val="000000"/>
          <w:sz w:val="20"/>
        </w:rPr>
        <w:t>$276.3</w:t>
      </w:r>
      <w:r>
        <w:rPr>
          <w:color w:val="000000"/>
        </w:rPr>
        <w:t xml:space="preserve"> </w:t>
      </w:r>
      <w:r>
        <w:rPr>
          <w:rFonts w:ascii="Times New Roman;serif" w:hAnsi="Times New Roman;serif"/>
          <w:b w:val="false"/>
          <w:color w:val="000000"/>
          <w:sz w:val="20"/>
        </w:rPr>
        <w:t>million for the six months ended June 30, 2026, which consisted of net proceeds of $291.2 million from the issuance of the 2032 Notes, partially offset by $15.3 million used to pay the cost of the 2032 Capped Call Transactions. In addition, $0.5 million was used in payments for tax withholdings related to the issuance of common stock under our stock plans, net of proceeds received from common stock issuances for the period. Net cash used in financing activities was $44.4 million for the six months ended June 30, 2025, which consisted of $40.8 million used to pay the principal of the 2025 Notes and $3.6 million used in payments for tax withholdings related to the issuance of common stock under our stock plans, net of proceeds received from common stock issuances for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liquidity position and capital requirements are subject to fluctuation based on a number of factors. In particular, our cash inflows and outflows are principally impacted by the following:</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generate sales, the timing of those sales, the quantity of pumps sold through the pharmacy channel under the pay-as-you-go reimbursement model, the mix of products sold and the collection of receivables from period to period;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contractual debt obligations, including periodic interest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timing of any additional financings, and the net proceeds raised from such financings;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amount of proceeds from the issuance of equity awards pursuant to employee stock plans;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fluctuations in costs, gross and operating margins;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working capital, including changes in accounts receivable, inventories, accounts payable, employee-related liabilities, and operating lease liabilities.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Both our primary short-term and long-term capital needs are expected to include expenditures related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support of our commercialization efforts related to our current and future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expansion of our commercial resources for our growing installed customer base;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research and product development efforts, including clinical trial costs;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acquisitions, including strategic investments, equity method investments and future contingent payments associated with acquisitions;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leasing or licensing of equipment, technology, intellectual property and other assets;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additional facilities leases and related tenant improvements;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investments for the development, improvement and acquisition of manufacturing, testing and packaging equipment to support business growth and increase capacity;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payments under licensing, development and commercialization agreements;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integration costs related to acquisitions of businesses, products and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judgments that affect the reported amounts of assets, liabilities, revenues and expenses and the disclosure of contingent assets and liabilities in our condensed consolidated financial statements and accompanying notes as of the date of the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Some of those judgments can be subjective and complex, and therefore, actual results could differ materially from those estimates under different assumptions or conditions.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to our quantitative and qualitative disclosures about market risk during the six months ended June 30, 2026 contained in Part II, Item 7A of our Annual Report, other than our entry into foreign currency forward contracts to mitigate the impact of foreign currency exchange rate fluctuations on the portions of our revenue and operating expenses and contractual payment obligations that are denominated in currencies other than the U.S. dollar. See Note 9, “Derivatives” to the unaudited condensed consolidated financial statements included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under the Securities Exchange Act of 1934, as amended (the Exchange Act), that are designed to ensure that information required to be disclosed in the reports we file with the U.S. Securities Exchange Commission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June 30, 2026.</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provide reasonable assurance of achieving their objectives as specified above. However, management does not expect that our disclosure controls and procedures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of the Exchange Act)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involved in various legal proceedings, regulatory matters, and other disputes or claims arising from or related to claims incident to the normal course of the Company’s business activities, including actions with respect to intellectual property, data privacy, employment, regulatory, product liability and contractual matters. Descriptions of certain legal proceedings are contained in Note 14, “Commitments and Contingencies - Legal and Regulatory Matters” to the unaudited condensed consolidated financial statements included in this Quarterly Report and are incorporated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immediately after this summary, and should be carefully considered, together with other information in this Quarterly Report and the Annual Report, before making investment decisions regarding our securities.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have incurred significant operating losses since inception and cannot assure you that we will achieve sustained profitability.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currently rely on sales of insulin pump products to generate a significant portion of our sales, and any factors that negatively impact sales of these products may adversely affect our business, financial condition and operating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implementing a multi-channel managed care strategy in the United States that impacts the pricing model for our pumps and our supplies sold through the pharmacy channel. If our pharmacy channel strategy fails to achieve its intended outcome, our growth, business, results of operations, and financial condition could be materially and adversely impacted.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maintain and grow our sales depends in part on retaining a high percentage of our customer base.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Failure to secure or retain adequate coverage or reimbursement for our current and future products by third-party payors could adversely affect our business, financial condition and operating results.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Competing products, therapeutic techniques or other technological developments and breakthroughs for the monitoring, treatment or prevention of diabetes may render our products obsolete or less desirable or reduce the size of our potential market.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sales and marketing efforts largely depend on independent distributors who are free to market products that compete with our products. If we are unable to maintain or expand our network of independent distributors, our sales may be negatively affected.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are dependent on clinical investigators and clinical sites to enroll participants in our current and anticipated clinical trials and human factors studies, and the failure to successfully complete those trials and studies could prevent us from obtaining regulatory clearances, certifications, or approvals for or commercializing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Any concerns regarding the safety and efficacy of our products could limit sales and cause unforeseen negative effects on our business prospects and financial results.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International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Commercializing our products internationally may result in a variety of risks associated with international operations that could materially adversely affect our business.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Failure to obtain any required regulatory authorization, clearance or certification in foreign jurisdictions will prevent us from marketing our products in international markets</w:t>
      </w:r>
      <w:r>
        <w:rPr>
          <w:rFonts w:ascii="Times New Roman;serif" w:hAnsi="Times New Roman;serif"/>
          <w:b/>
          <w:i/>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Servicing the Notes will require a significant amount of cash, and we may not have sufficient cash flow from our business to repay the Notes.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Financial Results and Future Financings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operating results may fluctuate significantly from quarter to quarter.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need or otherwise determine to raise additional funds in the future and if we are unable to raise additional funds when necessary or desirable, we may not be able to achieve our strategic objectives.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Macroeconomic Conditions and External Factors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Uncertainty in current global economic and political conditions could adversely affect our ability to predict product demand and impact our financial results and make it more likely that our actual results could differ materially from expectations.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Public health threats, epidemics, or pandemics could have a material adverse effect on our operations, the operations of our business partners, and the global economy as a whole.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Because our business is global, our sales and profits may fluctuate or decline in response to changes in foreign currency exchange rates or other international risks.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Privacy and Security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are subject to stringent and evolving United States and foreign laws, regulations, and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sales or profits; loss of customers; and other adverse business consequences.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If our information technology systems or those of third parties with whom we work,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sales or profits; loss of customers; and other adverse consequences.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Legal and Intellectual Property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comprehensively protect our intellectual property and proprietary technology is uncertain.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Patent litigation in the medical device industry is common, and we may be subject to litigation that could cause us to incur substantial costs and divert the attention of management from our business.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be subject to damages resulting from claims that we, or our employees, have wrongfully used or disclosed trade secrets or other proprietary information of our competitors.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Regulatory Environment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products and operations are subject to extensive governmental regulation, and failure to comply with applicable requirements could cause our business to suffer.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New products or modifications to our existing products may require new 510(k) clearances, pre-market approvals (PMAs), CE Marks or other certifications, or may require us to cease marketing or recall the modified products until clearances, certifications or approvals are obtained.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recall or suspension of our products, or the discovery of serious safety issues with our products, could have a significant negative impact on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Risks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price of our common stock may continue to fluctuate significantly.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depend on the knowledge and skills of our senior management and other key employees, and if we are unable to retain and motivate them or recruit additional qualified personnel, our business may suffer.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use our net operating loss carryforwards and certain other tax attributes may be limited.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common stock, or in securities convertible into or exchangeable for our common stock, involves a high degree of risk.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the cautionary note regarding forward-looking statements at the beginning of Part I, Item 2, Management’s Discussion and Analysis of Financial Condition and Results of Operations of this Quarterly Report.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risk factors set forth below marked with an asterisk (*) next to the title did not appear as separate risk factors in, or contain changes to the similarly titled risk factor included in, Part I, Item 1A of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incurred significant operating losses since inception and cannot assure you that we will achieve sustained profitability.*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inception in January 2006, we have incurred a significant net loss. As of June 30, 2026, we had an accumulated deficit of $1.3 billion. To date, we have funded our operations primarily through cash collected from product sales, private and public offerings of our equity securities, and debt financings. We have devoted substantially all of our resources to the design, development and commercialization of our products, the scaling of our manufacturing and business operations, and the research and development of our current products and products under development.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the first quarter of 2013, we have been able to manufacture and sell our insulin pump products at a cost and in volumes sufficient to allow us to achieve a positive overall gross margin. Although we have achieved a positive overall gross margin during the years ended December 31, 2025, 2024 and 2023, we had net losses from operations in those years, and we may continue to incur net losses from operations in the future.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implement our business strategy and achieve consistent profitability, we need to, among other things, increase sales of our products through various sales channels and the gross profit associated with those sales, maintain an appropriate customer service, training and support infrastructure, fund ongoing research and development (R&amp;D) activities, create additional efficiencies in our manufacturing processes while adding to our capacity, and obtain regulatory clearance, certification or approval to commercialize our products currently under development both in the United States and in the international countries in which our insulin pumps are available. We expect our expenses will continue to increase as we pursue these objectives and make investments in our business. Additional increases in our expenses without commensurate increases in sales could significantly increase our operating losses.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extent of our future operating losses and the timing of our profitability are highly uncertain in light of a number of factors, including: the timing of the launch of new products and product features by us and our competitors; market acceptance of our products and competing products by people with insulin-dependent diabetes, their caregivers and healthcare providers; the timing of regulatory clearance, certification, or approval of our products and the products of our competitors; the actual efficiencies gained in our manufacturing processes; and general economic conditions. Any additional operating losses will have an adverse effect on our stockholders’ equity, and we cannot assure you that we will be able to achieve and sustain profitability.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currently rely on sales of insulin pump products to generate a significant portion of our sales, and any factors that negatively impact sales of these products may adversely affect our business, financial condition and operating results.*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generate nearly all of our sales from the sale of our insulin pumps and the related insulin cartridges and infusion sets. Sales of these products may be negatively impacted by many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market acceptance of the insulin pumps and related products manufactured and sold by our key competitors, including Beta Bionics, Insulet, MiniMed (formerly Medtronic), mylife (formerly Ypsomed) and Sequel;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that breakthroughs for the monitoring, treatment or prevention of diabetes may render our insulin pumps obsolete or less desirable or reduce the size of our potential market;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adverse regulatory or legal actions relating to our products, or similar products or technologies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of our Tandem Device Updater to accurately and timely provide customers with remote access to new product features and functionality as anticipated, or our failure to obtain regulatory clearance, certification, or approval for any such updates;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reimbursement rates or policies relating to insulin pumps or similar products or technologies by third-party payors;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competitive pricing and attrition rates of consumers who cease using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enter into contracts with third-party payors on a timely basis and on acceptable terms;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expand our sales channels, including the pharmacy channel in the United States;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problems arising from the expansion of our manufacturing capabilities and commercial operations, or destruction, loss, or temporary shutdown of our manufacturing facilities;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concerns regarding the perceived safety, reliability or cybersecurity of any of our products, or any component thereof, particularly in connection with the launch of additional mobile app features and functionality and other software products;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claims that any of our products, or any component thereof, infringes on patent rights or other intellectual property rights of third parties.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sales of any of our current or future insulin pump products with CGM compatibility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currently rely on sales of our insulin pumps, and related products to generate a significant majority of our sales, any factors that negatively impact sales of these products (or negatively impact the products or components compatible with these products) could adversely affect our business, financial condition and operating results. Furthermore, any disruption in our supply chain could negatively impact our ability to manufacture or otherwise supply sufficient product quantities to meet current customer demand, or any unexpected increase in demand, which could also have the effect of magnifying the negative impact of any of the factors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We are implementing a multi-channel managed care strategy in the United States that impacts the pricing model for our pumps and our supplies sold through the pharmacy channel. If our pharmacy channel strategy fails to achieve its intended outcome, our growth, business, results of operations, and financial condition could be materially and adversely impacted.*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implementing a multi-channel managed care strategy in the United States, which provides the opportunity for reimbursement through a pharmacy benefit as an alternative to a medical benefit. Historically, our insulin pump products have primarily been considered DME with an expected lifespan of at least four years. Under the DME reimbursement model, our pumps are generally reimbursed upfront. In addition to our insulin pumps, we sell single-use products that are used with our pumps and are replaced every few days, including cartridges for storing and delivering insulin, and infusion sets that connect the insulin pump to a user’s body. Like some of our competitors, we have begun to implement a pharmacy benefit reimbursement model as an alternative to the DME model which will eliminate the upfront pump reimbursement. Under this new model, we have initially experienced, and may continue to experience, a decrease in sales and gross profit when pumps are shipped, and while we expect this decrease to be offset by an increase in supply sales and gross profit, there is no assurance that any decrease would be offset by these or other factors. As a result, our financial results may fluctuate or decline compared to prior periods. The success of this shift will depend on, among other things, alignment of and effective execution by our sales organization, timely release of features in our product roadmaps as well as their market acceptance, effective pricing of our offerings, and managing expected commitments to purchase our pumps and supplies. Growth in consumption of our pumps and supplies may in the future be harmed if we do not manage these factors effectively. Our expectation is that a lower upfront cost for pump therapy will accelerate market adoption of our pumps and increase the volume and sales of our supplies over time, which will increase our overall sales per customer. However, there can be no assurance that this strategy will prove successful or that once a customer is obtained, they will continue to purchase supplies in a quantity sufficient to make the strategy successful. As a result, this shift in strategy may materially and adversely impact our growth, business, results of operations and financial condition.</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Our ability to maintain and grow our sales depends in part on retaining a high percentage of our customer base.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key to maintaining and growing our sales is the retention of a high percentage of our customers due to the potentially significant sales generated from ongoing purchases of single-use infusion sets, insulin cartridges and other supplies. In addition, our pumps are designed and tested to remain effective for at least four years and a customer may consider purchasing another pump from us when the time comes to replace it. We have developed retention programs aimed at our customers, their caregivers and healthcare providers, which include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competing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certification, or approvals for products or product features in a timely manner or at all, product development or commercialization delays, the impacts and disruption from health epidemics or pandemics, international conflicts, or for other reasons.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failure to retain a high percentage of our customers and increase sales to these customers consistent with our forecasts would have a material adverse effect on our business, financial condition and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Failure to secure or retain adequate coverage or reimbursement for our current and future products by third-party payors could adversely affect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substantial portion of the purchase price of an insulin pump and supplies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 On December 2, 2025, the Centers for Medicare and Medicaid Services (CMS), which administers the U.S. Medicare program, finalized a proposed competitive bidding process for some medical equipment, including continuous glucose monitors and insulin pumps that could affect reimbursement rates for our products. In addition, CMS finalized a proposed change in payment for these devices to a monthly rental basis which could impact when our pumps are shipped and corresponding sales are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guidelines in setting their coverage and reimbursement policies, many third-party payors in the United States use coverage decisions and payment amounts determined by CMS. Medicare periodically reviews its reimbursement practices for diabetes-related products, and there is uncertainty as to the future Medicare coverage structure and reimbursement rate for our products.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pursuing a multi-channel managed care strategy and have begun offering pumps and supplies through the pharmacy channel. However, the commercial opportunity in the pharmacy channel will be limited unless a substantial portion of the sales price for any products offered through the pharmacy channel is covered by third-party payors, including private insurance companies, health maintenance organizations, preferred provider organizations, federal and state government healthcare agencies, intermediaries, Medicare, Medicaid and other managed care providers. Medicare Part D plan sponsors may provide coverage for certain products under the Medicare Part D prescription drug program, which requires negotiating with third-party payors to provide these products through the pharmacy channel in the United States. If our efforts to enter into and maintain additional contracts with intermediaries and third-party payors for products we offer or seek to offer through the pharmacy channel take longer than anticipated or are not successful, our ability to successfully offer these products or any future products through the pharmacy channel will be limited.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there will continue to be proposals by legislators at both the federal and state levels, regulators and third-party payors to reduce costs while expanding individual healthcare benefits. The current administration is pursuing policies to reduce regulations and expenditures across government including at the U.S. Department of Health and Human Services (HHS), the FDA, CMS and related agencies. It is possible that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have a material adverse effect on our business and financial condition.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contracts establishing reimbursement for our insulin pump products with a number of national and regional third-party payors in the United States. While we may enter into additional contracts both in the United States and in the international countries in which our insulin pumps and supplies are available through third-party payors, and add coverage for future products under our current agreements, we cannot guarantee that we will succeed in doing so or that the reimbursement contracts that we are able to negotiate will enable us to sell our products on a profitable basis or in certain channels, including the pharmacy channel. In particular, we have limited experience securing reimbursement in international markets. Government involvement in funding healthcare may limit access to or reimbursement for our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the healthcare industry continues to be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operate in a very competitive industry and if we fail to compete successfully against our existing or future competitors, or if the competitive environment harms our business partners, our financial condition and operating results may be negatively affected.*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medical device industry is intensely competitive, subject to rapid change and highly sensitive to the introduction of new products, treatment techniques or technologies, as well as other activities of industry participants. To continue to compete effectively, we must continue to create, invest in or acquire advanced technology, incorporate this technology into our proprietary products, obtain regulatory clearance, certification, or approvals in a timely manner, and manufacture and successfully market our products. Given these factors, we cannot guarantee that we will be able to compete effectively or continue our level of success.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competitors are major medical device companies, primarily Beta Bionics, Insulet, MiniMed (formerly Medtronic), mylife (formerly Ypsomed) and Sequel. There are also a number of other companies developing and marketing their own insulin delivery systems and/or related software applications, including insulin pumps and Bluetooth-enabled insulin pens to support MDI therapy. Some of our primary competitors enjoy several competitive advantages over us,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financial and human resources for sales and marketing, product development, customer service and clinical resources;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ability to respond to competitive pressures, regulatory uncertainty, or challenges within the financial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established relationships with healthcare providers, third-party payors and regulatory agencies;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established reputation and name recognition among healthcare providers and other key opinion leaders in the medical industry generally and the diabetes industry in particular;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larger and more established distribution networks;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ability to cross-sell products or provide incentives to healthcare providers to use their products;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more experience in conducting R&amp;D, manufacturing, clinical trials, and obtaining regulatory approval or clearance.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with non-exclusive licenses compatible with various generations of Dexcom CGM technology with our insulin pump products. We have also entered into agreements with Abbott to develop and commercialize compatible diabetes solutions using Abbott’s glucose sensors. There can be no assurance that our collaborations with Dexcom and Abbott will be successful or that we will not experience delays, business disputes, or other unanticipated challenges. Competitive pressures within our industry could negatively impact the financial condition of our business partners and impact their ability to fulfill contractual obligations to us, which could negatively impact our product sales, result in delays in obtaining regulatory clearances, certifications, or approvals for new products, harm our reputation, and result in harm to our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these and other reasons, we may not be able to compete successfully against our current or potential future competitors, which could have a material adverse impact on our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Competing products, therapeutic techniques or other technological developments and breakthroughs for the monitoring, treatment or prevention of diabetes may render our products obsolete or less desirable or reduce the size of our potential market.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therapeutic techniques,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and could result in delayed purchases or a decline in market share. For example, since 2023, ongoing adoption of the GLP-1 class of drugs in diabetes and news surrounding the expansion of use of GLP-1 drugs in obesity has likely had a negative impact on the insulin therapy market.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the insulin-dependent diabetes market is large and growing, we anticipate companies will continue to dedicate significant resources to developing competing products and technologies. The introduction by competitors of products that are or claim to be superior to our products may create market confusion that may make it difficult to differentiate the benefits of our products over competing products. In addition, some of our competitors employ aggressive pricing strategies, including the use of discounts, rebates, low-cost product upgrades or other financial incentives that could adversely affect sales of our products. If a competitor develops a product that competes with or is perceived to be superior to our products, or if competitors continue to use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we have designed our hardware products to resemble modern consumer electronic devices to address certain wearability and functionality concerns consumers have raised with respect to traditional pumps. Similarly, we continue to incorporate new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face unexpected challenges in marketing and selling our products, and training new customers on the use of our products, which could harm our ability to achieve our sales forecasts.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limited experience marketing and selling our newer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are restricted in their ability to interact with healthcare professionals and customers, our sales could decrease or may not increase at levels that are in line with our forecasts.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sales and marketing efforts largely depend on independent distributors who are free to market products that compete with our products. If we are unable to maintain or expand our network of independent distributors, our sales may be negatively affected.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are implementing a multi-channel managed care strategy that includes offering our products through the pharmacy channel, we believe a majority of our sales will continue to be to independent distributors for at least the near term, and it is possible that the percentage of our sales to independent distributors could increase. For example, our dependence upon independent distributors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If we are unable to maintain or expand our network of independent distributors, our sales may be negatively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of our independent distributors in the United States have been required to sell our products exclusively and each of them may freely sell the products of our competitors. As a result, our independent distributors may not devote a sufficient level of resources and the support required to generate awareness of our products and grow or maintain product sales at the levels we expect, which may negatively affect our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our direct sales representatives or the pharmacy channel,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the third parties on which we increasingly rely to assist us with our current and anticipated pre-clinical development or clinical trials do not perform as expected, we may not be able to obtain regulatory clearance, certification, or approval or commercialize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certification, or approval for, or successfully commercialize, our products on a timely basis, if at all, and our business, operating results and prospects may be adversely affected.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dependent on clinical investigators and clinical sites to enroll participants in our current and anticipated clinical trials and human factors studies, and the failure to successfully complete those trials and studies could prevent us from obtaining regulatory clearances, certifications, or approvals for or commercializing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clearances, certifications, or approvals for our products and commercializing our products, which would have an adverse impact on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important assumptions about the potential market for our products are inaccurate, or if we have failed to understand what people with insulin-dependent diabetes are seeking in an insulin pump, our business and operating results may be adversely affected.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World Health Organization data indicates that the incidence of diabetes in the United States and worldwide is increasing. Further,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competing products, could differ materially from our projections. In addition, until 2025, our strategy has been to focus exclusively on the type 1 diabetes market, and there is no guarantee that we will have commercial success in our efforts to address patients with type 2 diabetes who require intensive insulin therapy.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Another key element of our business strategy is using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with accurate insight into the desires of people with insulin-dependent diabetes. In addition, understanding the meaning and significance of such market research responses necessarily requires that analysis be conducted and conclusions be drawn. We may not be able to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Any concerns regarding the safety and efficacy of our products could limit sales and cause unforeseen negative effects on our business prospects and financial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Studies to evaluate the safety or effectiveness of our latest products in a controlled setting are only available over the past few years.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competing products. Such results could slow the adoption of our products and significantly reduce our sales, which could prevent us from achieving our forecasted sales targets or achieving or sustaining profitability.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clearance, certification, or approval from regulatory authorities or Notified Bodies, product recalls or seizure, operating restrictions, interruption of production, fines, civil penalties and criminal prosecution which could result in significant legal liability, harm to our reputation, and a decline in our product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actual or alleged illness or injury associated with any of our products or product recalls, software recalls or medical device corrections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We have initiated voluntary recalls and corrections in the past.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an allegation or product liability claim lacks merit, cannot be substantiated, is unsuccessful or is not fully pursued, the negative publicity surrounding any assertion that our products have caused or carry a risk of causing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ability to achieve profitability will depend, in part, on our ability to effectively manage costs and reduce the per-unit cost of our products while also increasing production volume.*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the anticipated improvements in manufacturing efficiency as we undertake actions to expand our manufacturing capacity. We are also subject to other general market and economic conditions that may increase our expenses, including unpredictable variability in commodity prices, wage increases and inflation.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Manufacturing risks may adversely affect our ability to manufacture products, which could negatively impact our sales and operating margins.*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quality or reliability defects in product components that we source from third-party suppliers;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secure product components in a timely manner due to shipping delays at ports of entry or exit, the impact of natural disasters, global conflicts, health pandemics or other issues, in sufficient quantities and on commercially reasonable terms;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difficulty identifying, qualifying and contracting with alternative suppliers for components in a timely manner;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implementing and maintaining acceptable quality systems while experiencing rapid growth;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failure to increase production of products to meet demand;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modify production lines and expand manufacturing facilities to enable us to efficiently produce future products or implement changes in current products in response to consumer demand or regulatory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inability to manufacture multiple products simultaneously while utilizing common manufacturing equipment;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government-mandated or voluntary closures of, or operational limitations impacting, our manufacturing facilities;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damage to or destruction of our manufacturing equipment or manufacturing facilities.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demand for our products increases, and as the number of our commercial products expands, we will have to invest additional resources to purchase components, hire and train employees, and enhance our manufacturing processes and quality systems. We have also increased our use of third parties to perform contracted manufacturing services for us and failure in our oversight of these third parties or any disruption to their network business could negatively impact our business operations. We may also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modifying our production lines, hiring specialized employees, identifying new suppliers for specific components, qualifying and implementing additional equipment and procedures, obtaining new regulatory clearances, certifications, or approvals, or developing new manufacturing technologies. Ultimately, it may not be possible for us to manufacture these products at a cost or in quantities sufficient to make these products commercially viable.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our contract manufacturers, or our suppliers fail to increase our production capacity to meet consumer demand while also maintaining product quality standards, obtaining and maintaining regulatory clearances, certifications, or approvals, and efficiently managing costs, our sales and operating margins could be negatively impacted, which would have an adverse impact on our financial condition and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rely, and expect to continue to rely, on third-party suppliers to supply components of our current products and our potential future products, including our single-use insulin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For example, one of our key infusion set suppliers has recently experienced supply constraints, which has impacted our overall inventory levels and supply sales. If we are unable to obtain sufficient quantities of these supplies or other necessary components to meet demand on a timely basis going forward, we could lose additional customer orders, our reputation may be harmed, and our business could suffer.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generally use a small number of suppliers for our components and products, some of which are located internationally, including in China, Mexico and Costa Rica. Depending on a limited number of suppliers exposes us to risks, including limited control over costs, including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at acceptable prices, or at all.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We consistently evaluate alternative suppliers of several existing components and qualifying new alternatives to existing select components, but there is no assurance that we will be able to identify alternative sources that meet our requirements and at comparable prices, or at all.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have difficulty obtaining components from other suppliers that are acceptable to the FDA or other comparable foreign regulatory authorities, or Notified Bodies, and the failure of our suppliers to comply with regulatory requirements could expose us to regulatory action including warning letters, product recalls, termination or interruption of distribution, operating restrictions, product seizures, delays in obtaining approval or clearance of future products, suspension or withdrawal of approvals, clearances, or certification, fines, civil penalties, or criminal prosecution. Such a failure by our suppliers could also require us to cease using the components, seek alternative components or technologies, and modify our products to incorporate alternative components or technologies, which could necessitate additional regulatory clearances, certifications, or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Any disruption at one of our facilities could adversely affect our business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We take precautions to safeguard our facilities and data infrastructure, including by acquiring insurance, employing back-up generators, adopting health and safety protocols, implementing cybersecurity protections, and utilizing off-site storage of computer data. However, vandalism, terrorism, unplanned power outages, cyberattacks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experience the anticipated operating efficiencies of our manufacturing and warehousing operations.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scale our business operations and add manufacturing requirements for products currently under development. We have outsourced the majority of our t:slim cartridge manufacturing demand to an experienced third-party contract manufacturer; we are in the process of moving our Tandem Mobi cartridge manufacturing to the same third-party contract manufacturer, and we are continually evaluating the outsourcing of other aspects of our operations.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use of third-party contract manufacturing.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enter into collaborations, licensing arrangements, joint ventures, strategic alliances or partnerships with third parties that may not result in the development of commercially viable products or the generation of significant future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 For example, we have entered into multiple development and commercialization agreements with Dexcom, which have provided us non-exclusive licenses compatible with various generations of Dexcom’s CGM technology with our insulin pump products. Under certain circumstances, these agreements may be terminated by either party without cause or on short notice. Our current agreements with Dexcom do not grant us rights to make our products compatible with future generations of Dexcom CGM technology, beyond G7 CGM devices, with any of our current or future products. Termination of any of our agreements with Dexcom would require us to redesign certain current products and products under development, and would require us to make our products compatible with an alternative CGM system into our insulin pump systems in certain geographies,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and negatively impact our ability to compete.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Modifications to our business strategy or restructuring of our operations could lead to higher costs or otherwise impact the profitability of our business or the value of our assets.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changes occur in our business environment, we have adjusted, and may continue to adjust, our business strategies, including our pursuit of a multi-channel managed care strategy to include offering our products through the pharmacy channel. We may also decide to further restructure our operations, specific business functions, or assets. However, any new structure and strategies may not deliver the expected benefits, such as supporting our growth objectives or enhancing shareholder value and could prove less effective than our previous approach. Additionally, external factors, including evolving technology, shifting consumer behaviors, acceptance of our products, and macroeconomic changes, could negatively impact the value of our assets. These changes or events may lead to costs associated with adjusting our business strategy and potentially necessitate writing down asset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International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Commercializing our products internationally may result in a variety of risks associated with international operations that could materially adversely affect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sales in more than 25 international countries where our products are offered, which accounted for approximately 30% of our total sales during 2025, are accompanied by certain financial and other risks related to international business markets, including:</w:t>
      </w:r>
    </w:p>
    <w:p>
      <w:pPr>
        <w:pStyle w:val="TextBody"/>
        <w:bidi w:val="0"/>
        <w:spacing w:before="0" w:after="0"/>
        <w:ind w:left="0" w:right="0" w:firstLine="90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local product preferences and differing regulatory requirements for product clearances, certifications, or approvals;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differing U.S. and foreign medical device import and export rules;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more restrictive privacy and security laws relating to personal information of end-users and employees, including GDPR and other E.U. Member State national legislation;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reduced protection for our intellectual property rights in certain international countries compared to the protection that exists in the United States;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tariffs, trade barriers and regulatory requirements;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weakness, including inflation and workforce instability, and political instability in foreign economies and markets;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compliance with tax, employment, immigration and labor laws, such as the Foreign Corrupt Practices Act and comparable foreign legislation;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associated with foreign legal systems, including increased costs associated with enforcing contractual obligations in foreign jurisdictions;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instability and actual or anticipated military or political conflicts;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managing international relationships, including any relationships that we establish with foreign partners, distributors, or sales or marketing agents;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foreign taxes, including withholding and payroll taxes;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different reimbursement systems;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foreign currency fluctuations, which could result in increased operating expenses and reduced sales, and other obligations incident to doing business in another country.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effectively transition to direct sales in certain countries, manage the complexity of our global operations successfully or if we incur unanticipated expenses, we may not achieve the expected benefits of this expansion and our financial condition and results of operations could be materially and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Failure to obtain any required regulatory authorization, clearance or certification in foreign jurisdictions will prevent us from marketing our products in international markets.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sell our products in certain international countries and may seek to begin commercial sales of our products in additional geographies in the future. As we continue to expand our international operations and launch new products, we are increasingly subject to additional regulatory and legal requirements in the international markets.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Failure to comply with the U.S. Foreign Corrupt Practices Act and similar worldwide anti-bribery laws could materially adversely affect our business and result in civil and/or criminal sanctions.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FCPA, the U.K. Bribery Act, and similar anti-bribery laws enacted in other jurisdictions generally prohibit companies and their intermediaries from making improper payments to foreign officials for the purpose of obtaining or retaining business. Because of the predominance of government-sponsored healthcare systems around the world, most of our international customer relationships are with governmental entities and are therefore subject to such anti-bribery laws. Because we do business in the U.K., the U.K. Bribery Act also extends to our interaction with public and private sector entities and persons outside the U.K., including in the United States. Our policies mandate compliance with these anti-bribery laws. We operate in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anti-bribery laws, or allegations of such violations, could disrupt our business and have a material adverse effect on our results of operations, financial condition,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incurred a significant amount of indebtedness, and the agreements governing such indebtedness subject us to required debt service payments, which may restrict our financial flexibility and affect our ability to operate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have financed our liquidity needs under various credit arrangements and we may borrow additional funds in the future. In March 2024, we completed the offering of $316.3 million aggregate principal amount of 1.50% Convertible Senior Notes due 2029 (the 2029 Notes), which are governed by the terms of an indenture (the 2029 Notes indenture). In March 2024, we used the proceeds from the offering of the 2029 Notes to repurchase approximately $246.7 million aggregate principal amount of certain Convertible Senior Notes due 2025 (the 2025 Notes) in privately negotiated transactions with holders of the 2025 Notes and in the second quarter of 2025, all remaining 2025 Notes were paid in full. The 2029 Notes are our senior unsecured obligations, and will mature on March 15, 2029, unless earlier converted, redeemed or repurchased. Interest on the 2029 Notes is payable in cash semi-annually at a rate of 1.50% per year. In February 2026, we completed the offering of $300.0 million aggregate principal amount of 0.00% Convertible Senior Notes due 2032 (the 2032 Notes and, together with the 2029 Notes, the Notes), which are governed by the terms of an indenture (the 2032 Notes indenture and, together with the 2029 Notes indenture, the indentures). The 2032 Notes are our senior unsecured obligations, and will mature on March 15, 2032, unless earlier converted, redeemed or repurchased. The 2032 Notes will not bear regular interest and the principal amount of the 2032 Notes will not accrete.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certain obligations under the Notes, or inability to make required debt service payments, if any, could result in an event of default under the applicable indenture. A default, if not cured or waived, could result in acceleration of the indebtedness, which could have a material adverse effect on our business, financial condition and liquidity. Further, if our indebtedness is accelerated, we cannot be certain that cash will be available to pay the indebtedness and we may not have the ability to refinance the indebtedness on terms satisfactory to us or at all. A default under one indenture could also lead to a default under agreements governing our existing or future indebtedness, including the other indenture.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current or future level of indebtedness could affect our business, operations and strategy in several important ways, including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required to dedicate a portion of our current liquidity or cash flow from operations to interest payments, limiting the availability of cash for other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covenants contained in future agreements governing indebtedness may limit our ability to borrow additional funds, refinance indebtedness or make certain investments;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debt covenants may affect our flexibility in planning for, and reacting to, changes in the economy and our industry;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high level of indebtedness may increase our vulnerability to adverse economic and competitive conditions;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high level of indebtedness may limit our ability to obtain additional financing in the future or negatively impact the terms on which additional financing may be obtained.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Servicing the Notes will require a significant amount of cash, and we may not have sufficient cash flow from our business to repay the Notes.*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make scheduled payments of the principal and interest, if any, on the applicable Notes, or to refinance the applicable Notes depends on our future business operations and liquidity, which are subject to numerous risks and uncertainties, including, market acceptance of our products, regulatory clearance, certification, or approval for our products, and the competitive environment in which we operate. Our business may not generate or sustain a level of cash flow from operations sufficient to service the Notes and any future indebtedness we may incur. If we are unable to generate sufficient cash flow, we may be required to adopt one or more alternatives, such as reducing or delaying capital expenditures, selling or licensing assets, refinancing indebtedness, or obtaining additional equity capital.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under the applicable Notes, or our future indebtedness.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from time to time seek to retire or purchase our outstanding debt, including the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have sufficient cash or be able to obtain financing to repurchase the Notes upon a fundamental change, or to settle conversions of the Notes.*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the Notes have the right to require us to repurchase their Notes upon the occurrence of a fundamental change (as defined in the applicable indenture) at a repurchase price equal to 100% of the principal amount of the applicable Notes to be repurchased, plus accrued and unpaid interest, if any. In addition, upon conversion of the Notes, unless we elect to deliver solely shares of our common stock to settle such conversion, we will be required to settle all or a portion of our conversion obligation through the payment of cash, which could adversely affect our liquidity. However, we may not have enough available cash or be able to obtain financing at the time we are required to make repurchases of the Notes or settle conversions of the Notes. In addition, our ability to repurchase the Notes or to pay cash upon conversions of the Notes may be limited by agreements governing our future indebtedness. Our failure to repurchase Notes at a time when the repurchase is required by the indenture, or to pay any cash payable on future conversions of the Notes as required by the applicable indenture, would constitute an event of default under the indenture. A default under an indenture, or the fundamental change itself, could also lead to a default under agreements governing our existing or future indebtedness, including the other indenture. If the repayment of the related indebtedness were to be accelerated after any applicable notice or grace periods, we may not have sufficient funds to repay the indebtedness and repurchase the Notes or make cash payments upon conversions thereof.</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Conversion of the Notes will, to the extent we deliver shares upon conversion of such Notes, dilute the ownership interest of existing stockholders and may otherwise have a negative impact on the trading price of our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conversion of some or all of the Notes will dilute the ownership interests of existing stockholders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Certain provisions in the indentures governing the Notes may delay or prevent an otherwise beneficial takeover attempt.*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provisions in the indenture governing the Notes may make it more difficult or expensive for a third party to acquire us. For example, the terms of each series of the Notes require us to offer to repurchase such Notes in the event of a fundamental change and, in certain circumstances, to increase the conversion rate for a holder that converts its Notes in connection with a make-whole fundamental change (as defined in the applicable indenture governing such Notes). A takeover of the Company may trigger the requirement that we offer to repurchase the Notes and/or increase the conversion rate of the Notes for a holder that elects to convert its Notes, which could make it more costly for a potential acquirer to engage in such takeover. These and other provisions set forth in the indenture may have the effect of delaying or preventing a takeover of the Company that would otherwise be beneficial to investors.</w:t>
      </w:r>
    </w:p>
    <w:p>
      <w:pPr>
        <w:pStyle w:val="TextBody"/>
        <w:bidi w:val="0"/>
        <w:spacing w:lineRule="auto" w:line="288" w:before="200" w:after="240"/>
        <w:jc w:val="left"/>
        <w:rPr>
          <w:rFonts w:ascii="Times New Roman;serif" w:hAnsi="Times New Roman;serif"/>
          <w:b/>
          <w:i/>
          <w:color w:val="231F20"/>
          <w:sz w:val="20"/>
        </w:rPr>
      </w:pPr>
      <w:r>
        <w:rPr>
          <w:rFonts w:ascii="Times New Roman;serif" w:hAnsi="Times New Roman;serif"/>
          <w:b/>
          <w:i/>
          <w:color w:val="231F20"/>
          <w:sz w:val="20"/>
        </w:rPr>
        <w:t>The Capped Call Transactions may affect the value of the Notes and our common stock.*</w:t>
      </w:r>
    </w:p>
    <w:p>
      <w:pPr>
        <w:pStyle w:val="TextBody"/>
        <w:bidi w:val="0"/>
        <w:spacing w:lineRule="auto" w:line="288" w:before="0" w:after="0"/>
        <w:ind w:left="0" w:right="0" w:firstLine="720"/>
        <w:jc w:val="left"/>
        <w:rPr/>
      </w:pPr>
      <w:r>
        <w:rPr>
          <w:rFonts w:ascii="Times New Roman;serif" w:hAnsi="Times New Roman;serif"/>
          <w:b w:val="false"/>
          <w:color w:val="231F20"/>
          <w:sz w:val="20"/>
        </w:rPr>
        <w:t xml:space="preserve">In connection </w:t>
      </w:r>
      <w:r>
        <w:rPr>
          <w:rFonts w:ascii="Times New Roman;serif" w:hAnsi="Times New Roman;serif"/>
          <w:b w:val="false"/>
          <w:color w:val="000000"/>
          <w:sz w:val="20"/>
        </w:rPr>
        <w:t>with</w:t>
      </w:r>
      <w:r>
        <w:rPr>
          <w:color w:val="231F20"/>
        </w:rPr>
        <w:t xml:space="preserve"> </w:t>
      </w:r>
      <w:r>
        <w:rPr>
          <w:rFonts w:ascii="Times New Roman;serif" w:hAnsi="Times New Roman;serif"/>
          <w:b w:val="false"/>
          <w:color w:val="231F20"/>
          <w:sz w:val="20"/>
        </w:rPr>
        <w:t>the issuance of the 2029 Notes, we entered into capped call transactions (the 2029 Capped Call Transactions) with certain financial institutions (the 2029 option counterparties) and in connection with the issuance of the 2032 Notes, we entered into capped call transactions (the 2032 Capped Call Transactions and, together with the 2029 Capped Call Transactions, the Capped Call Transactions) with certain financial institutions (the 2032 option counterparties and, together with the 2029 option counterparties, the option counterparties). The Capped Call Transactions are expected generally to reduce the potential dilution to our common stock upon any conversion of the applicable series of</w:t>
      </w:r>
      <w:r>
        <w:rPr>
          <w:color w:val="000000"/>
        </w:rPr>
        <w:t xml:space="preserve"> </w:t>
      </w:r>
      <w:r>
        <w:rPr>
          <w:rFonts w:ascii="Times New Roman;serif" w:hAnsi="Times New Roman;serif"/>
          <w:b w:val="false"/>
          <w:color w:val="231F20"/>
          <w:sz w:val="20"/>
        </w:rPr>
        <w:t>Notes and/or offset any cash payments we are required to make in excess of the principal amount of converted Notes, as the case may be, with such reduction and/or offset subject to a cap.</w:t>
      </w:r>
    </w:p>
    <w:p>
      <w:pPr>
        <w:pStyle w:val="TextBody"/>
        <w:bidi w:val="0"/>
        <w:spacing w:lineRule="auto" w:line="288" w:before="200" w:after="283"/>
        <w:ind w:left="0" w:right="0" w:firstLine="720"/>
        <w:jc w:val="left"/>
        <w:rPr/>
      </w:pPr>
      <w:r>
        <w:rPr>
          <w:rFonts w:ascii="Times New Roman;serif" w:hAnsi="Times New Roman;serif"/>
          <w:b w:val="false"/>
          <w:color w:val="231F20"/>
          <w:sz w:val="20"/>
        </w:rPr>
        <w:t xml:space="preserve">The option </w:t>
      </w:r>
      <w:r>
        <w:rPr>
          <w:rFonts w:ascii="Times New Roman;serif" w:hAnsi="Times New Roman;serif"/>
          <w:b w:val="false"/>
          <w:color w:val="000000"/>
          <w:sz w:val="20"/>
        </w:rPr>
        <w:t>counterparties</w:t>
      </w:r>
      <w:r>
        <w:rPr>
          <w:color w:val="231F20"/>
        </w:rPr>
        <w:t xml:space="preserve"> </w:t>
      </w:r>
      <w:r>
        <w:rPr>
          <w:rFonts w:ascii="Times New Roman;serif" w:hAnsi="Times New Roman;serif"/>
          <w:b w:val="false"/>
          <w:color w:val="231F20"/>
          <w:sz w:val="20"/>
        </w:rPr>
        <w:t>or their respective affiliates may modify their hedge positions by entering into or unwinding various derivatives with respect to our common stock and/or purchasing or selling our common stock or other securities of ours in secondary market transactions before the applicable maturity of the</w:t>
      </w:r>
      <w:r>
        <w:rPr>
          <w:color w:val="000000"/>
        </w:rPr>
        <w:t xml:space="preserve"> </w:t>
      </w:r>
      <w:r>
        <w:rPr>
          <w:rFonts w:ascii="Times New Roman;serif" w:hAnsi="Times New Roman;serif"/>
          <w:b w:val="false"/>
          <w:color w:val="231F20"/>
          <w:sz w:val="20"/>
        </w:rPr>
        <w:t>Notes. This activity could also cause or avoid an increase or a decrease in the market price of our common stock or the applicable series of</w:t>
      </w:r>
      <w:r>
        <w:rPr>
          <w:color w:val="000000"/>
        </w:rPr>
        <w:t xml:space="preserve"> </w:t>
      </w:r>
      <w:r>
        <w:rPr>
          <w:rFonts w:ascii="Times New Roman;serif" w:hAnsi="Times New Roman;serif"/>
          <w:b w:val="false"/>
          <w:color w:val="231F20"/>
          <w:sz w:val="20"/>
        </w:rPr>
        <w:t xml:space="preserve">Notes, which could affect a note holder’s ability to convert the Notes. </w:t>
      </w:r>
    </w:p>
    <w:p>
      <w:pPr>
        <w:pStyle w:val="TextBody"/>
        <w:bidi w:val="0"/>
        <w:spacing w:lineRule="auto" w:line="288" w:before="200" w:after="283"/>
        <w:ind w:left="0" w:right="0" w:firstLine="720"/>
        <w:jc w:val="left"/>
        <w:rPr/>
      </w:pPr>
      <w:r>
        <w:rPr>
          <w:rFonts w:ascii="Times New Roman;serif" w:hAnsi="Times New Roman;serif"/>
          <w:b w:val="false"/>
          <w:color w:val="231F20"/>
          <w:sz w:val="20"/>
        </w:rPr>
        <w:t xml:space="preserve">The </w:t>
      </w:r>
      <w:r>
        <w:rPr>
          <w:rFonts w:ascii="Times New Roman;serif" w:hAnsi="Times New Roman;serif"/>
          <w:b w:val="false"/>
          <w:color w:val="000000"/>
          <w:sz w:val="20"/>
        </w:rPr>
        <w:t>potential</w:t>
      </w:r>
      <w:r>
        <w:rPr>
          <w:color w:val="231F20"/>
        </w:rPr>
        <w:t xml:space="preserve"> </w:t>
      </w:r>
      <w:r>
        <w:rPr>
          <w:rFonts w:ascii="Times New Roman;serif" w:hAnsi="Times New Roman;serif"/>
          <w:b w:val="false"/>
          <w:color w:val="231F20"/>
          <w:sz w:val="20"/>
        </w:rPr>
        <w:t xml:space="preserve">effect, </w:t>
      </w:r>
      <w:r>
        <w:rPr>
          <w:rFonts w:ascii="Times New Roman;serif" w:hAnsi="Times New Roman;serif"/>
          <w:b w:val="false"/>
          <w:color w:val="000000"/>
          <w:sz w:val="20"/>
        </w:rPr>
        <w:t>if</w:t>
      </w:r>
      <w:r>
        <w:rPr>
          <w:color w:val="231F20"/>
        </w:rPr>
        <w:t xml:space="preserve"> </w:t>
      </w:r>
      <w:r>
        <w:rPr>
          <w:rFonts w:ascii="Times New Roman;serif" w:hAnsi="Times New Roman;serif"/>
          <w:b w:val="false"/>
          <w:color w:val="231F20"/>
          <w:sz w:val="20"/>
        </w:rPr>
        <w:t>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pStyle w:val="TextBody"/>
        <w:bidi w:val="0"/>
        <w:spacing w:lineRule="auto" w:line="288" w:before="200" w:after="283"/>
        <w:jc w:val="left"/>
        <w:rPr/>
      </w:pPr>
      <w:r>
        <w:rPr>
          <w:rFonts w:ascii="Times New Roman;serif" w:hAnsi="Times New Roman;serif"/>
          <w:b/>
          <w:i/>
          <w:color w:val="000000"/>
          <w:sz w:val="20"/>
        </w:rPr>
        <w:t xml:space="preserve">We are subject to counterparty risk with </w:t>
      </w:r>
      <w:r>
        <w:rPr>
          <w:rFonts w:ascii="Times New Roman;serif" w:hAnsi="Times New Roman;serif"/>
          <w:b/>
          <w:i/>
          <w:color w:val="231F20"/>
          <w:sz w:val="20"/>
        </w:rPr>
        <w:t>respect</w:t>
      </w:r>
      <w:r>
        <w:rPr>
          <w:color w:val="000000"/>
        </w:rPr>
        <w:t xml:space="preserve"> </w:t>
      </w:r>
      <w:r>
        <w:rPr>
          <w:rFonts w:ascii="Times New Roman;serif" w:hAnsi="Times New Roman;serif"/>
          <w:b/>
          <w:i/>
          <w:color w:val="000000"/>
          <w:sz w:val="20"/>
        </w:rPr>
        <w:t>to the Capped Call Transactions.*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option counterparties </w:t>
      </w:r>
      <w:r>
        <w:rPr>
          <w:rFonts w:ascii="Times New Roman;serif" w:hAnsi="Times New Roman;serif"/>
          <w:b w:val="false"/>
          <w:color w:val="231F20"/>
          <w:sz w:val="20"/>
        </w:rPr>
        <w:t>are</w:t>
      </w:r>
      <w:r>
        <w:rPr>
          <w:color w:val="000000"/>
        </w:rPr>
        <w:t xml:space="preserve"> </w:t>
      </w:r>
      <w:r>
        <w:rPr>
          <w:rFonts w:ascii="Times New Roman;serif" w:hAnsi="Times New Roman;serif"/>
          <w:b w:val="false"/>
          <w:color w:val="000000"/>
          <w:sz w:val="20"/>
        </w:rPr>
        <w:t xml:space="preserve">financial institutions, and we will be subject to the risk that any or all of them may default under the applicable Capped Call Transactions. If an option counterparty becomes subject to insolvency proceedings, we will become an unsecured creditor in those proceedings with a claim equal to our exposure at that time under the applicable Capped Call Transaction with such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Financial Results and Future Financings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operating results may fluctuate significantly from quarter to quarter.*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has been and may continue to be meaningful variability in our operating results from quarter to quarter, as well as within each quarter, especially around the time of anticipated new product launches or regulatory clearances, certifications, or approvals by us or our competitors, and as a result of the commercial launch of our products in geographies internationally. Our operating results, and the variability of these operating results, will be affected by numerous factors,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commercialize and sell our current and future products and our ability to increase sales and gross profit from our products, including insulin pumps and the related insulin cartridges and infusion sets;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the success of new sales models and strategies, including our pay-as-you-go pharmacy channel reimbursement model and our transition to direct sales in select countries outside the United States;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number and mix of our products sold in each quarter;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acceptance of our products by people with insulin-dependent diabetes, their caregivers, healthcare providers and third-party payors;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pricing of our products and competing products, including the use of discounts, rebates or other financial incentives by us or our competitors;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effect of third-party coverage and reimbursement policies, including changes by CMS to reimbursement rates and payment schedule through a competitive bidding process for insulin pumps;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maintain our existing infrastructure;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amount of, and the timing of the payment for, insurance deductibles required to be paid by our customers and potential customers under their existing insurance plans;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interruption in the manufacturing or distribution of our products, including as a result of our initiation of direct sales in select countries outside the United States beginning in 2026;</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simultaneously manufacture multiple products that meet quality, reliability and regulatory requirements;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seasonality and other factors affecting the timing of purchases of our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timing of new product offerings, acquisitions, licenses or other significant events by us or our competitors;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results of clinical research and trials on our existing and future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ability of our suppliers to timely provide us with an adequate supply of components that meet our requirements for product quality and reliability;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regulatory clearances, certifications, or approvals, or adverse regulatory or legal actions, affecting our products or those of our competitors;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timing of revenue and expense recognition associated with our product sales pursuant to applicable accounting standards.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pStyle w:val="TextBody"/>
        <w:bidi w:val="0"/>
        <w:spacing w:lineRule="auto" w:line="28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We may need or otherwise determine to raise additional funds in the future and if we are unable to raise additional funds when necessary or desirable, we may not be able to achieve our strategic objectives.*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$456.0 million in cash, cash equivalents and short-term investments. Our management expects the continued growth of our business, including the expansion of our customer service infrastructure to support our growing base of customers, expansion of commercial sales of our products internationally, the growth of our manufacturing and warehousing operations, and the increase of our facility footprint to accommodate additional headcount and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revenue generated by sales of our products, as well as the gross profits and gross margin we realize from such sales;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costs associated with maintaining and expanding an appropriate sales, marketing, clinical and customer service infrastructure;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expenses associated with developing and commercializing our proposed products or technologies, including capital expenditures we make to maintain or enhance our manufacturing operations and distribution capabilities;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of obtaining and maintaining regulatory clearance, certification, or approval for our products and our manufacturing facilities, and of ongoing compliance with other legal and regulatory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expenses we incur in connection with current or future litigation or governmental investigations;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expenses we may incur or other financial commitments we may make in connection with current and potential new acquisitions, investments, business or commercial collaborations, development agreements or licensing arrangements;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these and other factors we may in the future seek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Macroeconomic Conditions and External Factors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International trade policies, including tariffs, sanctions and trade barriers, may adversely affect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global economy, and our business depends on a global supply chain for the development, manufacturing, and distribution of our products, and for the advancement of our preclinical and clinical development programs. Based on the complex relationships between the United States and certain foreign countries, there is inherent risk that political, diplomatic and national security influences might lead to trade disputes, trade restrictions, tariffs and impacts and/or disruptions to our operations. There is currently significant uncertainty about the future relationship between the United States and China, Mexico, Canada, the European Union and other foreign countries, including uncertainty with respect to trade policies, treaties, tariffs, taxes, and other limitations on cross-border operations. We import various components, subcomponents and finished products from both Mexico and China and tariffs, trade barriers, and other regulatory requirements could have an adverse effect on our business, financial condition and operating results, the extent of which cannot be predicted with certainty at this time. While we currently rely on existing tariff exemptions, our pumps require FDA clearance, CE marking, and other regulatory approvals that specify our manufacturing processes and component suppliers, making changes to processes and/or suppliers that are less affected by tariffs, trade barriers or other regulatory requirements, difficult and costly. Changes to suppliers or manufacturing locations may require regulatory resubmissions and new approvals, a process that takes significant time and costs. These regulatory constraints significantly limit our ability to quickly adapt our supply chain in response to tariff changes. Moreover, the dynamic and unpredictable tariff and trade landscape creates substantial uncertainty and significant planning challenges for our operations. Changes in tariff classifications, exemptions, country-of-origin requirements, or customs procedures can occur with limited notice. This uncertainty complicates our long-term investment decisions regarding manufacturing facilities, supply chain optimization, and research and development locations.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Current or future tariffs could also result in increased research and development expenses, including with respect to increased costs associated with raw materials, laboratory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financial condition and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growth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growth prospects. In addition, tariff and trade developments have and may continue to heighten the risks related to the other risk factors described elsewhere in this report.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Uncertainty in current global economic and political conditions could adversely affect our ability to predict product demand and impact our financial results and make it more likely that our actual results could differ materially from expectations.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including as a result of political instability and military hostilities in certain geographies, concerns over the potential downgrade of United States sovereign debt and continued sovereign debt, monetary and financial uncertainties in Europe and other geographies, and domestic and global inflationary trends, any of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Public health threats, epidemics, or pandemics could have a material adverse effect on our operations, the operations of our business partners, and the global economy as a whole.*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Public health threats and other highly communicable diseases and outbreaks could adversely impact our operations, the operations of our customers, suppliers, distributors and other business partners, as well as the healthcare system in general. For example, certain development activities, such as human factors studies associated with our product development efforts and activities supporting the manufacturing scale-up for new products and the recruitment of participants in ongoing clinical studies, may be modified or delayed due to impacts of public health threats, which could negatively impact our development timelines and regulatory strategies. These delays could have a negative impact on our product commercialization efforts and the future demand for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foregoing impacts, disruptions from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incidence of disease could have a material adverse impact on the operations of our suppliers, which could prevent them from timely delivering products to us or supporting our requirements for manufacturing-related equipment. The full extent of the impact of potential future public health threats on our business and operations is subject to change and will continue to depend on a number of factors, including the scope and duration of the public health threats and any resulting changes to general economic conditions in the countries in which we operate and sell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Because our business is global, our sales and profits may fluctuate or decline in response to changes in foreign currency exchange rates or other international risks.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International sales accounted for about 30% of our total sales during 2025. Foreign currency fluctuations could result in volatility of our revenue and expenses. In addition, we are exposed to transaction risk because we incur some of our sales and expenses in currencies other than the U.S. dollar. Our most significant currency exposures are to the Canadian dollar, the Euro and Swiss franc, and the exchange rates between these currencies and the U.S. dollar may fluctuate substantially. The strengthening of the U.S. dollar would likely negatively impact our results. We price some of our products in U.S. dollars, and thus changes in exchange rates can make our products more expensive in some offshore markets and reduce our sales. Inflation could also make our products more expensive and increase the credit risks to which we are exposed. In 2025, we began actively hedging our exposure to currency rate fluctuations; however, future foreign currency fluctuations are difficult to predict and there is no guarantee that our foreign currency hedging transactions will have the desired effect. As a result of these hedging transactions and future foreign currency fluctuations, the volatility of our sales, profitability, and stock price could increase and be favorably or unfavorably impacted. These and other risks may have a material adverse effect on our business, financial condition and results of operations as a whole.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effects of inflation could adversely affect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Inflation has the potential to negatively impact our liquidity, business, financial condition, and results of operations by increasing our overall cost structure. The presence of inflation in the economy has led to, and may continue to lead to, higher interest rates, increased capital costs, supply shortages, and rising labor, component, manufacturing, and shipping costs, along with weaker exchange rates and other similar effects. As a result, we have experienced, and may continue to experience, higher costs. While we may implement measures to mitigate inflation's impact, if these measures prove ineffective, our business, financial condition, results of operations, and liquidity could be significantly harmed. Even if these measures are successful, there may be a delay between the implementation of these actions and their effect on our operations, compared to when the inflationary costs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Privacy and Security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and may become subject to stringent and evolving United States and foreign laws, regulations, and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sales or profits; loss of customers; and other adverse business consequences.*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process personal data. Our data processing activities may subject us to numerous data privacy and security obligations, such as various laws, regulations, guidance, industry standards, external and internal data privacy and security policies, and contractual requirements.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United States laws govern the privacy and security of personal data, including data breach notification laws, data privacy laws, consumer protection laws (e.g., Section 5 of the Federal Trade Commission Act), and other laws at the federal and state levels (e.g., wiretapping laws). For example, the United States Health Insurance Portability and Accountability Act of 1996 (HIPAA), as amended by the Health Information Technology for Economic and Clinical Health Act of 2009 (HITECH), imposes specific requirements relating to the privacy, security, and transmission of individually identifiable protected health information.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another example, the Controlling the Assault of Non-Solicited Pornography and Marketing Act of 2003 (CAN-SPAM) and the Telephone Consumer Protection Act of 1991 (TCPA) impose specific requirements on communications with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Numerous U.S. states have enacted comprehensive data privacy laws that impose certain obligations on covered businesses, including providing specific disclosures in privacy notices and affording residents with certain rights concerning their personal data. The exercise of these rights may impact our business and ability to provide our products and services. These state laws also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also allows private litigants affected by certain data breaches to recover significant statutory damages. Similar laws are being considered in several other states, as well as at the federal and local levels, and we expect more states to pass similar laws in the future. The CCPA and other comprehensive U.S. state privacy laws exempt some data processed in the context of clinical trials, but these developments may further complicate compliance efforts, and increase legal risk and compliance costs for us and the third parties with whom we work.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Internationally, an increasing number of laws, regulations, and industry standards govern data privacy and security, including breach notification laws. For example, GDPR and Canada’s Personal Information Protection and Electronic Documents Act (PIPEDA) or the applicable provincial alternatives, impose strict requirements for processing personal data.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under the GDPR, companies may face temporary or definitive bans on personal data processing and other corrective actions; fines of up to 20 million Euros under the EU GDPR / 17.5 million Pounds Sterling under the UK GDPR or, in each case, 4% of annual global sales, whichever is greater; or private litigation related to processing of personal data brought by classes of data subjects or consumer protection organizations authorized at law to represent their interests.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regulators are increasingly scrutinizing companies that process children’s data. Numerous laws, regulations, and legally binding codes, such as the Children’s Online Privacy Protection Act (COPPA), California’s Age Appropriate Design Code, the CCPA, other U.S. state comprehensive privacy laws, the GDPR, and the UK Age Appropriate Design Code impose various obligations on companies that process children’s data, including requiring certain consents to process such data and extending certain rights to children and their parents with respect to that personal data or verifying a user’s age.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employees and personnel may use Artificial Intelligence (AI) technologies (including generative AI) to perform their work. The use and disclosure of personal data in AI technologies is subject to various data privacy laws and other data privacy obligations. Governments have passed and are likely to pass additional laws regulating generative AI. Our use of this technology could result in additional compliance costs, regulatory investigations and actions, and lawsuits. If we are unable to use AI, it could make our business less efficient and result in competitive disadvantages.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may transfer personal data from Europe and other jurisdictions to the United States or other countries. Europe and other jurisdictions have enacted laws requiring certain data to be localized or limiting the transfer of personal data to other countries. In particular, the European Economic Area (EEA) and the UK have significantly restricted the transfer of personal data to the United States and other countries whose data privacy laws it deems inadequate. Other jurisdictions may adopt or have already adopted similarly stringent data localization and cross-border data transfer laws. Although there are currently various mechanisms that may be used to transfer personal data, these mechanisms are subject to legal challenges. If these legal challenges change or invalidate these transfer mechanisms, there is no assurance that we can satisfy or rely on these measures to lawfully transfer personal data to the United States. If there is no lawful mechanism for us to transfer personal data, or if the requirements for a legally compliant transfer are too onerous, we could face significant adverse consequences. Additionally, companies that transfer personal data out of the EEA and UK to other jurisdictions, particularly to the United States, are subject to increased scrutiny from regulators, individual litigants, and activist groups.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U.S. Department of Justice issued a rule entitled the Preventing Access to U.S. Sensitive Personal Data and Government-Related Data by Countries of Concern or Covered Persons, which places additional restrictions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under various privacy laws and other obligations, we may be required to obtain certain consents to process personal data. For example, some of our data processing practices may be challenged under wiretapping laws, if we share consumer information with third parties through various methods. These practices may be subject to increased challenges by class action plaintiffs. Our inability or failure to obtain consent for these practices could result in adverse consequences, including class action litigation and mass arbitration demands.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data privacy and security laws, we are contractually subject to industry standards adopted by industry groups. For example, we are subject to the Payment Card Industry Data Security Standard (PCI DSS). We are also bound by other contractual obligations related to data privacy, including those imposed by our payors and business partners, including obligations to comply with applicable data privacy laws. Our failure to comply with our contractual obligations may result in a loss of sales, loss of existing and future business opportunities, and payment of financial damages to the other parties involved. We publish privacy policies, marketing materials and other statements, such as compliance with certain certifications or self-regulatory principles,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become subject to new laws that regulate non-personal data.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data outside the EEA. Depending on how this act and any similar laws are implemented and interpreted, we may have to adapt our business practices, contractual arrangements, and products and services to comply with such obligations.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our employees and personnel or third parties with whom we work may fail to comply with such obligations, which could negatively impact our business operations.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or the third parties with whom we work fail, or are perceived to have failed to address or comply with applicable data privacy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of personal data; orders to destroy or not use personal data; and imprisonment of company officials. In particular, plaintiffs have become increasingly more active in bringing data privacy-related claims against companies, including ours, which may include class claims and mass arbitration demands. Some of these claims allow for the recovery of statutory damages on a per violation basis; if viable, these claims carry the potential for monumental statutory damages, depending on the volume of personal data and the number of violations.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information technology systems or those of third parties with whom we work,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sales or profits; loss of customers; and other adverse consequences.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efficient operation of our business depends on our information technology and communication systems, as well as those of third parties with whom we work. We and the third parties with whom we work process confidential, personal, or other sensitive data, including health information, proprietary sales and marketing data, accounting and financial information, manufacturing and quality records, inventory management data, product development tasks, research and development data, customer service and technical support information.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systems, those of the third parties with whom we work, and the underlying data are vulnerable to damage or interruption from a variety of threats, including without limitation earthquakes, fires, floods, other natural disasters, terrorist attacks, social-engineering attacks (including phishing and deep fakes, which may be increasingly more difficult to identify as fake), malicious code (such as viruses and worms), malware (including as a result of advanced persistent threat intrusions), denial-of-service attacks, credential stuffing, credential harvesting, supply chain attacks, personnel misconduct or error, ransomware attacks, software bugs, server malfunctions, software or hardware failures, loss of data or other information technology assets, adware, attacks enhanced or facilitated by AI, and other similar threats. Notably, severe ransomware attacks are becoming increasingly prevalent. Extortion payments may alleviate the negative impact of a ransomware attack, but we may be unwilling or unable to make such payments due to, for example, applicable laws or regulations prohibiting such payments.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insulin pumps and other products rely on software and hardware, some of which is developed by third parties with whom we work, that could contain vulnerabilities. We take steps designed to detect, mitigate and remediate vulnerabilities in our information systems (such as our hardware and/or software, including that of third parties with whom we work) and products, but we may not be able to detect, mitigate, and remediate such vulnerabilities, including on a timely basis. Further, we may experience delays in developing and deploying remedial measures and patches designed to address identified vulnerabilities. Our risks may increase significantly due to the use of mobile and cloud-based applications in our medical devices. For example, while our Tandem Device Updater is designed to give us the ability to quickly recover from certain risks and/or vulnerabilities, the use of mobile applications enables third parties to store their information on mobile devices that we do not control. The Tandem Device Updater may also not operate as intended if the software being transmitted contains errors, vulnerabilities or viruses. Vulnerabilities in our products and information systems could be exploited and result in a security incident. In addition to vulnerabilities, the reliance of our insulin pumps and other products on software and hardware exposes us and our customers to risks that may impact the performance of our products. For example, in March 2024, we issued a recall of our Apple iOS t:connect mobile app in the United States relating to an issue that could cause rapid depletion of a user’s t:slim X2 insulin pump battery (the March 2024 Recall). On August 20, 2024, we released an updated version of the impacted app to correct the issue described in the March 2024 Recall. In addition, in July 2025, we issued a voluntary medical device correction for select t:slim X2 insulin pumps to address a potential speaker-related issue that was capable of triggering an error resulting in discontinuation of insulin delivery.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 previously identified or similar threats and risks could in the future, as they have in the past, cause a security incident or other interruption that could result in the unauthorized, unlawful or accidental disclosure, access, acquisition, modification, destruction, loss, alteration, or encryption of our sensitive information or our information technology systems or those of the third parties with whom we work. A security incident or other interruption could disrupt our ability (and that of third parties with whom we work) to provide our products and services.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many of the third parties with whom we work are subject to similar risks. We rely on third parties and technologies to operate critical business systems to process sensitive information in a variety of contexts, including, without limitation, cloud-based infrastructure, data center facilities, encryption and authentication technology, employee email, and other functions and systems. Our ability to monitor information security practices of these third parties is limited, and these third parties may not have adequate information security measures in place. If the third parties with whom we work experience a security incident or other interruption, we could experience adverse consequences. While we may be entitled to damages if these third parties fail to satisfy their privacy- or security-related obligations to us, any award may be insufficient to cover our damages, or we may be unable to recover such an award. In addition, supply chain attacks have increased in frequency and severity, and we cannot guarantee that infrastructure belonging to these third parties in our supply chain, or the supply chains of third parties with whom we work have not been compromised.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remote work has increased risks to our information technology systems and data.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expend significant resources or modify our business activities to try to protect against security incidents. Certain data privacy and security obligations may require us to implement and maintain reasonable or specific security measures or industry standards to protect our information technology systems and sensitive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data privacy and security obligations may require us, or we may voluntarily choose, to notify relevant stakeholders of security incidents, or to take other actions. Such disclosures and related actions can be costly, and the disclosure or the failure to comply with applicable requirements could lead to adverse consequences.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or a third party with whom we work experience a security incident, or are perceived to have experienced a security incident, we may experience adverse consequences, such as government enforcement actions (e.g., investigations, fines, penalties, audits, and inspections); additional reporting requirements and/or oversight; restrictions on processing sensitive information including personal data, litigation including class claims and mass arbitration demands; indemnification obligations; negative publicity; reputational harm; loss of investor, partner or customer confidence in the effectiveness of our cybersecurity measures; monetary fund diversions; diversion of management attention; interruptions in our operations including availability of data; financial loss; and other similar harms. Security incidents and attendant consequences may cause customers to stop using our products, prevent customers from using our products, deter new customers from using our products, and negatively impact our ability to grow and operate our business.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sensitive information could be leaked, disclosed, or revealed as a result of or in connection with our employees, personnel, or third parties with whom we work using generative artificial intelligence (AI) or machine learning (ML) technologies (collectively, AI/ML technologies). Any sensitive information, including confidential, competitive, proprietary, or personal data, that we input into a third-party generative AI platform could be leaked or disclosed to others, including if sensitive information is used to train the third parties’ AI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Cyberattacks aimed at our devices, products, services, or related systems, with the intent to alter or misuse them in ways that are inconsistent with our FDA clearances and approvals, could pose risks to users.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Medical devices are increasingly connected to the internet, personal technology devices, hospital networks, and other medical devices to enhance healthcare features, improve treatment capabilities for healthcare providers, and help patients manage their conditions. However, these same advancements can also heighten cybersecurity risks, including the potential for unauthorized access and misuse by third parties. As a result, cyberattacks that infiltrate, disrupt, or compromise our devices, products, services, or related systems could affect the quality-of-care patients receive or compromise the confidentiality of patient information. Additionally, any alteration or misuse of these devices, products, or services in ways that are inconsistent with our FDA clearances and approvals could create risks for users and expose the Company to potential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Legal and Intellectual Property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ability to comprehensively protect our intellectual property and proprietary technology is uncertain.*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primarily on patent, trademark and trade secret laws, as well as confidentiality and non-disclosure agreements, to protect our proprietary technologies. However, such methods may not be adequate to protect us or permit us to gain or maintain a competitive advantage. 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Due to differences between foreign and U.S. patent laws, our patented intellectual property rights may not receive the same degree of protection in foreign countries as they would in the United States. Even if patents are granted internationally, effective enforcement in those countries may not be available.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AI tools may be used within the Company for product development, software engineering, data analysis, and related processes. The use of AI tools may create risks involving ownership, protection, and enforcement of intellectual property; inadvertent disclosure of trade secrets or proprietary information; infringement or misappropriation claims; uncertainty over rights in AI-assisted outputs; and reliance on third-party AI tools and vendors. These risks could require redesign, delay development or regulatory activities, increase costs, impair competitive advantages, or expose the Company to litigation or liability.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protect our proprietary rights, we may in the future need to assert claims of infringement against third parties, which may be difficult, expensive and time consuming. The outcome of litigation to enforce our intellectual property rights in patents, copyrights, trade secrets or trademarks is subject to rapid change and constant evolution and, consequently, intellectual property protection in our industry can be uncertain. We may not prevail in any lawsuits that we initiate and the damages or other remedies awarded, if any, may not be commercially valuable. In the event of an adverse judgment, a court could hold that some or all of our asserted intellectual property rights are not infringed, or are invalid or unenforceable, and could award attorneys’ fees. The occurrence of any of these events may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Patent litigation in the medical device industry is common, and we may be subject to litigation that could cause us to incur substantial costs and divert the attention of management from our business.*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Our success will depend in part on not infringing the patents or violating the other proprietary rights of third parties. While we review third party patents in advance of product launches to try to identify and avoid any infringement concerns, the large number of patents, the rapid rate of new patent issuances, and the complexity of the technology involved mean that there can be no assurance that all potentially relevant patents are identified or that our products do not infringe existing patents or patents that may be granted in the future.</w:t>
      </w:r>
      <w:r>
        <w:rPr>
          <w:color w:val="000000"/>
        </w:rPr>
        <w:t xml:space="preserve"> </w:t>
      </w:r>
      <w:r>
        <w:rPr>
          <w:rFonts w:ascii="Times New Roman;serif" w:hAnsi="Times New Roman;serif"/>
          <w:b w:val="false"/>
          <w:color w:val="000000"/>
          <w:sz w:val="20"/>
        </w:rPr>
        <w:t>As such, there is a risk that third parties may assert patent infringement claims against us. Despite our efforts to avoid infringement and to resolve any claims that may arise, litigation may be necessary to defend against these claims, which could result in substantial costs and diversion of resources and may have a material adverse effect on our business, financial condition, and results of operations. Our competitors in both the United States and international markets may have applied for or obtained or may in the future apply for and obtain, patents that will prevent, limit or otherwise interfere with our ability to make and sell our current products or products under development.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receive communications from third parties alleging our infringement of their intellectual property rights or offering a license to their intellectual property relating to products that we are currently developing could require us to do one or more of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stop selling current products, developing new products or using technology that allegedly infringes on third-party intellectual property;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try to obtain a license to intellectual property from the third parties, which may not be available on reasonable terms or at all;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try to re-design our products around third-party intellectual property;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incur significant royalty payments and legal expenses; or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pay substantial damages to the party whose intellectual property rights we are allegedly infringing.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we were involved in a multi-year patent dispute with F. Hoffman-La Roche AG and Roche Diabetes Care GmbH until our entry into a settlement agreement in May 2025. See Note 2, “Summary of Significant Accounting Policies” to the unaudited condensed consolidated financial statements included in this Quarterly Report.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maintain insurance to cover the expense or any liability that may arise from an intellectual property dispute. Any litigation or claim against us may cause us to incur substantial costs, divert the attention of management from our business and harm our reputation. Further, as we launch new products, increase our sales and expand the geographic regions in which we commercialize our products, we believe the likelihood of our involvement in intellectual property disputes will increase.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damages resulting from claims that we, or our employees, have wrongfully used or disclosed trade secrets or other proprietary information of our competitors.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our employees were previously employed at other medical device companies, including those that are our competitors or could become our competitors. We may be subject to claims that we, or our employees, have used or disclosed trade secrets or other proprietary information. In addition, we have in the past been, and may in the future, be subject to allegations that we caused an employee to breach the terms of his or her non-competition or non-solicitation agreement. Even if we successfully defend against these claims, any resulting litigation could cause us to incur substantial costs, divert the attention of management from our business and harm our reputation. If our defense of those allegations fails, in addition to paying monetary damages, we may lose valuable intellectual property rights or key personnel. A loss of key personnel or intellectual property rights could limit our ability to commercialize products, which could have an adverse effect on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incur product liability losses, and insurance coverage may be inadequate or unavailable to cover these losses.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Our business exposes us to potential product liability claims that are inherent in the medical device industry. We are subject to product liability lawsuits alleging that component failures, manufacturing defects, design defects, or inadequate disclosure of product-related risks or information resulted in an unsafe condition, injury or death to customers. The risk of product liability claims may be even greater after we launch new products with new features or enter new markets where we have no prior experience selling our products. In addition, the misuse of our products or the failure of customers to adhere to operating guidelines could cause significant harm to customers, which could result in product liability claims. Product liability lawsuits and claims, safety alerts or product recalls could cause us to incur substantial costs, divert the attention of management from our business, harm our reputation and adversely affect our ability to attract and retain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maintain third-party product liability insurance coverage, it is possible that claims against us may exceed the coverage limits of our insurance policies. Even if any product liability loss is covered by an insurance policy, these policies have substantial deductibles. In addition, we expect the cost of our product liability insurance will increase as our sales increase.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and make it more difficult to obtain insurance coverage in the future.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Adhering to regulations concerning public company corporate governance and reporting requirements may place a strain on our resources and distract management from other priorities.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Numerous laws and regulations, particularly those enacted under the Sarbanes-Oxley Act of 2002, the Dodd-Frank Wall Street Reform and Consumer Protection Act, new SEC rules, and Nasdaq Stock Market listing requirements, impose obligations on public companies like ours. These have expanded the scope, complexity, and cost of corporate governance, reporting, and disclosure practices. Complying with these laws, including new disclosure requirements, has required and will continue to require substantial management time and oversight, as well as significant accounting and legal expenses. Additionally, changes to accounting rules or standards, such as a potential mandate for U.S. companies to prepare financial statements using International Financial Reporting Standards, could negatively impact our financial results and business, potentially leading to higher accounting fees. These laws and regulations, often vague in their details, are subject to interpretation, and their application may evolve as new guidance emerges from regulatory bodies. This uncertainty could lead to higher costs due to ongoing updates in governance and disclosure practices. We plan to continue investing resources to comply with these evolving laws and regulations, which may increase general and administrative expenses and divert management’s attention from revenue-generating activities to compliance efforts. If our compliance efforts differ from regulatory expectations due to ambiguities in the laws, authorities may initiate legal action, which could negatively impact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Regulatory Environment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products and operations are subject to extensive governmental regulation, and failure to comply with applicable requirements could cause our business to suffer.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medical device industry is regulated extensively by governmental authorities, principally the FDA and corresponding state regulatory agencies in the United States, foreign regulatory authorities, and Notified Bodies in the EU.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United States governmental agencies and comparable foreign regulatory authorities and Notified Bodies regulate numerous elements of our business,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product design and development;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pre-clinical and clinical testing and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product safety;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establishment registration and product listing;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labeling, packaging and storage;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marketing, manufacturing, sales and distribution;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import and export;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pre-market clearance, certification, or approval;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servicing and post-market surveillance;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advertising and promotion;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recalls and field safety corrective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we can market or sell a new regulated product or a significant modification to an existing product in the United States, we must obtain either clearance under Section 510(k) of the Food, Drug and Cosmetic Act (510(k) or approval of a PMA application from the FDA, unless an exemption from pre-market review applies. The process of obtaining regulatory clearances, certification, or approvals to market a medical device can be costly and time-consuming, which may be exacerbated if the FDA or other comparable regulatory authorities or Notified Bodies in the EU changes their clearance, certification, and approval policies, and we may not be able to obtain these clearances, certification for our proposed products or approvals on a timely basis or at all, including as a result of:</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inability to demonstrate that our products are safe and effective for their intended users;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the data from our pre-clinical studies or clinical trials may be insufficient to support clearance, certification, or approval; or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failure of the manufacturing process or facilities we use to meet applicable requirements.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delay in, or failure to receive or maintain, clearance, certification, or approval for our products under development could prevent us from generating sales from these products or achieving profitability. Further, regulatory enforcement or inquiries, or other increased scrutiny on us, could dissuade some customers from using our products and adversely affect our reputation and the perceived safety and efficacy of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been audited or inspected by various regulatory authorities and Notified Bodies on numerous occasions. We also regularly respond to routine inquiries from regulatory authorities and Notified Bodies. In some instances, these audits, inspections and inquiries result in findings that require us to take corrective actions, which could include changes to our internal policies, procedures or operations, revisions to our product labeling, issuances of customer notifications or the initiation of product recalls, any of which could result in product liability claims and lawsuits. Our failure to appropriately respond to these findings and take corrective action, or to comply with applicable regulations for any other reason, could jeopardize our ability to sell our products and result in enforcement actions such as fines, civil or criminal penalties, injunctions, warning letters, product recalls, operating restrictions, interruption of production, delays in the introduction of products into the market, refusal of the FDA or other comparable foreign regulatory authorities or Notified Bodies to grant future clearances, certification, or approvals, and the suspension or withdrawal of existing clearances, certifications, or approvals by the FDA, other comparable foreign regulatory authorities or Notified Bodies.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New products or modifications to our existing products may require new 510(k) clearances, PMAs, CE Marks or other certifications, or may require us to cease marketing or recall the modified products until clearances, certifications or approvals are obtained.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those medical devices sold in the EU and for which we have obtained a CE Certificate of Conformity by a Notified Body, we must notify the Notified Body that carried out the conformity assessment of the medical devices we market or sell in the EEA of any planned significant changes to the products or if there are substantial changes to our quality assurance systems affecting those products. The Notified Body will then assess the changes and determine whether additional audits or actions are required prior to their implementation. Obtaining variation of existing CE Certificates of Conformity or a new CE Certificate of Conformity can be a time-consuming process, and delays in obtaining required future clearances, certifications or approvals would adversely affect our ability to introduce new or enhanced products in a timely manner, which in turn would harm our future growth. Moreover, any substantial changes that take place in the coming years may impact the continuing validity of our CE Certificates of Conformity that were issued on the basis of the Medical Device Directive.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 recall or suspension of our products, or the discovery of serious safety issues with our products, could have a significant negative impact on us.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 We have initiated voluntary recalls and medical device corrections in the past.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under the FDA’s Medical Device Reporting regulations and equivalent regulations and requirements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be required to conduct costly post-market testing and surveillance to monitor the safety or effectiveness of our products in the EU.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CE Certificates of Conformity, product seizures, injunctions or the imposition of civil or criminal penalties that would adversely affect our business, operating results and prospects. In addition, we have in the past relied on our distributors for assistance with market surveillance in Europe and we may face additional challenges in responding to a voluntary or mandatory recall, requirement to repair or similar corrective action as a result of our recent and ongoing transition to direct sales in select European countries.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failure to comply with United States federal and state fraud and abuse laws, including anti-kickback laws and other United States federal and state anti-referral laws, or comparable foreign legislation, could have a material, adverse impact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United States has numerous federal and state laws pertaining to healthcare fraud and abuse. Violations of these laws are punishable by criminal and civil sanctions, including imprisonment, significant monetary penalties and exclusion from participation in federal funded programs such as Medicare and Medicaid.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Healthcare fraud and abuse regulations are complex and evolving. Minor irregularities can potentially give rise to claims. The laws that may affect our ability to operate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federal and state Anti-Kickback Statutes, which prohibit,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and state false claims laws which prohibit, among other things, persons from knowingly presenting, or causing to be presented, false or fraudulent claims for payment to Medicare, state Medicaid programs, or other third-party payors;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and state physician self-referral laws, such as the Stark Law, which prohibit a physician from referring Medicare or Medicaid patients to an entity providing “designated health services,” including a company that furnishes durable medical equipment, with which the physician or their immediate family member has a financial relationship unless that financial relationship meets an exception under the applicable law;</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criminal laws enacted as part of HIPAA that prohibit, among other things, executing a scheme to defraud any healthcare benefit program or making false statements relating to healthcare matters;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and state disclosure laws, such as the Physician Payments Sunshine Act, which require certain manufacturers, including medical device manufacturers, to submit annual data pertaining to payments or other transfers of value to covered recipients, including physicians and certain other healthcare providers, and teaching hospitals, as well as information regarding ownership and investment interests held by physicians and their immediate family members;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and state laws governing the use, disclosure and security of personal information, including protected health information, such as HIPAA and the HITECH;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foreign and United States state law equivalents of each of the above federal laws which may apply to items or services reimbursed by any third-party payor, including commercial insurers. Additionally, some state and local laws require certain regulatory licenses to manufacture or distribute our products commercially and/or the registration of medical sales representatives in the jurisdiction.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Internationally, interactions between medical device companies and healthcare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relationships with healthcare providers and other third parties are subject to scrutiny under these laws. Violations of any of these laws and other applicable healthcare fraud and abuse laws may be punishable by criminal and civil sanctions, including significant fines and civil monetary penalties, the possibility of exclusion from federal healthcare programs (including Medicare and Medicaid), disgorgement and corporate integrity agreements, which impose, among other things, rigorous operational and monitoring requirements on companies. Any action against us for violation of these laws, even if we successfully defend against it, could result in a material adverse effect on our reputation, business, financial condition and operating results. Federal government agencies continue to issue proposed and final rules implementing additional process, controls and guidelines for compliance under these laws with which we will be required to comply. We cannot predict the impact of any changes in these laws and whether they might be retroactive. Further, the United States Department of Justice (DOJ) in conjunction with other federal agencies, has increased its scrutiny of interactions between healthcare companies and healthcare providers. Adjusting to new regulatory guidelines and responding to investigations can be time and resource-consuming and can divert management’s attention from our core business. Additionally, if we settle an investigation, we may be forced to agree to additional onerous compliance and reporting requirements as part of a consent decree or corporate integrity agreement. All of the foregoing could increase our costs or otherwise have an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scope and enforcement of these laws is uncertain and subject to rapid change in the current environment of healthcare reform. Our current or future activities could be subject to challenge under these laws. Any of these challenges could have a material adverse effect on our reputation, business, financial condition and operating results.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Legislative or regulatory healthcare reforms, or other regulatory reforms, may result in downward pressure on the price of and decrease reimbursement for our products, and uncertainty regarding the healthcare regulatory environment could have a material adverse effect on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For example, the Patient Protection and Affordable Care Act, as amended by the Health Care and Education Reconciliation Act (collectively, the Affordable Care Act or “ACA”) has substantially changed the way healthcare is financed by both governmental and private insurers and encourages improvements in the quality of healthcare items and services. In the future, additional changes could be made to governmental healthcare programs that could significantly impact the success of our products. This legislation and regulation may result in decreased reimbursement for medical devices, which may create additional pressure to reduce the prices charged for medical devices. Reduced reimbursement rates could significantly decrease our sales, which in turn would place significant downward pressure on our gross margins and impede our ability to become profitable.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on August 16, 2022, the Inflation Reduction Act of 2022 (the IRA 2022) was signed into law, which among other things, extends enhanced subsidies for individuals purchasing health insurance coverage in the Affordable Care Act marketplaces through plan year 2025. The IRA 2022 also eliminates the “donut hole” under the Medicare Part D program beginning in 2025 by significantly lowering the beneficiary maximum out-of-pocket cost and through a newly established manufacturer discount program. In addition,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the Affordable Care Act marketplace exchange enrollment and declined to extend the Affordable Care Act enhanced advanced premium tax credits, which expired at the end of 2025, which, among other provisions in the law, are anticipated to reduce the number of Americans with health insurance. Congress is considering proposed legislation intended to further reduce healthcare costs with alternatives to replace the expired ACA subsidies.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current administration recently called on Congress to enact “The Great Healthcare Plan,” to codify and expand Most-Favored Nation pricing, lower government subsidies to private insurance companies, increase healthcare price transparency, and enact restrictions on pharmacy benefit manager, or PBM, payment methodologies, among other things. In addition, on December 2, 2025, CMS finalized its proposed competitive bidding process for some medical equipment, including continuous glucose monitors and insulin pumps that could affect reimbursement rates for our products. CMS also finalized a change in payment for these devices to a monthly rental basis which could impact when our pumps are shipped and corresponding sales are recognized.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EU (and in Northern Ireland), the MDR became applicable on May 26, 2021, repealing and replacing both the MDD and Directive 90/385/EEC on active implantable medical devices. The MDR establishes transitional provisions. However, the changes to the regulatory system implemented in the EU by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additional requirements for the quality management system, additional requirements for traceability of products and transparency as well as refined responsibility of economic operators. We are also required to provide clinical data in the form of a clinical evaluation report. Fulfillment of the obligations imposed by the MDR may cause us to incur substantial costs. We may be unable to fulfil these obligations, or our Notified Body may consider that we have not adequately demonstrated compliance with our related obligations to merit a CE Certificate of Conformity on the basis of the MDR. </w:t>
      </w:r>
    </w:p>
    <w:p>
      <w:pPr>
        <w:pStyle w:val="TextBody"/>
        <w:bidi w:val="0"/>
        <w:spacing w:before="20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Recent changes to the European Union regulatory framework for medical devices may materially impact our operations, product availability, compliance costs, and market access in the EU. </w:t>
      </w:r>
      <w:r>
        <w:rPr>
          <w:rFonts w:ascii="Times New Roman;serif" w:hAnsi="Times New Roman;serif"/>
          <w:b w:val="false"/>
          <w:color w:val="000000"/>
          <w:sz w:val="20"/>
          <w:shd w:fill="FFFFFF" w:val="clear"/>
        </w:rPr>
        <w:t>In July 2024, Regulation (EU) 2024/1860 (the Regulation) entered into application. The Regulation imposes new manufacturer obligations, including mandatory pre</w:t>
        <w:noBreakHyphen/>
        <w:t xml:space="preserve">notification of supply interruptions starting January 10, 2025. In addition, the Regulation introduces the gradual rollout of EUDAMED, the EU’s central database for medical devices and diagnostics. As of May 28, 2026, the use of the first four modules is mandatory: actor registration, UDI/Devices registration, notified bodies and certificates, and Market Surveillance. </w:t>
      </w:r>
      <w:r>
        <w:rPr>
          <w:rFonts w:ascii="Times New Roman;serif" w:hAnsi="Times New Roman;serif"/>
          <w:b w:val="false"/>
          <w:color w:val="000000"/>
          <w:sz w:val="20"/>
        </w:rPr>
        <w:t>Failure to meet these new requirements may result in regulatory actions, restrictions on our ability to market our products in the EU, delays in product availability, reputational harm, or loss of sales. Furthermore, on December 16, 2025, the European Commission published a proposal to amend the MDR with the stated objective of simplifying and reducing the regulatory burden, addressing certification bottlenecks, and improving predictability while maintaining patient safety. The proposal includes broad changes, such as more flexible clinical</w:t>
        <w:noBreakHyphen/>
        <w:t xml:space="preserve">evidence pathways, removal of fixed certificate validity periods, and adjustments to classification rules that may shift certain devices into lower risk categories.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evolving nature of the EU regulatory environment creates uncertainty, and additional amendments or guidance could further increase compliance burden or disrupt market access for certain products. These factors, individually or collectively, could have a material adverse effect on our business, financial condition, and results of operations.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Moreover, in the EU, some EU Member States may, after a medical device is CE marked, require the completion of additional studies that compare the cost-effectiveness of a particular medical device candidate to currently available therapies. This Health Technology Assessment (HTA) process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devices will often influence the pricing and reimbursement status granted to these products by the competent authorities of individual EU Member States. At the EU level, o</w:t>
      </w:r>
      <w:r>
        <w:rPr>
          <w:rFonts w:ascii="Times New Roman;serif" w:hAnsi="Times New Roman;serif"/>
          <w:b w:val="false"/>
          <w:color w:val="000000"/>
          <w:sz w:val="20"/>
          <w:shd w:fill="FFFFFF" w:val="clear"/>
        </w:rPr>
        <w:t>n January 12, 2025, Regulation No. 2021/2282 on Health Technology Assessment (HTA Regulation) entered into application through a phased implementation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Select high-risk medical devices came into scope in 2026. The HTA Regulation is intended to boost cooperation among Member States in assessing health technologies, including new </w:t>
      </w:r>
      <w:r>
        <w:rPr>
          <w:rFonts w:ascii="Times New Roman;serif" w:hAnsi="Times New Roman;serif"/>
          <w:b w:val="false"/>
          <w:color w:val="000000"/>
          <w:sz w:val="20"/>
        </w:rPr>
        <w:t>medical devices</w:t>
      </w:r>
      <w:r>
        <w:rPr>
          <w:rFonts w:ascii="Times New Roman;serif" w:hAnsi="Times New Roman;serif"/>
          <w:b w:val="false"/>
          <w:color w:val="000000"/>
          <w:sz w:val="20"/>
          <w:shd w:fill="FFFFFF" w:val="clear"/>
        </w:rPr>
        <w:t>. The Regulation establishes a framework for EU</w:t>
        <w:noBreakHyphen/>
        <w:t>level joint clinical assessments and increased cooperation among EU Member States on clinical aspects of health technology evaluation. Economic, societal aspects and pricing and reimbursement decisions remain under the exclusive authority of individual EU Member States.</w:t>
      </w:r>
      <w:r>
        <w:rPr>
          <w:color w:val="000000"/>
        </w:rPr>
        <w:t xml:space="preserve"> </w:t>
      </w:r>
      <w:r>
        <w:rPr>
          <w:rFonts w:ascii="Times New Roman;serif" w:hAnsi="Times New Roman;serif"/>
          <w:b w:val="false"/>
          <w:color w:val="000000"/>
          <w:sz w:val="20"/>
        </w:rPr>
        <w:t>If we are unable to obtain or maintain favorable pricing and reimbursement status in EU Member States for our medical devices or medical devices that we may successfully develop and for which we may obtain certification, any anticipated sales from and growth prospects for those products in the EU could be negatively affected.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exit of the UK from the EU, commonly referred to as “Brexit” could lead to further regulatory divergence between the EU and the UK. On May 26, 2021, the MDR became applicable in the EU. However, the MDR is not applicable in Great Britain (i.e., England, Wales and Scotland), but does apply in Northern Ireland. In Great Britain, medical devices are governed by the Medical Devices Regulations 2002 (SI 2002 No. 618, as amended) (UK MDR 2002) which historically reflected a framework broadly aligned with the former MDD, but which has begun to diverge as part of the UK’s ongoing regulatory reform program. The UK’s regulator, the Medicines &amp; Healthcare products Regulatory Agency (MHRA) has published a roadmap to new regulations for medical devices. The first of the regulations, which strengthen post-market surveillance requirements, came into force on June 17, 2025. Further updated regulations are scheduled to follow in 2026. Further divergence between the UK or Great Britain and the EU could result in additional compliance burdens, duplicative requirements, supply chain disruptions, or other non</w:t>
        <w:noBreakHyphen/>
        <w:t>tariff barriers to trade. We could therefore, both now and in the future, face significant additional expenses to operate our business, which could significantly and materially harm or delay our ability to generate sales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Governments internationally tend to impose strict price controls, reimbursement approval and rebate policies, which may adversely affect our ability to generate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some countries, particularly EU Member States and European Free Trade Association (EFTA) countries, the pricing, reimbursement and rebates of health products is subject to governmental control, and in such countries, there can be considerable pressure by governments and other stakeholders on prices, as well as reimbursement and rebates. If reimbursement of our products is unavailable or limited in scope or amount or if pricing or rebates are set at unsatisfactory levels in any such country, our prospects for generating international sales, if any, could be adversely affected and our business could be harmed.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advertising and promotion may include claims about our product in comparison to competing products, which could expose us to heightened regulatory scrutiny, enforcement risks, and the potential for litigation.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applies a heightened level of scrutiny to comparative claims in advertising and promotion, ensuring that promotional labeling is truthful and not misleading. There may be differing interpretations of whether certain communications align with a product's FDA-required labeling, and the FDA assesses these communications on a case-by-case basis. Additionally, making comparative claims may raise concerns among our competitors. If a company claims in its advertising that its product is superior to a competitor’s or that the competitor’s product is inferior, it could face the risk of a lawsuit from the competitor under federal and state false advertising, unfair trade practices, or potentially state libel laws. Such lawsuits could seek injunctive relief to stop further advertising, a court order for corrective advertising, and compensatory or punitive damages, where allowed by law. Similar risks apply internationally in relation to comparative advertising practices.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Direct-to-consumer marketing and social media initiatives may subject us to increased regulatory scrutiny.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efforts to promote our products through direct-to-consumer marketing and social media initiatives may lead to increased scrutiny of how we communicate risk information, benefits, or claims, under the oversight of the FDA, FTC, HHS-OCR, or other regulatory bodies, particularly due to the Make America Healthy Again Commission’s recent Strategy Report, detailing how government agencies would increase enforcement on direct-to-consumer pharmaceutical advertising. EU Member States’ national legislation may also restrict or impose limitations on our ability to advertise our products directly to the general public. In addition, voluntary EU and national industry Codes of Conduct provide guidelines on the advertising and promotion of our products to the general public and may impose limitations on our promotional activities with healthcare professionals.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Environmental, Social and Governance Matters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Environmental, social, and governance (ESG) regulations, initiatives, directives, policies, and requirements could expose us to various risks.*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regulators, customers, investors, employees, and other stakeholders are focused on ESG issues and related disclosures. These evolving regulations and shifting stakeholder expectations have led, and may continue to lead, to higher general and administrative costs, as well as increased management time and attention spent on compliance. For instance, collecting, measuring, and reporting ESG-related data is becoming more complex due to changing reporting standards, including from international regulatory bodies. In 2023, California passed three separate climate bills addressing greenhouse gas emissions data, climate-related financial risks, and emissions-related claims and carbon offsets. These ESG requirements and initiatives are subject to change, can be unpredictable, and may be challenging and costly for us to meet due to the complexity of our supply chain and the outsourced manufacturing of certain components. If we fail to comply or are unable to ensure our suppliers’ compliance with these policies, we may face enforcement actions or litigation or customers may stop purchasing from us, potentially damaging our reputation, sales, and financial performance.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business could be adversely affected by changing expectations and challenges associated with implementing ESG initiatives, establishing ESG-related goals, gathering ESG data, and disclosing ESG-related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disclose certain ESG-related initiatives and goals in our SEC filings or other public communications. However, implementing these initiatives and goals could be challenging and costly, with the technologies required potentially being inefficient or slow to develop. Additionally, we may face criticism regarding the accuracy, adequacy, or completeness of our disclosures. Statements about our ESG initiatives, goals, and progress may rely on evolving measurement standards, developing internal controls and processes, and assumptions that could change over time. Furthermore, we may be criticized for the scope or nature of these initiatives or goals, or for any revisions made to them. If our ESG data, processes, or reporting are incomplete or inaccurate, or if we fail to make timely progress toward our ESG goals, our reputation, business, financial performance, and growth may suffer.</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Climate change or other extreme weather conditions and related regulations may have a long-term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Climate-related events, including the increasing frequency of extreme weather events and their impact on the United States, Mexico, Canada, and other major regions’ critical infrastructure along with potential related regulations, have the potential to disrupt our business, our third-party suppliers, and/or the business of our customers. For example, our third-party contract manufacturers are located in regions subject to natural disasters, including earthquakes, hurricanes, floods, wildfires and other catastrophic events. We strive to partner with organizations that mitigate their business risks associated with climate change. However, we recognize that inherent risks related to climate change, other extreme weather conditions and related regulations exist wherever global business is conducted. While these dangers currently have a low-assessed risk of disrupting our normal business operations, they pose a potential long-term impact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it is difficult to predict and adequately prepare to meet the challenges to our business posed by climate change, if new laws or regulations are more stringent than current legal or regulatory requirements, we may experience increased compliance burdens and costs to meet the regulatory obligations as well as adverse impacts on raw material sourcing, manufacturing operations and the distribution of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price of our common stock may continue to fluctuate significantly.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been and will continue to be volatile in response to a variety of factors,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fluctuations in our financial and operating results from period to period;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market acceptance of our current products and products under development, and the recognition of our brand;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introduction of proposed products, technologies or treatment techniques by us or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of significant contracts, acquisitions, divestitures or partnerships by us, our competitors or our collaboration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clearance, certification, or approval of our products or the products of our competitors or collaboration partners, or the failure to obtain such clearances, certifications, or approvals on the projected timeline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announcement of a product recall, suspension or other safety notice associated with our products or the products of our competitors, or other similar regulatory enforcement actions;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and our competitors’ financial and operating results relative to the expectations of securities analysts and other market participants and the issuance of securities analysts’ reports or recommendations;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threatened or actual litigation, regulatory proceedings, or government investigations;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healthcare reforms or anticipated healthcare reform;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political or economic conditions.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trading price of our common stock may fluctuate substantially due to other factors, including the numerous risks and uncertainties described in this section. Fluctuations in our stock price may negatively affect the liquidity of our common stock, which could further impact our stock price. Further, our common stock may be susceptible to significant price and volume fluctuations as a result of stock market dynamics, which may impact our common stock without regard to our financial condition or operating performance. Given the competitiveness of the life sciences and medical device industry, the prices at which our common stock trades may fluctuate more significantly than might otherwise be typical, even with other market conditions, including general volatility, held constant. This volatility could negatively impact our ability to raise additional capital or utilize equity as consideration in any acquisition transactions we may pursue, and could make it more difficult for existing stockholders to sell their shares of the common stock at a price they consider acceptable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depend on the knowledge and skills of our senior management and other key employees, and if we are unable to retain and motivate them or recruit additional qualified personnel, our business may suffer.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benefited substantially from the leadership and performance of our senior management, as well as certain key employees. For example, key members of our management have experience successfully scaling an early-stage medical device company to achieve profitability. Our success will depend on our ability to motivate and retain our current management and key employees, and to attract, motivate and retain qualified personnel in the future. In our industry, it is common to attract, motivate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Competition for senior management and key employees in our industry is intense and over the past year we have also experienced general labor shortages in various areas of our business. We cannot guarantee that we will be able to retain our personnel or attract new, qualified personnel. In addition, adoption of new work models and requirements about when or how often employees work on site or remotely may present new challenges. As certain jobs and employers increasingly operate remotely, competition for talent may change in ways that cannot be fully predicted at this time. Moreover, we may need to increase employee wages, equity incentives, and benefits to attract and retain our personnel, which would increase our expenses. It may be difficult to continue to incentivize employees with meaningful equity incentives while limiting the use of the share reserve under our current long-term incentive plans. The loss of the services of certain members of our senior management or key employees could prevent or delay the implementation and completion of our strategic objectives, or divert management’s attention to seeking qualified replacements, and any general labor shortages could also negatively impact our ability to expand and scale functions that are needed to support the ongoing development of our products and the future growth of our business. Each member of senior management, as well as the vast majority of our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Anti-takeover provisions in our organizational documents and Delaware law may delay or prevent a change of control, which could reduce our stock price and prevent our stockholders from removing our current board of directors.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authorize the issuance of preferred stock with powers, preferences and rights that may be senior to our common stock, which can be created and issued by the board of directors without prior stockholder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prohibit stockholders from calling special stockholder meetings;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prohibit stockholders from acting by written consent without holding a meeting of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 the vote of at least two-thirds of the outstanding shares to approve certain amendments to the certificate of incorporation and bylaws;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 advance written notice of stockholder proposals and director nominations.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problems assimilating, maintaining or operating the acquired products or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issues maintaining uniform standards, procedures, controls and policies;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unanticipated costs, liabilities, impairment charges or write-offs associated with acquisitions or investments;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diversion of management’s attention from our existing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risks associated with entering new markets in which we have limited or no experience;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increased legal and accounting costs relating to the acquisitions or to comply with regulatory requirements or other compliance matters.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Federal net operating losses (NOLs) incurred in tax years beginning after December 31, 2017, may be carried forward indefinitely, but the deductibility of such federal NOL carryforwards in a taxable year is limited to 80% of taxable income in such year. As of December 31, 2025, we had accumulated federal and state NOL carryforwards of approximately $379.0 million, and $349.3 million, respectively. Of the total federal NOL carryforwards, approximately $295.3 million were generated after January 1, 2018, and therefore do not expire but can only be utilized to offset 80% of future taxable income. The remaining federal NOL carryforwards of $83.7 million will begin to expire in 2034, and state tax loss carryforwards continue to expire.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under Sections 382 and 383 of the Internal Revenue Code of 1986, as amended, and corresponding provisions of state law, if a corporation undergoes an “ownership change,” which is generally defined as a greater than 50% change in its equity ownership value over a three-year period, the corporation’s ability to use its pre-change NOL and research credit carryforwards may be subject to substantial limitations, which could cause U.S. federal income taxes to be paid earlier than would be paid if such limitations were not in effect and could cause NOL carryforwards to expire unused. Similar rules may apply under state tax laws. In addition, there may be other limitations under state law on our ability to utilize NOL carryforwards, including temporary suspensions or other limitations on the use of NOL carryforwards to offset taxable income. We believe we experienced at least one ownership change that significantly reduced our ability to utilize our pre-2018 NOL and research credit carryforwards before they expire. Additionally, future ownership changes under Section 382 may also limit our ability to fully utilize any remaining tax benefits.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additional NOLs internationally, totaling $34.3 million, which begin to expire in 2030. We have federal R&amp;D credit carryforwards of $41.0 million which begin to expire in 2040, and California R&amp;D credits of $38.4 million, which have no expiration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Uncertainties in the interpretation and application of existing, new and proposed tax laws and regulations could materially affect our tax obligations and effective tax rate.*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United States presidential administration, Congress, the U.S. Department of Treasury, taxing authorities in other jurisdictions, including jurisdictions internationally, or by bodies such as the European Commission or the Organization for Economic Co-operation and Development (OECD), could materially affect our tax obligations (including the costs of compliance) and effective tax rate. To the extent that such changes have a negative impact on us, including as a result of related uncertainty, these changes may adversely impact our business, financial condition, results of operations, and cash flows.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and update our tax policies and methodologies on a prospective basis,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United States government recently enacted the OBBBA that (along with other recent United States federal tax reform)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Future guidance from the Internal Revenue Service and other tax authorities with respect to any legislation may affect us, and certain aspects of such legislation could be repealed or modified or sunset in future years.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OECD introduced (and is expected to continue to introduce) significant proposed changes to the tax rules of OECD Member States affecting cross-border activity, in particular, through the implementation of a set of proposals, commonly referred to as Pillar Two. These proposals involve, among other measures, the imposition of a minimum effective corporate tax rate on certain multinational enterprises. A number of countries in which we conduct business, including through our subsidiaries, have enacted, or are in the process of enacting, core elements of the Pillar Two rules (with further provisions expected to be enacted in the future). Based on the minimum revenue thresholds contained in the Pillar Two rules, we became subject to such rules beginning in the 2025 tax year. The OECD has issued (and is expected to continue to issue further) administrative guidance providing transition and safe harbor rules in relation to the implementation of the Pillar Two proposals. For example, on January 5, 2026, the OECD published details of a proposed “side-by-side” arrangement providing for, among other things, additional safe harbors for multinational groups headquartered in certain qualifying jurisdictions. We are monitoring developments and evaluating the potential impacts of these new rules, including on our effective tax rates and associated compliance costs, and considering our eligibility to qualify for any relevant transition or safe harbor rules (including under the proposed “side-by-side”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adequate controls, or difficulties encountered in their implementation could cause us to fail to meet our reporting obligations, or to prevent the circumvention of our controls or fraud.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SEC rules and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may require prospective or retroactive changes to our consolidated financial statements, or may identify other areas for further attention or improvement. Any failure to implement appropriate internal controls could also cause investors to lose confidence in our reported financial information, which could harm our business and result in a decline in the trading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one of our directors adopted a “Rule 10b5-1 trading arrangement” as that term is defined in Item 408 of Regulation S-K, as set forth in the table below.</w:t>
      </w:r>
    </w:p>
    <w:tbl>
      <w:tblPr>
        <w:tblW w:w="10205" w:type="dxa"/>
        <w:jc w:val="left"/>
        <w:tblInd w:w="0" w:type="dxa"/>
        <w:tblLayout w:type="fixed"/>
        <w:tblCellMar>
          <w:top w:w="28" w:type="dxa"/>
          <w:left w:w="28" w:type="dxa"/>
          <w:bottom w:w="28" w:type="dxa"/>
          <w:right w:w="28" w:type="dxa"/>
        </w:tblCellMar>
      </w:tblPr>
      <w:tblGrid>
        <w:gridCol w:w="666"/>
        <w:gridCol w:w="484"/>
        <w:gridCol w:w="423"/>
        <w:gridCol w:w="109"/>
        <w:gridCol w:w="109"/>
        <w:gridCol w:w="109"/>
        <w:gridCol w:w="294"/>
        <w:gridCol w:w="294"/>
        <w:gridCol w:w="298"/>
        <w:gridCol w:w="109"/>
        <w:gridCol w:w="109"/>
        <w:gridCol w:w="109"/>
        <w:gridCol w:w="420"/>
        <w:gridCol w:w="420"/>
        <w:gridCol w:w="422"/>
        <w:gridCol w:w="109"/>
        <w:gridCol w:w="109"/>
        <w:gridCol w:w="109"/>
        <w:gridCol w:w="238"/>
        <w:gridCol w:w="238"/>
        <w:gridCol w:w="240"/>
        <w:gridCol w:w="109"/>
        <w:gridCol w:w="109"/>
        <w:gridCol w:w="109"/>
        <w:gridCol w:w="338"/>
        <w:gridCol w:w="338"/>
        <w:gridCol w:w="339"/>
        <w:gridCol w:w="109"/>
        <w:gridCol w:w="109"/>
        <w:gridCol w:w="109"/>
        <w:gridCol w:w="513"/>
        <w:gridCol w:w="513"/>
        <w:gridCol w:w="516"/>
        <w:gridCol w:w="109"/>
        <w:gridCol w:w="109"/>
        <w:gridCol w:w="109"/>
        <w:gridCol w:w="391"/>
        <w:gridCol w:w="350"/>
        <w:gridCol w:w="508"/>
      </w:tblGrid>
      <w:tr>
        <w:trPr/>
        <w:tc>
          <w:tcPr>
            <w:tcW w:w="66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Adoption/ 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Rule 10b5-1</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Non-Rule 10b5-1</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Total Shares of Common Stock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15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Twomey,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May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1,700</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15, 2026</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Contract, instruction or written plan intended to satisfy the affirmative defense conditions of Rule 10b5-1(c) under the Exchange Act.</w:t>
      </w:r>
    </w:p>
    <w:p>
      <w:pPr>
        <w:pStyle w:val="TextBody"/>
        <w:bidi w:val="0"/>
        <w:spacing w:lineRule="auto" w:line="288"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Non-Rule 10b5-1 trading arrangement” as defined in Item 408(c) of Regulation S-K under the Exchange Act.</w:t>
      </w:r>
    </w:p>
    <w:p>
      <w:pPr>
        <w:pStyle w:val="TextBody"/>
        <w:bidi w:val="0"/>
        <w:spacing w:lineRule="auto" w:line="288" w:before="0" w:after="0"/>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Mr. Twomey’s Rule 10b5-1 trading plan provides for the potential sale of up to 1,700 shares of common stock issuable upon the exercise of certain stock options set to expire on November 15,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set forth above, during the quarter ended June 30, 2026, none of our officers (as defined in Rule 16a-1(f) under the Exchange Act) or directors adopted or terminated a “Rule 10b5-1 trading arrangement” or “non-Rule 10b5-1 trading arrangement” as those terms are defined in Item 408 of Regulation S-K.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9"/>
        <w:gridCol w:w="315"/>
        <w:gridCol w:w="316"/>
        <w:gridCol w:w="1673"/>
        <w:gridCol w:w="1454"/>
        <w:gridCol w:w="1458"/>
        <w:gridCol w:w="261"/>
        <w:gridCol w:w="208"/>
        <w:gridCol w:w="169"/>
        <w:gridCol w:w="280"/>
        <w:gridCol w:w="261"/>
        <w:gridCol w:w="189"/>
        <w:gridCol w:w="560"/>
        <w:gridCol w:w="305"/>
        <w:gridCol w:w="262"/>
        <w:gridCol w:w="325"/>
        <w:gridCol w:w="325"/>
        <w:gridCol w:w="326"/>
        <w:gridCol w:w="336"/>
        <w:gridCol w:w="336"/>
        <w:gridCol w:w="487"/>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55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Provided Herewith</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4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First Filing</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4585"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4585"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4585"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4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00"/>
                  <w:sz w:val="20"/>
                  <w:u w:val="single"/>
                </w:rPr>
                <w:t>Amended and Restated Certificate of Incorporation of the Registrant (as amended and currently in effect).</w:t>
              </w:r>
            </w:hyperlink>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001-36189</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21, 2026</w:t>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4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00"/>
                  <w:sz w:val="20"/>
                  <w:u w:val="single"/>
                </w:rPr>
                <w:t>Amended and Restated Bylaws of the Registrant (as amended and currently in effect).</w:t>
              </w:r>
            </w:hyperlink>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001-36189</w:t>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30, 2025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00"/>
                  <w:sz w:val="20"/>
                  <w:u w:val="single"/>
                </w:rPr>
                <w:t>Tandem Diabetes Care, Inc. 2023 Long-Term Incentive Plan, as amended.</w:t>
              </w:r>
            </w:hyperlink>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001-36189</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21, 2026</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4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tndm-20260630.htm">
              <w:r>
                <w:rPr>
                  <w:rStyle w:val="InternetLink"/>
                  <w:rFonts w:ascii="Times New Roman;serif" w:hAnsi="Times New Roman;serif"/>
                  <w:b w:val="false"/>
                  <w:color w:val="000000"/>
                  <w:sz w:val="20"/>
                  <w:u w:val="single"/>
                </w:rPr>
                <w:t>Certification of John F. Sheridan, Chief Executive Officer, pursuant to Section 302 of the Sarbanes-Oxley Act of 2002.</w:t>
              </w:r>
            </w:hyperlink>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4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tndm-20260630.htm">
              <w:r>
                <w:rPr>
                  <w:rStyle w:val="InternetLink"/>
                  <w:rFonts w:ascii="Times New Roman;serif" w:hAnsi="Times New Roman;serif"/>
                  <w:b w:val="false"/>
                  <w:color w:val="000000"/>
                  <w:sz w:val="20"/>
                  <w:u w:val="single"/>
                </w:rPr>
                <w:t>Certification of Leigh A. Vosseller, Chief Financial Officer, pursuant to Section 302 of the Sarbanes-Oxley Act of 2002.</w:t>
              </w:r>
            </w:hyperlink>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4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tndm-20260630.htm">
              <w:r>
                <w:rPr>
                  <w:rStyle w:val="InternetLink"/>
                  <w:rFonts w:ascii="Times New Roman;serif" w:hAnsi="Times New Roman;serif"/>
                  <w:b w:val="false"/>
                  <w:color w:val="000000"/>
                  <w:sz w:val="20"/>
                  <w:u w:val="single"/>
                </w:rPr>
                <w:t>Certification of John F. Sheridan, Chief Executive Officer, pursuant to U.S.C. Section 1350, as adopted pursuant to Section 906 of the Sarbanes-Oxley Act of 2002.</w:t>
              </w:r>
            </w:hyperlink>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4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tndm-20260630.htm">
              <w:r>
                <w:rPr>
                  <w:rStyle w:val="InternetLink"/>
                  <w:rFonts w:ascii="Times New Roman;serif" w:hAnsi="Times New Roman;serif"/>
                  <w:b w:val="false"/>
                  <w:color w:val="000000"/>
                  <w:sz w:val="20"/>
                  <w:u w:val="single"/>
                </w:rPr>
                <w:t>Certification of Leigh A. Vosseller, Chief Financial Officer, pursuant to U.S.C. Section 1350, as adopted pursuant to Section 906 of the Sarbanes-Oxley Act of 2002.</w:t>
              </w:r>
            </w:hyperlink>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4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4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4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4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4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4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4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contained in Exhibit 101).</w:t>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659"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368"/>
        <w:gridCol w:w="368"/>
        <w:gridCol w:w="368"/>
        <w:gridCol w:w="1535"/>
        <w:gridCol w:w="1535"/>
        <w:gridCol w:w="2209"/>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Tandem Diabetes Care,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F. Sheridan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F. Sheridan</w:t>
              <w:br/>
              <w:t>President and Chief Executive Officer</w:t>
              <w:br/>
              <w:t>(on behalf of the registrant and as the registrant’s</w:t>
              <w:br/>
              <w:t>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Leigh A. Vosseller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Leigh A. Vosseller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John F. Sheridan, certify that: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Tandem Diabetes Care, Inc.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7288" w:type="dxa"/>
        <w:jc w:val="left"/>
        <w:tblInd w:w="0" w:type="dxa"/>
        <w:tblLayout w:type="fixed"/>
        <w:tblCellMar>
          <w:top w:w="28" w:type="dxa"/>
          <w:left w:w="28" w:type="dxa"/>
          <w:bottom w:w="28" w:type="dxa"/>
          <w:right w:w="28" w:type="dxa"/>
        </w:tblCellMar>
      </w:tblPr>
      <w:tblGrid>
        <w:gridCol w:w="705"/>
        <w:gridCol w:w="619"/>
        <w:gridCol w:w="625"/>
        <w:gridCol w:w="387"/>
        <w:gridCol w:w="387"/>
        <w:gridCol w:w="387"/>
        <w:gridCol w:w="1301"/>
        <w:gridCol w:w="1301"/>
        <w:gridCol w:w="1313"/>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Tandem Diabetes Care, Inc.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F. Sheridan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F. Sheridan</w:t>
              <w:br/>
              <w:t>President, Chief Executive Officer and 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Leigh A. Vosseller, certify that: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Tandem Diabetes Care, Inc.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8607" w:type="dxa"/>
        <w:jc w:val="left"/>
        <w:tblInd w:w="0" w:type="dxa"/>
        <w:tblLayout w:type="fixed"/>
        <w:tblCellMar>
          <w:top w:w="28" w:type="dxa"/>
          <w:left w:w="28" w:type="dxa"/>
          <w:bottom w:w="28" w:type="dxa"/>
          <w:right w:w="28" w:type="dxa"/>
        </w:tblCellMar>
      </w:tblPr>
      <w:tblGrid>
        <w:gridCol w:w="705"/>
        <w:gridCol w:w="619"/>
        <w:gridCol w:w="625"/>
        <w:gridCol w:w="387"/>
        <w:gridCol w:w="387"/>
        <w:gridCol w:w="387"/>
        <w:gridCol w:w="1740"/>
        <w:gridCol w:w="1740"/>
        <w:gridCol w:w="1754"/>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Tandem Diabetes Care, Inc.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Leigh A. Vosseller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Leigh A. Vosseller</w:t>
              <w:br/>
              <w:t>Executive Vice President, Chief Financial Officer and Treasurer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U.S.C. Section 1350, as Adopted Pursuant to Section 906 of the Sarbanes-Oxley Act of 2002</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Tandem Diabetes Care, Inc. (the “Company”) for the period ended June 30, 2026,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as of the dates and for the periods presented.</w:t>
      </w:r>
    </w:p>
    <w:tbl>
      <w:tblPr>
        <w:tblW w:w="613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159"/>
        <w:gridCol w:w="1159"/>
        <w:gridCol w:w="164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F. Sheridan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F. Sheridan</w:t>
              <w:br/>
              <w:t>President, Chief Executive Officer and Director</w:t>
            </w:r>
          </w:p>
        </w:tc>
      </w:tr>
    </w:tbl>
    <w:p>
      <w:pPr>
        <w:pStyle w:val="TextBody"/>
        <w:bidi w:val="0"/>
        <w:spacing w:lineRule="auto" w:line="288" w:before="200" w:after="283"/>
        <w:ind w:left="0" w:right="0" w:firstLine="900"/>
        <w:jc w:val="left"/>
        <w:rPr>
          <w:rFonts w:ascii="Times New Roman;serif" w:hAnsi="Times New Roman;serif"/>
          <w:b w:val="false"/>
          <w:i/>
          <w:color w:val="000000"/>
          <w:sz w:val="20"/>
        </w:rPr>
      </w:pPr>
      <w:r>
        <w:rPr>
          <w:rFonts w:ascii="Times New Roman;serif" w:hAnsi="Times New Roman;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U.S.C. Section 1350, as Adopted Pursuant to Section 906 of the Sarbanes-Oxley Act of 2002</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Tandem Diabetes Care, Inc. (the “Company”) for the period ended June 30, 2026,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as of the dates and for the periods presented.</w:t>
      </w:r>
    </w:p>
    <w:tbl>
      <w:tblPr>
        <w:tblW w:w="745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547"/>
        <w:gridCol w:w="1547"/>
        <w:gridCol w:w="218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Leigh A. Vosseller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Leigh A. Vosseller</w:t>
              <w:br/>
              <w:t>Executive Vice President, Chief Financial Officer and Treasurer</w:t>
            </w:r>
          </w:p>
        </w:tc>
      </w:tr>
    </w:tbl>
    <w:p>
      <w:pPr>
        <w:pStyle w:val="TextBody"/>
        <w:bidi w:val="0"/>
        <w:spacing w:lineRule="auto" w:line="288" w:before="200" w:after="283"/>
        <w:ind w:left="0" w:right="0" w:firstLine="900"/>
        <w:jc w:val="left"/>
        <w:rPr>
          <w:rFonts w:ascii="Times New Roman;serif" w:hAnsi="Times New Roman;serif"/>
          <w:b w:val="false"/>
          <w:i/>
          <w:color w:val="000000"/>
          <w:sz w:val="20"/>
        </w:rPr>
      </w:pPr>
      <w:r>
        <w:rPr>
          <w:rFonts w:ascii="Times New Roman;serif" w:hAnsi="Times New Roman;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8133/000143813326000070/ex31-archarter.htm" TargetMode="External"/><Relationship Id="rId3" Type="http://schemas.openxmlformats.org/officeDocument/2006/relationships/hyperlink" Target="https://www.sec.gov/Archives/edgar/data/1438133/000143813325000237/exhibit31amendedandrestate.htm" TargetMode="External"/><Relationship Id="rId4" Type="http://schemas.openxmlformats.org/officeDocument/2006/relationships/hyperlink" Target="https://www.sec.gov/Archives/edgar/data/1438133/000143813326000070/ex101-incentiveplan.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49549</Words>
  <Characters>282392</Characters>
  <CharactersWithSpaces>330222</CharactersWithSpaces>
  <Paragraphs>2834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