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460375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486410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5" w:lineRule="exact"/>
        <w:rPr>
          <w:sz w:val="24"/>
          <w:szCs w:val="24"/>
          <w:color w:val="auto"/>
        </w:rPr>
      </w:pPr>
    </w:p>
    <w:p>
      <w:pPr>
        <w:ind w:left="31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71" w:lineRule="exact"/>
        <w:rPr>
          <w:sz w:val="24"/>
          <w:szCs w:val="24"/>
          <w:color w:val="auto"/>
        </w:rPr>
      </w:pPr>
    </w:p>
    <w:p>
      <w:pPr>
        <w:ind w:left="600" w:hanging="430"/>
        <w:spacing w:after="0"/>
        <w:tabs>
          <w:tab w:leader="none" w:pos="60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21"/>
          <w:szCs w:val="21"/>
          <w:b w:val="1"/>
          <w:bCs w:val="1"/>
          <w:color w:val="auto"/>
        </w:rPr>
        <w:t>QUARTERLY REPORT PURSUANT TO SECTION 13 OR 15(d) OF THE SECURITIES EXCHANGE ACT OF</w:t>
      </w:r>
    </w:p>
    <w:p>
      <w:pPr>
        <w:ind w:left="5620"/>
        <w:spacing w:after="0"/>
        <w:rPr>
          <w:rFonts w:ascii="MS PGothic" w:cs="MS PGothic" w:eastAsia="MS PGothic" w:hAnsi="MS PGothic"/>
          <w:sz w:val="28"/>
          <w:szCs w:val="28"/>
          <w:color w:val="auto"/>
          <w:vertAlign w:val="superscript"/>
        </w:rPr>
      </w:pPr>
      <w:r>
        <w:rPr>
          <w:rFonts w:ascii="Arial" w:cs="Arial" w:eastAsia="Arial" w:hAnsi="Arial"/>
          <w:sz w:val="22"/>
          <w:szCs w:val="22"/>
          <w:b w:val="1"/>
          <w:bCs w:val="1"/>
          <w:color w:val="auto"/>
        </w:rPr>
        <w:t>1934</w:t>
      </w:r>
    </w:p>
    <w:p>
      <w:pPr>
        <w:spacing w:after="0" w:line="83"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77"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133" w:lineRule="exact"/>
        <w:rPr>
          <w:sz w:val="24"/>
          <w:szCs w:val="24"/>
          <w:color w:val="auto"/>
        </w:rPr>
      </w:pPr>
    </w:p>
    <w:p>
      <w:pPr>
        <w:ind w:left="580" w:hanging="437"/>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ind w:left="562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70" w:lineRule="exact"/>
        <w:rPr>
          <w:sz w:val="24"/>
          <w:szCs w:val="24"/>
          <w:color w:val="auto"/>
        </w:rPr>
      </w:pPr>
    </w:p>
    <w:p>
      <w:pPr>
        <w:ind w:left="36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001-36189</w:t>
      </w:r>
    </w:p>
    <w:p>
      <w:pPr>
        <w:spacing w:after="0" w:line="8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Tandem Diabetes Care,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5"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12" w:lineRule="exact"/>
        <w:rPr>
          <w:sz w:val="24"/>
          <w:szCs w:val="24"/>
          <w:color w:val="auto"/>
        </w:rPr>
      </w:pPr>
    </w:p>
    <w:tbl>
      <w:tblPr>
        <w:tblLayout w:type="fixed"/>
        <w:tblInd w:w="880" w:type="dxa"/>
        <w:tblCellMar>
          <w:top w:w="0" w:type="dxa"/>
          <w:left w:w="0" w:type="dxa"/>
          <w:bottom w:w="0" w:type="dxa"/>
          <w:right w:w="0" w:type="dxa"/>
        </w:tblCellMar>
      </w:tblPr>
      <w:tr>
        <w:trPr>
          <w:trHeight w:val="225"/>
        </w:trPr>
        <w:tc>
          <w:tcPr>
            <w:tcW w:w="1080" w:type="dxa"/>
            <w:vAlign w:val="bottom"/>
          </w:tcPr>
          <w:p>
            <w:pPr>
              <w:spacing w:after="0"/>
              <w:rPr>
                <w:sz w:val="19"/>
                <w:szCs w:val="19"/>
                <w:color w:val="auto"/>
              </w:rPr>
            </w:pPr>
          </w:p>
        </w:tc>
        <w:tc>
          <w:tcPr>
            <w:tcW w:w="2680" w:type="dxa"/>
            <w:vAlign w:val="bottom"/>
            <w:gridSpan w:val="2"/>
          </w:tcPr>
          <w:p>
            <w:pPr>
              <w:jc w:val="center"/>
              <w:ind w:right="459"/>
              <w:spacing w:after="0"/>
              <w:rPr>
                <w:sz w:val="20"/>
                <w:szCs w:val="20"/>
                <w:color w:val="auto"/>
              </w:rPr>
            </w:pPr>
            <w:r>
              <w:rPr>
                <w:rFonts w:ascii="Arial" w:cs="Arial" w:eastAsia="Arial" w:hAnsi="Arial"/>
                <w:sz w:val="18"/>
                <w:szCs w:val="18"/>
                <w:b w:val="1"/>
                <w:bCs w:val="1"/>
                <w:color w:val="auto"/>
                <w:w w:val="93"/>
              </w:rPr>
              <w:t>Delaware</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580" w:type="dxa"/>
            <w:vAlign w:val="bottom"/>
            <w:gridSpan w:val="2"/>
          </w:tcPr>
          <w:p>
            <w:pPr>
              <w:jc w:val="right"/>
              <w:ind w:right="324"/>
              <w:spacing w:after="0"/>
              <w:rPr>
                <w:sz w:val="20"/>
                <w:szCs w:val="20"/>
                <w:color w:val="auto"/>
              </w:rPr>
            </w:pPr>
            <w:r>
              <w:rPr>
                <w:rFonts w:ascii="Arial" w:cs="Arial" w:eastAsia="Arial" w:hAnsi="Arial"/>
                <w:sz w:val="18"/>
                <w:szCs w:val="18"/>
                <w:b w:val="1"/>
                <w:bCs w:val="1"/>
                <w:color w:val="auto"/>
              </w:rPr>
              <w:t>20-4327508</w:t>
            </w:r>
          </w:p>
        </w:tc>
      </w:tr>
      <w:tr>
        <w:trPr>
          <w:trHeight w:val="144"/>
        </w:trPr>
        <w:tc>
          <w:tcPr>
            <w:tcW w:w="1080" w:type="dxa"/>
            <w:vAlign w:val="bottom"/>
          </w:tcPr>
          <w:p>
            <w:pPr>
              <w:spacing w:after="0"/>
              <w:rPr>
                <w:sz w:val="12"/>
                <w:szCs w:val="12"/>
                <w:color w:val="auto"/>
              </w:rPr>
            </w:pPr>
          </w:p>
        </w:tc>
        <w:tc>
          <w:tcPr>
            <w:tcW w:w="2680" w:type="dxa"/>
            <w:vAlign w:val="bottom"/>
            <w:gridSpan w:val="2"/>
          </w:tcPr>
          <w:p>
            <w:pPr>
              <w:jc w:val="center"/>
              <w:ind w:right="43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jc w:val="center"/>
              <w:ind w:left="72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4"/>
        </w:trPr>
        <w:tc>
          <w:tcPr>
            <w:tcW w:w="1080" w:type="dxa"/>
            <w:vAlign w:val="bottom"/>
          </w:tcPr>
          <w:p>
            <w:pPr>
              <w:spacing w:after="0"/>
              <w:rPr>
                <w:sz w:val="16"/>
                <w:szCs w:val="16"/>
                <w:color w:val="auto"/>
              </w:rPr>
            </w:pPr>
          </w:p>
        </w:tc>
        <w:tc>
          <w:tcPr>
            <w:tcW w:w="2680" w:type="dxa"/>
            <w:vAlign w:val="bottom"/>
            <w:gridSpan w:val="2"/>
          </w:tcPr>
          <w:p>
            <w:pPr>
              <w:jc w:val="center"/>
              <w:ind w:right="439"/>
              <w:spacing w:after="0"/>
              <w:rPr>
                <w:sz w:val="20"/>
                <w:szCs w:val="20"/>
                <w:color w:val="auto"/>
              </w:rPr>
            </w:pPr>
            <w:r>
              <w:rPr>
                <w:rFonts w:ascii="Arial" w:cs="Arial" w:eastAsia="Arial" w:hAnsi="Arial"/>
                <w:sz w:val="14"/>
                <w:szCs w:val="14"/>
                <w:b w:val="1"/>
                <w:bCs w:val="1"/>
                <w:color w:val="auto"/>
                <w:w w:val="94"/>
              </w:rPr>
              <w:t>incorporation or organization)</w:t>
            </w: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jc w:val="center"/>
              <w:ind w:left="744"/>
              <w:spacing w:after="0"/>
              <w:rPr>
                <w:sz w:val="20"/>
                <w:szCs w:val="20"/>
                <w:color w:val="auto"/>
              </w:rPr>
            </w:pPr>
            <w:r>
              <w:rPr>
                <w:rFonts w:ascii="Arial" w:cs="Arial" w:eastAsia="Arial" w:hAnsi="Arial"/>
                <w:sz w:val="14"/>
                <w:szCs w:val="14"/>
                <w:b w:val="1"/>
                <w:bCs w:val="1"/>
                <w:color w:val="auto"/>
                <w:w w:val="96"/>
              </w:rPr>
              <w:t>Identification No.)</w:t>
            </w:r>
          </w:p>
        </w:tc>
      </w:tr>
      <w:tr>
        <w:trPr>
          <w:trHeight w:val="225"/>
        </w:trPr>
        <w:tc>
          <w:tcPr>
            <w:tcW w:w="1080" w:type="dxa"/>
            <w:vAlign w:val="bottom"/>
          </w:tcPr>
          <w:p>
            <w:pPr>
              <w:spacing w:after="0"/>
              <w:rPr>
                <w:sz w:val="19"/>
                <w:szCs w:val="19"/>
                <w:color w:val="auto"/>
              </w:rPr>
            </w:pPr>
          </w:p>
        </w:tc>
        <w:tc>
          <w:tcPr>
            <w:tcW w:w="2680" w:type="dxa"/>
            <w:vAlign w:val="bottom"/>
            <w:gridSpan w:val="2"/>
          </w:tcPr>
          <w:p>
            <w:pPr>
              <w:jc w:val="center"/>
              <w:ind w:right="459"/>
              <w:spacing w:after="0"/>
              <w:rPr>
                <w:sz w:val="20"/>
                <w:szCs w:val="20"/>
                <w:color w:val="auto"/>
              </w:rPr>
            </w:pPr>
            <w:r>
              <w:rPr>
                <w:rFonts w:ascii="Arial" w:cs="Arial" w:eastAsia="Arial" w:hAnsi="Arial"/>
                <w:sz w:val="18"/>
                <w:szCs w:val="18"/>
                <w:b w:val="1"/>
                <w:bCs w:val="1"/>
                <w:color w:val="auto"/>
                <w:w w:val="87"/>
              </w:rPr>
              <w:t>11075 Roselle Street</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580" w:type="dxa"/>
            <w:vAlign w:val="bottom"/>
            <w:gridSpan w:val="2"/>
          </w:tcPr>
          <w:p>
            <w:pPr>
              <w:jc w:val="right"/>
              <w:ind w:right="524"/>
              <w:spacing w:after="0"/>
              <w:rPr>
                <w:sz w:val="20"/>
                <w:szCs w:val="20"/>
                <w:color w:val="auto"/>
              </w:rPr>
            </w:pPr>
            <w:r>
              <w:rPr>
                <w:rFonts w:ascii="Arial" w:cs="Arial" w:eastAsia="Arial" w:hAnsi="Arial"/>
                <w:sz w:val="18"/>
                <w:szCs w:val="18"/>
                <w:b w:val="1"/>
                <w:bCs w:val="1"/>
                <w:color w:val="auto"/>
              </w:rPr>
              <w:t>92121</w:t>
            </w:r>
          </w:p>
        </w:tc>
      </w:tr>
      <w:tr>
        <w:trPr>
          <w:trHeight w:val="230"/>
        </w:trPr>
        <w:tc>
          <w:tcPr>
            <w:tcW w:w="1080" w:type="dxa"/>
            <w:vAlign w:val="bottom"/>
          </w:tcPr>
          <w:p>
            <w:pPr>
              <w:spacing w:after="0"/>
              <w:rPr>
                <w:sz w:val="19"/>
                <w:szCs w:val="19"/>
                <w:color w:val="auto"/>
              </w:rPr>
            </w:pPr>
          </w:p>
        </w:tc>
        <w:tc>
          <w:tcPr>
            <w:tcW w:w="2680" w:type="dxa"/>
            <w:vAlign w:val="bottom"/>
            <w:gridSpan w:val="2"/>
          </w:tcPr>
          <w:p>
            <w:pPr>
              <w:ind w:left="300"/>
              <w:spacing w:after="0"/>
              <w:rPr>
                <w:sz w:val="20"/>
                <w:szCs w:val="20"/>
                <w:color w:val="auto"/>
              </w:rPr>
            </w:pPr>
            <w:r>
              <w:rPr>
                <w:rFonts w:ascii="Arial" w:cs="Arial" w:eastAsia="Arial" w:hAnsi="Arial"/>
                <w:sz w:val="18"/>
                <w:szCs w:val="18"/>
                <w:b w:val="1"/>
                <w:bCs w:val="1"/>
                <w:color w:val="auto"/>
              </w:rPr>
              <w:t>San Diego, California</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jc w:val="center"/>
              <w:ind w:left="744"/>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376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00"/>
        </w:trPr>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8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0"/>
              </w:rPr>
              <w:t>(858) 366-6900</w:t>
            </w: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66"/>
        </w:trPr>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0" w:type="dxa"/>
            <w:vAlign w:val="bottom"/>
            <w:gridSpan w:val="4"/>
          </w:tcPr>
          <w:p>
            <w:pPr>
              <w:jc w:val="center"/>
              <w:ind w:left="7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234"/>
        </w:trPr>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780" w:type="dxa"/>
            <w:vAlign w:val="bottom"/>
            <w:gridSpan w:val="6"/>
          </w:tcPr>
          <w:p>
            <w:pPr>
              <w:jc w:val="center"/>
              <w:ind w:right="170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70"/>
        </w:trPr>
        <w:tc>
          <w:tcPr>
            <w:tcW w:w="108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520" w:type="dxa"/>
            <w:vAlign w:val="bottom"/>
          </w:tcPr>
          <w:p>
            <w:pPr>
              <w:spacing w:after="0"/>
              <w:rPr>
                <w:sz w:val="23"/>
                <w:szCs w:val="23"/>
                <w:color w:val="auto"/>
              </w:rPr>
            </w:pPr>
          </w:p>
        </w:tc>
        <w:tc>
          <w:tcPr>
            <w:tcW w:w="26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0"/>
              </w:rPr>
              <w:t>Symbol</w:t>
            </w:r>
          </w:p>
        </w:tc>
        <w:tc>
          <w:tcPr>
            <w:tcW w:w="258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50"/>
        </w:trPr>
        <w:tc>
          <w:tcPr>
            <w:tcW w:w="3760" w:type="dxa"/>
            <w:vAlign w:val="bottom"/>
            <w:gridSpan w:val="3"/>
          </w:tcPr>
          <w:p>
            <w:pPr>
              <w:jc w:val="center"/>
              <w:ind w:right="359"/>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26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rPr>
              <w:t>TNDM</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r>
    </w:tbl>
    <w:p>
      <w:pPr>
        <w:spacing w:after="0" w:line="67"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2" w:lineRule="exact"/>
        <w:rPr>
          <w:sz w:val="24"/>
          <w:szCs w:val="24"/>
          <w:color w:val="auto"/>
        </w:rPr>
      </w:pPr>
    </w:p>
    <w:p>
      <w:pPr>
        <w:ind w:right="200"/>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00" w:type="dxa"/>
            <w:vAlign w:val="bottom"/>
          </w:tcPr>
          <w:p>
            <w:pPr>
              <w:ind w:left="1340"/>
              <w:spacing w:after="0"/>
              <w:rPr>
                <w:sz w:val="20"/>
                <w:szCs w:val="20"/>
                <w:color w:val="auto"/>
              </w:rPr>
            </w:pPr>
            <w:r>
              <w:rPr>
                <w:rFonts w:ascii="Arial" w:cs="Arial" w:eastAsia="Arial" w:hAnsi="Arial"/>
                <w:sz w:val="14"/>
                <w:szCs w:val="14"/>
                <w:color w:val="auto"/>
              </w:rPr>
              <w:t>x</w:t>
            </w:r>
          </w:p>
        </w:tc>
        <w:tc>
          <w:tcPr>
            <w:tcW w:w="4020" w:type="dxa"/>
            <w:vAlign w:val="bottom"/>
          </w:tcPr>
          <w:p>
            <w:pPr>
              <w:ind w:left="124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700" w:type="dxa"/>
            <w:vAlign w:val="bottom"/>
          </w:tcPr>
          <w:p>
            <w:pPr>
              <w:ind w:left="13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124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6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20" w:type="dxa"/>
            <w:vAlign w:val="bottom"/>
          </w:tcPr>
          <w:p>
            <w:pPr>
              <w:ind w:left="1240"/>
              <w:spacing w:after="0"/>
              <w:rPr>
                <w:sz w:val="20"/>
                <w:szCs w:val="20"/>
                <w:color w:val="auto"/>
              </w:rPr>
            </w:pPr>
            <w:r>
              <w:rPr>
                <w:rFonts w:ascii="Arial" w:cs="Arial" w:eastAsia="Arial" w:hAnsi="Arial"/>
                <w:sz w:val="14"/>
                <w:szCs w:val="14"/>
                <w:color w:val="auto"/>
              </w:rPr>
              <w:t>Emerging growth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jc w:val="both"/>
        <w:ind w:right="54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6"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9" w:lineRule="exact"/>
        <w:rPr>
          <w:sz w:val="24"/>
          <w:szCs w:val="24"/>
          <w:color w:val="auto"/>
        </w:rPr>
      </w:pPr>
    </w:p>
    <w:p>
      <w:pPr>
        <w:ind w:left="820"/>
        <w:spacing w:after="0"/>
        <w:rPr>
          <w:sz w:val="20"/>
          <w:szCs w:val="20"/>
          <w:color w:val="auto"/>
        </w:rPr>
      </w:pPr>
      <w:r>
        <w:rPr>
          <w:rFonts w:ascii="Arial" w:cs="Arial" w:eastAsia="Arial" w:hAnsi="Arial"/>
          <w:sz w:val="14"/>
          <w:szCs w:val="14"/>
          <w:color w:val="auto"/>
        </w:rPr>
        <w:t>As of October 30, 2020, there were 62,194,609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89535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760" w:type="dxa"/>
            <w:vAlign w:val="bottom"/>
            <w:gridSpan w:val="10"/>
          </w:tcPr>
          <w:p>
            <w:pPr>
              <w:ind w:left="178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r>
      <w:tr>
        <w:trPr>
          <w:trHeight w:val="350"/>
        </w:trPr>
        <w:tc>
          <w:tcPr>
            <w:tcW w:w="880" w:type="dxa"/>
            <w:vAlign w:val="bottom"/>
          </w:tcPr>
          <w:p>
            <w:pPr>
              <w:ind w:left="2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Information</w:t>
              </w:r>
            </w:hyperlink>
          </w:p>
        </w:tc>
        <w:tc>
          <w:tcPr>
            <w:tcW w:w="60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1</w:t>
              </w:r>
            </w:hyperlink>
          </w:p>
        </w:tc>
      </w:tr>
      <w:tr>
        <w:trPr>
          <w:trHeight w:val="230"/>
        </w:trPr>
        <w:tc>
          <w:tcPr>
            <w:tcW w:w="88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6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29"/>
        </w:trPr>
        <w:tc>
          <w:tcPr>
            <w:tcW w:w="880" w:type="dxa"/>
            <w:vAlign w:val="bottom"/>
          </w:tcPr>
          <w:p>
            <w:pPr>
              <w:spacing w:after="0"/>
              <w:rPr>
                <w:sz w:val="19"/>
                <w:szCs w:val="19"/>
                <w:color w:val="auto"/>
              </w:rPr>
            </w:pPr>
          </w:p>
        </w:tc>
        <w:tc>
          <w:tcPr>
            <w:tcW w:w="9760" w:type="dxa"/>
            <w:vAlign w:val="bottom"/>
            <w:gridSpan w:val="12"/>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at September 30, 2020 (Unaudited) and December 31, 2019</w:t>
              </w:r>
            </w:hyperlink>
          </w:p>
        </w:tc>
        <w:tc>
          <w:tcPr>
            <w:tcW w:w="6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190"/>
        </w:trPr>
        <w:tc>
          <w:tcPr>
            <w:tcW w:w="880" w:type="dxa"/>
            <w:vAlign w:val="bottom"/>
          </w:tcPr>
          <w:p>
            <w:pPr>
              <w:spacing w:after="0"/>
              <w:rPr>
                <w:sz w:val="16"/>
                <w:szCs w:val="16"/>
                <w:color w:val="auto"/>
              </w:rPr>
            </w:pPr>
          </w:p>
        </w:tc>
        <w:tc>
          <w:tcPr>
            <w:tcW w:w="9760" w:type="dxa"/>
            <w:vAlign w:val="bottom"/>
            <w:gridSpan w:val="12"/>
          </w:tcPr>
          <w:p>
            <w:pPr>
              <w:ind w:left="20"/>
              <w:spacing w:after="0" w:line="190" w:lineRule="exact"/>
              <w:rPr>
                <w:rFonts w:ascii="Arial" w:cs="Arial" w:eastAsia="Arial" w:hAnsi="Arial"/>
                <w:sz w:val="18"/>
                <w:szCs w:val="18"/>
                <w:color w:val="0000FF"/>
                <w:w w:val="92"/>
              </w:rPr>
            </w:pPr>
            <w:hyperlink w:anchor="page3">
              <w:r>
                <w:rPr>
                  <w:rFonts w:ascii="Arial" w:cs="Arial" w:eastAsia="Arial" w:hAnsi="Arial"/>
                  <w:sz w:val="18"/>
                  <w:szCs w:val="18"/>
                  <w:u w:val="single" w:color="auto"/>
                  <w:color w:val="0000FF"/>
                  <w:w w:val="92"/>
                </w:rPr>
                <w:t>Condensed Consolidated Statements of Operations and Comprehensive Loss for the Three and</w:t>
              </w:r>
              <w:r>
                <w:rPr>
                  <w:rFonts w:ascii="Arial" w:cs="Arial" w:eastAsia="Arial" w:hAnsi="Arial"/>
                  <w:sz w:val="18"/>
                  <w:szCs w:val="18"/>
                  <w:color w:val="0000FF"/>
                  <w:w w:val="92"/>
                </w:rPr>
                <w:t xml:space="preserve"> Nine Months Ended </w:t>
              </w:r>
              <w:r>
                <w:rPr>
                  <w:rFonts w:ascii="Arial" w:cs="Arial" w:eastAsia="Arial" w:hAnsi="Arial"/>
                  <w:sz w:val="18"/>
                  <w:szCs w:val="18"/>
                  <w:u w:val="single" w:color="auto"/>
                  <w:color w:val="0000FF"/>
                  <w:w w:val="92"/>
                </w:rPr>
                <w:t>September</w:t>
              </w:r>
              <w:r>
                <w:rPr>
                  <w:rFonts w:ascii="Arial" w:cs="Arial" w:eastAsia="Arial" w:hAnsi="Arial"/>
                  <w:sz w:val="18"/>
                  <w:szCs w:val="18"/>
                  <w:color w:val="0000FF"/>
                  <w:w w:val="92"/>
                </w:rPr>
                <w:t xml:space="preserve"> 30,</w:t>
              </w:r>
            </w:hyperlink>
          </w:p>
        </w:tc>
        <w:tc>
          <w:tcPr>
            <w:tcW w:w="600" w:type="dxa"/>
            <w:vAlign w:val="bottom"/>
          </w:tcPr>
          <w:p>
            <w:pPr>
              <w:spacing w:after="0"/>
              <w:rPr>
                <w:sz w:val="16"/>
                <w:szCs w:val="16"/>
                <w:color w:val="auto"/>
              </w:rPr>
            </w:pPr>
          </w:p>
        </w:tc>
      </w:tr>
      <w:tr>
        <w:trPr>
          <w:trHeight w:val="156"/>
        </w:trPr>
        <w:tc>
          <w:tcPr>
            <w:tcW w:w="880" w:type="dxa"/>
            <w:vAlign w:val="bottom"/>
          </w:tcPr>
          <w:p>
            <w:pPr>
              <w:spacing w:after="0"/>
              <w:rPr>
                <w:sz w:val="13"/>
                <w:szCs w:val="13"/>
                <w:color w:val="auto"/>
              </w:rPr>
            </w:pPr>
          </w:p>
        </w:tc>
        <w:tc>
          <w:tcPr>
            <w:tcW w:w="2000" w:type="dxa"/>
            <w:vAlign w:val="bottom"/>
            <w:tcBorders>
              <w:bottom w:val="single" w:sz="8" w:color="0000FF"/>
            </w:tcBorders>
            <w:gridSpan w:val="2"/>
          </w:tcPr>
          <w:p>
            <w:pPr>
              <w:ind w:left="20"/>
              <w:spacing w:after="0" w:line="156"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2020 and 2019 (Unaudited)</w:t>
              </w:r>
            </w:hyperlink>
          </w:p>
        </w:tc>
        <w:tc>
          <w:tcPr>
            <w:tcW w:w="4860" w:type="dxa"/>
            <w:vAlign w:val="bottom"/>
            <w:gridSpan w:val="3"/>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line="156" w:lineRule="exact"/>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09"/>
        </w:trPr>
        <w:tc>
          <w:tcPr>
            <w:tcW w:w="880" w:type="dxa"/>
            <w:vAlign w:val="bottom"/>
          </w:tcPr>
          <w:p>
            <w:pPr>
              <w:spacing w:after="0"/>
              <w:rPr>
                <w:sz w:val="18"/>
                <w:szCs w:val="18"/>
                <w:color w:val="auto"/>
              </w:rPr>
            </w:pPr>
          </w:p>
        </w:tc>
        <w:tc>
          <w:tcPr>
            <w:tcW w:w="9760" w:type="dxa"/>
            <w:vAlign w:val="bottom"/>
            <w:gridSpan w:val="12"/>
          </w:tcPr>
          <w:p>
            <w:pPr>
              <w:ind w:left="20"/>
              <w:spacing w:after="0"/>
              <w:rPr>
                <w:rFonts w:ascii="Arial" w:cs="Arial" w:eastAsia="Arial" w:hAnsi="Arial"/>
                <w:sz w:val="18"/>
                <w:szCs w:val="18"/>
                <w:color w:val="0000FF"/>
                <w:w w:val="93"/>
              </w:rPr>
            </w:pPr>
            <w:hyperlink w:anchor="page4">
              <w:r>
                <w:rPr>
                  <w:rFonts w:ascii="Arial" w:cs="Arial" w:eastAsia="Arial" w:hAnsi="Arial"/>
                  <w:sz w:val="18"/>
                  <w:szCs w:val="18"/>
                  <w:u w:val="single" w:color="auto"/>
                  <w:color w:val="0000FF"/>
                  <w:w w:val="93"/>
                </w:rPr>
                <w:t>Condensed Consolidated Statements of Stockholders’ Equity for the Three and</w:t>
              </w:r>
              <w:r>
                <w:rPr>
                  <w:rFonts w:ascii="Arial" w:cs="Arial" w:eastAsia="Arial" w:hAnsi="Arial"/>
                  <w:sz w:val="18"/>
                  <w:szCs w:val="18"/>
                  <w:color w:val="0000FF"/>
                  <w:w w:val="93"/>
                </w:rPr>
                <w:t xml:space="preserve"> Nine Months Ended </w:t>
              </w:r>
              <w:r>
                <w:rPr>
                  <w:rFonts w:ascii="Arial" w:cs="Arial" w:eastAsia="Arial" w:hAnsi="Arial"/>
                  <w:sz w:val="18"/>
                  <w:szCs w:val="18"/>
                  <w:u w:val="single" w:color="auto"/>
                  <w:color w:val="0000FF"/>
                  <w:w w:val="93"/>
                </w:rPr>
                <w:t>September</w:t>
              </w:r>
              <w:r>
                <w:rPr>
                  <w:rFonts w:ascii="Arial" w:cs="Arial" w:eastAsia="Arial" w:hAnsi="Arial"/>
                  <w:sz w:val="18"/>
                  <w:szCs w:val="18"/>
                  <w:color w:val="0000FF"/>
                  <w:w w:val="93"/>
                </w:rPr>
                <w:t xml:space="preserve"> 30, 2020 and 2019</w:t>
              </w:r>
            </w:hyperlink>
          </w:p>
        </w:tc>
        <w:tc>
          <w:tcPr>
            <w:tcW w:w="600" w:type="dxa"/>
            <w:vAlign w:val="bottom"/>
          </w:tcPr>
          <w:p>
            <w:pPr>
              <w:spacing w:after="0"/>
              <w:rPr>
                <w:sz w:val="18"/>
                <w:szCs w:val="18"/>
                <w:color w:val="auto"/>
              </w:rPr>
            </w:pPr>
          </w:p>
        </w:tc>
      </w:tr>
      <w:tr>
        <w:trPr>
          <w:trHeight w:val="156"/>
        </w:trPr>
        <w:tc>
          <w:tcPr>
            <w:tcW w:w="880" w:type="dxa"/>
            <w:vAlign w:val="bottom"/>
          </w:tcPr>
          <w:p>
            <w:pPr>
              <w:spacing w:after="0"/>
              <w:rPr>
                <w:sz w:val="13"/>
                <w:szCs w:val="13"/>
                <w:color w:val="auto"/>
              </w:rPr>
            </w:pPr>
          </w:p>
        </w:tc>
        <w:tc>
          <w:tcPr>
            <w:tcW w:w="880" w:type="dxa"/>
            <w:vAlign w:val="bottom"/>
            <w:tcBorders>
              <w:bottom w:val="single" w:sz="8" w:color="0000FF"/>
            </w:tcBorders>
          </w:tcPr>
          <w:p>
            <w:pPr>
              <w:ind w:left="20"/>
              <w:spacing w:after="0" w:line="156"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(Unaudited)</w:t>
              </w:r>
            </w:hyperlink>
          </w:p>
        </w:tc>
        <w:tc>
          <w:tcPr>
            <w:tcW w:w="4860" w:type="dxa"/>
            <w:vAlign w:val="bottom"/>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gridSpan w:val="2"/>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Borders>
              <w:top w:val="single" w:sz="8" w:color="0000FF"/>
            </w:tcBorders>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600" w:type="dxa"/>
            <w:vAlign w:val="bottom"/>
          </w:tcPr>
          <w:p>
            <w:pPr>
              <w:jc w:val="right"/>
              <w:spacing w:after="0" w:line="156" w:lineRule="exact"/>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10"/>
        </w:trPr>
        <w:tc>
          <w:tcPr>
            <w:tcW w:w="880" w:type="dxa"/>
            <w:vAlign w:val="bottom"/>
          </w:tcPr>
          <w:p>
            <w:pPr>
              <w:spacing w:after="0"/>
              <w:rPr>
                <w:sz w:val="18"/>
                <w:szCs w:val="18"/>
                <w:color w:val="auto"/>
              </w:rPr>
            </w:pPr>
          </w:p>
        </w:tc>
        <w:tc>
          <w:tcPr>
            <w:tcW w:w="9760" w:type="dxa"/>
            <w:vAlign w:val="bottom"/>
            <w:gridSpan w:val="12"/>
          </w:tcPr>
          <w:p>
            <w:pPr>
              <w:ind w:left="20"/>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 xml:space="preserve">Condensed Consolidated Statements of Cash Flows for the Nine Months Ended </w:t>
              </w:r>
              <w:r>
                <w:rPr>
                  <w:rFonts w:ascii="Arial" w:cs="Arial" w:eastAsia="Arial" w:hAnsi="Arial"/>
                  <w:sz w:val="18"/>
                  <w:szCs w:val="18"/>
                  <w:u w:val="single" w:color="auto"/>
                  <w:color w:val="0000FF"/>
                  <w:w w:val="98"/>
                </w:rPr>
                <w:t>September 30, 2020 and 2019 (Unaudited)</w:t>
              </w:r>
            </w:hyperlink>
          </w:p>
        </w:tc>
        <w:tc>
          <w:tcPr>
            <w:tcW w:w="6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r>
      <w:tr>
        <w:trPr>
          <w:trHeight w:val="249"/>
        </w:trPr>
        <w:tc>
          <w:tcPr>
            <w:tcW w:w="880" w:type="dxa"/>
            <w:vAlign w:val="bottom"/>
          </w:tcPr>
          <w:p>
            <w:pPr>
              <w:spacing w:after="0"/>
              <w:rPr>
                <w:sz w:val="21"/>
                <w:szCs w:val="21"/>
                <w:color w:val="auto"/>
              </w:rPr>
            </w:pPr>
          </w:p>
        </w:tc>
        <w:tc>
          <w:tcPr>
            <w:tcW w:w="5780" w:type="dxa"/>
            <w:vAlign w:val="bottom"/>
            <w:tcBorders>
              <w:top w:val="single" w:sz="8" w:color="0000FF"/>
            </w:tcBorders>
            <w:gridSpan w:val="4"/>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Unaudited Condensed Consolidated Financial Statements</w:t>
              </w:r>
            </w:hyperlink>
          </w:p>
        </w:tc>
        <w:tc>
          <w:tcPr>
            <w:tcW w:w="3980" w:type="dxa"/>
            <w:vAlign w:val="bottom"/>
            <w:gridSpan w:val="8"/>
          </w:tcPr>
          <w:p>
            <w:pPr>
              <w:spacing w:after="0"/>
              <w:rPr>
                <w:sz w:val="21"/>
                <w:szCs w:val="21"/>
                <w:color w:val="auto"/>
              </w:rPr>
            </w:pPr>
          </w:p>
        </w:tc>
        <w:tc>
          <w:tcPr>
            <w:tcW w:w="6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r>
      <w:tr>
        <w:trPr>
          <w:trHeight w:val="229"/>
        </w:trPr>
        <w:tc>
          <w:tcPr>
            <w:tcW w:w="880" w:type="dxa"/>
            <w:vAlign w:val="bottom"/>
          </w:tcPr>
          <w:p>
            <w:pPr>
              <w:ind w:left="20"/>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Management’s Discussion and Analysis of Financial Condition and Results of Operations</w:t>
              </w:r>
            </w:hyperlink>
          </w:p>
        </w:tc>
        <w:tc>
          <w:tcPr>
            <w:tcW w:w="6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r>
      <w:tr>
        <w:trPr>
          <w:trHeight w:val="230"/>
        </w:trPr>
        <w:tc>
          <w:tcPr>
            <w:tcW w:w="88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Item 3</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Quantitative and Qualitative Disclosures About Market Risk</w:t>
              </w:r>
            </w:hyperlink>
          </w:p>
        </w:tc>
        <w:tc>
          <w:tcPr>
            <w:tcW w:w="60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r>
      <w:tr>
        <w:trPr>
          <w:trHeight w:val="230"/>
        </w:trPr>
        <w:tc>
          <w:tcPr>
            <w:tcW w:w="88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Item 4</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Controls and Procedures</w:t>
              </w:r>
            </w:hyperlink>
          </w:p>
        </w:tc>
        <w:tc>
          <w:tcPr>
            <w:tcW w:w="60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r>
      <w:tr>
        <w:trPr>
          <w:trHeight w:val="391"/>
        </w:trPr>
        <w:tc>
          <w:tcPr>
            <w:tcW w:w="880" w:type="dxa"/>
            <w:vAlign w:val="bottom"/>
          </w:tcPr>
          <w:p>
            <w:pPr>
              <w:ind w:left="20"/>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Part II</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Other Information</w:t>
              </w:r>
            </w:hyperlink>
          </w:p>
        </w:tc>
        <w:tc>
          <w:tcPr>
            <w:tcW w:w="6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229"/>
        </w:trPr>
        <w:tc>
          <w:tcPr>
            <w:tcW w:w="880" w:type="dxa"/>
            <w:vAlign w:val="bottom"/>
          </w:tcPr>
          <w:p>
            <w:pPr>
              <w:ind w:left="20"/>
              <w:spacing w:after="0"/>
              <w:rPr>
                <w:rFonts w:ascii="Arial" w:cs="Arial" w:eastAsia="Arial" w:hAnsi="Arial"/>
                <w:sz w:val="18"/>
                <w:szCs w:val="18"/>
                <w:color w:val="auto"/>
              </w:rPr>
            </w:pPr>
            <w:hyperlink w:anchor="page45">
              <w:r>
                <w:rPr>
                  <w:rFonts w:ascii="Arial" w:cs="Arial" w:eastAsia="Arial" w:hAnsi="Arial"/>
                  <w:sz w:val="18"/>
                  <w:szCs w:val="18"/>
                  <w:color w:val="auto"/>
                </w:rPr>
                <w:t>Item 1</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Legal Proceedings</w:t>
              </w:r>
            </w:hyperlink>
          </w:p>
        </w:tc>
        <w:tc>
          <w:tcPr>
            <w:tcW w:w="6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r>
      <w:tr>
        <w:trPr>
          <w:trHeight w:val="229"/>
        </w:trPr>
        <w:tc>
          <w:tcPr>
            <w:tcW w:w="880" w:type="dxa"/>
            <w:vAlign w:val="bottom"/>
          </w:tcPr>
          <w:p>
            <w:pPr>
              <w:ind w:left="20"/>
              <w:spacing w:after="0"/>
              <w:rPr>
                <w:rFonts w:ascii="Arial" w:cs="Arial" w:eastAsia="Arial" w:hAnsi="Arial"/>
                <w:sz w:val="18"/>
                <w:szCs w:val="18"/>
                <w:color w:val="auto"/>
              </w:rPr>
            </w:pPr>
            <w:hyperlink w:anchor="page45">
              <w:r>
                <w:rPr>
                  <w:rFonts w:ascii="Arial" w:cs="Arial" w:eastAsia="Arial" w:hAnsi="Arial"/>
                  <w:sz w:val="18"/>
                  <w:szCs w:val="18"/>
                  <w:color w:val="auto"/>
                </w:rPr>
                <w:t>Item 1A</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Risk Factors</w:t>
              </w:r>
            </w:hyperlink>
          </w:p>
        </w:tc>
        <w:tc>
          <w:tcPr>
            <w:tcW w:w="6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230"/>
        </w:trPr>
        <w:tc>
          <w:tcPr>
            <w:tcW w:w="880" w:type="dxa"/>
            <w:vAlign w:val="bottom"/>
          </w:tcPr>
          <w:p>
            <w:pPr>
              <w:ind w:left="20"/>
              <w:spacing w:after="0"/>
              <w:rPr>
                <w:rFonts w:ascii="Arial" w:cs="Arial" w:eastAsia="Arial" w:hAnsi="Arial"/>
                <w:sz w:val="18"/>
                <w:szCs w:val="18"/>
                <w:color w:val="auto"/>
              </w:rPr>
            </w:pPr>
            <w:hyperlink w:anchor="page80">
              <w:r>
                <w:rPr>
                  <w:rFonts w:ascii="Arial" w:cs="Arial" w:eastAsia="Arial" w:hAnsi="Arial"/>
                  <w:sz w:val="18"/>
                  <w:szCs w:val="18"/>
                  <w:color w:val="auto"/>
                </w:rPr>
                <w:t>Item 6</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Exhibits</w:t>
              </w:r>
            </w:hyperlink>
          </w:p>
        </w:tc>
        <w:tc>
          <w:tcPr>
            <w:tcW w:w="60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79</w:t>
              </w:r>
            </w:hyperlink>
          </w:p>
        </w:tc>
      </w:tr>
      <w:tr>
        <w:trPr>
          <w:trHeight w:val="965"/>
        </w:trPr>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par value)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7"/>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(Note 1)</w:t>
            </w:r>
          </w:p>
        </w:tc>
        <w:tc>
          <w:tcPr>
            <w:tcW w:w="0" w:type="dxa"/>
            <w:vAlign w:val="bottom"/>
          </w:tcPr>
          <w:p>
            <w:pPr>
              <w:spacing w:after="0"/>
              <w:rPr>
                <w:sz w:val="1"/>
                <w:szCs w:val="1"/>
                <w:color w:val="auto"/>
              </w:rPr>
            </w:pPr>
          </w:p>
        </w:tc>
      </w:tr>
      <w:tr>
        <w:trPr>
          <w:trHeight w:val="231"/>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129,481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51,175</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335,041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125,283</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46,585</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49,073</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592,293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276,141</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49,320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32,923</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15,561</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672,988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326,110</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17,745</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Employee-related liabilities</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28,320</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Common stock warrants</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23,509</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11,619</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105,506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99,396</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 net - long-term</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199,120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liabilities - long-term</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14,063</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23,925</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346,444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131,131</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20"/>
              <w:spacing w:after="0" w:line="176" w:lineRule="exact"/>
              <w:rPr>
                <w:sz w:val="20"/>
                <w:szCs w:val="20"/>
                <w:color w:val="auto"/>
              </w:rPr>
            </w:pPr>
            <w:r>
              <w:rPr>
                <w:rFonts w:ascii="Arial" w:cs="Arial" w:eastAsia="Arial" w:hAnsi="Arial"/>
                <w:sz w:val="18"/>
                <w:szCs w:val="18"/>
                <w:color w:val="auto"/>
                <w:w w:val="89"/>
              </w:rPr>
              <w:t>Common stock, $0.001 par value; 200,000 shares authorized, 62,116 and 59,396 shares issued and outstanding at</w:t>
            </w:r>
          </w:p>
        </w:tc>
        <w:tc>
          <w:tcPr>
            <w:tcW w:w="18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September 30, 2020 (unaudited) and December 31, 2019, respectively.</w:t>
            </w:r>
          </w:p>
        </w:tc>
        <w:tc>
          <w:tcPr>
            <w:tcW w:w="180" w:type="dxa"/>
            <w:vAlign w:val="bottom"/>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1,002,502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819,626</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(676,210)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(624,828)</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326,544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194,979</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672,988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326,110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6100" w:type="dxa"/>
            <w:vAlign w:val="bottom"/>
            <w:tcBorders>
              <w:bottom w:val="single" w:sz="8" w:color="CFF0FC"/>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24"/>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123,603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94,657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330,765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253,907</w:t>
            </w:r>
          </w:p>
        </w:tc>
      </w:tr>
      <w:tr>
        <w:trPr>
          <w:trHeight w:val="229"/>
        </w:trPr>
        <w:tc>
          <w:tcPr>
            <w:tcW w:w="61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58,290</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160,801</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119,967</w:t>
            </w:r>
          </w:p>
        </w:tc>
      </w:tr>
      <w:tr>
        <w:trPr>
          <w:trHeight w:val="223"/>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65,313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50,683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169,964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133,940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1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44,649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150,385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120,173</w:t>
            </w:r>
          </w:p>
        </w:tc>
      </w:tr>
      <w:tr>
        <w:trPr>
          <w:trHeight w:val="230"/>
        </w:trPr>
        <w:tc>
          <w:tcPr>
            <w:tcW w:w="61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16,094</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46,198</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32,632</w:t>
            </w:r>
          </w:p>
        </w:tc>
      </w:tr>
      <w:tr>
        <w:trPr>
          <w:trHeight w:val="223"/>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66,322</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56,687</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196,583</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152,805</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(18,865)</w:t>
            </w:r>
          </w:p>
        </w:tc>
      </w:tr>
      <w:tr>
        <w:trPr>
          <w:trHeight w:val="229"/>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Interest income and other,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2,381</w:t>
            </w:r>
          </w:p>
        </w:tc>
      </w:tr>
      <w:tr>
        <w:trPr>
          <w:trHeight w:val="229"/>
        </w:trPr>
        <w:tc>
          <w:tcPr>
            <w:tcW w:w="61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Change in fair value of common stock warrants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(19,906)</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(10,849)</w:t>
            </w:r>
          </w:p>
        </w:tc>
      </w:tr>
      <w:tr>
        <w:trPr>
          <w:trHeight w:val="223"/>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(8,360)</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(26,701)</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(8,468)</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(27,333)</w:t>
            </w:r>
          </w:p>
        </w:tc>
      </w:tr>
      <w:tr>
        <w:trPr>
          <w:trHeight w:val="230"/>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(27,405)</w:t>
            </w:r>
          </w:p>
        </w:tc>
      </w:tr>
      <w:tr>
        <w:trPr>
          <w:trHeight w:val="20"/>
        </w:trPr>
        <w:tc>
          <w:tcPr>
            <w:tcW w:w="6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6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Unrealized gain (loss) on short-term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61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 gain (loss)</w:t>
            </w: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(27,301)</w:t>
            </w:r>
          </w:p>
        </w:tc>
      </w:tr>
      <w:tr>
        <w:trPr>
          <w:trHeight w:val="20"/>
        </w:trPr>
        <w:tc>
          <w:tcPr>
            <w:tcW w:w="6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Net loss per share,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6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diluted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r>
      <w:tr>
        <w:trPr>
          <w:trHeight w:val="217"/>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4"/>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used to compute basic net loss per share</w:t>
            </w: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61,529</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60,568</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58,268</w:t>
            </w: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r>
      <w:tr>
        <w:trPr>
          <w:trHeight w:val="204"/>
        </w:trPr>
        <w:tc>
          <w:tcPr>
            <w:tcW w:w="610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shares used to compute diluted net loss per share</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61,529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59,196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60,568</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58,268</w:t>
            </w: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2020</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0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1400" w:type="dxa"/>
            <w:vAlign w:val="bottom"/>
            <w:gridSpan w:val="2"/>
            <w:vMerge w:val="restart"/>
          </w:tcPr>
          <w:p>
            <w:pPr>
              <w:jc w:val="center"/>
              <w:ind w:right="32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18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4"/>
                <w:szCs w:val="4"/>
                <w:color w:val="auto"/>
              </w:rPr>
            </w:pPr>
          </w:p>
        </w:tc>
        <w:tc>
          <w:tcPr>
            <w:tcW w:w="120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June 30, 2020</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60,787</w:t>
            </w:r>
          </w:p>
        </w:tc>
        <w:tc>
          <w:tcPr>
            <w:tcW w:w="12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ind w:right="56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89"/>
              </w:rPr>
              <w:t>61</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934,402</w:t>
            </w:r>
          </w:p>
        </w:tc>
        <w:tc>
          <w:tcPr>
            <w:tcW w:w="1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(666,802)</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267,704</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29,030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29,031</w:t>
            </w: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Exercise of common stock warrants</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25,870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25,870</w:t>
            </w: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12,301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12,301</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(9,408)</w:t>
            </w:r>
          </w:p>
        </w:tc>
        <w:tc>
          <w:tcPr>
            <w:tcW w:w="0" w:type="dxa"/>
            <w:vAlign w:val="bottom"/>
          </w:tcPr>
          <w:p>
            <w:pPr>
              <w:spacing w:after="0"/>
              <w:rPr>
                <w:sz w:val="1"/>
                <w:szCs w:val="1"/>
                <w:color w:val="auto"/>
              </w:rPr>
            </w:pPr>
          </w:p>
        </w:tc>
      </w:tr>
      <w:tr>
        <w:trPr>
          <w:trHeight w:val="211"/>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September 30, 2020</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62,116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ind w:right="56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89"/>
              </w:rPr>
              <w:t>62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1,002,502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(676,210)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326,544</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2020</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4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4"/>
                <w:szCs w:val="4"/>
                <w:color w:val="auto"/>
              </w:rPr>
            </w:pPr>
          </w:p>
        </w:tc>
        <w:tc>
          <w:tcPr>
            <w:tcW w:w="13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4"/>
                <w:szCs w:val="4"/>
                <w:color w:val="auto"/>
              </w:rPr>
            </w:pPr>
          </w:p>
        </w:tc>
        <w:tc>
          <w:tcPr>
            <w:tcW w:w="1180" w:type="dxa"/>
            <w:vAlign w:val="bottom"/>
            <w:vMerge w:val="restart"/>
          </w:tcPr>
          <w:p>
            <w:pPr>
              <w:jc w:val="center"/>
              <w:ind w:right="108"/>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7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2019</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59,396</w:t>
            </w:r>
          </w:p>
        </w:tc>
        <w:tc>
          <w:tcPr>
            <w:tcW w:w="1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59</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819,626</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(624,828)</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194,979</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52,759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52,762</w:t>
            </w:r>
          </w:p>
        </w:tc>
        <w:tc>
          <w:tcPr>
            <w:tcW w:w="0" w:type="dxa"/>
            <w:vAlign w:val="bottom"/>
          </w:tcPr>
          <w:p>
            <w:pPr>
              <w:spacing w:after="0"/>
              <w:rPr>
                <w:sz w:val="1"/>
                <w:szCs w:val="1"/>
                <w:color w:val="auto"/>
              </w:rPr>
            </w:pPr>
          </w:p>
        </w:tc>
      </w:tr>
      <w:tr>
        <w:trPr>
          <w:trHeight w:val="138"/>
        </w:trPr>
        <w:tc>
          <w:tcPr>
            <w:tcW w:w="374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w w:val="99"/>
              </w:rPr>
              <w:t>Issuance of common stock for Employee Stock Purchase</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4,916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4,916</w:t>
            </w: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Plan</w:t>
            </w: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2,935</w:t>
            </w: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26,011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26,011</w:t>
            </w:r>
          </w:p>
        </w:tc>
        <w:tc>
          <w:tcPr>
            <w:tcW w:w="0" w:type="dxa"/>
            <w:vAlign w:val="bottom"/>
          </w:tcPr>
          <w:p>
            <w:pPr>
              <w:spacing w:after="0"/>
              <w:rPr>
                <w:sz w:val="1"/>
                <w:szCs w:val="1"/>
                <w:color w:val="auto"/>
              </w:rPr>
            </w:pPr>
          </w:p>
        </w:tc>
      </w:tr>
      <w:tr>
        <w:trPr>
          <w:trHeight w:val="135"/>
        </w:trPr>
        <w:tc>
          <w:tcPr>
            <w:tcW w:w="3740" w:type="dxa"/>
            <w:vAlign w:val="bottom"/>
          </w:tcPr>
          <w:p>
            <w:pPr>
              <w:ind w:left="200"/>
              <w:spacing w:after="0" w:line="135" w:lineRule="exact"/>
              <w:rPr>
                <w:sz w:val="20"/>
                <w:szCs w:val="20"/>
                <w:color w:val="auto"/>
              </w:rPr>
            </w:pPr>
            <w:r>
              <w:rPr>
                <w:rFonts w:ascii="Arial" w:cs="Arial" w:eastAsia="Arial" w:hAnsi="Arial"/>
                <w:sz w:val="14"/>
                <w:szCs w:val="14"/>
                <w:color w:val="auto"/>
              </w:rPr>
              <w:t>Equity component of convertible note issuance, net of</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85,803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85,803</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issuance cost</w:t>
            </w:r>
          </w:p>
        </w:tc>
        <w:tc>
          <w:tcPr>
            <w:tcW w:w="108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5"/>
              </w:rPr>
              <w:t>Purchase of capped call options related to convertible notes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(34,069)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(34,069)</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44,521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44,521</w:t>
            </w: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gain on short-term investments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(51,382)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(51,382)</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color w:val="auto"/>
              </w:rPr>
              <w:t>Balance at September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62,116</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1,002,502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(676,210)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326,544</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920"/>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2019</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2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2"/>
                <w:szCs w:val="2"/>
                <w:color w:val="auto"/>
              </w:rPr>
            </w:pPr>
          </w:p>
        </w:tc>
        <w:tc>
          <w:tcPr>
            <w:tcW w:w="13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2"/>
                <w:szCs w:val="2"/>
                <w:color w:val="auto"/>
              </w:rPr>
            </w:pPr>
          </w:p>
        </w:tc>
        <w:tc>
          <w:tcPr>
            <w:tcW w:w="118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
                <w:szCs w:val="2"/>
                <w:color w:val="auto"/>
              </w:rPr>
            </w:pPr>
          </w:p>
        </w:tc>
        <w:tc>
          <w:tcPr>
            <w:tcW w:w="1160" w:type="dxa"/>
            <w:vAlign w:val="bottom"/>
            <w:vMerge w:val="restart"/>
          </w:tcPr>
          <w:p>
            <w:pPr>
              <w:jc w:val="center"/>
              <w:ind w:right="108"/>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88"/>
        </w:trPr>
        <w:tc>
          <w:tcPr>
            <w:tcW w:w="3740" w:type="dxa"/>
            <w:vAlign w:val="bottom"/>
          </w:tcPr>
          <w:p>
            <w:pPr>
              <w:spacing w:after="0"/>
              <w:rPr>
                <w:sz w:val="7"/>
                <w:szCs w:val="7"/>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2019</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58,589</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58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769,704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(624,579)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145,345</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7,033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7,034</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17,574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17,574</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6"/>
        </w:trPr>
        <w:tc>
          <w:tcPr>
            <w:tcW w:w="374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color w:val="auto"/>
              </w:rPr>
              <w:t>Balance at September 30, 2019</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59,029</w:t>
            </w:r>
          </w:p>
        </w:tc>
        <w:tc>
          <w:tcPr>
            <w:tcW w:w="1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59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794,324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(627,480)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166,994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2019</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4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2"/>
                <w:szCs w:val="2"/>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2"/>
                <w:szCs w:val="2"/>
                <w:color w:val="auto"/>
              </w:rPr>
            </w:pPr>
          </w:p>
        </w:tc>
        <w:tc>
          <w:tcPr>
            <w:tcW w:w="116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
                <w:szCs w:val="2"/>
                <w:color w:val="auto"/>
              </w:rPr>
            </w:pPr>
          </w:p>
        </w:tc>
        <w:tc>
          <w:tcPr>
            <w:tcW w:w="1160" w:type="dxa"/>
            <w:vAlign w:val="bottom"/>
            <w:vMerge w:val="restart"/>
          </w:tcPr>
          <w:p>
            <w:pPr>
              <w:jc w:val="center"/>
              <w:ind w:right="108"/>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88"/>
        </w:trPr>
        <w:tc>
          <w:tcPr>
            <w:tcW w:w="3740" w:type="dxa"/>
            <w:vAlign w:val="bottom"/>
          </w:tcPr>
          <w:p>
            <w:pPr>
              <w:spacing w:after="0"/>
              <w:rPr>
                <w:sz w:val="7"/>
                <w:szCs w:val="7"/>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7"/>
        </w:trPr>
        <w:tc>
          <w:tcPr>
            <w:tcW w:w="37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2018</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57,554</w:t>
            </w:r>
          </w:p>
        </w:tc>
        <w:tc>
          <w:tcPr>
            <w:tcW w:w="1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57</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731,306</w:t>
            </w: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center"/>
              <w:ind w:left="888"/>
              <w:spacing w:after="0"/>
              <w:rPr>
                <w:sz w:val="20"/>
                <w:szCs w:val="20"/>
                <w:color w:val="auto"/>
              </w:rPr>
            </w:pPr>
            <w:r>
              <w:rPr>
                <w:rFonts w:ascii="Arial" w:cs="Arial" w:eastAsia="Arial" w:hAnsi="Arial"/>
                <w:sz w:val="14"/>
                <w:szCs w:val="14"/>
                <w:color w:val="auto"/>
                <w:w w:val="96"/>
              </w:rPr>
              <w:t>(13)</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(600,075)</w:t>
            </w: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131,275</w:t>
            </w:r>
          </w:p>
        </w:tc>
        <w:tc>
          <w:tcPr>
            <w:tcW w:w="0" w:type="dxa"/>
            <w:vAlign w:val="bottom"/>
          </w:tcPr>
          <w:p>
            <w:pPr>
              <w:spacing w:after="0"/>
              <w:rPr>
                <w:sz w:val="1"/>
                <w:szCs w:val="1"/>
                <w:color w:val="auto"/>
              </w:rPr>
            </w:pPr>
          </w:p>
        </w:tc>
      </w:tr>
      <w:tr>
        <w:trPr>
          <w:trHeight w:val="210"/>
        </w:trPr>
        <w:tc>
          <w:tcPr>
            <w:tcW w:w="3740" w:type="dxa"/>
            <w:vAlign w:val="bottom"/>
          </w:tcPr>
          <w:p>
            <w:pPr>
              <w:ind w:left="20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left="80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14,512</w:t>
            </w: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9"/>
              </w:rPr>
              <w:t>Issuance of common stock for Employee Stock Purchase</w:t>
            </w: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Plan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center"/>
              <w:ind w:left="808"/>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210"/>
        </w:trPr>
        <w:tc>
          <w:tcPr>
            <w:tcW w:w="3740" w:type="dxa"/>
            <w:vAlign w:val="bottom"/>
          </w:tcPr>
          <w:p>
            <w:pPr>
              <w:ind w:left="20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left="80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22"/>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center"/>
              <w:ind w:left="808"/>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5,492</w:t>
            </w:r>
          </w:p>
        </w:tc>
        <w:tc>
          <w:tcPr>
            <w:tcW w:w="0" w:type="dxa"/>
            <w:vAlign w:val="bottom"/>
          </w:tcPr>
          <w:p>
            <w:pPr>
              <w:spacing w:after="0"/>
              <w:rPr>
                <w:sz w:val="1"/>
                <w:szCs w:val="1"/>
                <w:color w:val="auto"/>
              </w:rPr>
            </w:pPr>
          </w:p>
        </w:tc>
      </w:tr>
      <w:tr>
        <w:trPr>
          <w:trHeight w:val="210"/>
        </w:trPr>
        <w:tc>
          <w:tcPr>
            <w:tcW w:w="37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39,739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left="80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39,739</w:t>
            </w:r>
          </w:p>
        </w:tc>
        <w:tc>
          <w:tcPr>
            <w:tcW w:w="0" w:type="dxa"/>
            <w:vAlign w:val="bottom"/>
          </w:tcPr>
          <w:p>
            <w:pPr>
              <w:spacing w:after="0"/>
              <w:rPr>
                <w:sz w:val="1"/>
                <w:szCs w:val="1"/>
                <w:color w:val="auto"/>
              </w:rPr>
            </w:pPr>
          </w:p>
        </w:tc>
      </w:tr>
      <w:tr>
        <w:trPr>
          <w:trHeight w:val="222"/>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gain on short-term investments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left="908"/>
              <w:spacing w:after="0"/>
              <w:rPr>
                <w:sz w:val="20"/>
                <w:szCs w:val="20"/>
                <w:color w:val="auto"/>
              </w:rPr>
            </w:pPr>
            <w:r>
              <w:rPr>
                <w:rFonts w:ascii="Arial" w:cs="Arial" w:eastAsia="Arial" w:hAnsi="Arial"/>
                <w:sz w:val="14"/>
                <w:szCs w:val="14"/>
                <w:color w:val="auto"/>
                <w:w w:val="89"/>
              </w:rPr>
              <w:t>91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10"/>
        </w:trPr>
        <w:tc>
          <w:tcPr>
            <w:tcW w:w="374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80" w:type="dxa"/>
            <w:vAlign w:val="bottom"/>
          </w:tcPr>
          <w:p>
            <w:pPr>
              <w:jc w:val="center"/>
              <w:ind w:left="908"/>
              <w:spacing w:after="0"/>
              <w:rPr>
                <w:sz w:val="20"/>
                <w:szCs w:val="20"/>
                <w:color w:val="auto"/>
              </w:rPr>
            </w:pPr>
            <w:r>
              <w:rPr>
                <w:rFonts w:ascii="Arial" w:cs="Arial" w:eastAsia="Arial" w:hAnsi="Arial"/>
                <w:sz w:val="14"/>
                <w:szCs w:val="14"/>
                <w:color w:val="auto"/>
                <w:w w:val="89"/>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center"/>
              <w:ind w:left="808"/>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(27,405)</w:t>
            </w:r>
          </w:p>
        </w:tc>
        <w:tc>
          <w:tcPr>
            <w:tcW w:w="10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(27,405)</w:t>
            </w:r>
          </w:p>
        </w:tc>
        <w:tc>
          <w:tcPr>
            <w:tcW w:w="0" w:type="dxa"/>
            <w:vAlign w:val="bottom"/>
          </w:tcPr>
          <w:p>
            <w:pPr>
              <w:spacing w:after="0"/>
              <w:rPr>
                <w:sz w:val="1"/>
                <w:szCs w:val="1"/>
                <w:color w:val="auto"/>
              </w:rPr>
            </w:pPr>
          </w:p>
        </w:tc>
      </w:tr>
      <w:tr>
        <w:trPr>
          <w:trHeight w:val="188"/>
        </w:trPr>
        <w:tc>
          <w:tcPr>
            <w:tcW w:w="3740" w:type="dxa"/>
            <w:vAlign w:val="bottom"/>
          </w:tcPr>
          <w:p>
            <w:pPr>
              <w:ind w:left="20"/>
              <w:spacing w:after="0"/>
              <w:rPr>
                <w:sz w:val="20"/>
                <w:szCs w:val="20"/>
                <w:color w:val="auto"/>
              </w:rPr>
            </w:pPr>
            <w:r>
              <w:rPr>
                <w:rFonts w:ascii="Arial" w:cs="Arial" w:eastAsia="Arial" w:hAnsi="Arial"/>
                <w:sz w:val="14"/>
                <w:szCs w:val="14"/>
                <w:color w:val="auto"/>
              </w:rPr>
              <w:t>Balance at September 30, 2019</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59,029</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59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794,324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center"/>
              <w:ind w:left="908"/>
              <w:spacing w:after="0"/>
              <w:rPr>
                <w:sz w:val="20"/>
                <w:szCs w:val="20"/>
                <w:color w:val="auto"/>
              </w:rPr>
            </w:pPr>
            <w:r>
              <w:rPr>
                <w:rFonts w:ascii="Arial" w:cs="Arial" w:eastAsia="Arial" w:hAnsi="Arial"/>
                <w:sz w:val="14"/>
                <w:szCs w:val="14"/>
                <w:color w:val="auto"/>
                <w:w w:val="89"/>
              </w:rPr>
              <w:t>91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(627,480)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166,994</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8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40" w:type="dxa"/>
            <w:vAlign w:val="bottom"/>
          </w:tcPr>
          <w:p>
            <w:pPr>
              <w:spacing w:after="0"/>
              <w:rPr>
                <w:sz w:val="20"/>
                <w:szCs w:val="20"/>
                <w:color w:val="auto"/>
              </w:rPr>
            </w:pPr>
            <w:r>
              <w:rPr>
                <w:rFonts w:ascii="Arial" w:cs="Arial" w:eastAsia="Arial" w:hAnsi="Arial"/>
                <w:sz w:val="14"/>
                <w:szCs w:val="14"/>
                <w:color w:val="auto"/>
              </w:rPr>
              <w:t>Net loss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(51,382)</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(27,405)</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Depreciation and amortization expense</w:t>
            </w: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4,430</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debt discount and debt issuance costs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Provision for expected credit losses</w:t>
            </w: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Provision (recovery) for inventory obsolescence</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w:t>
            </w:r>
          </w:p>
        </w:tc>
        <w:tc>
          <w:tcPr>
            <w:tcW w:w="0" w:type="dxa"/>
            <w:vAlign w:val="bottom"/>
          </w:tcPr>
          <w:p>
            <w:pPr>
              <w:spacing w:after="0"/>
              <w:rPr>
                <w:sz w:val="1"/>
                <w:szCs w:val="1"/>
                <w:color w:val="auto"/>
              </w:rPr>
            </w:pP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Change in fair value of common stock warrants</w:t>
            </w: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19,906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10,849</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discount on short-term investments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Benefit for deferred income taxes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 expense</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45,123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39,386</w:t>
            </w:r>
          </w:p>
        </w:tc>
        <w:tc>
          <w:tcPr>
            <w:tcW w:w="0" w:type="dxa"/>
            <w:vAlign w:val="bottom"/>
          </w:tcPr>
          <w:p>
            <w:pPr>
              <w:spacing w:after="0"/>
              <w:rPr>
                <w:sz w:val="1"/>
                <w:szCs w:val="1"/>
                <w:color w:val="auto"/>
              </w:rPr>
            </w:pP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440"/>
              <w:spacing w:after="0"/>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(11,588)</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(21,990)</w:t>
            </w:r>
          </w:p>
        </w:tc>
        <w:tc>
          <w:tcPr>
            <w:tcW w:w="0" w:type="dxa"/>
            <w:vAlign w:val="bottom"/>
          </w:tcPr>
          <w:p>
            <w:pPr>
              <w:spacing w:after="0"/>
              <w:rPr>
                <w:sz w:val="1"/>
                <w:szCs w:val="1"/>
                <w:color w:val="auto"/>
              </w:rPr>
            </w:pPr>
          </w:p>
        </w:tc>
      </w:tr>
      <w:tr>
        <w:trPr>
          <w:trHeight w:val="186"/>
        </w:trPr>
        <w:tc>
          <w:tcPr>
            <w:tcW w:w="8440" w:type="dxa"/>
            <w:vAlign w:val="bottom"/>
          </w:tcPr>
          <w:p>
            <w:pPr>
              <w:ind w:left="440"/>
              <w:spacing w:after="0"/>
              <w:rPr>
                <w:sz w:val="20"/>
                <w:szCs w:val="20"/>
                <w:color w:val="auto"/>
              </w:rPr>
            </w:pPr>
            <w:r>
              <w:rPr>
                <w:rFonts w:ascii="Arial" w:cs="Arial" w:eastAsia="Arial" w:hAnsi="Arial"/>
                <w:sz w:val="14"/>
                <w:szCs w:val="14"/>
                <w:color w:val="auto"/>
              </w:rPr>
              <w:t>Prepaid and other current assets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long-term assets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86"/>
        </w:trPr>
        <w:tc>
          <w:tcPr>
            <w:tcW w:w="8440" w:type="dxa"/>
            <w:vAlign w:val="bottom"/>
          </w:tcPr>
          <w:p>
            <w:pPr>
              <w:ind w:left="44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3,268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7,131</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4,045</w:t>
            </w:r>
          </w:p>
        </w:tc>
        <w:tc>
          <w:tcPr>
            <w:tcW w:w="0" w:type="dxa"/>
            <w:vAlign w:val="bottom"/>
          </w:tcPr>
          <w:p>
            <w:pPr>
              <w:spacing w:after="0"/>
              <w:rPr>
                <w:sz w:val="1"/>
                <w:szCs w:val="1"/>
                <w:color w:val="auto"/>
              </w:rPr>
            </w:pPr>
          </w:p>
        </w:tc>
      </w:tr>
      <w:tr>
        <w:trPr>
          <w:trHeight w:val="186"/>
        </w:trPr>
        <w:tc>
          <w:tcPr>
            <w:tcW w:w="8440" w:type="dxa"/>
            <w:vAlign w:val="bottom"/>
          </w:tcPr>
          <w:p>
            <w:pPr>
              <w:ind w:left="440"/>
              <w:spacing w:after="0"/>
              <w:rPr>
                <w:sz w:val="20"/>
                <w:szCs w:val="20"/>
                <w:color w:val="auto"/>
              </w:rPr>
            </w:pPr>
            <w:r>
              <w:rPr>
                <w:rFonts w:ascii="Arial" w:cs="Arial" w:eastAsia="Arial" w:hAnsi="Arial"/>
                <w:sz w:val="14"/>
                <w:szCs w:val="14"/>
                <w:color w:val="auto"/>
              </w:rPr>
              <w:t>Employee-related liabilities</w:t>
            </w: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4,173</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Deferred revenue</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w:t>
            </w:r>
          </w:p>
        </w:tc>
        <w:tc>
          <w:tcPr>
            <w:tcW w:w="0" w:type="dxa"/>
            <w:vAlign w:val="bottom"/>
          </w:tcPr>
          <w:p>
            <w:pPr>
              <w:spacing w:after="0"/>
              <w:rPr>
                <w:sz w:val="1"/>
                <w:szCs w:val="1"/>
                <w:color w:val="auto"/>
              </w:rPr>
            </w:pPr>
          </w:p>
        </w:tc>
      </w:tr>
      <w:tr>
        <w:trPr>
          <w:trHeight w:val="186"/>
        </w:trPr>
        <w:tc>
          <w:tcPr>
            <w:tcW w:w="8440" w:type="dxa"/>
            <w:vAlign w:val="bottom"/>
          </w:tcPr>
          <w:p>
            <w:pPr>
              <w:ind w:left="440"/>
              <w:spacing w:after="0"/>
              <w:rPr>
                <w:sz w:val="20"/>
                <w:szCs w:val="20"/>
                <w:color w:val="auto"/>
              </w:rPr>
            </w:pPr>
            <w:r>
              <w:rPr>
                <w:rFonts w:ascii="Arial" w:cs="Arial" w:eastAsia="Arial" w:hAnsi="Arial"/>
                <w:sz w:val="14"/>
                <w:szCs w:val="14"/>
                <w:color w:val="auto"/>
              </w:rPr>
              <w:t>Other current liabilities</w:t>
            </w: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2,335</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5,198</w:t>
            </w:r>
          </w:p>
        </w:tc>
        <w:tc>
          <w:tcPr>
            <w:tcW w:w="0" w:type="dxa"/>
            <w:vAlign w:val="bottom"/>
          </w:tcPr>
          <w:p>
            <w:pPr>
              <w:spacing w:after="0"/>
              <w:rPr>
                <w:sz w:val="1"/>
                <w:szCs w:val="1"/>
                <w:color w:val="auto"/>
              </w:rPr>
            </w:pPr>
          </w:p>
        </w:tc>
      </w:tr>
      <w:tr>
        <w:trPr>
          <w:trHeight w:val="179"/>
        </w:trPr>
        <w:tc>
          <w:tcPr>
            <w:tcW w:w="844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9,432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22,463</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spacing w:after="0"/>
              <w:rPr>
                <w:sz w:val="20"/>
                <w:szCs w:val="20"/>
                <w:color w:val="auto"/>
              </w:rPr>
            </w:pPr>
            <w:r>
              <w:rPr>
                <w:rFonts w:ascii="Arial" w:cs="Arial" w:eastAsia="Arial" w:hAnsi="Arial"/>
                <w:sz w:val="14"/>
                <w:szCs w:val="14"/>
                <w:color w:val="auto"/>
              </w:rPr>
              <w:t>Purchases of short-term investments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(331,968)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(126,307)</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maturities of short-term investments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82,709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96,495</w:t>
            </w:r>
          </w:p>
        </w:tc>
        <w:tc>
          <w:tcPr>
            <w:tcW w:w="0" w:type="dxa"/>
            <w:vAlign w:val="bottom"/>
          </w:tcPr>
          <w:p>
            <w:pPr>
              <w:spacing w:after="0"/>
              <w:rPr>
                <w:sz w:val="1"/>
                <w:szCs w:val="1"/>
                <w:color w:val="auto"/>
              </w:rPr>
            </w:pPr>
          </w:p>
        </w:tc>
      </w:tr>
      <w:tr>
        <w:trPr>
          <w:trHeight w:val="186"/>
        </w:trPr>
        <w:tc>
          <w:tcPr>
            <w:tcW w:w="8440" w:type="dxa"/>
            <w:vAlign w:val="bottom"/>
          </w:tcPr>
          <w:p>
            <w:pPr>
              <w:spacing w:after="0"/>
              <w:rPr>
                <w:sz w:val="20"/>
                <w:szCs w:val="20"/>
                <w:color w:val="auto"/>
              </w:rPr>
            </w:pPr>
            <w:r>
              <w:rPr>
                <w:rFonts w:ascii="Arial" w:cs="Arial" w:eastAsia="Arial" w:hAnsi="Arial"/>
                <w:sz w:val="14"/>
                <w:szCs w:val="14"/>
                <w:color w:val="auto"/>
              </w:rPr>
              <w:t>Proceeds from sales of short-term investments</w:t>
            </w: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41,027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6,550</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(23,312)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(12,792)</w:t>
            </w:r>
          </w:p>
        </w:tc>
        <w:tc>
          <w:tcPr>
            <w:tcW w:w="0" w:type="dxa"/>
            <w:vAlign w:val="bottom"/>
          </w:tcPr>
          <w:p>
            <w:pPr>
              <w:spacing w:after="0"/>
              <w:rPr>
                <w:sz w:val="1"/>
                <w:szCs w:val="1"/>
                <w:color w:val="auto"/>
              </w:rPr>
            </w:pPr>
          </w:p>
        </w:tc>
      </w:tr>
      <w:tr>
        <w:trPr>
          <w:trHeight w:val="186"/>
        </w:trPr>
        <w:tc>
          <w:tcPr>
            <w:tcW w:w="8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Acquisition of intangible assets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(36,054)</w:t>
            </w:r>
          </w:p>
        </w:tc>
        <w:tc>
          <w:tcPr>
            <w:tcW w:w="0" w:type="dxa"/>
            <w:vAlign w:val="bottom"/>
          </w:tcPr>
          <w:p>
            <w:pPr>
              <w:spacing w:after="0"/>
              <w:rPr>
                <w:sz w:val="1"/>
                <w:szCs w:val="1"/>
                <w:color w:val="auto"/>
              </w:rPr>
            </w:pPr>
          </w:p>
        </w:tc>
      </w:tr>
      <w:tr>
        <w:trPr>
          <w:trHeight w:val="188"/>
        </w:trPr>
        <w:tc>
          <w:tcPr>
            <w:tcW w:w="844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convertible senior notes, net of $8,809 debt issuance costs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278,691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40" w:type="dxa"/>
            <w:vAlign w:val="bottom"/>
          </w:tcPr>
          <w:p>
            <w:pPr>
              <w:spacing w:after="0"/>
              <w:rPr>
                <w:sz w:val="20"/>
                <w:szCs w:val="20"/>
                <w:color w:val="auto"/>
              </w:rPr>
            </w:pPr>
            <w:r>
              <w:rPr>
                <w:rFonts w:ascii="Arial" w:cs="Arial" w:eastAsia="Arial" w:hAnsi="Arial"/>
                <w:sz w:val="14"/>
                <w:szCs w:val="14"/>
                <w:color w:val="auto"/>
              </w:rPr>
              <w:t>Purchase of capped call options related to convertible senior notes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(34,069)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common stock under Company stock plans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57,677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86"/>
        </w:trPr>
        <w:tc>
          <w:tcPr>
            <w:tcW w:w="8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Proceeds from exercise of common stock warrants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2,935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17,462</w:t>
            </w:r>
          </w:p>
        </w:tc>
        <w:tc>
          <w:tcPr>
            <w:tcW w:w="0" w:type="dxa"/>
            <w:vAlign w:val="bottom"/>
          </w:tcPr>
          <w:p>
            <w:pPr>
              <w:spacing w:after="0"/>
              <w:rPr>
                <w:sz w:val="1"/>
                <w:szCs w:val="1"/>
                <w:color w:val="auto"/>
              </w:rPr>
            </w:pPr>
          </w:p>
        </w:tc>
      </w:tr>
      <w:tr>
        <w:trPr>
          <w:trHeight w:val="186"/>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305,234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17,789</w:t>
            </w:r>
          </w:p>
        </w:tc>
        <w:tc>
          <w:tcPr>
            <w:tcW w:w="0" w:type="dxa"/>
            <w:vAlign w:val="bottom"/>
          </w:tcPr>
          <w:p>
            <w:pPr>
              <w:spacing w:after="0"/>
              <w:rPr>
                <w:sz w:val="1"/>
                <w:szCs w:val="1"/>
                <w:color w:val="auto"/>
              </w:rPr>
            </w:pPr>
          </w:p>
        </w:tc>
      </w:tr>
      <w:tr>
        <w:trPr>
          <w:trHeight w:val="186"/>
        </w:trPr>
        <w:tc>
          <w:tcPr>
            <w:tcW w:w="8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Effect of foreign exchange rate changes on cash</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78,306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0" w:type="dxa"/>
            <w:vAlign w:val="bottom"/>
          </w:tcPr>
          <w:p>
            <w:pPr>
              <w:spacing w:after="0"/>
              <w:rPr>
                <w:sz w:val="1"/>
                <w:szCs w:val="1"/>
                <w:color w:val="auto"/>
              </w:rPr>
            </w:pPr>
          </w:p>
        </w:tc>
      </w:tr>
      <w:tr>
        <w:trPr>
          <w:trHeight w:val="186"/>
        </w:trPr>
        <w:tc>
          <w:tcPr>
            <w:tcW w:w="8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51,175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41,826</w:t>
            </w:r>
          </w:p>
        </w:tc>
        <w:tc>
          <w:tcPr>
            <w:tcW w:w="0" w:type="dxa"/>
            <w:vAlign w:val="bottom"/>
          </w:tcPr>
          <w:p>
            <w:pPr>
              <w:spacing w:after="0"/>
              <w:rPr>
                <w:sz w:val="1"/>
                <w:szCs w:val="1"/>
                <w:color w:val="auto"/>
              </w:rPr>
            </w:pPr>
          </w:p>
        </w:tc>
      </w:tr>
      <w:tr>
        <w:trPr>
          <w:trHeight w:val="211"/>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at end of period</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129,481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46,060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taxes paid</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 obtained in exchange for operating lease obligations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11,022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20"/>
                <w:szCs w:val="20"/>
                <w:color w:val="auto"/>
              </w:rPr>
            </w:pPr>
            <w:r>
              <w:rPr>
                <w:rFonts w:ascii="Arial" w:cs="Arial" w:eastAsia="Arial" w:hAnsi="Arial"/>
                <w:sz w:val="14"/>
                <w:szCs w:val="14"/>
                <w:color w:val="auto"/>
              </w:rPr>
              <w:t>Property and equipment included in accounts payable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Intangible costs in accounts payable and other long-term liabilities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jc w:val="both"/>
        <w:ind w:right="320" w:firstLine="810"/>
        <w:spacing w:after="0" w:line="311" w:lineRule="auto"/>
        <w:rPr>
          <w:sz w:val="20"/>
          <w:szCs w:val="20"/>
          <w:color w:val="auto"/>
        </w:rPr>
      </w:pPr>
      <w:r>
        <w:rPr>
          <w:rFonts w:ascii="Arial" w:cs="Arial" w:eastAsia="Arial" w:hAnsi="Arial"/>
          <w:sz w:val="16"/>
          <w:szCs w:val="16"/>
          <w:color w:val="auto"/>
        </w:rPr>
        <w:t>Tandem Diabetes Care, Inc. is a medical device company with an innovative approach to the design, development and commercialization of products for people with insulin-dependent diabetes. The Company is incorporated in the state of Delaware. Unless the context requires otherwise, the terms the “Company” or “Tandem” refer to Tandem Diabetes Care, Inc., together with its wholly-owned subsidiaries in the U.S. and Canada.</w:t>
      </w:r>
    </w:p>
    <w:p>
      <w:pPr>
        <w:spacing w:after="0" w:line="149"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is capable of remote feature updates and is designed to display continuous glucose monitoring (CGM) sensor information directly on the pump home screen. The Company’s insulin pump products are compatible with the t:connect cloud-based data management application (t:connect) and the Tandem Device Updater, a Mac and PC-compatible tool for the remote update of the Company’s insulin pump software.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w:t>
      </w:r>
    </w:p>
    <w:p>
      <w:pPr>
        <w:spacing w:after="0" w:line="165"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The Company has commercially launched seven insulin pumps in the United States since 2012 and three pumps outside the United States since 2018. Four of the insulin pumps have featured integration with CGM technology, of which two have also featured an automated insulin delivery (AID) algorithm. In June 2018, the t:slim X2 was the first insulin pump designated as compatible with integrated CGM (iCGM) devices; in February 2019, the t:slim X2 was the first insulin pump in a new device category called Alternate Controller Enabled Infusion Pumps (ACE pumps); and in December 2019, Control-IQ technology for the t:slim X2 insulin pump was the first automated insulin dosing software in a new interoperable automated glycemic controller category. The Company believes that the three new classifications by the United States Food and Drug Administration (FDA) for the interoperability of devices for AID will help support continued rapid innovation by streamlining the regulatory pathway for integrated products in the United States.</w:t>
      </w:r>
    </w:p>
    <w:p>
      <w:pPr>
        <w:spacing w:after="0" w:line="166"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As of September 30, 2020, the Company had $464.5 million in cash and cash equivalents and short-term investments. The Company has incurred operating losses since its inception and had an accumulated deficit of $676.2 million as of September 30, 2020, which included a net loss of $51.4 million for the nine months ended September 30, 2020. Management believes that the cash, cash equivalents and short-term investments on hand will be sufficient to satisfy the Company’s liquidity requirements for at least the next 12 months from the date of this filing.</w:t>
      </w:r>
    </w:p>
    <w:p>
      <w:pPr>
        <w:spacing w:after="0" w:line="171"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The Company’s ability to execute on its business strategy, meet its future liquidity requirements, and achieve and maintain profitable operations, is dependent on a number of factors, including its ability to continue to gain market acceptance of its products and achieve a level of revenues adequate to support its cost structure, achieve renewal pump sales objectives, develop and launch new products, expand the commercialization of products into new international markets, maximize manufacturing efficiencies, satisfy increasing production requirements, leverage the investments made in its sales, clinical, marketing and customer support organizations, and operate its business and manufacture and sell products without infringing on third-party intellectual property rights.</w:t>
      </w:r>
    </w:p>
    <w:p>
      <w:pPr>
        <w:spacing w:after="0" w:line="192" w:lineRule="exact"/>
        <w:rPr>
          <w:sz w:val="20"/>
          <w:szCs w:val="20"/>
          <w:color w:val="auto"/>
        </w:rPr>
      </w:pPr>
    </w:p>
    <w:p>
      <w:pPr>
        <w:ind w:right="200" w:firstLine="810"/>
        <w:spacing w:after="0" w:line="255" w:lineRule="auto"/>
        <w:rPr>
          <w:sz w:val="20"/>
          <w:szCs w:val="20"/>
          <w:color w:val="auto"/>
        </w:rPr>
      </w:pPr>
      <w:r>
        <w:rPr>
          <w:rFonts w:ascii="Arial" w:cs="Arial" w:eastAsia="Arial" w:hAnsi="Arial"/>
          <w:sz w:val="18"/>
          <w:szCs w:val="18"/>
          <w:color w:val="auto"/>
        </w:rPr>
        <w:t>The Company has funded its operations primarily through cash collected from product sales, private and public offerings of equity securities, and debt financing. The Company may in the future seek additional capital from public or private offerings of equity or debt securities, or it may elect to borrow capital under new credit arrangements or from other sources. If the Company issues equity or debt securities to raise additional funds, its existing stockholders may experience dilution, it may incur significant financing or debt service costs, and the new equity or debt securities may have rights, preferences and privileges senior to those of its existing stockholders. There can be no assurance that equity or debt financing will be available on acceptable terms, or at all.</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2019 (Annual Report), from which the balance sheet information herein was derived.</w:t>
      </w:r>
    </w:p>
    <w:p>
      <w:pPr>
        <w:spacing w:after="0" w:line="187"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Tandem Diabetes Care, Inc. and its wholly-owned subsidiaries in the U.S. and Canada. All significant intercompany balances and transactions have been eliminated in consolidation.</w:t>
      </w:r>
    </w:p>
    <w:p>
      <w:pPr>
        <w:spacing w:after="0" w:line="170"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The functional currency of the Company’s foreign subsidiary is the local currency. The Company translates the financial statements of its foreign subsidiary into U.S. dollars using period-end exchange rates for assets and liabilities and average exchange rates for each period for revenue, costs and expenses. Translation related adjustments are included in comprehensive loss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50" w:lineRule="exact"/>
        <w:rPr>
          <w:sz w:val="20"/>
          <w:szCs w:val="20"/>
          <w:color w:val="auto"/>
        </w:rPr>
      </w:pPr>
    </w:p>
    <w:p>
      <w:pPr>
        <w:ind w:firstLine="810"/>
        <w:spacing w:after="0" w:line="241" w:lineRule="auto"/>
        <w:rPr>
          <w:sz w:val="20"/>
          <w:szCs w:val="20"/>
          <w:color w:val="auto"/>
        </w:rPr>
      </w:pPr>
      <w:r>
        <w:rPr>
          <w:rFonts w:ascii="Arial" w:cs="Arial" w:eastAsia="Arial" w:hAnsi="Arial"/>
          <w:sz w:val="18"/>
          <w:szCs w:val="18"/>
          <w:color w:val="auto"/>
        </w:rPr>
        <w:t>Prior year amounts related to the presentation of other income (expense), net on the Company’s condensed consolidated statement of operations and comprehensive loss, have been reclassified to conform to the current year presentation. Starting with the third quarter of 2020, the first full quarter in which the Company’s convertible senior notes were outstanding, the Company began to present non-operating expenses unrelated to the convertible senior notes with interest income and other, net. In prior periods, other non-operating expenses were combined with interest expense and reported as interest and other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220" w:firstLine="810"/>
        <w:spacing w:after="0" w:line="263" w:lineRule="auto"/>
        <w:rPr>
          <w:sz w:val="20"/>
          <w:szCs w:val="20"/>
          <w:color w:val="auto"/>
        </w:rPr>
      </w:pPr>
      <w:r>
        <w:rPr>
          <w:rFonts w:ascii="Arial" w:cs="Arial" w:eastAsia="Arial" w:hAnsi="Arial"/>
          <w:sz w:val="18"/>
          <w:szCs w:val="18"/>
          <w:color w:val="auto"/>
        </w:rPr>
        <w:t>There have been no material changes to the Company’s significant accounting policies during the nine months ended September 30, 2020, as compared to those disclosed in the Annual Report, with the exception of policies put in place with regards to its convertible senior notes issued in May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cartridges and infusion sets for the storage and delivery of insulin. The Company views its operations and manages its business as one segment because key operating decisions and resource allocations are made by the CODM using consolidated financial data.</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The Company grants credit to various customers in the ordinary course of business and is paid directly by customers who use the products, distributors and third-party insurance payors. The Company maintains an allowance for its current estimate of expected credit losses. Provisions for expected credit losses are estimated based on historical experience, assessment of specific risk, review of outstanding invoices, forecasts about the future, and various assumptions and estimates that are believed to be reasonable under the circumstances, which included the Company’s estimates of credit risks as a result of the novel coronavirus pandemic (COVID-19 global pandemic). Uncollectible accounts are written off against the allowance after appropriate collection efforts have been exhausted and when it is deemed that a balance is uncollectible.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80" w:firstLine="810"/>
        <w:spacing w:after="0" w:line="296" w:lineRule="auto"/>
        <w:rPr>
          <w:sz w:val="20"/>
          <w:szCs w:val="20"/>
          <w:color w:val="auto"/>
        </w:rPr>
      </w:pPr>
      <w:r>
        <w:rPr>
          <w:rFonts w:ascii="Arial" w:cs="Arial" w:eastAsia="Arial" w:hAnsi="Arial"/>
          <w:sz w:val="16"/>
          <w:szCs w:val="16"/>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Company determined the fair value of its convertible senior notes at September 30, 2020 to be $367.2 million, based on Level 2 quoted market prices as of that date (see Note 7, “Convertible Senior Notes”). The estimated fair value of certain of the Company’s common stock warrants was determined using the Black-Scholes pricing model as of September 30, 2020 and December 31, 2019 (see Note 5, “Fair Value 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Operating Lease Right-of-Use Assets and Liabilities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and its related amendments (collectively referred to as ASC</w:t>
      </w:r>
    </w:p>
    <w:p>
      <w:pPr>
        <w:spacing w:after="0" w:line="46" w:lineRule="exact"/>
        <w:rPr>
          <w:sz w:val="20"/>
          <w:szCs w:val="20"/>
          <w:color w:val="auto"/>
        </w:rPr>
      </w:pPr>
    </w:p>
    <w:p>
      <w:pPr>
        <w:ind w:right="200" w:firstLine="8"/>
        <w:spacing w:after="0" w:line="252"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lessees to recognize right-of-use assets and corresponding lease liabilities for all leases with lease terms of greater than 12 months. The new standard was effective for the Company starting in the first quarter of 2019. The Company adopted the new standard using the modified retrospective approach and recognized right-of-use leased assets and corresponding operating lease liabilities of $12.4 million on the consolidated balance sheet as of January 1, 2019. The Company did not restate prior periods. Deferred rent of $1.0 million and $3.8 million as of January 1, 2019 was reclassified from other current liabilities and deferred rent long-term, respectively, to a reduction of the right-of-use leased assets in connection with the adoption of the standard.</w:t>
      </w:r>
    </w:p>
    <w:p>
      <w:pPr>
        <w:spacing w:after="0" w:line="194" w:lineRule="exact"/>
        <w:rPr>
          <w:sz w:val="20"/>
          <w:szCs w:val="20"/>
          <w:color w:val="auto"/>
        </w:rPr>
      </w:pPr>
    </w:p>
    <w:p>
      <w:pPr>
        <w:ind w:right="100" w:firstLine="810"/>
        <w:spacing w:after="0" w:line="290" w:lineRule="auto"/>
        <w:rPr>
          <w:sz w:val="20"/>
          <w:szCs w:val="20"/>
          <w:color w:val="auto"/>
        </w:rPr>
      </w:pPr>
      <w:r>
        <w:rPr>
          <w:rFonts w:ascii="Arial" w:cs="Arial" w:eastAsia="Arial" w:hAnsi="Arial"/>
          <w:sz w:val="16"/>
          <w:szCs w:val="16"/>
          <w:color w:val="auto"/>
        </w:rPr>
        <w:t>Lease right-of-use assets represent the Company’s right to use an underlying asset for the lease term and lease liabilities represent their obligation to make lease payments arising from the lease. Operating lease right-of-use assets and liabilities are recognized when the Company takes possession of the leased property (the Commencement Date) based on the present value of lease payments over the lease term.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consolidated balance sheet. Landlord improvement allowances and other similar lease incentives are recorded as property and equipment and as a reduction of the right-of-use leased assets, and are amortized on a straight-line basis as a reduction to operating lease costs. Leases with an initial term of 12 months or less are expensed as incurred and are not recorded as right-of-use assets on the consolidated balance sheets (see Note 6, “Leases”).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225" w:lineRule="exact"/>
        <w:rPr>
          <w:sz w:val="20"/>
          <w:szCs w:val="20"/>
          <w:color w:val="auto"/>
        </w:rPr>
      </w:pPr>
    </w:p>
    <w:p>
      <w:pPr>
        <w:ind w:right="240" w:firstLine="810"/>
        <w:spacing w:after="0" w:line="277" w:lineRule="auto"/>
        <w:rPr>
          <w:sz w:val="20"/>
          <w:szCs w:val="20"/>
          <w:color w:val="auto"/>
        </w:rPr>
      </w:pPr>
      <w:r>
        <w:rPr>
          <w:rFonts w:ascii="Arial" w:cs="Arial" w:eastAsia="Arial" w:hAnsi="Arial"/>
          <w:sz w:val="18"/>
          <w:szCs w:val="18"/>
          <w:color w:val="auto"/>
        </w:rPr>
        <w:t>Intangible assets subject to amortization consist of developed technology and patents purchased or licensed that are related to the Company’s commercialized products, and are included in other long-term assets on the consolidated balance sheets.</w:t>
      </w:r>
    </w:p>
    <w:p>
      <w:pPr>
        <w:spacing w:after="0" w:line="170"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On June 24, 2020, the Company acquired Sugarmate, Inc. (Sugarmate), the developer of a popular mobile app for people with diabetes who use insulin, which is designed to help people with diabetes visualize diabetes therapy data in innovative ways. The Sugarmate acquisition was accounted for as an acquisition of assets in accordance with (ASU) No. 2017-01, Business Combinations (Topic 805) Clarifying the Definition of a Business. Substantially all of the purchase price was allocated to a technology-based intangible asset, which is being amortized on a straight-line basis over an estimated useful life of five years. The Company’s results of operations for the three and nine months ended September 30, 2020 included the operating results of Sugarmate since the date of acquisition, the amounts of which were not material.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ind w:right="200" w:firstLine="810"/>
        <w:spacing w:after="0" w:line="255" w:lineRule="auto"/>
        <w:rPr>
          <w:sz w:val="20"/>
          <w:szCs w:val="20"/>
          <w:color w:val="auto"/>
        </w:rPr>
      </w:pPr>
      <w:r>
        <w:rPr>
          <w:rFonts w:ascii="Arial" w:cs="Arial" w:eastAsia="Arial" w:hAnsi="Arial"/>
          <w:sz w:val="18"/>
          <w:szCs w:val="18"/>
          <w:color w:val="auto"/>
        </w:rPr>
        <w:t>In accounting for the issuance of the convertible senior notes, the Company separated the notes into liability and equity components. The carrying amount of the liability component was calculated by measuring the fair value of similar debt instruments that do not have associated convertible features. The carrying amount of the equity component representing the conversion option was determined by deducting the fair value of the liability component from the par value of the respective notes. The equity component is not remeasured as long as it continues to meet the condition for equity classification. The excess of the principal amount of the liability component over its carrying amount (“debt discount”) is amortized to interest expense over the term of the notes.</w:t>
      </w:r>
    </w:p>
    <w:p>
      <w:pPr>
        <w:spacing w:after="0" w:line="192" w:lineRule="exact"/>
        <w:rPr>
          <w:sz w:val="20"/>
          <w:szCs w:val="20"/>
          <w:color w:val="auto"/>
        </w:rPr>
      </w:pPr>
    </w:p>
    <w:p>
      <w:pPr>
        <w:ind w:right="280" w:firstLine="810"/>
        <w:spacing w:after="0" w:line="259" w:lineRule="auto"/>
        <w:rPr>
          <w:sz w:val="20"/>
          <w:szCs w:val="20"/>
          <w:color w:val="auto"/>
        </w:rPr>
      </w:pPr>
      <w:r>
        <w:rPr>
          <w:rFonts w:ascii="Arial" w:cs="Arial" w:eastAsia="Arial" w:hAnsi="Arial"/>
          <w:sz w:val="18"/>
          <w:szCs w:val="18"/>
          <w:color w:val="auto"/>
        </w:rPr>
        <w:t>The Company allocated the issuance costs incurred to the liability and equity components of the notes based on their relative fair values. Issuance costs attributable to the liability component were recorded as a reduction to the liability portion of the notes and are being amortized to interest expense over the term of the notes. Issuance costs attributable to the equity component, representing the conversion option, were netted with the equity component in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810"/>
        <w:spacing w:after="0" w:line="311" w:lineRule="auto"/>
        <w:rPr>
          <w:sz w:val="20"/>
          <w:szCs w:val="20"/>
          <w:color w:val="auto"/>
        </w:rPr>
      </w:pPr>
      <w:r>
        <w:rPr>
          <w:rFonts w:ascii="Arial" w:cs="Arial" w:eastAsia="Arial" w:hAnsi="Arial"/>
          <w:sz w:val="16"/>
          <w:szCs w:val="16"/>
          <w:color w:val="auto"/>
        </w:rPr>
        <w:t>Revenue is generated primarily from sales of insulin pumps, disposable cartridges and infusion sets to individual customers and third-party distributors that resell the products to insulin-dependent diabetes customers. The Company recognizes revenue when it transfers promised goods or services to customers in an amount that reflects the consideration to which the Company expects to be entitled in exchange for those goods or services.</w:t>
      </w:r>
    </w:p>
    <w:p>
      <w:pPr>
        <w:spacing w:after="0" w:line="14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is upon delivery. Complementary products, such as t:connect and the Tandem Device Updater, are considered performance obligations that are satisfied over time, as access and support for these products is provided throughout the typical four-year warranty period of the insulin pumps. Accordingly, revenue related to the complementary products is deferred and recognized ratably over a four-year period. When there is no standalone value for the complementary product, the Company determines their value by applying the expected cost plus a margin approach and then allocates the residual to the insulin pumps. Deferred revenue related to these performance obligations that are satisfied over time was included in the following consolidated balance sheet accounts in the amounts shown as of September 30, 2020 and December 31, 2019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December 31, 2019</w:t>
            </w:r>
          </w:p>
        </w:tc>
      </w:tr>
      <w:tr>
        <w:trPr>
          <w:trHeight w:val="22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w:t>
            </w:r>
          </w:p>
        </w:tc>
      </w:tr>
      <w:tr>
        <w:trPr>
          <w:trHeight w:val="248"/>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Sales Returns</w:t>
      </w:r>
    </w:p>
    <w:p>
      <w:pPr>
        <w:spacing w:after="0" w:line="225"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The Company offers a 30-day right of return to customers in the U.S. and Canada from the date of shipment of its insulin pumps, provided a physician’s confirmation of the medical reason for the return is received. Estimated allowances for sales returns are based on historical returned quantities as compared to pump shipments in those same periods of return, adjusted for known or expected changes in the marketplace when appropriate. The amount recorded in deferred revenue on the Company’s consolidated balance sheets for allowances for sales returns was $0.6 million and $0.4 million at September 30, 2020 and December 31, 2019, respectively. Actual product returns have not differed materially from estimated amounts recorded in the accompanying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80" w:firstLine="810"/>
        <w:spacing w:after="0" w:line="271" w:lineRule="auto"/>
        <w:rPr>
          <w:sz w:val="20"/>
          <w:szCs w:val="20"/>
          <w:color w:val="auto"/>
        </w:rPr>
      </w:pPr>
      <w:r>
        <w:rPr>
          <w:rFonts w:ascii="Arial" w:cs="Arial" w:eastAsia="Arial" w:hAnsi="Arial"/>
          <w:sz w:val="17"/>
          <w:szCs w:val="17"/>
          <w:color w:val="auto"/>
        </w:rPr>
        <w:t>The Company generally provides a four-year warranty on its insulin pumps to end-user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The Company evaluates the reserve quarterly. Warranty costs are primarily estimated based on the current expected product replacement cost and expected replacement rates utilizing historical experience. Recently released versions of the pump may not incur warranty costs in a manner similar to previously released pumps, on which the Company initially bases its warranty estimate of newer pumps. The Company may make further adjustments to the warranty reserve when deemed appropriate, giving additional consideration to length of time the pump version has been in the field and future expectations of performance based on new features and capabilities that may become available through Tandem Device Updater.</w:t>
      </w:r>
    </w:p>
    <w:p>
      <w:pPr>
        <w:spacing w:after="0" w:line="178"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 in product warranty liabilities from December 31, 2019 through September 30, 2020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Provision for warranties issued during the period</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14,588</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(10,217)</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Decreases in warranty estimates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firstLine="810"/>
        <w:spacing w:after="0" w:line="277" w:lineRule="auto"/>
        <w:rPr>
          <w:sz w:val="20"/>
          <w:szCs w:val="20"/>
          <w:color w:val="auto"/>
        </w:rPr>
      </w:pPr>
      <w:r>
        <w:rPr>
          <w:rFonts w:ascii="Arial" w:cs="Arial" w:eastAsia="Arial" w:hAnsi="Arial"/>
          <w:sz w:val="18"/>
          <w:szCs w:val="18"/>
          <w:color w:val="auto"/>
        </w:rPr>
        <w:t>As of September 30, 2020 and December 31, 2019, total product warranty reserves of $18.2 million and $16.7 million, respectively, were included in the following consolidated balance sheet accounts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December 31, 2019</w:t>
            </w:r>
          </w:p>
        </w:tc>
      </w:tr>
      <w:tr>
        <w:trPr>
          <w:trHeight w:val="22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12,017</w:t>
            </w:r>
          </w:p>
        </w:tc>
      </w:tr>
      <w:tr>
        <w:trPr>
          <w:trHeight w:val="248"/>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warranty reserve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8, “Stockholders’ Equity”). The fair value of restricted stock unit (RSU) awards issued under the Company’s 2013 Plan that vest solely based on service is estimated based on the fair market value of the underlying stock on the date of grant.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60" w:firstLine="810"/>
        <w:spacing w:after="0" w:line="286" w:lineRule="auto"/>
        <w:rPr>
          <w:sz w:val="20"/>
          <w:szCs w:val="20"/>
          <w:color w:val="auto"/>
        </w:rPr>
      </w:pPr>
      <w:r>
        <w:rPr>
          <w:rFonts w:ascii="Arial" w:cs="Arial" w:eastAsia="Arial" w:hAnsi="Arial"/>
          <w:sz w:val="16"/>
          <w:szCs w:val="16"/>
          <w:color w:val="auto"/>
        </w:rPr>
        <w:t>Basic net loss per share is calculated by dividing the net loss by the weighted average number of common shares that were outstanding for the period, without consideration for common stock equivalents. Diluted loss per share reflects the potential dilution that would occur if securities exercisable for or convertible into common stock were exercised for or converted into common stock. Dilutive common share equivalents are comprised of warrants, stock options outstanding under the Company’s equity incentive plans, unvested RSUs, and potential awards granted pursuant to the ESPP, each calculated using the treasury stock method; and shares issuable upon conversion of the senior convertible notes using the if-converted method. For warrants that are recorded as a liability in the accompanying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 For all periods presented other than the three months ended September 30, 2019, there is no difference in the number of shares used to calculate basic and diluted shares outstanding due to the Company’s net loss position. For the three months ended September 30, 2019, the net loss used in the calculation of diluted net loss per share was increased by $2.3 million to remove the decrease in fair value of common stock warrants based on the dilutive effect of assumed exercise, and the denominator was increased by 394,433 shares calculated under the treasury stock method.</w:t>
      </w:r>
    </w:p>
    <w:p>
      <w:pPr>
        <w:spacing w:after="0" w:line="201" w:lineRule="exact"/>
        <w:rPr>
          <w:sz w:val="20"/>
          <w:szCs w:val="20"/>
          <w:color w:val="auto"/>
        </w:rPr>
      </w:pPr>
    </w:p>
    <w:p>
      <w:pPr>
        <w:ind w:right="400" w:firstLine="810"/>
        <w:spacing w:after="0" w:line="261" w:lineRule="auto"/>
        <w:rPr>
          <w:sz w:val="20"/>
          <w:szCs w:val="20"/>
          <w:color w:val="auto"/>
        </w:rPr>
      </w:pPr>
      <w:r>
        <w:rPr>
          <w:rFonts w:ascii="Arial" w:cs="Arial" w:eastAsia="Arial" w:hAnsi="Arial"/>
          <w:sz w:val="18"/>
          <w:szCs w:val="18"/>
          <w:color w:val="auto"/>
        </w:rPr>
        <w:t>Potentially dilutive securities outstanding and not included in the calculation of diluted net loss per share (because inclusion would be anti-dilutive) are as follows (in thousands, in common stock equivalent shares):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88"/>
        </w:trPr>
        <w:tc>
          <w:tcPr>
            <w:tcW w:w="646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636"/>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r>
      <w:tr>
        <w:trPr>
          <w:trHeight w:val="183"/>
        </w:trPr>
        <w:tc>
          <w:tcPr>
            <w:tcW w:w="64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5,548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5,868</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Awards granted under the ESPP</w:t>
            </w: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(if-converted)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64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6,623</w:t>
            </w:r>
          </w:p>
        </w:tc>
      </w:tr>
      <w:tr>
        <w:trPr>
          <w:trHeight w:val="20"/>
        </w:trPr>
        <w:tc>
          <w:tcPr>
            <w:tcW w:w="6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(Topic 326): Measurement of Credit Losses on Financial Instruments, </w:t>
      </w:r>
      <w:r>
        <w:rPr>
          <w:rFonts w:ascii="Arial" w:cs="Arial" w:eastAsia="Arial" w:hAnsi="Arial"/>
          <w:sz w:val="17"/>
          <w:szCs w:val="17"/>
          <w:color w:val="auto"/>
        </w:rPr>
        <w:t>which modifies the measurement and recognition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for most financial assets and certain other instruments. The new standard requires the use of forward-looking expected credit loss models based on historical experience, current conditions, and reasonable and supportable forecasts that affect the collectability of the reported amount, which may result in earlier recognition of credit losses under the new standard. The new standard also requires that credit losses related to available-for-sale debt securities be recorded as an allowance through net income (loss) rather than reducing the carrying amount under the prior, other-than-temporary-impairment model. The new standard must be adopted using the modified retrospective approach and was effective for the Company starting in the first quarter of 2020. The Company determined there was no cumulative-effect transition adjustment to the opening balance of accumulated deficit for recognition of additional credit losses upon adoption of this standard as of January 1, 2020 based on its outstanding accounts receivable, the composition and credit quality of its short-term investments, and current economic conditions as of that date.</w:t>
      </w:r>
    </w:p>
    <w:p>
      <w:pPr>
        <w:spacing w:after="0" w:line="185" w:lineRule="exact"/>
        <w:rPr>
          <w:sz w:val="20"/>
          <w:szCs w:val="20"/>
          <w:color w:val="auto"/>
        </w:rPr>
      </w:pPr>
    </w:p>
    <w:p>
      <w:pPr>
        <w:ind w:right="100" w:firstLine="810"/>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adds and modifies certain disclosure requirements for fair value measurements. Under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The updated guidance was effective for the Company starting in the first quarter of 2020. As a result, the Company modified certain fair value measurement disclosures primarily related to its Level 3 liabilities (see Note 5, “Fair Value Measurements”).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is intended to simplify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public business entities for fiscal years beginning after December 15, 2020, including interim periods within those fiscal years, and early adoption is permitted. The Company early adopted the new guidance in the second quarter of 2020. As a result, the Company recognized, on a prospective basis, $13,000 of income tax expense in the second quarter of 2020 upon the reversal of tax benefits recorded in the first quarter of 2020 related to unrealized gains on short-term investments.</w:t>
      </w:r>
    </w:p>
    <w:p>
      <w:pPr>
        <w:spacing w:after="0" w:line="19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In June 2020, the FASB issued ASU No. 2020-06, </w:t>
      </w:r>
      <w:r>
        <w:rPr>
          <w:rFonts w:ascii="Arial" w:cs="Arial" w:eastAsia="Arial" w:hAnsi="Arial"/>
          <w:sz w:val="18"/>
          <w:szCs w:val="18"/>
          <w:i w:val="1"/>
          <w:iCs w:val="1"/>
          <w:color w:val="auto"/>
        </w:rPr>
        <w:t>Accounting for Convertible Instruments and Contracts in</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i w:val="1"/>
          <w:iCs w:val="1"/>
          <w:color w:val="auto"/>
        </w:rPr>
        <w:t>an Entity’s Own Equity</w:t>
      </w:r>
      <w:r>
        <w:rPr>
          <w:rFonts w:ascii="Arial" w:cs="Arial" w:eastAsia="Arial" w:hAnsi="Arial"/>
          <w:sz w:val="17"/>
          <w:szCs w:val="17"/>
          <w:color w:val="auto"/>
        </w:rPr>
        <w:t>, which is intended to simplify the accounting for convertible instruments. This new guidance eliminates certain models that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can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is in the process of determining the impact of the adoption of the standard on its consolidated financial statements as well as whether to early adopt the new standard.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The Company invests in marketable securities consisting of debt instruments of the U.S. Government, and financial institutions and corporations with strong credit ratings. The following represents a summary of the estimated fair value of short-term investments as of September 30, 2020 and December 31, 2019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September 30, 2020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gridSpan w:val="3"/>
            <w:vMerge w:val="continue"/>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FF0FC"/>
            </w:tcBorders>
          </w:tcPr>
          <w:p>
            <w:pPr>
              <w:spacing w:after="0" w:line="20" w:lineRule="exact"/>
              <w:rPr>
                <w:sz w:val="1"/>
                <w:szCs w:val="1"/>
                <w:color w:val="auto"/>
              </w:rPr>
            </w:pPr>
          </w:p>
        </w:tc>
        <w:tc>
          <w:tcPr>
            <w:tcW w:w="1360" w:type="dxa"/>
            <w:vAlign w:val="bottom"/>
            <w:tcBorders>
              <w:top w:val="single" w:sz="8" w:color="auto"/>
              <w:bottom w:val="single" w:sz="8" w:color="CFF0FC"/>
            </w:tcBorders>
          </w:tcPr>
          <w:p>
            <w:pPr>
              <w:spacing w:after="0" w:line="20" w:lineRule="exact"/>
              <w:rPr>
                <w:sz w:val="1"/>
                <w:szCs w:val="1"/>
                <w:color w:val="auto"/>
              </w:rPr>
            </w:pPr>
          </w:p>
        </w:tc>
        <w:tc>
          <w:tcPr>
            <w:tcW w:w="40" w:type="dxa"/>
            <w:vAlign w:val="bottom"/>
            <w:tcBorders>
              <w:top w:val="single" w:sz="8" w:color="auto"/>
              <w:bottom w:val="single" w:sz="8" w:color="CFF0FC"/>
            </w:tcBorders>
          </w:tcPr>
          <w:p>
            <w:pPr>
              <w:spacing w:after="0" w:line="20" w:lineRule="exact"/>
              <w:rPr>
                <w:sz w:val="1"/>
                <w:szCs w:val="1"/>
                <w:color w:val="auto"/>
              </w:rPr>
            </w:pPr>
          </w:p>
        </w:tc>
        <w:tc>
          <w:tcPr>
            <w:tcW w:w="278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Commercial paper</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94,076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60"/>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94,084</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U.S. Government-sponsored enterprise</w:t>
            </w: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U.S. Treasury securities</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105,779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105,815</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Corporate debt securities</w:t>
            </w: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102,862</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0"/>
              </w:rPr>
              <w:t>(6)</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334,874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0"/>
              </w:rPr>
              <w:t>(8)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 2019</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gridSpan w:val="3"/>
            <w:vMerge w:val="continue"/>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1360" w:type="dxa"/>
            <w:vAlign w:val="bottom"/>
            <w:tcBorders>
              <w:top w:val="single" w:sz="8" w:color="auto"/>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78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Commercial paper</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24,147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24,157</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U.S. Government-sponsored enterprise</w:t>
            </w: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U.S. Treasury securities</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17,979</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Corporate debt securities</w:t>
            </w: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50,011</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0"/>
              </w:rPr>
              <w:t>(5)</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0"/>
              </w:rPr>
              <w:t>(6)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810"/>
        <w:spacing w:after="0" w:line="271" w:lineRule="auto"/>
        <w:rPr>
          <w:sz w:val="20"/>
          <w:szCs w:val="20"/>
          <w:color w:val="auto"/>
        </w:rPr>
      </w:pPr>
      <w:r>
        <w:rPr>
          <w:rFonts w:ascii="Arial" w:cs="Arial" w:eastAsia="Arial" w:hAnsi="Arial"/>
          <w:sz w:val="17"/>
          <w:szCs w:val="17"/>
          <w:color w:val="auto"/>
        </w:rPr>
        <w:t>The Company periodically reviews the portfolio of available-for-sale debt securities to determine if any investment is impaired due to changes in credit risk or other potential valuation concerns. Unrealized losses on available-for-sale debt securities at September 30, 2020 were not significant and were due to changes in interest rates, including credit spreads from perceived increased credit risks as a result of the COVID-19 global pandemic.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that are in an unrealized loss position, and the Company’s estimates of future cash flows to be collected from those securities, the Company believes the unrealized losses are not credit losses. Accordingly, the Company has not recognized any impairment losses related to its available-for-sale debt securities at September 30, 2020.</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and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Accounts receivable consisted of the following (in thousands):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8"/>
                <w:szCs w:val="18"/>
                <w:color w:val="auto"/>
              </w:rPr>
            </w:pPr>
          </w:p>
        </w:tc>
        <w:tc>
          <w:tcPr>
            <w:tcW w:w="120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December 31,</w:t>
            </w:r>
          </w:p>
        </w:tc>
      </w:tr>
      <w:tr>
        <w:trPr>
          <w:trHeight w:val="219"/>
        </w:trPr>
        <w:tc>
          <w:tcPr>
            <w:tcW w:w="8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2019</w:t>
            </w: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55,568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49,889</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4"/>
              </w:rPr>
              <w:t>(3,464)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1"/>
              </w:rPr>
              <w:t>(3,304)</w:t>
            </w:r>
          </w:p>
        </w:tc>
      </w:tr>
      <w:tr>
        <w:trPr>
          <w:trHeight w:val="248"/>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52,104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8"/>
              </w:rPr>
              <w:t>46,585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right="36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 in the estimated allowance for expected accounts receivable credit losses for the three and nine month periods ended September 30, 2020 and 2019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2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6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3,139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398"/>
              <w:spacing w:after="0"/>
              <w:rPr>
                <w:sz w:val="20"/>
                <w:szCs w:val="20"/>
                <w:color w:val="auto"/>
              </w:rPr>
            </w:pPr>
            <w:r>
              <w:rPr>
                <w:rFonts w:ascii="Arial" w:cs="Arial" w:eastAsia="Arial" w:hAnsi="Arial"/>
                <w:sz w:val="18"/>
                <w:szCs w:val="18"/>
                <w:color w:val="auto"/>
                <w:w w:val="88"/>
              </w:rPr>
              <w:t>3,304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Provision for expected credit losses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center"/>
              <w:ind w:left="398"/>
              <w:spacing w:after="0"/>
              <w:rPr>
                <w:sz w:val="20"/>
                <w:szCs w:val="20"/>
                <w:color w:val="auto"/>
              </w:rPr>
            </w:pPr>
            <w:r>
              <w:rPr>
                <w:rFonts w:ascii="Arial" w:cs="Arial" w:eastAsia="Arial" w:hAnsi="Arial"/>
                <w:sz w:val="18"/>
                <w:szCs w:val="18"/>
                <w:color w:val="auto"/>
                <w:w w:val="88"/>
              </w:rPr>
              <w:t>2,181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and adjustments, net of recoveries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358"/>
              <w:spacing w:after="0"/>
              <w:rPr>
                <w:sz w:val="20"/>
                <w:szCs w:val="20"/>
                <w:color w:val="auto"/>
              </w:rPr>
            </w:pPr>
            <w:r>
              <w:rPr>
                <w:rFonts w:ascii="Arial" w:cs="Arial" w:eastAsia="Arial" w:hAnsi="Arial"/>
                <w:sz w:val="18"/>
                <w:szCs w:val="18"/>
                <w:color w:val="auto"/>
                <w:w w:val="91"/>
              </w:rPr>
              <w:t>(2,021)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23"/>
        </w:trPr>
        <w:tc>
          <w:tcPr>
            <w:tcW w:w="5660" w:type="dxa"/>
            <w:vAlign w:val="bottom"/>
          </w:tcPr>
          <w:p>
            <w:pPr>
              <w:ind w:left="220"/>
              <w:spacing w:after="0"/>
              <w:rPr>
                <w:sz w:val="20"/>
                <w:szCs w:val="20"/>
                <w:color w:val="auto"/>
              </w:rPr>
            </w:pPr>
            <w:r>
              <w:rPr>
                <w:rFonts w:ascii="Arial" w:cs="Arial" w:eastAsia="Arial" w:hAnsi="Arial"/>
                <w:sz w:val="18"/>
                <w:szCs w:val="18"/>
                <w:color w:val="auto"/>
              </w:rPr>
              <w:t>Balance at end of the period</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3,464</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398"/>
              <w:spacing w:after="0"/>
              <w:rPr>
                <w:sz w:val="20"/>
                <w:szCs w:val="20"/>
                <w:color w:val="auto"/>
              </w:rPr>
            </w:pPr>
            <w:r>
              <w:rPr>
                <w:rFonts w:ascii="Arial" w:cs="Arial" w:eastAsia="Arial" w:hAnsi="Arial"/>
                <w:sz w:val="18"/>
                <w:szCs w:val="18"/>
                <w:color w:val="auto"/>
                <w:w w:val="88"/>
              </w:rPr>
              <w:t>3,464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r>
      <w:tr>
        <w:trPr>
          <w:trHeight w:val="20"/>
        </w:trPr>
        <w:tc>
          <w:tcPr>
            <w:tcW w:w="5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Inventories consisted of the following as of September 30, 2020 and December 31, 2019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3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24"/>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36,111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16,532</w:t>
            </w:r>
          </w:p>
        </w:tc>
      </w:tr>
      <w:tr>
        <w:trPr>
          <w:trHeight w:val="230"/>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20,217</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11,842</w:t>
            </w: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49,073</w:t>
            </w: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2" w:lineRule="exact"/>
        <w:rPr>
          <w:sz w:val="20"/>
          <w:szCs w:val="20"/>
          <w:color w:val="auto"/>
        </w:rPr>
      </w:pPr>
    </w:p>
    <w:p>
      <w:pPr>
        <w:ind w:left="780" w:right="20" w:hanging="809"/>
        <w:spacing w:after="0" w:line="277" w:lineRule="auto"/>
        <w:tabs>
          <w:tab w:leader="none" w:pos="760" w:val="left"/>
        </w:tabs>
        <w:rPr>
          <w:sz w:val="20"/>
          <w:szCs w:val="20"/>
          <w:color w:val="auto"/>
        </w:rPr>
      </w:pPr>
      <w:r>
        <w:rPr>
          <w:rFonts w:ascii="Arial" w:cs="Arial" w:eastAsia="Arial" w:hAnsi="Arial"/>
          <w:sz w:val="18"/>
          <w:szCs w:val="18"/>
          <w:color w:val="auto"/>
        </w:rPr>
        <w:t>Level 1:</w:t>
        <w:tab/>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780" w:right="280" w:hanging="809"/>
        <w:spacing w:after="0" w:line="277" w:lineRule="auto"/>
        <w:tabs>
          <w:tab w:leader="none" w:pos="760" w:val="left"/>
        </w:tabs>
        <w:rPr>
          <w:sz w:val="20"/>
          <w:szCs w:val="20"/>
          <w:color w:val="auto"/>
        </w:rPr>
      </w:pPr>
      <w:r>
        <w:rPr>
          <w:rFonts w:ascii="Arial" w:cs="Arial" w:eastAsia="Arial" w:hAnsi="Arial"/>
          <w:sz w:val="18"/>
          <w:szCs w:val="18"/>
          <w:color w:val="auto"/>
        </w:rPr>
        <w:t>Level 2:</w:t>
        <w:tab/>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780" w:hanging="809"/>
        <w:spacing w:after="0" w:line="277" w:lineRule="auto"/>
        <w:tabs>
          <w:tab w:leader="none" w:pos="760" w:val="left"/>
        </w:tabs>
        <w:rPr>
          <w:sz w:val="20"/>
          <w:szCs w:val="20"/>
          <w:color w:val="auto"/>
        </w:rPr>
      </w:pPr>
      <w:r>
        <w:rPr>
          <w:rFonts w:ascii="Arial" w:cs="Arial" w:eastAsia="Arial" w:hAnsi="Arial"/>
          <w:sz w:val="18"/>
          <w:szCs w:val="18"/>
          <w:color w:val="auto"/>
        </w:rPr>
        <w:t>Level 3:</w:t>
        <w:tab/>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ind w:right="140" w:firstLine="810"/>
        <w:spacing w:after="0" w:line="263"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September 30, 2020 and December 31, 2019, and indicates the fair value hierarchy of the valuation techniques utilized by the Company to determine such fair value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7"/>
          </w:tcPr>
          <w:p>
            <w:pPr>
              <w:jc w:val="center"/>
              <w:ind w:right="192"/>
              <w:spacing w:after="0"/>
              <w:rPr>
                <w:sz w:val="20"/>
                <w:szCs w:val="20"/>
                <w:color w:val="auto"/>
              </w:rPr>
            </w:pPr>
            <w:r>
              <w:rPr>
                <w:rFonts w:ascii="Arial" w:cs="Arial" w:eastAsia="Arial" w:hAnsi="Arial"/>
                <w:sz w:val="14"/>
                <w:szCs w:val="14"/>
                <w:b w:val="1"/>
                <w:bCs w:val="1"/>
                <w:color w:val="auto"/>
                <w:w w:val="92"/>
              </w:rPr>
              <w:t>Fair Value Measurements at September 30, 2020</w:t>
            </w:r>
          </w:p>
        </w:tc>
      </w:tr>
      <w:tr>
        <w:trPr>
          <w:trHeight w:val="196"/>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7"/>
                <w:szCs w:val="17"/>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r>
      <w:tr>
        <w:trPr>
          <w:trHeight w:val="215"/>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Cash equivalents</w:t>
            </w:r>
            <w:r>
              <w:rPr>
                <w:rFonts w:ascii="Arial" w:cs="Arial" w:eastAsia="Arial" w:hAnsi="Arial"/>
                <w:sz w:val="21"/>
                <w:szCs w:val="21"/>
                <w:color w:val="auto"/>
                <w:vertAlign w:val="superscript"/>
              </w:rPr>
              <w:t>(1)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127,732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127,732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U.S. Government-sponsored enterprise</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102,963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102,963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17,404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17,404</w:t>
            </w:r>
          </w:p>
        </w:tc>
      </w:tr>
      <w:tr>
        <w:trPr>
          <w:trHeight w:val="248"/>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70"/>
        </w:trPr>
        <w:tc>
          <w:tcPr>
            <w:tcW w:w="5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7"/>
          </w:tcPr>
          <w:p>
            <w:pPr>
              <w:jc w:val="center"/>
              <w:ind w:right="192"/>
              <w:spacing w:after="0"/>
              <w:rPr>
                <w:sz w:val="20"/>
                <w:szCs w:val="20"/>
                <w:color w:val="auto"/>
              </w:rPr>
            </w:pPr>
            <w:r>
              <w:rPr>
                <w:rFonts w:ascii="Arial" w:cs="Arial" w:eastAsia="Arial" w:hAnsi="Arial"/>
                <w:sz w:val="14"/>
                <w:szCs w:val="14"/>
                <w:b w:val="1"/>
                <w:bCs w:val="1"/>
                <w:color w:val="auto"/>
                <w:w w:val="92"/>
              </w:rPr>
              <w:t>Fair Value Measurements at December 31, 2019</w:t>
            </w:r>
          </w:p>
        </w:tc>
      </w:tr>
      <w:tr>
        <w:trPr>
          <w:trHeight w:val="196"/>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7"/>
                <w:szCs w:val="17"/>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r>
      <w:tr>
        <w:trPr>
          <w:trHeight w:val="215"/>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Cash equivalents</w:t>
            </w:r>
            <w:r>
              <w:rPr>
                <w:rFonts w:ascii="Arial" w:cs="Arial" w:eastAsia="Arial" w:hAnsi="Arial"/>
                <w:sz w:val="10"/>
                <w:szCs w:val="10"/>
                <w:color w:val="auto"/>
              </w:rPr>
              <w:t>(1)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33,844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33,844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U.S. Government-sponsored enterprise</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23,509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23,509</w:t>
            </w:r>
          </w:p>
        </w:tc>
      </w:tr>
      <w:tr>
        <w:trPr>
          <w:trHeight w:val="248"/>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Generally, cash equivalents include money market funds and investments with a maturity of three months or less from the date of purchase.</w:t>
      </w:r>
    </w:p>
    <w:p>
      <w:pPr>
        <w:spacing w:after="0" w:line="237"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87" w:lineRule="exact"/>
        <w:rPr>
          <w:sz w:val="20"/>
          <w:szCs w:val="20"/>
          <w:color w:val="auto"/>
        </w:rPr>
      </w:pPr>
    </w:p>
    <w:p>
      <w:pPr>
        <w:ind w:right="320" w:firstLine="810"/>
        <w:spacing w:after="0" w:line="279" w:lineRule="auto"/>
        <w:rPr>
          <w:sz w:val="20"/>
          <w:szCs w:val="20"/>
          <w:color w:val="auto"/>
        </w:rPr>
      </w:pPr>
      <w:r>
        <w:rPr>
          <w:rFonts w:ascii="Arial" w:cs="Arial" w:eastAsia="Arial" w:hAnsi="Arial"/>
          <w:sz w:val="17"/>
          <w:szCs w:val="17"/>
          <w:color w:val="auto"/>
        </w:rPr>
        <w:t>The Company’s Level 3 liabilities at September 30, 2020 and December 31, 2019 include the remaining Series A warrants issued by the Company in connection with the public offering of common stock in October 2017. The Series A warrants, which expire in October 2022, initially provided holders the right to purchase 4,630,000 shares of the Company’s common stock at an exercise price of $3.50 per share. The Series A warrants were initially valued in the aggregate amount of $5.2 million on the date of issuance utilizing a Black-Scholes pricing model.</w:t>
      </w:r>
    </w:p>
    <w:p>
      <w:pPr>
        <w:spacing w:after="0" w:line="171" w:lineRule="exact"/>
        <w:rPr>
          <w:sz w:val="20"/>
          <w:szCs w:val="20"/>
          <w:color w:val="auto"/>
        </w:rPr>
      </w:pPr>
    </w:p>
    <w:p>
      <w:pPr>
        <w:ind w:right="260" w:firstLine="810"/>
        <w:spacing w:after="0" w:line="286" w:lineRule="auto"/>
        <w:rPr>
          <w:sz w:val="20"/>
          <w:szCs w:val="20"/>
          <w:color w:val="auto"/>
        </w:rPr>
      </w:pPr>
      <w:r>
        <w:rPr>
          <w:rFonts w:ascii="Arial" w:cs="Arial" w:eastAsia="Arial" w:hAnsi="Arial"/>
          <w:sz w:val="17"/>
          <w:szCs w:val="17"/>
          <w:color w:val="auto"/>
        </w:rPr>
        <w:t>During the nine months ended September 30, 2020 and 2019, the Company issued 259,115 shares and 93,470 shares of common stock, respectively, upon the exercise of Series A warrants. As of September 30, 2020 and 2019, there were Series A warrants outstanding to purchase 158,200 shares and 417,315 shares, respectively, of the Company’s common stock (see Note 8, “Stockholders’ Equity”).</w:t>
      </w:r>
    </w:p>
    <w:p>
      <w:pPr>
        <w:spacing w:after="0" w:line="165" w:lineRule="exact"/>
        <w:rPr>
          <w:sz w:val="20"/>
          <w:szCs w:val="20"/>
          <w:color w:val="auto"/>
        </w:rPr>
      </w:pPr>
    </w:p>
    <w:p>
      <w:pPr>
        <w:ind w:firstLine="810"/>
        <w:spacing w:after="0" w:line="285" w:lineRule="auto"/>
        <w:rPr>
          <w:sz w:val="20"/>
          <w:szCs w:val="20"/>
          <w:color w:val="auto"/>
        </w:rPr>
      </w:pPr>
      <w:r>
        <w:rPr>
          <w:rFonts w:ascii="Arial" w:cs="Arial" w:eastAsia="Arial" w:hAnsi="Arial"/>
          <w:sz w:val="16"/>
          <w:szCs w:val="16"/>
          <w:color w:val="auto"/>
        </w:rPr>
        <w:t>The Company reassesses the fair value of the outstanding Series A warrants at each reporting date utilizing a Black-Scholes pricing model. Variables used in the pricing model include the closing market price of the Company’s common stock at the balance sheet date, and estimates of stock price volatility, dividend yield, expected warrant term and risk-free interest rate. The Company develops its estimates based on publicly available historical data. A significant increase (decrease) in any of these inputs in isolation, particularly the market price of the Company’s common stock, would have resulted in a significantly higher (lower) fair value measurement. The assumptions used to estimate the fair values of the outstanding Series A warrants at September 30,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2020 and December 31, 2019 are presented below:</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88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 2020</w:t>
            </w:r>
          </w:p>
        </w:tc>
        <w:tc>
          <w:tcPr>
            <w:tcW w:w="176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6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77.2 %</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a summary of changes in the fair value of the Company’s Level 3 financial liabilities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r>
      <w:tr>
        <w:trPr>
          <w:trHeight w:val="187"/>
        </w:trPr>
        <w:tc>
          <w:tcPr>
            <w:tcW w:w="78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23,509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17,926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Loss recognized from the change in fair value of common stock warrants</w:t>
            </w:r>
          </w:p>
        </w:tc>
        <w:tc>
          <w:tcPr>
            <w:tcW w:w="9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19,906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w w:val="98"/>
              </w:rPr>
              <w:t>10,849</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fair value from warrants exercised during the period</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(26,011)</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4"/>
              </w:rPr>
              <w:t>(5,492)</w:t>
            </w:r>
          </w:p>
        </w:tc>
      </w:tr>
      <w:tr>
        <w:trPr>
          <w:trHeight w:val="223"/>
        </w:trPr>
        <w:tc>
          <w:tcPr>
            <w:tcW w:w="7800" w:type="dxa"/>
            <w:vAlign w:val="bottom"/>
          </w:tcPr>
          <w:p>
            <w:pPr>
              <w:ind w:left="220"/>
              <w:spacing w:after="0"/>
              <w:rPr>
                <w:sz w:val="20"/>
                <w:szCs w:val="20"/>
                <w:color w:val="auto"/>
              </w:rPr>
            </w:pPr>
            <w:r>
              <w:rPr>
                <w:rFonts w:ascii="Arial" w:cs="Arial" w:eastAsia="Arial" w:hAnsi="Arial"/>
                <w:sz w:val="18"/>
                <w:szCs w:val="18"/>
                <w:color w:val="auto"/>
              </w:rPr>
              <w:t>Balance at end of the period</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17,404</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8"/>
              </w:rPr>
              <w:t>23,283</w:t>
            </w:r>
          </w:p>
        </w:tc>
      </w:tr>
      <w:tr>
        <w:trPr>
          <w:trHeight w:val="20"/>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firstLine="810"/>
        <w:spacing w:after="0" w:line="308" w:lineRule="auto"/>
        <w:rPr>
          <w:sz w:val="20"/>
          <w:szCs w:val="20"/>
          <w:color w:val="auto"/>
        </w:rPr>
      </w:pPr>
      <w:r>
        <w:rPr>
          <w:rFonts w:ascii="Arial" w:cs="Arial" w:eastAsia="Arial" w:hAnsi="Arial"/>
          <w:sz w:val="17"/>
          <w:szCs w:val="17"/>
          <w:color w:val="auto"/>
        </w:rPr>
        <w:t>Of the loss recognized from the change in fair value of common stock warrants for the nine months ended September 30, 2020 and 2019, $8.5 million and $8.6 million, respectively, was attributable to warrants outstanding as of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The Company’s leases consist of operating leases for general office space, laboratory, manufacturing and warehouse facilities, and equipment.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in determining the present value of future lease payments. The Company used the incremental borrowing rate on January 1, 2019 for operating leases that commenced prior to that date. For lease agreements entered into or reassessed after the adoption of ASC 842, the Company combines lease and non-lease components.</w:t>
      </w:r>
    </w:p>
    <w:p>
      <w:pPr>
        <w:spacing w:after="0" w:line="161"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Certain leases include an option to renew, with renewal terms that can extend the lease term for additional periods. The exercise of lease renewal options is at the Company’s sole discretion. The depreciable life of assets and leasehold improvements are limited by the expected lease term, unless there is a transfer of title or purchase option that is reasonably certain to be exercised.</w:t>
      </w:r>
    </w:p>
    <w:p>
      <w:pPr>
        <w:spacing w:after="0" w:line="184" w:lineRule="exact"/>
        <w:rPr>
          <w:sz w:val="20"/>
          <w:szCs w:val="20"/>
          <w:color w:val="auto"/>
        </w:rPr>
      </w:pPr>
    </w:p>
    <w:p>
      <w:pPr>
        <w:ind w:right="140" w:firstLine="810"/>
        <w:spacing w:after="0" w:line="290" w:lineRule="auto"/>
        <w:rPr>
          <w:sz w:val="20"/>
          <w:szCs w:val="20"/>
          <w:color w:val="auto"/>
        </w:rPr>
      </w:pPr>
      <w:r>
        <w:rPr>
          <w:rFonts w:ascii="Arial" w:cs="Arial" w:eastAsia="Arial" w:hAnsi="Arial"/>
          <w:sz w:val="16"/>
          <w:szCs w:val="16"/>
          <w:color w:val="auto"/>
        </w:rPr>
        <w:t>In January 2019, the Company entered into a lease agreement for approximately 25,332 square feet of additional general administrative office space (Initial Premises) located on Vista Sorrento Parkway, in San Diego, California (Vista Sorrento Lease). The lease term for the Initial Premises commenced in March 2019 and expires in September 2022. In May 2019, the Company entered into a First Amendment to the Vista Sorrento Lease (First Amendment) to expand the leased premises by adding approximately 33,681 square feet of additional general administrative office space (Expansion Space), and to extend the lease term for the Initial Premises through January 2023. The lease term for the Expansion Space commenced in May 2019 and expires in January 2023. The Company has a one-time option to extend the term of the Vista Sorrento Lease, covering both the Initial Premises and the Expansion Space, for a period of four years. The Company recognized right-of-use leased assets and corresponding operating lease liabilities of $3.1 million on the consolidated balance sheet in the first quarter of 2019 related to the Initial Premises, and $4.7 million related to the First Amendment.</w:t>
      </w:r>
    </w:p>
    <w:p>
      <w:pPr>
        <w:spacing w:after="0" w:line="165"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In March 2019, the Company entered into a lease agreement for approximately 40,490 square feet of space located on Marindustry Place, San Diego, California to house additional operations functions, including warehousing and shipping (Marindustry Place Lease). The lease term commenced in May 2019 and expires in April 2026. The Company has a one-time option to extend the term of the Marindustry Place Lease for a period of no less than three years and no more than five years. The Company recognized right-of-use leased assets and corresponding operating lease liabilities of $3.4 million on the consolidated balance sheet on the Commencement Date in the second quarter of 2019.</w:t>
      </w:r>
    </w:p>
    <w:p>
      <w:pPr>
        <w:spacing w:after="0" w:line="176"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In November 2019, the Company entered into a lease agreement for approximately 94,562 square feet of additional general office space located on Shoreline Drive, in Boise, Idaho (Shoreline Lease). The lease term commenced on July 1, 2020, and expires in June 2027. The Company has a one-time option to extend the term of the Shoreline Lease for a period of three years. The Company recognized right-of-use leased assets and corresponding operating lease liabilities of approximately $6.5 million on the consolidated balance sheet on the Commencement Date in the first quarter of 2020.</w:t>
      </w:r>
    </w:p>
    <w:p>
      <w:pPr>
        <w:spacing w:after="0" w:line="157"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In January 2020, the Company entered into a sub-lease agreement for approximately 30,703 square feet of general office space located on High Bluff Drive, in San Diego, California. The lease term began in April 2020 and expires in March 2022. The Company recognized right-of-use leased assets and corresponding operating lease liabilities of approximately $2.3 million on the consolidated balance sheet on the Commencement Date in the first quarter of 2020.</w:t>
      </w:r>
    </w:p>
    <w:p>
      <w:pPr>
        <w:spacing w:after="0" w:line="187" w:lineRule="exact"/>
        <w:rPr>
          <w:sz w:val="20"/>
          <w:szCs w:val="20"/>
          <w:color w:val="auto"/>
        </w:rPr>
      </w:pPr>
    </w:p>
    <w:p>
      <w:pPr>
        <w:ind w:right="160" w:firstLine="810"/>
        <w:spacing w:after="0" w:line="296" w:lineRule="auto"/>
        <w:rPr>
          <w:sz w:val="20"/>
          <w:szCs w:val="20"/>
          <w:color w:val="auto"/>
        </w:rPr>
      </w:pPr>
      <w:r>
        <w:rPr>
          <w:rFonts w:ascii="Arial" w:cs="Arial" w:eastAsia="Arial" w:hAnsi="Arial"/>
          <w:sz w:val="16"/>
          <w:szCs w:val="16"/>
          <w:color w:val="auto"/>
        </w:rPr>
        <w:t>In September 2020, the Company amended certain leases covering approximately 77,000 square feet of general office and laboratory space located on Roselle Street in San Diego, California (Roselle Street Leases). The lease amendments extended the term of each lease for an additional period of one year, and included a rent increase during the additional lease term. The Roselle Street Leases, which would have expired in May 2022, are now scheduled to expire in May 2023. The Company recognized additional right-of-use leased assets and corresponding operating lease liabilities of $2.2 million on the consolidated balance sheet in the third quarter of 2020 related to the amendment of the Roselle Street Leases.</w:t>
      </w:r>
    </w:p>
    <w:p>
      <w:pPr>
        <w:spacing w:after="0" w:line="1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lease cost recorded in the condensed consolidated statements of operations was as follows (in thousands):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94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left="359"/>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7"/>
          </w:tcPr>
          <w:p>
            <w:pPr>
              <w:jc w:val="center"/>
              <w:ind w:right="6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3"/>
        </w:trPr>
        <w:tc>
          <w:tcPr>
            <w:tcW w:w="40" w:type="dxa"/>
            <w:vAlign w:val="bottom"/>
            <w:tcBorders>
              <w:bottom w:val="single" w:sz="8" w:color="CCEEFF"/>
            </w:tcBorders>
          </w:tcPr>
          <w:p>
            <w:pPr>
              <w:spacing w:after="0"/>
              <w:rPr>
                <w:sz w:val="15"/>
                <w:szCs w:val="15"/>
                <w:color w:val="auto"/>
              </w:rPr>
            </w:pPr>
          </w:p>
        </w:tc>
        <w:tc>
          <w:tcPr>
            <w:tcW w:w="6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5,569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lease cost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198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5,767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7680" w:type="dxa"/>
            <w:vAlign w:val="bottom"/>
            <w:gridSpan w:val="4"/>
          </w:tcPr>
          <w:p>
            <w:pPr>
              <w:ind w:left="780"/>
              <w:spacing w:after="0"/>
              <w:rPr>
                <w:sz w:val="20"/>
                <w:szCs w:val="20"/>
                <w:color w:val="auto"/>
              </w:rPr>
            </w:pPr>
            <w:r>
              <w:rPr>
                <w:rFonts w:ascii="Arial" w:cs="Arial" w:eastAsia="Arial" w:hAnsi="Arial"/>
                <w:sz w:val="18"/>
                <w:szCs w:val="18"/>
                <w:color w:val="auto"/>
                <w:w w:val="93"/>
              </w:rPr>
              <w:t>Maturities of operating lease liabilities at September 30, 2020 were as follows (in thousands):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5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representing interest</w:t>
            </w: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23"/>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(9,365)</w:t>
            </w: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long-term</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17,893</w:t>
            </w:r>
          </w:p>
        </w:tc>
        <w:tc>
          <w:tcPr>
            <w:tcW w:w="2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260" w:type="dxa"/>
            <w:vAlign w:val="bottom"/>
            <w:tcBorders>
              <w:top w:val="single" w:sz="8" w:color="CCEEFF"/>
              <w:bottom w:val="single" w:sz="8" w:color="CCEEFF"/>
            </w:tcBorders>
            <w:gridSpan w:val="9"/>
            <w:vMerge w:val="restart"/>
          </w:tcPr>
          <w:p>
            <w:pPr>
              <w:ind w:left="780"/>
              <w:spacing w:after="0"/>
              <w:rPr>
                <w:sz w:val="20"/>
                <w:szCs w:val="20"/>
                <w:color w:val="auto"/>
              </w:rPr>
            </w:pPr>
            <w:r>
              <w:rPr>
                <w:rFonts w:ascii="Arial" w:cs="Arial" w:eastAsia="Arial" w:hAnsi="Arial"/>
                <w:sz w:val="18"/>
                <w:szCs w:val="18"/>
                <w:color w:val="auto"/>
                <w:w w:val="90"/>
              </w:rPr>
              <w:t>The weighted-average remaining lease term and weighted-average discount rate for operating leases were as follows:</w:t>
            </w: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9260" w:type="dxa"/>
            <w:vAlign w:val="bottom"/>
            <w:gridSpan w:val="9"/>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46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84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CFF0FC"/>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5"/>
              </w:rPr>
              <w:t>3.9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Weighted-average discount rate used to determine operating lease liabilities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80" w:firstLine="810"/>
        <w:spacing w:after="0" w:line="277" w:lineRule="auto"/>
        <w:rPr>
          <w:sz w:val="20"/>
          <w:szCs w:val="20"/>
          <w:color w:val="auto"/>
        </w:rPr>
      </w:pPr>
      <w:r>
        <w:rPr>
          <w:rFonts w:ascii="Arial" w:cs="Arial" w:eastAsia="Arial" w:hAnsi="Arial"/>
          <w:sz w:val="18"/>
          <w:szCs w:val="18"/>
          <w:color w:val="auto"/>
        </w:rPr>
        <w:t>Cash paid for amounts included in the measurement of lease liabilities, representing operating cash flows from operating leases, was $5.9 million and $3.1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229" w:lineRule="exact"/>
        <w:rPr>
          <w:sz w:val="20"/>
          <w:szCs w:val="20"/>
          <w:color w:val="auto"/>
        </w:rPr>
      </w:pPr>
    </w:p>
    <w:p>
      <w:pPr>
        <w:ind w:right="80" w:firstLine="810"/>
        <w:spacing w:after="0" w:line="272" w:lineRule="auto"/>
        <w:rPr>
          <w:sz w:val="20"/>
          <w:szCs w:val="20"/>
          <w:color w:val="auto"/>
        </w:rPr>
      </w:pPr>
      <w:r>
        <w:rPr>
          <w:rFonts w:ascii="Arial" w:cs="Arial" w:eastAsia="Arial" w:hAnsi="Arial"/>
          <w:sz w:val="17"/>
          <w:szCs w:val="17"/>
          <w:color w:val="auto"/>
        </w:rPr>
        <w:t>In May 2020, the Company entered into a purchase agreement with certain counterparties for the sale of an aggregate of $250.0 million principal amount of 1.50% Convertible Senior Notes due 2025 in a private offering to qualified institutional buyers pursuant to Rule 144A under the Securities Act of 1933, as amended. The notes consisted of a $250.0 million initial placement (Base Notes) and an over-allotment option that provided the initial purchasers of the Base Notes with the option to purchase an additional $37.5 million aggregate principal amount of notes (together with the Base Notes, the Notes), which was fully exercised. The Notes were issued pursuant to an Indenture, dated May 15, 2020, between the Company and U.S. Bank National Association, as trustee (Indenture). The net proceeds from the issuance of the Notes were $244.6 million, net of debt issuance costs and cash used to purchase the capped call transactions (Capped Call Transactions) discussed below.</w:t>
      </w:r>
    </w:p>
    <w:p>
      <w:pPr>
        <w:spacing w:after="0" w:line="177" w:lineRule="exact"/>
        <w:rPr>
          <w:sz w:val="20"/>
          <w:szCs w:val="20"/>
          <w:color w:val="auto"/>
        </w:rPr>
      </w:pPr>
    </w:p>
    <w:p>
      <w:pPr>
        <w:ind w:right="120" w:firstLine="810"/>
        <w:spacing w:after="0" w:line="263" w:lineRule="auto"/>
        <w:rPr>
          <w:sz w:val="20"/>
          <w:szCs w:val="20"/>
          <w:color w:val="auto"/>
        </w:rPr>
      </w:pPr>
      <w:r>
        <w:rPr>
          <w:rFonts w:ascii="Arial" w:cs="Arial" w:eastAsia="Arial" w:hAnsi="Arial"/>
          <w:sz w:val="18"/>
          <w:szCs w:val="18"/>
          <w:color w:val="auto"/>
        </w:rPr>
        <w:t>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approximately $112.57 (Conversion Price) per share of the Company’s common stock. The conversion rate is subject to customary adjustments for certain events as described in the Indenture.</w:t>
      </w:r>
    </w:p>
    <w:p>
      <w:pPr>
        <w:spacing w:after="0" w:line="187"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color w:val="auto"/>
        </w:rPr>
        <w:t>The Company may not redeem the Notes prior to May 6, 2023. 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spacing w:after="0" w:line="188" w:lineRule="exact"/>
        <w:rPr>
          <w:sz w:val="20"/>
          <w:szCs w:val="20"/>
          <w:color w:val="auto"/>
        </w:rPr>
      </w:pPr>
    </w:p>
    <w:p>
      <w:pPr>
        <w:ind w:right="440" w:firstLine="810"/>
        <w:spacing w:after="0" w:line="277" w:lineRule="auto"/>
        <w:rPr>
          <w:sz w:val="20"/>
          <w:szCs w:val="20"/>
          <w:color w:val="auto"/>
        </w:rPr>
      </w:pPr>
      <w:r>
        <w:rPr>
          <w:rFonts w:ascii="Arial" w:cs="Arial" w:eastAsia="Arial" w:hAnsi="Arial"/>
          <w:sz w:val="18"/>
          <w:szCs w:val="18"/>
          <w:color w:val="auto"/>
        </w:rPr>
        <w:t>Holders of the Notes may convert all or a portion of their Notes at their option prior to November 1, 2024, in multiples of $1,000 principal amounts, only under the following circumstances:</w:t>
      </w:r>
    </w:p>
    <w:p>
      <w:pPr>
        <w:spacing w:after="0" w:line="200" w:lineRule="exact"/>
        <w:rPr>
          <w:sz w:val="20"/>
          <w:szCs w:val="20"/>
          <w:color w:val="auto"/>
        </w:rPr>
      </w:pPr>
    </w:p>
    <w:p>
      <w:pPr>
        <w:spacing w:after="0" w:line="240" w:lineRule="exact"/>
        <w:rPr>
          <w:sz w:val="20"/>
          <w:szCs w:val="20"/>
          <w:color w:val="auto"/>
        </w:rPr>
      </w:pPr>
    </w:p>
    <w:p>
      <w:pPr>
        <w:ind w:left="1300" w:right="100" w:hanging="644"/>
        <w:spacing w:after="0" w:line="291" w:lineRule="auto"/>
        <w:tabs>
          <w:tab w:leader="none" w:pos="1295"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w:t>
      </w:r>
    </w:p>
    <w:p>
      <w:pPr>
        <w:ind w:left="1300"/>
        <w:spacing w:after="0"/>
        <w:rPr>
          <w:rFonts w:ascii="Arial" w:cs="Arial" w:eastAsia="Arial" w:hAnsi="Arial"/>
          <w:sz w:val="16"/>
          <w:szCs w:val="16"/>
          <w:color w:val="auto"/>
        </w:rPr>
      </w:pPr>
      <w:r>
        <w:rPr>
          <w:rFonts w:ascii="Arial" w:cs="Arial" w:eastAsia="Arial" w:hAnsi="Arial"/>
          <w:sz w:val="18"/>
          <w:szCs w:val="18"/>
          <w:color w:val="auto"/>
        </w:rPr>
        <w:t>to 130% of the applicable conversion price of the Notes on each such trading day;</w:t>
      </w:r>
    </w:p>
    <w:p>
      <w:pPr>
        <w:spacing w:after="0" w:line="237" w:lineRule="exact"/>
        <w:rPr>
          <w:rFonts w:ascii="Arial" w:cs="Arial" w:eastAsia="Arial" w:hAnsi="Arial"/>
          <w:sz w:val="16"/>
          <w:szCs w:val="16"/>
          <w:color w:val="auto"/>
        </w:rPr>
      </w:pPr>
    </w:p>
    <w:p>
      <w:pPr>
        <w:ind w:left="1300" w:hanging="644"/>
        <w:spacing w:after="0" w:line="286" w:lineRule="auto"/>
        <w:tabs>
          <w:tab w:leader="none" w:pos="1295"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spacing w:after="0" w:line="192" w:lineRule="exact"/>
        <w:rPr>
          <w:rFonts w:ascii="Arial" w:cs="Arial" w:eastAsia="Arial" w:hAnsi="Arial"/>
          <w:sz w:val="17"/>
          <w:szCs w:val="17"/>
          <w:color w:val="auto"/>
        </w:rPr>
      </w:pPr>
    </w:p>
    <w:p>
      <w:pPr>
        <w:ind w:left="1300" w:right="540" w:hanging="644"/>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On or after November 1, 2024, until the close of business on the second scheduled trading day immediately preceding the maturity date, holders may convert their Notes at any time, regardless of the foregoing circumstances.</w:t>
      </w:r>
    </w:p>
    <w:p>
      <w:pPr>
        <w:spacing w:after="0" w:line="170"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Holders of the Notes who convert in connection with a make-whole fundamental change, as defined in the Indenture, or in connection with a redemption are entitled to an increase in the conversion rate. Additionally, in the event of a fundamental change, as defined in the Indenture, holders of the Notes may require us to repurchase all or a portion of the Notes at a price equal to 100% of the principal amount of the Notes, plus any accrued and unpaid interest.</w:t>
      </w:r>
    </w:p>
    <w:p>
      <w:pPr>
        <w:spacing w:after="0" w:line="187"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In accounting for the issuance of the Notes, the Company separated the Notes into liability and equity components. The carrying amount of the liability component was calculated by measuring the fair value of similar debt instruments, which do not have an associated convertible feature. The carrying amount of the equity component representing the conversion option for the Notes was $85.8 million and was recorded as a debt discount, which is amortized to interest expense at an effective interest rate of 9.9%. The Company allocated $2.7 million of debt issuance costs to the equity component and the remaining debt issuance costs of $6.1 million were allocated to the liability component, which are amortized to interest expense under the effective interest rate method. The equity component of the Notes will not be remeasured as long as it continues to meet the conditions for equity classification. It is the Company’s intent and policy to settle conversions through combination settlement, which essentially involves payment in cash equal to the principal portion and delivery of shares of common stock for the excess of the conversion value over the principal portion.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Notes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jc w:val="right"/>
              <w:ind w:right="693"/>
              <w:spacing w:after="0"/>
              <w:rPr>
                <w:sz w:val="20"/>
                <w:szCs w:val="20"/>
                <w:color w:val="auto"/>
              </w:rPr>
            </w:pPr>
            <w:r>
              <w:rPr>
                <w:rFonts w:ascii="Arial" w:cs="Arial" w:eastAsia="Arial" w:hAnsi="Arial"/>
                <w:sz w:val="16"/>
                <w:szCs w:val="16"/>
                <w:b w:val="1"/>
                <w:bCs w:val="1"/>
                <w:color w:val="auto"/>
              </w:rPr>
              <w:t>As of</w:t>
            </w:r>
          </w:p>
        </w:tc>
      </w:tr>
      <w:tr>
        <w:trPr>
          <w:trHeight w:val="213"/>
        </w:trPr>
        <w:tc>
          <w:tcPr>
            <w:tcW w:w="9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6"/>
              </w:rPr>
              <w:t>September 30, 2020</w:t>
            </w:r>
          </w:p>
        </w:tc>
      </w:tr>
      <w:tr>
        <w:trPr>
          <w:trHeight w:val="226"/>
        </w:trPr>
        <w:tc>
          <w:tcPr>
            <w:tcW w:w="9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Liability:</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Principal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287,500</w:t>
            </w:r>
          </w:p>
        </w:tc>
      </w:tr>
      <w:tr>
        <w:trPr>
          <w:trHeight w:val="229"/>
        </w:trPr>
        <w:tc>
          <w:tcPr>
            <w:tcW w:w="9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Unamortized debt discount and debt issuance costs</w:t>
            </w:r>
          </w:p>
        </w:tc>
        <w:tc>
          <w:tcPr>
            <w:tcW w:w="2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(88,380)</w:t>
            </w:r>
          </w:p>
        </w:tc>
      </w:tr>
      <w:tr>
        <w:trPr>
          <w:trHeight w:val="223"/>
        </w:trPr>
        <w:tc>
          <w:tcPr>
            <w:tcW w:w="930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199,120</w:t>
            </w:r>
          </w:p>
        </w:tc>
      </w:tr>
      <w:tr>
        <w:trPr>
          <w:trHeight w:val="20"/>
        </w:trPr>
        <w:tc>
          <w:tcPr>
            <w:tcW w:w="93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8"/>
        </w:trPr>
        <w:tc>
          <w:tcPr>
            <w:tcW w:w="9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Carrying amount of the equity component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85,803</w:t>
            </w:r>
          </w:p>
        </w:tc>
      </w:tr>
      <w:tr>
        <w:trPr>
          <w:trHeight w:val="20"/>
        </w:trPr>
        <w:tc>
          <w:tcPr>
            <w:tcW w:w="9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740" w:type="dxa"/>
            <w:vAlign w:val="bottom"/>
            <w:tcBorders>
              <w:top w:val="single" w:sz="8" w:color="CFF0FC"/>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20" w:firstLine="810"/>
        <w:spacing w:after="0" w:line="277" w:lineRule="auto"/>
        <w:rPr>
          <w:sz w:val="20"/>
          <w:szCs w:val="20"/>
          <w:color w:val="auto"/>
        </w:rPr>
      </w:pPr>
      <w:r>
        <w:rPr>
          <w:rFonts w:ascii="Arial" w:cs="Arial" w:eastAsia="Arial" w:hAnsi="Arial"/>
          <w:sz w:val="18"/>
          <w:szCs w:val="18"/>
          <w:color w:val="auto"/>
        </w:rPr>
        <w:t>As of September 30, 2020, the debt discount and debt issuance costs associated with the Notes will be amortized over the remaining period of approximately 4.6 years.</w:t>
      </w:r>
    </w:p>
    <w:p>
      <w:pPr>
        <w:spacing w:after="0" w:line="170" w:lineRule="exact"/>
        <w:rPr>
          <w:sz w:val="20"/>
          <w:szCs w:val="20"/>
          <w:color w:val="auto"/>
        </w:rPr>
      </w:pPr>
    </w:p>
    <w:p>
      <w:pPr>
        <w:ind w:right="640" w:firstLine="810"/>
        <w:spacing w:after="0" w:line="277" w:lineRule="auto"/>
        <w:rPr>
          <w:sz w:val="20"/>
          <w:szCs w:val="20"/>
          <w:color w:val="auto"/>
        </w:rPr>
      </w:pPr>
      <w:r>
        <w:rPr>
          <w:rFonts w:ascii="Arial" w:cs="Arial" w:eastAsia="Arial" w:hAnsi="Arial"/>
          <w:sz w:val="18"/>
          <w:szCs w:val="18"/>
          <w:color w:val="auto"/>
        </w:rPr>
        <w:t>The following table details interest expense recognized related to the Notes for the three and nine months ended September 30, 2020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6"/>
                <w:szCs w:val="16"/>
                <w:color w:val="auto"/>
              </w:rPr>
            </w:pPr>
          </w:p>
        </w:tc>
        <w:tc>
          <w:tcPr>
            <w:tcW w:w="1780" w:type="dxa"/>
            <w:vAlign w:val="bottom"/>
          </w:tcPr>
          <w:p>
            <w:pPr>
              <w:jc w:val="right"/>
              <w:ind w:right="213"/>
              <w:spacing w:after="0"/>
              <w:rPr>
                <w:sz w:val="20"/>
                <w:szCs w:val="20"/>
                <w:color w:val="auto"/>
              </w:rPr>
            </w:pPr>
            <w:r>
              <w:rPr>
                <w:rFonts w:ascii="Arial" w:cs="Arial" w:eastAsia="Arial" w:hAnsi="Arial"/>
                <w:sz w:val="16"/>
                <w:szCs w:val="16"/>
                <w:b w:val="1"/>
                <w:bCs w:val="1"/>
                <w:color w:val="auto"/>
                <w:w w:val="97"/>
              </w:rPr>
              <w:t>Nine Months Ended</w:t>
            </w:r>
          </w:p>
        </w:tc>
      </w:tr>
      <w:tr>
        <w:trPr>
          <w:trHeight w:val="213"/>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 2020</w:t>
            </w:r>
          </w:p>
        </w:tc>
        <w:tc>
          <w:tcPr>
            <w:tcW w:w="200" w:type="dxa"/>
            <w:vAlign w:val="bottom"/>
          </w:tcPr>
          <w:p>
            <w:pPr>
              <w:spacing w:after="0"/>
              <w:rPr>
                <w:sz w:val="18"/>
                <w:szCs w:val="18"/>
                <w:color w:val="auto"/>
              </w:rPr>
            </w:pPr>
          </w:p>
        </w:tc>
        <w:tc>
          <w:tcPr>
            <w:tcW w:w="1780" w:type="dxa"/>
            <w:vAlign w:val="bottom"/>
          </w:tcPr>
          <w:p>
            <w:pPr>
              <w:jc w:val="right"/>
              <w:ind w:right="213"/>
              <w:spacing w:after="0"/>
              <w:rPr>
                <w:sz w:val="20"/>
                <w:szCs w:val="20"/>
                <w:color w:val="auto"/>
              </w:rPr>
            </w:pPr>
            <w:r>
              <w:rPr>
                <w:rFonts w:ascii="Arial" w:cs="Arial" w:eastAsia="Arial" w:hAnsi="Arial"/>
                <w:sz w:val="16"/>
                <w:szCs w:val="16"/>
                <w:b w:val="1"/>
                <w:bCs w:val="1"/>
                <w:color w:val="auto"/>
                <w:w w:val="97"/>
              </w:rPr>
              <w:t>September 30, 2020</w:t>
            </w:r>
          </w:p>
        </w:tc>
      </w:tr>
      <w:tr>
        <w:trPr>
          <w:trHeight w:val="226"/>
        </w:trPr>
        <w:tc>
          <w:tcPr>
            <w:tcW w:w="7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Contractual interest expense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29"/>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debt discount</w:t>
            </w:r>
          </w:p>
        </w:tc>
        <w:tc>
          <w:tcPr>
            <w:tcW w:w="18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5,830</w:t>
            </w:r>
          </w:p>
        </w:tc>
      </w:tr>
      <w:tr>
        <w:trPr>
          <w:trHeight w:val="223"/>
        </w:trPr>
        <w:tc>
          <w:tcPr>
            <w:tcW w:w="720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810"/>
        <w:spacing w:after="0" w:line="308" w:lineRule="auto"/>
        <w:rPr>
          <w:sz w:val="20"/>
          <w:szCs w:val="20"/>
          <w:color w:val="auto"/>
        </w:rPr>
      </w:pPr>
      <w:r>
        <w:rPr>
          <w:rFonts w:ascii="Arial" w:cs="Arial" w:eastAsia="Arial" w:hAnsi="Arial"/>
          <w:sz w:val="17"/>
          <w:szCs w:val="17"/>
          <w:color w:val="auto"/>
        </w:rPr>
        <w:t>The notes will have a dilutive effect to the extent the average market price per share of common stock for a given reporting period exceeds the conversion price of $112.57. As of September 30, 2020, the “if-converted value” did not exceed the principal amount of the Notes.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17"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In connection with the issuance of the Notes, the Company entered into Capped Call Transactions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spacing w:after="0" w:line="192" w:lineRule="exact"/>
        <w:rPr>
          <w:sz w:val="20"/>
          <w:szCs w:val="20"/>
          <w:color w:val="auto"/>
        </w:rPr>
      </w:pPr>
    </w:p>
    <w:p>
      <w:pPr>
        <w:jc w:val="both"/>
        <w:ind w:right="120" w:firstLine="810"/>
        <w:spacing w:after="0" w:line="259" w:lineRule="auto"/>
        <w:rPr>
          <w:sz w:val="20"/>
          <w:szCs w:val="20"/>
          <w:color w:val="auto"/>
        </w:rPr>
      </w:pPr>
      <w:r>
        <w:rPr>
          <w:rFonts w:ascii="Arial" w:cs="Arial" w:eastAsia="Arial" w:hAnsi="Arial"/>
          <w:sz w:val="18"/>
          <w:szCs w:val="18"/>
          <w:color w:val="auto"/>
        </w:rPr>
        <w:t>For accounting purposes, the Capped Calls are separate transactions, and not part of the terms of the Notes. As these transactions meet certain criteria under the applicable accounting guidance, the Capped Calls are recorded in stockholders' equity and are not accounted for as derivatives. The cost of the Capped Call Transactions was recorded as a reduction of the Company’s additional paid-in capital in the Company’s consolidated balance sheet and will not be remeasured.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shares of the Company’s common stock were reserved for future issuance as of September 30, 2020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underlying outstanding warrants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Shares underlying outstanding stock options</w:t>
            </w:r>
          </w:p>
        </w:tc>
        <w:tc>
          <w:tcPr>
            <w:tcW w:w="1440" w:type="dxa"/>
            <w:vAlign w:val="bottom"/>
          </w:tcPr>
          <w:p>
            <w:pPr>
              <w:jc w:val="right"/>
              <w:spacing w:after="0"/>
              <w:rPr>
                <w:sz w:val="20"/>
                <w:szCs w:val="20"/>
                <w:color w:val="auto"/>
              </w:rPr>
            </w:pPr>
            <w:r>
              <w:rPr>
                <w:rFonts w:ascii="Arial" w:cs="Arial" w:eastAsia="Arial" w:hAnsi="Arial"/>
                <w:sz w:val="18"/>
                <w:szCs w:val="18"/>
                <w:color w:val="auto"/>
              </w:rPr>
              <w:t>5,866</w:t>
            </w:r>
          </w:p>
        </w:tc>
      </w:tr>
      <w:tr>
        <w:trPr>
          <w:trHeight w:val="229"/>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underlying unvested restricted stock units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Shares authorized for future equity award grants</w:t>
            </w:r>
          </w:p>
        </w:tc>
        <w:tc>
          <w:tcPr>
            <w:tcW w:w="1440" w:type="dxa"/>
            <w:vAlign w:val="bottom"/>
          </w:tcPr>
          <w:p>
            <w:pPr>
              <w:jc w:val="right"/>
              <w:spacing w:after="0"/>
              <w:rPr>
                <w:sz w:val="20"/>
                <w:szCs w:val="20"/>
                <w:color w:val="auto"/>
              </w:rPr>
            </w:pPr>
            <w:r>
              <w:rPr>
                <w:rFonts w:ascii="Arial" w:cs="Arial" w:eastAsia="Arial" w:hAnsi="Arial"/>
                <w:sz w:val="18"/>
                <w:szCs w:val="18"/>
                <w:color w:val="auto"/>
              </w:rPr>
              <w:t>2,117</w:t>
            </w:r>
          </w:p>
        </w:tc>
      </w:tr>
      <w:tr>
        <w:trPr>
          <w:trHeight w:val="229"/>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authorized for issuance pursuant to awards granted under the ESPP</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w:t>
            </w:r>
          </w:p>
        </w:tc>
      </w:tr>
      <w:tr>
        <w:trPr>
          <w:trHeight w:val="223"/>
        </w:trPr>
        <w:tc>
          <w:tcPr>
            <w:tcW w:w="97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9,963</w:t>
            </w:r>
          </w:p>
        </w:tc>
      </w:tr>
      <w:tr>
        <w:trPr>
          <w:trHeight w:val="20"/>
        </w:trPr>
        <w:tc>
          <w:tcPr>
            <w:tcW w:w="9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Warrants outstanding to purchase shares of the Company's common stock as of September 30, 2020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ind w:left="2180"/>
              <w:spacing w:after="0"/>
              <w:rPr>
                <w:sz w:val="20"/>
                <w:szCs w:val="20"/>
                <w:color w:val="auto"/>
              </w:rPr>
            </w:pPr>
            <w:r>
              <w:rPr>
                <w:rFonts w:ascii="Arial" w:cs="Arial" w:eastAsia="Arial" w:hAnsi="Arial"/>
                <w:sz w:val="14"/>
                <w:szCs w:val="14"/>
                <w:b w:val="1"/>
                <w:bCs w:val="1"/>
                <w:color w:val="auto"/>
              </w:rPr>
              <w:t>Issue Date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Exercise Price Per</w:t>
            </w:r>
          </w:p>
        </w:tc>
        <w:tc>
          <w:tcPr>
            <w:tcW w:w="1360" w:type="dxa"/>
            <w:vAlign w:val="bottom"/>
          </w:tcPr>
          <w:p>
            <w:pPr>
              <w:jc w:val="right"/>
              <w:ind w:right="296"/>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3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tcPr>
          <w:p>
            <w:pPr>
              <w:jc w:val="right"/>
              <w:ind w:right="216"/>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October 2017</w:t>
            </w:r>
          </w:p>
        </w:tc>
        <w:tc>
          <w:tcPr>
            <w:tcW w:w="1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$3.50</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158,200</w:t>
            </w:r>
          </w:p>
        </w:tc>
        <w:tc>
          <w:tcPr>
            <w:tcW w:w="100" w:type="dxa"/>
            <w:vAlign w:val="bottom"/>
            <w:tcBorders>
              <w:top w:val="single" w:sz="8" w:color="CFF0FC"/>
            </w:tcBorders>
            <w:shd w:val="clear" w:color="auto" w:fill="CFF0FC"/>
          </w:tcPr>
          <w:p>
            <w:pPr>
              <w:spacing w:after="0"/>
              <w:rPr>
                <w:sz w:val="19"/>
                <w:szCs w:val="19"/>
                <w:color w:val="auto"/>
              </w:rPr>
            </w:pPr>
          </w:p>
        </w:tc>
        <w:tc>
          <w:tcPr>
            <w:tcW w:w="3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October 2022</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March 2017</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$23.50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193,788</w:t>
            </w:r>
          </w:p>
        </w:tc>
        <w:tc>
          <w:tcPr>
            <w:tcW w:w="10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March 2027</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August 2011 - August 2012</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$73.73</w:t>
            </w:r>
          </w:p>
        </w:tc>
        <w:tc>
          <w:tcPr>
            <w:tcW w:w="12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31,166</w:t>
            </w:r>
          </w:p>
        </w:tc>
        <w:tc>
          <w:tcPr>
            <w:tcW w:w="100" w:type="dxa"/>
            <w:vAlign w:val="bottom"/>
            <w:shd w:val="clear" w:color="auto" w:fill="CFF0FC"/>
          </w:tcPr>
          <w:p>
            <w:pPr>
              <w:spacing w:after="0"/>
              <w:rPr>
                <w:sz w:val="19"/>
                <w:szCs w:val="19"/>
                <w:color w:val="auto"/>
              </w:rPr>
            </w:pPr>
          </w:p>
        </w:tc>
        <w:tc>
          <w:tcPr>
            <w:tcW w:w="3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August 2021 - August 2022</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383,154</w:t>
            </w:r>
          </w:p>
        </w:tc>
        <w:tc>
          <w:tcPr>
            <w:tcW w:w="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firstLine="810"/>
        <w:spacing w:after="0" w:line="311" w:lineRule="auto"/>
        <w:rPr>
          <w:sz w:val="20"/>
          <w:szCs w:val="20"/>
          <w:color w:val="auto"/>
        </w:rPr>
      </w:pPr>
      <w:r>
        <w:rPr>
          <w:rFonts w:ascii="Arial" w:cs="Arial" w:eastAsia="Arial" w:hAnsi="Arial"/>
          <w:sz w:val="16"/>
          <w:szCs w:val="16"/>
          <w:color w:val="auto"/>
        </w:rPr>
        <w:t>Each warrant allows the holder to purchase one share of the Company's common stock at the exercise price per share of the respective warrant. The Company issued 257,000 and 291,894 shares of its common stock upon the exercise of warrants during the three and nine months ended September 30, 2020, and 200 and 93,470 shares of its common stock upon the exercise of warrants during the three and nine months ended September 30,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jc w:val="both"/>
        <w:ind w:right="80" w:firstLine="810"/>
        <w:spacing w:after="0" w:line="263" w:lineRule="auto"/>
        <w:rPr>
          <w:sz w:val="20"/>
          <w:szCs w:val="20"/>
          <w:color w:val="auto"/>
        </w:rPr>
      </w:pPr>
      <w:r>
        <w:rPr>
          <w:rFonts w:ascii="Arial" w:cs="Arial" w:eastAsia="Arial" w:hAnsi="Arial"/>
          <w:sz w:val="18"/>
          <w:szCs w:val="18"/>
          <w:color w:val="auto"/>
        </w:rPr>
        <w:t>The Company issued 1,072,499 and 2,198,986 shares, respectively, of its common stock upon the exercise of stock options during the three and nine months ended September 30, 2020. The Company issued 439,646 and 1,213,428 shares, respectively, of its common stock upon the exercise of stock options during the three and nine months ended September 30, 2019.</w:t>
      </w:r>
    </w:p>
    <w:p>
      <w:pPr>
        <w:spacing w:after="0" w:line="184" w:lineRule="exact"/>
        <w:rPr>
          <w:sz w:val="20"/>
          <w:szCs w:val="20"/>
          <w:color w:val="auto"/>
        </w:rPr>
      </w:pPr>
    </w:p>
    <w:p>
      <w:pPr>
        <w:ind w:right="40" w:firstLine="810"/>
        <w:spacing w:after="0" w:line="279" w:lineRule="auto"/>
        <w:rPr>
          <w:sz w:val="20"/>
          <w:szCs w:val="20"/>
          <w:color w:val="auto"/>
        </w:rPr>
      </w:pPr>
      <w:r>
        <w:rPr>
          <w:rFonts w:ascii="Arial" w:cs="Arial" w:eastAsia="Arial" w:hAnsi="Arial"/>
          <w:sz w:val="17"/>
          <w:szCs w:val="17"/>
          <w:color w:val="auto"/>
        </w:rPr>
        <w:t>The ESPP enables eligible employees to purchase shares of the Company’s common stock using their after-tax payroll deductions, subject to certain conditions. Generally, offerings under the ESPP consist of a two-year offering period with four six-month purchase periods which begin in May and November of each year. During the nine months ended September 30, 2020 and 2019, 229,320 and 168,165 shares of the Company’s common stock, respectively, were purchased under the ESPP for proceeds of $4.9 million and $3.0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The Company granted options to purchase 1,010,996 shares of common stock under the 2013 Plan during the nine months ended September 30, 2020. During the nine months ended September 30, 2019, the Company granted options to purchase 2,916,906 shares of common stock under the 2013 Plan, of which 1,644,715 were originally awarded between February 2019 and June 2019, subject to and conditioned upon the approval by its stockholders of an increase in the number of shares of common stock reserved for issuance under the 2013 Plan. Stock-based compensation expense was not recognized for these contingent stock option grants prior to the approval by the Company’s stockholders of the increase in the number of shares of common stock reserved for issuance under the 2013 Plan, which occurred in June 2019. These options have an exercise price equal to the closing price of the Company’s common stock on the applicable award date, and generally vest as to 25% of the underlying shares on the first anniversary of the award, with the balance of the options vesting monthly over the following three years.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 Company also granted 2,846 and 134,694 restricted stock units (RSUs), respectively, during the three and nine months ended September 30, 2020. These RSUs have a grant price equal to the closing price of the Company’s common stock on the award date, and vest based only on service as to 25% of the underlying shares on the first anniversary of the award, with the balance of the RSUs vesting quarterly over the following three years, except for 17,857 RSUs which vest in annual installments over a period of one to three years.</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88"/>
              </w:rPr>
              <w:t>Stock Options</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4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800" w:type="dxa"/>
            <w:vAlign w:val="bottom"/>
            <w:gridSpan w:val="8"/>
          </w:tcPr>
          <w:p>
            <w:pPr>
              <w:jc w:val="center"/>
              <w:ind w:right="540"/>
              <w:spacing w:after="0"/>
              <w:rPr>
                <w:sz w:val="20"/>
                <w:szCs w:val="20"/>
                <w:color w:val="auto"/>
              </w:rPr>
            </w:pPr>
            <w:r>
              <w:rPr>
                <w:rFonts w:ascii="Arial" w:cs="Arial" w:eastAsia="Arial" w:hAnsi="Arial"/>
                <w:sz w:val="14"/>
                <w:szCs w:val="14"/>
                <w:b w:val="1"/>
                <w:bCs w:val="1"/>
                <w:color w:val="auto"/>
                <w:w w:val="93"/>
              </w:rPr>
              <w:t>Three Months Ended</w:t>
            </w:r>
          </w:p>
        </w:tc>
        <w:tc>
          <w:tcPr>
            <w:tcW w:w="1940" w:type="dxa"/>
            <w:vAlign w:val="bottom"/>
            <w:gridSpan w:val="6"/>
          </w:tcPr>
          <w:p>
            <w:pPr>
              <w:jc w:val="center"/>
              <w:ind w:right="333"/>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5"/>
                <w:szCs w:val="15"/>
                <w:color w:val="auto"/>
              </w:rPr>
            </w:pPr>
          </w:p>
        </w:tc>
      </w:tr>
      <w:tr>
        <w:trPr>
          <w:trHeight w:val="188"/>
        </w:trPr>
        <w:tc>
          <w:tcPr>
            <w:tcW w:w="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ind w:left="217"/>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644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2.1 %</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jc w:val="right"/>
              <w:spacing w:after="0"/>
              <w:rPr>
                <w:sz w:val="20"/>
                <w:szCs w:val="20"/>
                <w:color w:val="auto"/>
              </w:rPr>
            </w:pPr>
            <w:r>
              <w:rPr>
                <w:rFonts w:ascii="Arial" w:cs="Arial" w:eastAsia="Arial" w:hAnsi="Arial"/>
                <w:sz w:val="18"/>
                <w:szCs w:val="18"/>
                <w:color w:val="auto"/>
              </w:rPr>
              <w:t>75.3 %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71.8 %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74.5 %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71.8 %</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r>
      <w:tr>
        <w:trPr>
          <w:trHeight w:val="534"/>
        </w:trPr>
        <w:tc>
          <w:tcPr>
            <w:tcW w:w="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ESPP</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gridSpan w:val="6"/>
          </w:tcPr>
          <w:p>
            <w:pPr>
              <w:jc w:val="center"/>
              <w:ind w:right="333"/>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5"/>
                <w:szCs w:val="15"/>
                <w:color w:val="auto"/>
              </w:rPr>
            </w:pPr>
          </w:p>
        </w:tc>
      </w:tr>
      <w:tr>
        <w:trPr>
          <w:trHeight w:val="188"/>
        </w:trPr>
        <w:tc>
          <w:tcPr>
            <w:tcW w:w="4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ind w:left="217"/>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1"/>
        </w:trPr>
        <w:tc>
          <w:tcPr>
            <w:tcW w:w="40" w:type="dxa"/>
            <w:vAlign w:val="bottom"/>
            <w:tcBorders>
              <w:bottom w:val="single" w:sz="8" w:color="CFF0FC"/>
            </w:tcBorders>
          </w:tcPr>
          <w:p>
            <w:pPr>
              <w:spacing w:after="0"/>
              <w:rPr>
                <w:sz w:val="16"/>
                <w:szCs w:val="16"/>
                <w:color w:val="auto"/>
              </w:rPr>
            </w:pPr>
          </w:p>
        </w:tc>
        <w:tc>
          <w:tcPr>
            <w:tcW w:w="6440" w:type="dxa"/>
            <w:vAlign w:val="bottom"/>
            <w:tcBorders>
              <w:bottom w:val="single" w:sz="8" w:color="CFF0FC"/>
            </w:tcBorders>
          </w:tcPr>
          <w:p>
            <w:pPr>
              <w:spacing w:after="0"/>
              <w:rPr>
                <w:sz w:val="16"/>
                <w:szCs w:val="16"/>
                <w:color w:val="auto"/>
              </w:rPr>
            </w:pPr>
          </w:p>
        </w:tc>
        <w:tc>
          <w:tcPr>
            <w:tcW w:w="10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80" w:type="dxa"/>
            <w:vAlign w:val="bottom"/>
            <w:tcBorders>
              <w:bottom w:val="single" w:sz="8" w:color="CFF0FC"/>
            </w:tcBorders>
          </w:tcPr>
          <w:p>
            <w:pPr>
              <w:spacing w:after="0"/>
              <w:rPr>
                <w:sz w:val="16"/>
                <w:szCs w:val="16"/>
                <w:color w:val="auto"/>
              </w:rPr>
            </w:pPr>
          </w:p>
        </w:tc>
        <w:tc>
          <w:tcPr>
            <w:tcW w:w="66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w w:val="83"/>
              </w:rPr>
              <w:t>2020</w:t>
            </w:r>
          </w:p>
        </w:tc>
        <w:tc>
          <w:tcPr>
            <w:tcW w:w="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6"/>
                <w:szCs w:val="16"/>
                <w:color w:val="auto"/>
              </w:rPr>
            </w:pPr>
          </w:p>
        </w:tc>
      </w:tr>
      <w:tr>
        <w:trPr>
          <w:trHeight w:val="229"/>
        </w:trPr>
        <w:tc>
          <w:tcPr>
            <w:tcW w:w="6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20" w:type="dxa"/>
            <w:vAlign w:val="bottom"/>
            <w:shd w:val="clear" w:color="auto" w:fill="CFF0FC"/>
          </w:tcPr>
          <w:p>
            <w:pPr>
              <w:spacing w:after="0"/>
              <w:rPr>
                <w:sz w:val="19"/>
                <w:szCs w:val="19"/>
                <w:color w:val="auto"/>
              </w:rPr>
            </w:pPr>
          </w:p>
        </w:tc>
      </w:tr>
      <w:tr>
        <w:trPr>
          <w:trHeight w:val="229"/>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19"/>
                <w:szCs w:val="19"/>
                <w:color w:val="auto"/>
              </w:rPr>
            </w:pPr>
          </w:p>
        </w:tc>
      </w:tr>
      <w:tr>
        <w:trPr>
          <w:trHeight w:val="229"/>
        </w:trPr>
        <w:tc>
          <w:tcPr>
            <w:tcW w:w="6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2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75.9 %</w:t>
            </w:r>
          </w:p>
        </w:tc>
        <w:tc>
          <w:tcPr>
            <w:tcW w:w="20" w:type="dxa"/>
            <w:vAlign w:val="bottom"/>
          </w:tcPr>
          <w:p>
            <w:pPr>
              <w:spacing w:after="0"/>
              <w:rPr>
                <w:sz w:val="19"/>
                <w:szCs w:val="19"/>
                <w:color w:val="auto"/>
              </w:rPr>
            </w:pPr>
          </w:p>
        </w:tc>
      </w:tr>
      <w:tr>
        <w:trPr>
          <w:trHeight w:val="229"/>
        </w:trPr>
        <w:tc>
          <w:tcPr>
            <w:tcW w:w="6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80" w:firstLine="810"/>
        <w:spacing w:after="0" w:line="308" w:lineRule="auto"/>
        <w:rPr>
          <w:sz w:val="20"/>
          <w:szCs w:val="20"/>
          <w:color w:val="auto"/>
        </w:rPr>
      </w:pPr>
      <w:r>
        <w:rPr>
          <w:rFonts w:ascii="Arial" w:cs="Arial" w:eastAsia="Arial" w:hAnsi="Arial"/>
          <w:sz w:val="17"/>
          <w:szCs w:val="17"/>
          <w:color w:val="auto"/>
        </w:rPr>
        <w:t>The Company records stock-based compensation expense associated with the ESPP using the Black-Scholes option-pricing model. Valuations are performed on the grant date at the beginning of the purchase period, which generally occurs in May and November of each year.</w:t>
      </w:r>
    </w:p>
    <w:p>
      <w:pPr>
        <w:spacing w:after="0" w:line="146" w:lineRule="exact"/>
        <w:rPr>
          <w:sz w:val="20"/>
          <w:szCs w:val="20"/>
          <w:color w:val="auto"/>
        </w:rPr>
      </w:pPr>
    </w:p>
    <w:p>
      <w:pPr>
        <w:ind w:right="280" w:firstLine="810"/>
        <w:spacing w:after="0" w:line="277" w:lineRule="auto"/>
        <w:rPr>
          <w:sz w:val="20"/>
          <w:szCs w:val="20"/>
          <w:color w:val="auto"/>
        </w:rPr>
      </w:pPr>
      <w:r>
        <w:rPr>
          <w:rFonts w:ascii="Arial" w:cs="Arial" w:eastAsia="Arial" w:hAnsi="Arial"/>
          <w:sz w:val="18"/>
          <w:szCs w:val="18"/>
          <w:color w:val="auto"/>
        </w:rPr>
        <w:t>The following table summarizes the allocation of stock-based compensation expense included in the consolidated statement of operations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8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88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86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r>
      <w:tr>
        <w:trPr>
          <w:trHeight w:val="224"/>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29,060</w:t>
            </w:r>
          </w:p>
        </w:tc>
      </w:tr>
      <w:tr>
        <w:trPr>
          <w:trHeight w:val="230"/>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6,582</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6,148</w:t>
            </w:r>
          </w:p>
        </w:tc>
      </w:tr>
      <w:tr>
        <w:trPr>
          <w:trHeight w:val="223"/>
        </w:trPr>
        <w:tc>
          <w:tcPr>
            <w:tcW w:w="686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39,386</w:t>
            </w: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810"/>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the Company’s inventories was $0.7 million and $1.3 million as of September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ind w:right="120" w:firstLine="810"/>
        <w:spacing w:after="0" w:line="286" w:lineRule="auto"/>
        <w:rPr>
          <w:sz w:val="20"/>
          <w:szCs w:val="20"/>
          <w:color w:val="auto"/>
        </w:rPr>
      </w:pPr>
      <w:r>
        <w:rPr>
          <w:rFonts w:ascii="Arial" w:cs="Arial" w:eastAsia="Arial" w:hAnsi="Arial"/>
          <w:sz w:val="17"/>
          <w:szCs w:val="17"/>
          <w:color w:val="auto"/>
        </w:rPr>
        <w:t>For the three and nine months ended September 30, 2020 and 2019, the Company’s income tax expense was primarily attributable to state and foreign income tax expense as a result of current taxable income in those jurisdictions. The nine months ended September 30, 2020 also included a benefit associated with release of valuation allowance related to the acquisition of Sugarmate during the second quarter of 2020.</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The Company used the year-to-date effective tax rate method to determine its interim income tax expense for federal and state jurisdictions where a reliable estimate of the annual effective tax rate could not be made.</w:t>
      </w:r>
    </w:p>
    <w:p>
      <w:pPr>
        <w:spacing w:after="0" w:line="197" w:lineRule="exact"/>
        <w:rPr>
          <w:sz w:val="20"/>
          <w:szCs w:val="20"/>
          <w:color w:val="auto"/>
        </w:rPr>
      </w:pPr>
    </w:p>
    <w:p>
      <w:pPr>
        <w:ind w:right="120" w:firstLine="810"/>
        <w:spacing w:after="0" w:line="277" w:lineRule="auto"/>
        <w:rPr>
          <w:sz w:val="20"/>
          <w:szCs w:val="20"/>
          <w:color w:val="auto"/>
        </w:rPr>
      </w:pPr>
      <w:r>
        <w:rPr>
          <w:rFonts w:ascii="Arial" w:cs="Arial" w:eastAsia="Arial" w:hAnsi="Arial"/>
          <w:sz w:val="18"/>
          <w:szCs w:val="18"/>
          <w:color w:val="auto"/>
        </w:rPr>
        <w:t>The Company maintains a full valuation allowance against its net deferred tax assets as of September 30, 2020 based on the current assessment that it is not more likely than not these future benefits will be realized before expiration.</w:t>
      </w:r>
    </w:p>
    <w:p>
      <w:pPr>
        <w:spacing w:after="0" w:line="197"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On March 27, 2020, the United States enacted the Coronavirus Aid, Relief and Economic Security Act (CARES Act). The CARES Act is an emergency economic stimulus package that includes spending and tax breaks to strengthen the United States economy and fund a nationwide effort to curtail the effect of the COVID-19 global pandemic. While the CARES Act provides sweeping tax changes in response to the COVID-19 global pandemic, some of the more significant provisions which are expected to impact the Company’s financial statements include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 Due to the recent enactment of the CARES Act, the Company is unable to quantify the impact, if any, that the CARES Act will have on its financial position, results of operations or cash flows but it is not anticipated to be significant.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Matters</w:t>
      </w:r>
    </w:p>
    <w:p>
      <w:pPr>
        <w:spacing w:after="0" w:line="266"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From time to time, the Company may be subject to legal proceedings or regulatory matters arising in the ordinary course of business, including actions with respect to intellectual property, data privacy, employment, regulatory, product liability and contractual matters. In connection with these proceedings or matters, the Company regularly assesses the probability and amount (or range) of possible losses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w:t>
      </w:r>
    </w:p>
    <w:p>
      <w:pPr>
        <w:spacing w:after="0" w:line="166"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As of September 30, 2020 and December 31, 2019, there were no legal proceedings, regulatory matters, or other disputes or claims for which a material loss was considered probable or for which the amount (or range) of loss was deemed to be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quarter ended September 30, 2020 (Quarterly Report).</w:t>
      </w:r>
    </w:p>
    <w:p>
      <w:pPr>
        <w:spacing w:after="0" w:line="170"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business forecasts and plans, research and product development plans, manufacturing plans, strategic plans and objectives, capital needs, financing plans and objectives, product launches, distribution plans, clinical trials, regulatory approvals and competitive environment. We caution you that the foregoing list may not include all of the forward-looking statements made in this Quarterly Report.</w:t>
      </w:r>
    </w:p>
    <w:p>
      <w:pPr>
        <w:spacing w:after="0" w:line="185" w:lineRule="exact"/>
        <w:rPr>
          <w:sz w:val="20"/>
          <w:szCs w:val="20"/>
          <w:color w:val="auto"/>
        </w:rPr>
      </w:pPr>
    </w:p>
    <w:p>
      <w:pPr>
        <w:ind w:right="60" w:firstLine="810"/>
        <w:spacing w:after="0" w:line="270"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as well as the other public filings we make with the Securities and Exchange Commission. In particular, as discussed in greater detail below, our financial condition, operating results, liquidity and business prospects could be materially adversely affected by the impacts and disruptions caused by the novel coronavirus pandemic (COVID-19 global pandemic). You should read this Quarterly Report with the understanding that our actual future financial condition and results may be materially different from and worse than what we expect.</w:t>
      </w:r>
    </w:p>
    <w:p>
      <w:pPr>
        <w:spacing w:after="0" w:line="181" w:lineRule="exact"/>
        <w:rPr>
          <w:sz w:val="20"/>
          <w:szCs w:val="20"/>
          <w:color w:val="auto"/>
        </w:rPr>
      </w:pPr>
    </w:p>
    <w:p>
      <w:pPr>
        <w:ind w:right="240" w:firstLine="810"/>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5" w:lineRule="exact"/>
        <w:rPr>
          <w:sz w:val="20"/>
          <w:szCs w:val="20"/>
          <w:color w:val="auto"/>
        </w:rPr>
      </w:pPr>
    </w:p>
    <w:p>
      <w:pPr>
        <w:ind w:right="140" w:firstLine="810"/>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810"/>
        <w:spacing w:after="0" w:line="290" w:lineRule="auto"/>
        <w:rPr>
          <w:sz w:val="20"/>
          <w:szCs w:val="20"/>
          <w:color w:val="auto"/>
        </w:rPr>
      </w:pPr>
      <w:r>
        <w:rPr>
          <w:rFonts w:ascii="Arial" w:cs="Arial" w:eastAsia="Arial" w:hAnsi="Arial"/>
          <w:sz w:val="16"/>
          <w:szCs w:val="16"/>
          <w:color w:val="auto"/>
        </w:rPr>
        <w:t>We are a medical device company with an innovative approach to the design, development and commercialization of products for people with insulin-dependent diabetes. Our goal is to lead in insulin therapy management by building a robust ecosystem and portfolio of data-driven products and services around our flagship insulin pumps. We believe our competitive advantage is rooted in our consumer-focused approach, and the incorporation of modern and innovative technology into our product offerings. Our manufacturing, sales and support activities principally focus on our flagship pump platform, the t:slim X2 Insulin Delivery System (t:slim X2), which is capable of remote feature updates and is designed to display continuous glucose monitoring (CGM) sensor information directly on the pump home screen, as well as our complementary product offerings, such as our cloud-based t:connect data management application (t:connect) and the Tandem Device Updater. We aim to improve and simplify the lives of people with diabetes and those of their healthcare providers, by delivering innovative hardware and software solutions, as well as best-in-class customer support.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810"/>
        <w:spacing w:after="0" w:line="270" w:lineRule="auto"/>
        <w:rPr>
          <w:sz w:val="20"/>
          <w:szCs w:val="20"/>
          <w:color w:val="auto"/>
        </w:rPr>
      </w:pPr>
      <w:r>
        <w:rPr>
          <w:rFonts w:ascii="Arial" w:cs="Arial" w:eastAsia="Arial" w:hAnsi="Arial"/>
          <w:sz w:val="17"/>
          <w:szCs w:val="17"/>
          <w:color w:val="auto"/>
        </w:rPr>
        <w:t>Since our initial commercial launch, we have been able to rapidly innovate and bring more products to market than our competitors. We have commercially launched seven insulin pumps in the United States since 2012, three of which we also launched outside the United States since 2018. Four of our insulin pumps have featured integration with CGM technology, of which two have also featured an automated insulin delivery (AID) algorithm. The United States Food and Drug Administration (FDA) has defined requirements for the interoperability of devices as a complete AID system, which we believe will help support continued rapid innovation by streamlining the regulatory pathway for integrated products in the United States. This interoperability designation is comprised of three categories: alternate controller enabled (ACE) infusion pumps, integrated continuous glucose monitor (iCGM) devices, and interoperable automated glycemic controller (iAGC) technology. In June 2018, the t:slim X2 was the first insulin pump designated as compatible with iCGM devices; in February 2019 the t:slim X2 was the first insulin pump to receive ACE pump designation, and in December 2019 our Control-IQ technology for the t:slim X2 was cleared as the first iAGC.</w:t>
      </w:r>
    </w:p>
    <w:p>
      <w:pPr>
        <w:spacing w:after="0" w:line="181" w:lineRule="exact"/>
        <w:rPr>
          <w:sz w:val="20"/>
          <w:szCs w:val="20"/>
          <w:color w:val="auto"/>
        </w:rPr>
      </w:pPr>
    </w:p>
    <w:p>
      <w:pPr>
        <w:jc w:val="both"/>
        <w:ind w:right="140" w:firstLine="810"/>
        <w:spacing w:after="0" w:line="263" w:lineRule="auto"/>
        <w:rPr>
          <w:sz w:val="20"/>
          <w:szCs w:val="20"/>
          <w:color w:val="auto"/>
        </w:rPr>
      </w:pPr>
      <w:r>
        <w:rPr>
          <w:rFonts w:ascii="Arial" w:cs="Arial" w:eastAsia="Arial" w:hAnsi="Arial"/>
          <w:sz w:val="18"/>
          <w:szCs w:val="18"/>
          <w:color w:val="auto"/>
        </w:rPr>
        <w:t>In the four-year period ended September 30, 2020, we shipped approximately 188,000 insulin pumps, which is representative of our estimated global installed customer base, assuming the typical four-year reimbursement cycle. Approximately 152,000 of these pumps were shipped to customers in the United States and approximately 36,000 were shipped to international markets.</w:t>
      </w:r>
    </w:p>
    <w:p>
      <w:pPr>
        <w:spacing w:after="0" w:line="184" w:lineRule="exact"/>
        <w:rPr>
          <w:sz w:val="20"/>
          <w:szCs w:val="20"/>
          <w:color w:val="auto"/>
        </w:rPr>
      </w:pPr>
    </w:p>
    <w:p>
      <w:pPr>
        <w:ind w:right="120" w:firstLine="810"/>
        <w:spacing w:after="0" w:line="268" w:lineRule="auto"/>
        <w:rPr>
          <w:sz w:val="20"/>
          <w:szCs w:val="20"/>
          <w:color w:val="auto"/>
        </w:rPr>
      </w:pPr>
      <w:r>
        <w:rPr>
          <w:rFonts w:ascii="Arial" w:cs="Arial" w:eastAsia="Arial" w:hAnsi="Arial"/>
          <w:sz w:val="17"/>
          <w:szCs w:val="17"/>
          <w:color w:val="auto"/>
        </w:rPr>
        <w:t>Today, our t:slim X2 hardware platform represents 100% of our new pump shipments and nearly all of our in-warranty customers benefit from having the X2 platform. The simple-to-use t:slim X2 is the smallest durable insulin pump available, and the only commercial insulin pump that allows users to update their pumps’ software quickly and easily from a personal computer using our revolutionary Tandem Device Updater tool. This unique offering has allowed us to bring future innovations, including our next generation AID algorithms, to our in-warranty t:slim X2 customers faster than the industry was able to in the past and independent of the typical four-year insurance pump reimbursement cycle. We have offered in-warranty t:slim customers in the United States four different software updates for no-cost since the Tandem Device Updater was approved in July 2016, including our two AID algorithms, Basal-IQ technology and Control-IQ technology. Basal-IQ technology launched in August 2018 and is a predictive low glucose suspend feature that is designed to temporarily suspend insulin delivery to help reduce the frequency and duration of hypoglycemic events. Control-IQ technology launched in January 2020 and is an advanced hybrid-closed loop feature, designed to help increase a user’s time in targeted glycemic range. It is the first and only system cleared to deliver automatic correction boluses in addition to adjusting insulin to help prevent high and low blood sugar. Outside the United States we began selling efforts with t:slim X2 with Dexcom G5 CGM integration in the third quarter of 2018, and began offering Basal-IQ technology in the third quarter of 2019. In July 2020, we initiated our scaled launch of Control-IQ technology in select geographies, which we plan to continue subject to required regulatory and reimbursement approvals.</w:t>
      </w:r>
    </w:p>
    <w:p>
      <w:pPr>
        <w:spacing w:after="0" w:line="186"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w:t>
      </w:r>
    </w:p>
    <w:p>
      <w:pPr>
        <w:spacing w:after="0" w:line="184" w:lineRule="exact"/>
        <w:rPr>
          <w:sz w:val="20"/>
          <w:szCs w:val="20"/>
          <w:color w:val="auto"/>
        </w:rPr>
      </w:pPr>
    </w:p>
    <w:p>
      <w:pPr>
        <w:ind w:right="100" w:firstLine="810"/>
        <w:spacing w:after="0" w:line="271" w:lineRule="auto"/>
        <w:rPr>
          <w:sz w:val="20"/>
          <w:szCs w:val="20"/>
          <w:color w:val="auto"/>
        </w:rPr>
      </w:pPr>
      <w:r>
        <w:rPr>
          <w:rFonts w:ascii="Arial" w:cs="Arial" w:eastAsia="Arial" w:hAnsi="Arial"/>
          <w:sz w:val="17"/>
          <w:szCs w:val="17"/>
          <w:color w:val="auto"/>
        </w:rPr>
        <w:t>In support of our digital health strategy, we continue to develop and launch complementary offerings beyond t:connect and the Tandem Device Updater. In the first quarter of 2020, we began a limited launch in the United States of our first-generation t:connect mobile application, followed by general availability in July 2020. This mobile app wirelessly uploads pump data to our t:connect diabetes management application, receives notification of pump alerts and alarms, and provides a discrete, secondary display of glucose and insulin data. The availability of this mobile app is intended to reduce patient burden and increase healthcare provider office efficiency by reducing the manual and more time-consuming steps historically required for data extraction. In addition, in the second quarter, we acquired Sugarmate, a popular app designed to help people visualize diabetes therapy data in innovative ways. We intend to support the Sugarmate app in addition to our t:connect mobile app to provide a wide variety of features intended to benefit a broad community of people with diabetes.</w:t>
      </w:r>
    </w:p>
    <w:p>
      <w:pPr>
        <w:spacing w:after="0" w:line="178"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For the nine months ended September 30, 2020 and 2019, our consolidated sales were $330.8 million and $253.9 million, respectively. For the nine months ended September 30, 2020 and 2019, our net loss was $51.4 million and $27.4 million, respectively. Worldwide pump sales accounted for 62% and 69% of our total sales, respectively, for the nine months ended September 30, 2020 and 2019, while pump-related supplies and accessories accounted for the remainder in each year. Our accumulated deficit as of September 30, 2020 and December 31, 2019 was $676.2 million and $624.8 million, respectively. These amounts included $281.6 million and $216.6 million of accumulated non-cash stock-based compensation charges and non-cash charges from the change in fair value of common stock warrants as of September 30, 2020 and December 31, 2019, respectively.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810"/>
        <w:spacing w:after="0" w:line="268" w:lineRule="auto"/>
        <w:rPr>
          <w:sz w:val="20"/>
          <w:szCs w:val="20"/>
          <w:color w:val="auto"/>
        </w:rPr>
      </w:pPr>
      <w:r>
        <w:rPr>
          <w:rFonts w:ascii="Arial" w:cs="Arial" w:eastAsia="Arial" w:hAnsi="Arial"/>
          <w:sz w:val="17"/>
          <w:szCs w:val="17"/>
          <w:color w:val="auto"/>
        </w:rPr>
        <w:t xml:space="preserve">In the United States, we have rapidly increased sales since the commercial launch of our first product by expanding our sales, clinical and marketing organization, by developing, commercializing and marketing multiple differentiated products that utilize our proprietary technology platform and consumer-focused approach, and by providing strong customer support. Our sales have further increased following our scaled product launches in geographies outside the United States. We believe that by demonstrating our product benefits and the shortcomings of existing insulin therapies, more people will choose our insulin pumps for their therapy needs, allowing us to further penetrate and expand the market worldwide. In addition, we believe publications, such as the results from studies using Control-IQ technology that were published in the </w:t>
      </w:r>
      <w:r>
        <w:rPr>
          <w:rFonts w:ascii="Arial" w:cs="Arial" w:eastAsia="Arial" w:hAnsi="Arial"/>
          <w:sz w:val="17"/>
          <w:szCs w:val="17"/>
          <w:i w:val="1"/>
          <w:iCs w:val="1"/>
          <w:color w:val="auto"/>
        </w:rPr>
        <w:t>New England Journal of Medicine</w:t>
      </w:r>
      <w:r>
        <w:rPr>
          <w:rFonts w:ascii="Arial" w:cs="Arial" w:eastAsia="Arial" w:hAnsi="Arial"/>
          <w:sz w:val="17"/>
          <w:szCs w:val="17"/>
          <w:color w:val="auto"/>
        </w:rPr>
        <w:t xml:space="preserve"> in October 2019 and August 2020, and post-market real-world data will be valuable in demonstrating the clinical outcome benefits derived from our system to healthcare providers and payors. We also believe we are positioned well to address consumers’ needs and preferences with our current products and products under development and by offering customers access to our future innovations through the Tandem Device Updater, as they are approved by the local regulating bodies. At the same time, by innovating and offering new product features and benefits using our t:slim X2 platform, we are able to leverage a shared global manufacturing and supply chain infrastructure. In the United States, we are able to leverage a single sales, marketing, and clinical organization, as well as our domestic customer support services. In Canada, we have a separate sales organization and our customer support infrastructure benefits from close collaboration with our United States organization. In other international geographies, we have contracted with experienced distribution partners to commercialize and support our t:slim X2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Global Pandemic Impact and Considerations</w:t>
      </w:r>
    </w:p>
    <w:p>
      <w:pPr>
        <w:spacing w:after="0" w:line="225" w:lineRule="exact"/>
        <w:rPr>
          <w:sz w:val="20"/>
          <w:szCs w:val="20"/>
          <w:color w:val="auto"/>
        </w:rPr>
      </w:pPr>
    </w:p>
    <w:p>
      <w:pPr>
        <w:ind w:right="20" w:firstLine="810"/>
        <w:spacing w:after="0" w:line="286" w:lineRule="auto"/>
        <w:rPr>
          <w:sz w:val="20"/>
          <w:szCs w:val="20"/>
          <w:color w:val="auto"/>
        </w:rPr>
      </w:pPr>
      <w:r>
        <w:rPr>
          <w:rFonts w:ascii="Arial" w:cs="Arial" w:eastAsia="Arial" w:hAnsi="Arial"/>
          <w:sz w:val="16"/>
          <w:szCs w:val="16"/>
          <w:color w:val="auto"/>
        </w:rPr>
        <w:t>We are deemed an essential healthcare business under applicable governmental orders based on the critical nature of the products we offer and the communities we serve. We experienced a modest impact from the COVID-19 global pandemic during the first quarter of 2020, which became more pronounced in the second and third quarters. We originally anticipated that our sales outside the United States would experience a greater proportional impact due to differences in the sales process in domestic versus international markets. Initially, the impact to our business was relatively consistent worldwide but we have since seen varying degrees of impact in international markets based on local conditions. The impact from COVID-19 on our sales outside the United States during the fourth quarter of 2020 may be even more difficult to estimate due to the recent announcements of additional restrictions and lock-downs in multiple European countries. We anticipate that our sales and operating results will continue to be adversely impacted and subject to unpredictable variability for the duration of the pandemic. For example, certain programs originally planned to begin in the second quarter of 2020 were delayed until the second half of the year, such as human factors studies associated with our product development efforts. Programs originally planned to be begin or to be completed in the second half of 2020 may also be delayed until future periods. In addition, regulatory timelines may be difficult to predict as the FDA has stated that its review process may take longer than normal due to the impact of the COVID-19 global pandemic. The full extent of the impact of the COVID-19 global pandemic on our future business and operations is difficult to estimate and will depend on a number of factors including the scope and duration of the COVID-19 global pandemic and the relative impact of COVID-19 on the business operations of our competitors.</w:t>
      </w:r>
    </w:p>
    <w:p>
      <w:pPr>
        <w:spacing w:after="0" w:line="174" w:lineRule="exact"/>
        <w:rPr>
          <w:sz w:val="20"/>
          <w:szCs w:val="20"/>
          <w:color w:val="auto"/>
        </w:rPr>
      </w:pPr>
    </w:p>
    <w:p>
      <w:pPr>
        <w:ind w:right="20" w:firstLine="810"/>
        <w:spacing w:after="0" w:line="290" w:lineRule="auto"/>
        <w:rPr>
          <w:sz w:val="20"/>
          <w:szCs w:val="20"/>
          <w:color w:val="auto"/>
        </w:rPr>
      </w:pPr>
      <w:r>
        <w:rPr>
          <w:rFonts w:ascii="Arial" w:cs="Arial" w:eastAsia="Arial" w:hAnsi="Arial"/>
          <w:sz w:val="16"/>
          <w:szCs w:val="16"/>
          <w:color w:val="auto"/>
        </w:rPr>
        <w:t>We have taken steps to prioritize the health and safety of our employees and customers during the COVID-19 global pandemic, while working to maintain a continuous supply of products, training and customer support. To that end, we have increased the frequency of our communications to employees, suppliers, customers, and healthcare providers. Since March 2020, we have restricted non-essential employee travel, banned visitors from all of our facilities, and transitioned those employees able to perform their job function outside of our facilities to a remote work environment. For our field-based sales and clinical employees, we initially discontinued all in-person activities and began utilizing technology to remotely engage healthcare providers and customers. We continue to work closely with our healthcare providers and customers, remaining flexible in our method of interaction. To help ensure the safety and health of our employees in manufacturing and warehousing positions involved in production and fulfillment operations, we have implemented preventative measures to comply with social distancing requirements and require temperature checks of our employees before each shift.</w:t>
      </w:r>
    </w:p>
    <w:p>
      <w:pPr>
        <w:spacing w:after="0" w:line="165"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In response to developments surrounding the COVID-19 global pandemic, we initiated discussions with our key suppliers in early 2020 regarding their abilities to fulfill existing orders, and we have continued to regularly assess their capacity. At this time, we believe many of our suppliers are deemed essential businesses under applicable governmental orders, and we have not experienced, and do not anticipate experiencing, disruption in our ability to manufacture insulin pumps and cartridges due to component procurement limitations. Our finished goods and raw material inventory for insulin pumps, as well as available manufacturing capacity, position us well to respond to unforeseen disruptions in the near term.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810"/>
        <w:spacing w:after="0" w:line="272" w:lineRule="auto"/>
        <w:rPr>
          <w:sz w:val="20"/>
          <w:szCs w:val="20"/>
          <w:color w:val="auto"/>
        </w:rPr>
      </w:pPr>
      <w:r>
        <w:rPr>
          <w:rFonts w:ascii="Arial" w:cs="Arial" w:eastAsia="Arial" w:hAnsi="Arial"/>
          <w:sz w:val="17"/>
          <w:szCs w:val="17"/>
          <w:color w:val="auto"/>
        </w:rPr>
        <w:t>During the first six months of 2020, we experienced certain challenges managing our inventory, primarily due to the impacts of the COVID-19 global pandemic. For example, in the first quarter of 2020, we observed customers purchasing cartridges and infusion sets at a higher rate than anticipated. In addition, during the second quarter of 2020, our primary infusion set manufacturer experienced certain inventory constraints which resulted in our having to ask some customers to accept substitutions of similar products to prevent delays in order fulfillment. Our infusion set inventory has returned to more normal levels and we continue to focus on building and maintaining adequate levels of inventory for finished cartridges. Our third-party cartridge manufacturer completed validation and commenced commercial-scale manufacturing near the end of the first quarter to supplement our existing cartridge manufacturing capacity, which we believe will assist us in meeting product demand in future periods.</w:t>
      </w:r>
    </w:p>
    <w:p>
      <w:pPr>
        <w:spacing w:after="0" w:line="177" w:lineRule="exact"/>
        <w:rPr>
          <w:sz w:val="20"/>
          <w:szCs w:val="20"/>
          <w:color w:val="auto"/>
        </w:rPr>
      </w:pPr>
    </w:p>
    <w:p>
      <w:pPr>
        <w:ind w:right="160" w:firstLine="810"/>
        <w:spacing w:after="0" w:line="275" w:lineRule="auto"/>
        <w:rPr>
          <w:sz w:val="20"/>
          <w:szCs w:val="20"/>
          <w:color w:val="auto"/>
        </w:rPr>
      </w:pPr>
      <w:r>
        <w:rPr>
          <w:rFonts w:ascii="Arial" w:cs="Arial" w:eastAsia="Arial" w:hAnsi="Arial"/>
          <w:sz w:val="17"/>
          <w:szCs w:val="17"/>
          <w:color w:val="auto"/>
        </w:rPr>
        <w:t>Commercially, we have been communicating with our customers and healthcare providers through social media, direct email outreach and our website, in addition to regular communications sent by our sales and clinical employees. We are also leveraging our technology platforms, such as our t:connect diabetes management application, to support healthcare providers, as many of them are increasingly utilizing telehealth capabilities in their practices. By the end of the first quarter of 2020, we expanded our remote new pump training offering to all customers who purchased a t:slim X2 insulin pump, and in the third quarter, we resumed offering in-person trainings under specific conditions.</w:t>
      </w:r>
    </w:p>
    <w:p>
      <w:pPr>
        <w:spacing w:after="0" w:line="176"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We are prudently managing our use of cash and completed a convertible debt financing in May 2020 to further strengthen our balance sheet. We believe that our total cash and investments on hand are sufficient to sustain our existing operations for at least the next 12 months from the date of this filing. In the meantime, we are focused on making necessary investments in the organization as originally planned to continue to progress against our long-term sales and profitability initiatives, including recruitment of key employees, advancement of our R&amp;D pipeline, and implementation of technology solutions. We will continue to evaluate our business operations and strategy based on new information as it becomes available and we intend to make changes that we consider necessary in light of this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Our products under development support our strategy of focusing on both consumer and clinical needs, and include a connected (mobile) health offering, a next-generation hardware platform, which we refer to as the t:sport Insulin Delivery System (t:sport), AID system enhancements, and additional CGM integrations with our current and future products. We intend to leverage our consumer-focused approach and proprietary technology platform to continue to develop products that have the features and functionality that will allow us to meet the needs of people in differentiated segments of the insulin-dependent diabetes market, including the following:</w:t>
      </w:r>
    </w:p>
    <w:p>
      <w:pPr>
        <w:spacing w:after="0" w:line="188" w:lineRule="exact"/>
        <w:rPr>
          <w:sz w:val="20"/>
          <w:szCs w:val="20"/>
          <w:color w:val="auto"/>
        </w:rPr>
      </w:pPr>
    </w:p>
    <w:p>
      <w:pPr>
        <w:ind w:left="1300" w:right="180" w:hanging="644"/>
        <w:spacing w:after="0" w:line="275" w:lineRule="auto"/>
        <w:tabs>
          <w:tab w:leader="none" w:pos="129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Connected (Mobile) Health Offerings – </w:t>
      </w:r>
      <w:r>
        <w:rPr>
          <w:rFonts w:ascii="Arial" w:cs="Arial" w:eastAsia="Arial" w:hAnsi="Arial"/>
          <w:sz w:val="17"/>
          <w:szCs w:val="17"/>
          <w:color w:val="auto"/>
        </w:rPr>
        <w:t>In July of 2020 we began offering the first version of our t:connect mobile application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wirelessly uploads pump data to our cloud-based t:connect diabetes management application, receives notification of pump alerts and alarms, and provides a discrete, secondary display of glucose and insulin data. Future updates of our mobile application are planned to include mobile bolus delivery, additional pump control features, integrate other health-related information from third-party sources and support future capabilities for our products under development.</w:t>
      </w:r>
    </w:p>
    <w:p>
      <w:pPr>
        <w:spacing w:after="0" w:line="176" w:lineRule="exact"/>
        <w:rPr>
          <w:rFonts w:ascii="Arial" w:cs="Arial" w:eastAsia="Arial" w:hAnsi="Arial"/>
          <w:sz w:val="17"/>
          <w:szCs w:val="17"/>
          <w:color w:val="auto"/>
        </w:rPr>
      </w:pPr>
    </w:p>
    <w:p>
      <w:pPr>
        <w:ind w:left="1300" w:right="120" w:hanging="644"/>
        <w:spacing w:after="0" w:line="273" w:lineRule="auto"/>
        <w:tabs>
          <w:tab w:leader="none" w:pos="129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t:sport Insulin Delivery System – </w:t>
      </w:r>
      <w:r>
        <w:rPr>
          <w:rFonts w:ascii="Arial" w:cs="Arial" w:eastAsia="Arial" w:hAnsi="Arial"/>
          <w:sz w:val="17"/>
          <w:szCs w:val="17"/>
          <w:color w:val="auto"/>
        </w:rPr>
        <w:t>Approximately half the size of our t:slim X2 pump, the t:sport pump is being designed for people who</w:t>
      </w:r>
      <w:r>
        <w:rPr>
          <w:rFonts w:ascii="Arial" w:cs="Arial" w:eastAsia="Arial" w:hAnsi="Arial"/>
          <w:sz w:val="17"/>
          <w:szCs w:val="17"/>
          <w:i w:val="1"/>
          <w:iCs w:val="1"/>
          <w:color w:val="auto"/>
        </w:rPr>
        <w:t xml:space="preserve"> </w:t>
      </w:r>
      <w:r>
        <w:rPr>
          <w:rFonts w:ascii="Arial" w:cs="Arial" w:eastAsia="Arial" w:hAnsi="Arial"/>
          <w:sz w:val="17"/>
          <w:szCs w:val="17"/>
          <w:color w:val="auto"/>
        </w:rPr>
        <w:t>seek 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to people with greater insulin needs. We anticipate that t:sport will be our first insulin pump to support full pump-control from our mobile application, subject to FDA review and approval. A separate controller may be offered in addition to full mobile control availability.</w:t>
      </w:r>
    </w:p>
    <w:p>
      <w:pPr>
        <w:spacing w:after="0" w:line="177" w:lineRule="exact"/>
        <w:rPr>
          <w:rFonts w:ascii="Arial" w:cs="Arial" w:eastAsia="Arial" w:hAnsi="Arial"/>
          <w:sz w:val="17"/>
          <w:szCs w:val="17"/>
          <w:i w:val="1"/>
          <w:iCs w:val="1"/>
          <w:color w:val="auto"/>
        </w:rPr>
      </w:pPr>
    </w:p>
    <w:p>
      <w:pPr>
        <w:ind w:left="1300" w:right="40" w:hanging="644"/>
        <w:spacing w:after="0" w:line="311" w:lineRule="auto"/>
        <w:tabs>
          <w:tab w:leader="none" w:pos="1295"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AID Enhancements – </w:t>
      </w:r>
      <w:r>
        <w:rPr>
          <w:rFonts w:ascii="Arial" w:cs="Arial" w:eastAsia="Arial" w:hAnsi="Arial"/>
          <w:sz w:val="16"/>
          <w:szCs w:val="16"/>
          <w:color w:val="auto"/>
        </w:rPr>
        <w:t>We intend to further enhance our automated insulin delivery system and are considering alternative strategies to</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new features and benefits to our customers on a regular basis. In addition to algorithm enhancements intended to improve clinical outcomes, we are also developing new features for greater personalization and refinements to the overall system usability.</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644"/>
        <w:spacing w:after="0" w:line="25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Additional CGM Integration – </w:t>
      </w:r>
      <w:r>
        <w:rPr>
          <w:rFonts w:ascii="Arial" w:cs="Arial" w:eastAsia="Arial" w:hAnsi="Arial"/>
          <w:sz w:val="18"/>
          <w:szCs w:val="18"/>
          <w:color w:val="auto"/>
        </w:rPr>
        <w:t>In June 2020 we announced an agreement with Abbott to develop and commercialize integrated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that combine Abbott’s CGM technology with our insulin delivery systems to provide more options for people to manage their diabetes. Following the completion of our integrated product development work, and required regulatory clearances or approvals, we intend to focus our initial commercial activities for integrated products in the U.S. and Canada, with additional geographies considered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ind w:right="120" w:firstLine="810"/>
        <w:spacing w:after="0" w:line="311" w:lineRule="auto"/>
        <w:rPr>
          <w:sz w:val="20"/>
          <w:szCs w:val="20"/>
          <w:color w:val="auto"/>
        </w:rPr>
      </w:pPr>
      <w:r>
        <w:rPr>
          <w:rFonts w:ascii="Arial" w:cs="Arial" w:eastAsia="Arial" w:hAnsi="Arial"/>
          <w:sz w:val="16"/>
          <w:szCs w:val="16"/>
          <w:color w:val="auto"/>
        </w:rPr>
        <w:t>From inception through June 2018, we derived nearly all of our sales from the shipment of insulin pumps and associated supplies to customers in the United States. Starting in the third quarter of 2018, we commenced sales of our t:slim X2 insulin pump in select international geographies. We consider the number of insulin pump units shipped per quarter domestically and internationally to be an important metric for managing our business.</w:t>
      </w:r>
    </w:p>
    <w:p>
      <w:pPr>
        <w:spacing w:after="0" w:line="149" w:lineRule="exact"/>
        <w:rPr>
          <w:sz w:val="20"/>
          <w:szCs w:val="20"/>
          <w:color w:val="auto"/>
        </w:rPr>
      </w:pPr>
    </w:p>
    <w:p>
      <w:pPr>
        <w:ind w:right="280" w:firstLine="810"/>
        <w:spacing w:after="0" w:line="277" w:lineRule="auto"/>
        <w:rPr>
          <w:sz w:val="20"/>
          <w:szCs w:val="20"/>
          <w:color w:val="auto"/>
        </w:rPr>
      </w:pPr>
      <w:r>
        <w:rPr>
          <w:rFonts w:ascii="Arial" w:cs="Arial" w:eastAsia="Arial" w:hAnsi="Arial"/>
          <w:sz w:val="18"/>
          <w:szCs w:val="18"/>
          <w:color w:val="auto"/>
        </w:rPr>
        <w:t>In the four-year period ended September 30, 2020, we shipped approximately 188,000 insulin pumps, of which approximately 152,000 were shipped to customers in the United States and approximately 36,000 were shipped to international markets.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Pump shipments to customers in the United States by fiscal quarter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700" w:type="dxa"/>
            <w:vAlign w:val="bottom"/>
            <w:tcBorders>
              <w:bottom w:val="single" w:sz="8" w:color="auto"/>
            </w:tcBorders>
            <w:gridSpan w:val="16"/>
          </w:tcPr>
          <w:p>
            <w:pPr>
              <w:jc w:val="center"/>
              <w:ind w:left="682"/>
              <w:spacing w:after="0"/>
              <w:rPr>
                <w:sz w:val="20"/>
                <w:szCs w:val="20"/>
                <w:color w:val="auto"/>
              </w:rPr>
            </w:pPr>
            <w:r>
              <w:rPr>
                <w:rFonts w:ascii="Arial" w:cs="Arial" w:eastAsia="Arial" w:hAnsi="Arial"/>
                <w:sz w:val="14"/>
                <w:szCs w:val="14"/>
                <w:b w:val="1"/>
                <w:bCs w:val="1"/>
                <w:color w:val="auto"/>
                <w:w w:val="92"/>
              </w:rPr>
              <w:t>Pump Units Shipped for Each of the Three Months Ended in Respective Years - U.S.</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6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460" w:type="dxa"/>
            <w:vAlign w:val="bottom"/>
            <w:gridSpan w:val="3"/>
          </w:tcPr>
          <w:p>
            <w:pPr>
              <w:ind w:left="3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6"/>
                <w:szCs w:val="16"/>
                <w:color w:val="auto"/>
              </w:rPr>
            </w:pPr>
          </w:p>
        </w:tc>
        <w:tc>
          <w:tcPr>
            <w:tcW w:w="206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493"/>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6"/>
                <w:szCs w:val="16"/>
                <w:color w:val="auto"/>
              </w:rPr>
            </w:pPr>
          </w:p>
        </w:tc>
      </w:tr>
      <w:tr>
        <w:trPr>
          <w:trHeight w:val="224"/>
        </w:trPr>
        <w:tc>
          <w:tcPr>
            <w:tcW w:w="600" w:type="dxa"/>
            <w:vAlign w:val="bottom"/>
            <w:tcBorders>
              <w:top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89"/>
              </w:rPr>
              <w:t>2012</w:t>
            </w:r>
          </w:p>
        </w:tc>
        <w:tc>
          <w:tcPr>
            <w:tcW w:w="2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gridSpan w:val="2"/>
            <w:shd w:val="clear" w:color="auto" w:fill="CFF0FC"/>
          </w:tcPr>
          <w:p>
            <w:pPr>
              <w:jc w:val="right"/>
              <w:ind w:right="2"/>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gridSpan w:val="2"/>
            <w:shd w:val="clear" w:color="auto" w:fill="CFF0FC"/>
          </w:tcPr>
          <w:p>
            <w:pPr>
              <w:jc w:val="right"/>
              <w:ind w:right="2"/>
              <w:spacing w:after="0"/>
              <w:rPr>
                <w:sz w:val="20"/>
                <w:szCs w:val="20"/>
                <w:color w:val="auto"/>
              </w:rPr>
            </w:pPr>
            <w:r>
              <w:rPr>
                <w:rFonts w:ascii="Arial" w:cs="Arial" w:eastAsia="Arial" w:hAnsi="Arial"/>
                <w:sz w:val="18"/>
                <w:szCs w:val="18"/>
                <w:color w:val="auto"/>
              </w:rPr>
              <w:t>204</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19"/>
                <w:szCs w:val="19"/>
                <w:color w:val="auto"/>
              </w:rPr>
            </w:pPr>
          </w:p>
        </w:tc>
      </w:tr>
      <w:tr>
        <w:trPr>
          <w:trHeight w:val="229"/>
        </w:trPr>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2013</w:t>
            </w:r>
          </w:p>
        </w:tc>
        <w:tc>
          <w:tcPr>
            <w:tcW w:w="4300" w:type="dxa"/>
            <w:vAlign w:val="bottom"/>
            <w:gridSpan w:val="3"/>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1460" w:type="dxa"/>
            <w:vAlign w:val="bottom"/>
            <w:gridSpan w:val="2"/>
          </w:tcPr>
          <w:p>
            <w:pPr>
              <w:jc w:val="right"/>
              <w:ind w:right="2"/>
              <w:spacing w:after="0"/>
              <w:rPr>
                <w:sz w:val="20"/>
                <w:szCs w:val="20"/>
                <w:color w:val="auto"/>
              </w:rPr>
            </w:pPr>
            <w:r>
              <w:rPr>
                <w:rFonts w:ascii="Arial" w:cs="Arial" w:eastAsia="Arial" w:hAnsi="Arial"/>
                <w:sz w:val="18"/>
                <w:szCs w:val="18"/>
                <w:color w:val="auto"/>
              </w:rPr>
              <w:t>1,363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tcPr>
          <w:p>
            <w:pPr>
              <w:jc w:val="right"/>
              <w:ind w:right="2"/>
              <w:spacing w:after="0"/>
              <w:rPr>
                <w:sz w:val="20"/>
                <w:szCs w:val="20"/>
                <w:color w:val="auto"/>
              </w:rPr>
            </w:pPr>
            <w:r>
              <w:rPr>
                <w:rFonts w:ascii="Arial" w:cs="Arial" w:eastAsia="Arial" w:hAnsi="Arial"/>
                <w:sz w:val="18"/>
                <w:szCs w:val="18"/>
                <w:color w:val="auto"/>
              </w:rPr>
              <w:t>1,851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2,406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6,472</w:t>
            </w:r>
          </w:p>
        </w:tc>
        <w:tc>
          <w:tcPr>
            <w:tcW w:w="20" w:type="dxa"/>
            <w:vAlign w:val="bottom"/>
          </w:tcPr>
          <w:p>
            <w:pPr>
              <w:spacing w:after="0"/>
              <w:rPr>
                <w:sz w:val="19"/>
                <w:szCs w:val="19"/>
                <w:color w:val="auto"/>
              </w:rPr>
            </w:pPr>
          </w:p>
        </w:tc>
      </w:tr>
      <w:tr>
        <w:trPr>
          <w:trHeight w:val="229"/>
        </w:trPr>
        <w:tc>
          <w:tcPr>
            <w:tcW w:w="6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89"/>
              </w:rPr>
              <w:t>2014</w:t>
            </w:r>
          </w:p>
        </w:tc>
        <w:tc>
          <w:tcPr>
            <w:tcW w:w="4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2,235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2,935</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20" w:type="dxa"/>
            <w:vAlign w:val="bottom"/>
          </w:tcPr>
          <w:p>
            <w:pPr>
              <w:spacing w:after="0"/>
              <w:rPr>
                <w:sz w:val="19"/>
                <w:szCs w:val="19"/>
                <w:color w:val="auto"/>
              </w:rPr>
            </w:pPr>
          </w:p>
        </w:tc>
      </w:tr>
      <w:tr>
        <w:trPr>
          <w:trHeight w:val="230"/>
        </w:trPr>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2015</w:t>
            </w:r>
          </w:p>
        </w:tc>
        <w:tc>
          <w:tcPr>
            <w:tcW w:w="4300" w:type="dxa"/>
            <w:vAlign w:val="bottom"/>
            <w:gridSpan w:val="3"/>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9"/>
                <w:szCs w:val="19"/>
                <w:color w:val="auto"/>
              </w:rPr>
            </w:pPr>
          </w:p>
        </w:tc>
        <w:tc>
          <w:tcPr>
            <w:tcW w:w="1460" w:type="dxa"/>
            <w:vAlign w:val="bottom"/>
            <w:gridSpan w:val="2"/>
          </w:tcPr>
          <w:p>
            <w:pPr>
              <w:jc w:val="right"/>
              <w:ind w:right="2"/>
              <w:spacing w:after="0"/>
              <w:rPr>
                <w:sz w:val="20"/>
                <w:szCs w:val="20"/>
                <w:color w:val="auto"/>
              </w:rPr>
            </w:pPr>
            <w:r>
              <w:rPr>
                <w:rFonts w:ascii="Arial" w:cs="Arial" w:eastAsia="Arial" w:hAnsi="Arial"/>
                <w:sz w:val="18"/>
                <w:szCs w:val="18"/>
                <w:color w:val="auto"/>
              </w:rPr>
              <w:t>3,331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tcPr>
          <w:p>
            <w:pPr>
              <w:jc w:val="right"/>
              <w:ind w:right="2"/>
              <w:spacing w:after="0"/>
              <w:rPr>
                <w:sz w:val="20"/>
                <w:szCs w:val="20"/>
                <w:color w:val="auto"/>
              </w:rPr>
            </w:pPr>
            <w:r>
              <w:rPr>
                <w:rFonts w:ascii="Arial" w:cs="Arial" w:eastAsia="Arial" w:hAnsi="Arial"/>
                <w:sz w:val="18"/>
                <w:szCs w:val="18"/>
                <w:color w:val="auto"/>
              </w:rPr>
              <w:t>3,431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6,234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15,483</w:t>
            </w:r>
          </w:p>
        </w:tc>
        <w:tc>
          <w:tcPr>
            <w:tcW w:w="20" w:type="dxa"/>
            <w:vAlign w:val="bottom"/>
          </w:tcPr>
          <w:p>
            <w:pPr>
              <w:spacing w:after="0"/>
              <w:rPr>
                <w:sz w:val="19"/>
                <w:szCs w:val="19"/>
                <w:color w:val="auto"/>
              </w:rPr>
            </w:pPr>
          </w:p>
        </w:tc>
      </w:tr>
      <w:tr>
        <w:trPr>
          <w:trHeight w:val="229"/>
        </w:trPr>
        <w:tc>
          <w:tcPr>
            <w:tcW w:w="6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89"/>
              </w:rPr>
              <w:t>2016</w:t>
            </w:r>
          </w:p>
        </w:tc>
        <w:tc>
          <w:tcPr>
            <w:tcW w:w="4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4,582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3,896</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16,938</w:t>
            </w:r>
          </w:p>
        </w:tc>
        <w:tc>
          <w:tcPr>
            <w:tcW w:w="20" w:type="dxa"/>
            <w:vAlign w:val="bottom"/>
          </w:tcPr>
          <w:p>
            <w:pPr>
              <w:spacing w:after="0"/>
              <w:rPr>
                <w:sz w:val="19"/>
                <w:szCs w:val="19"/>
                <w:color w:val="auto"/>
              </w:rPr>
            </w:pPr>
          </w:p>
        </w:tc>
      </w:tr>
      <w:tr>
        <w:trPr>
          <w:trHeight w:val="230"/>
        </w:trPr>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2017</w:t>
            </w:r>
          </w:p>
        </w:tc>
        <w:tc>
          <w:tcPr>
            <w:tcW w:w="4300" w:type="dxa"/>
            <w:vAlign w:val="bottom"/>
            <w:gridSpan w:val="3"/>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19"/>
                <w:szCs w:val="19"/>
                <w:color w:val="auto"/>
              </w:rPr>
            </w:pPr>
          </w:p>
        </w:tc>
        <w:tc>
          <w:tcPr>
            <w:tcW w:w="1460" w:type="dxa"/>
            <w:vAlign w:val="bottom"/>
            <w:gridSpan w:val="2"/>
          </w:tcPr>
          <w:p>
            <w:pPr>
              <w:jc w:val="right"/>
              <w:ind w:right="2"/>
              <w:spacing w:after="0"/>
              <w:rPr>
                <w:sz w:val="20"/>
                <w:szCs w:val="20"/>
                <w:color w:val="auto"/>
              </w:rPr>
            </w:pPr>
            <w:r>
              <w:rPr>
                <w:rFonts w:ascii="Arial" w:cs="Arial" w:eastAsia="Arial" w:hAnsi="Arial"/>
                <w:sz w:val="18"/>
                <w:szCs w:val="18"/>
                <w:color w:val="auto"/>
              </w:rPr>
              <w:t>3,427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tcPr>
          <w:p>
            <w:pPr>
              <w:jc w:val="right"/>
              <w:ind w:right="2"/>
              <w:spacing w:after="0"/>
              <w:rPr>
                <w:sz w:val="20"/>
                <w:szCs w:val="20"/>
                <w:color w:val="auto"/>
              </w:rPr>
            </w:pPr>
            <w:r>
              <w:rPr>
                <w:rFonts w:ascii="Arial" w:cs="Arial" w:eastAsia="Arial" w:hAnsi="Arial"/>
                <w:sz w:val="18"/>
                <w:szCs w:val="18"/>
                <w:color w:val="auto"/>
              </w:rPr>
              <w:t>3,868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6,950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17,061</w:t>
            </w:r>
          </w:p>
        </w:tc>
        <w:tc>
          <w:tcPr>
            <w:tcW w:w="20" w:type="dxa"/>
            <w:vAlign w:val="bottom"/>
          </w:tcPr>
          <w:p>
            <w:pPr>
              <w:spacing w:after="0"/>
              <w:rPr>
                <w:sz w:val="19"/>
                <w:szCs w:val="19"/>
                <w:color w:val="auto"/>
              </w:rPr>
            </w:pPr>
          </w:p>
        </w:tc>
      </w:tr>
      <w:tr>
        <w:trPr>
          <w:trHeight w:val="230"/>
        </w:trPr>
        <w:tc>
          <w:tcPr>
            <w:tcW w:w="6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89"/>
              </w:rPr>
              <w:t>2018</w:t>
            </w:r>
          </w:p>
        </w:tc>
        <w:tc>
          <w:tcPr>
            <w:tcW w:w="4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5,447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7,379</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12,935</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30,205</w:t>
            </w:r>
          </w:p>
        </w:tc>
        <w:tc>
          <w:tcPr>
            <w:tcW w:w="20" w:type="dxa"/>
            <w:vAlign w:val="bottom"/>
          </w:tcPr>
          <w:p>
            <w:pPr>
              <w:spacing w:after="0"/>
              <w:rPr>
                <w:sz w:val="19"/>
                <w:szCs w:val="19"/>
                <w:color w:val="auto"/>
              </w:rPr>
            </w:pPr>
          </w:p>
        </w:tc>
      </w:tr>
      <w:tr>
        <w:trPr>
          <w:trHeight w:val="230"/>
        </w:trPr>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2019</w:t>
            </w:r>
          </w:p>
        </w:tc>
        <w:tc>
          <w:tcPr>
            <w:tcW w:w="4300" w:type="dxa"/>
            <w:vAlign w:val="bottom"/>
            <w:gridSpan w:val="3"/>
          </w:tcPr>
          <w:p>
            <w:pPr>
              <w:jc w:val="right"/>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19"/>
                <w:szCs w:val="19"/>
                <w:color w:val="auto"/>
              </w:rPr>
            </w:pPr>
          </w:p>
        </w:tc>
        <w:tc>
          <w:tcPr>
            <w:tcW w:w="1460" w:type="dxa"/>
            <w:vAlign w:val="bottom"/>
            <w:gridSpan w:val="2"/>
          </w:tcPr>
          <w:p>
            <w:pPr>
              <w:jc w:val="right"/>
              <w:ind w:right="2"/>
              <w:spacing w:after="0"/>
              <w:rPr>
                <w:sz w:val="20"/>
                <w:szCs w:val="20"/>
                <w:color w:val="auto"/>
              </w:rPr>
            </w:pPr>
            <w:r>
              <w:rPr>
                <w:rFonts w:ascii="Arial" w:cs="Arial" w:eastAsia="Arial" w:hAnsi="Arial"/>
                <w:sz w:val="18"/>
                <w:szCs w:val="18"/>
                <w:color w:val="auto"/>
              </w:rPr>
              <w:t>12,799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tcPr>
          <w:p>
            <w:pPr>
              <w:jc w:val="right"/>
              <w:ind w:right="2"/>
              <w:spacing w:after="0"/>
              <w:rPr>
                <w:sz w:val="20"/>
                <w:szCs w:val="20"/>
                <w:color w:val="auto"/>
              </w:rPr>
            </w:pPr>
            <w:r>
              <w:rPr>
                <w:rFonts w:ascii="Arial" w:cs="Arial" w:eastAsia="Arial" w:hAnsi="Arial"/>
                <w:sz w:val="18"/>
                <w:szCs w:val="18"/>
                <w:color w:val="auto"/>
              </w:rPr>
              <w:t>13,814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17,453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53,735</w:t>
            </w:r>
          </w:p>
        </w:tc>
        <w:tc>
          <w:tcPr>
            <w:tcW w:w="20" w:type="dxa"/>
            <w:vAlign w:val="bottom"/>
          </w:tcPr>
          <w:p>
            <w:pPr>
              <w:spacing w:after="0"/>
              <w:rPr>
                <w:sz w:val="19"/>
                <w:szCs w:val="19"/>
                <w:color w:val="auto"/>
              </w:rPr>
            </w:pPr>
          </w:p>
        </w:tc>
      </w:tr>
      <w:tr>
        <w:trPr>
          <w:trHeight w:val="229"/>
        </w:trPr>
        <w:tc>
          <w:tcPr>
            <w:tcW w:w="6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89"/>
              </w:rPr>
              <w:t>2020</w:t>
            </w:r>
          </w:p>
        </w:tc>
        <w:tc>
          <w:tcPr>
            <w:tcW w:w="4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13,158</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14,735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18,380</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60" w:type="dxa"/>
            <w:vAlign w:val="bottom"/>
            <w:gridSpan w:val="5"/>
            <w:shd w:val="clear" w:color="auto" w:fill="CFF0FC"/>
          </w:tcPr>
          <w:p>
            <w:pPr>
              <w:jc w:val="right"/>
              <w:ind w:right="70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46,273</w:t>
            </w:r>
          </w:p>
        </w:tc>
        <w:tc>
          <w:tcPr>
            <w:tcW w:w="20" w:type="dxa"/>
            <w:vAlign w:val="bottom"/>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5980" w:type="dxa"/>
            <w:vAlign w:val="bottom"/>
            <w:gridSpan w:val="8"/>
          </w:tcPr>
          <w:p>
            <w:pPr>
              <w:ind w:left="220"/>
              <w:spacing w:after="0"/>
              <w:rPr>
                <w:sz w:val="20"/>
                <w:szCs w:val="20"/>
                <w:color w:val="auto"/>
              </w:rPr>
            </w:pPr>
            <w:r>
              <w:rPr>
                <w:rFonts w:ascii="Arial" w:cs="Arial" w:eastAsia="Arial" w:hAnsi="Arial"/>
                <w:sz w:val="18"/>
                <w:szCs w:val="18"/>
                <w:color w:val="auto"/>
                <w:w w:val="94"/>
              </w:rPr>
              <w:t>Pump shipments to international customers by fiscal quarter were as follows:</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6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00" w:type="dxa"/>
            <w:vAlign w:val="bottom"/>
            <w:tcBorders>
              <w:bottom w:val="single" w:sz="8" w:color="auto"/>
            </w:tcBorders>
            <w:gridSpan w:val="16"/>
          </w:tcPr>
          <w:p>
            <w:pPr>
              <w:ind w:left="940"/>
              <w:spacing w:after="0"/>
              <w:rPr>
                <w:sz w:val="20"/>
                <w:szCs w:val="20"/>
                <w:color w:val="auto"/>
              </w:rPr>
            </w:pPr>
            <w:r>
              <w:rPr>
                <w:rFonts w:ascii="Arial" w:cs="Arial" w:eastAsia="Arial" w:hAnsi="Arial"/>
                <w:sz w:val="14"/>
                <w:szCs w:val="14"/>
                <w:b w:val="1"/>
                <w:bCs w:val="1"/>
                <w:color w:val="auto"/>
                <w:w w:val="93"/>
              </w:rPr>
              <w:t>Pump Units Shipped for Each of the Three Months Ended in Respective Years - International</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7"/>
        </w:trPr>
        <w:tc>
          <w:tcPr>
            <w:tcW w:w="6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460" w:type="dxa"/>
            <w:vAlign w:val="bottom"/>
            <w:gridSpan w:val="3"/>
          </w:tcPr>
          <w:p>
            <w:pPr>
              <w:ind w:left="4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1480" w:type="dxa"/>
            <w:vAlign w:val="bottom"/>
            <w:gridSpan w:val="3"/>
          </w:tcPr>
          <w:p>
            <w:pPr>
              <w:ind w:left="3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206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224"/>
        </w:trPr>
        <w:tc>
          <w:tcPr>
            <w:tcW w:w="600" w:type="dxa"/>
            <w:vAlign w:val="bottom"/>
            <w:tcBorders>
              <w:top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89"/>
              </w:rPr>
              <w:t>2018</w:t>
            </w:r>
          </w:p>
        </w:tc>
        <w:tc>
          <w:tcPr>
            <w:tcW w:w="2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gridSpan w:val="2"/>
            <w:shd w:val="clear" w:color="auto" w:fill="CFF0FC"/>
          </w:tcPr>
          <w:p>
            <w:pPr>
              <w:ind w:left="110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N/A</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w:t>
            </w:r>
          </w:p>
        </w:tc>
        <w:tc>
          <w:tcPr>
            <w:tcW w:w="20" w:type="dxa"/>
            <w:vAlign w:val="bottom"/>
            <w:tcBorders>
              <w:top w:val="single" w:sz="8" w:color="auto"/>
            </w:tcBorders>
            <w:shd w:val="clear" w:color="auto" w:fill="CFF0FC"/>
          </w:tcPr>
          <w:p>
            <w:pPr>
              <w:spacing w:after="0"/>
              <w:rPr>
                <w:sz w:val="19"/>
                <w:szCs w:val="19"/>
                <w:color w:val="auto"/>
              </w:rPr>
            </w:pPr>
          </w:p>
        </w:tc>
      </w:tr>
      <w:tr>
        <w:trPr>
          <w:trHeight w:val="230"/>
        </w:trPr>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2019</w:t>
            </w:r>
          </w:p>
        </w:tc>
        <w:tc>
          <w:tcPr>
            <w:tcW w:w="4420" w:type="dxa"/>
            <w:vAlign w:val="bottom"/>
            <w:gridSpan w:val="4"/>
          </w:tcPr>
          <w:p>
            <w:pPr>
              <w:ind w:left="3940"/>
              <w:spacing w:after="0"/>
              <w:rPr>
                <w:sz w:val="20"/>
                <w:szCs w:val="20"/>
                <w:color w:val="auto"/>
              </w:rPr>
            </w:pPr>
            <w:r>
              <w:rPr>
                <w:rFonts w:ascii="Arial" w:cs="Arial" w:eastAsia="Arial" w:hAnsi="Arial"/>
                <w:sz w:val="18"/>
                <w:szCs w:val="18"/>
                <w:color w:val="auto"/>
              </w:rPr>
              <w:t>5,063</w:t>
            </w: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8,459</w:t>
            </w:r>
          </w:p>
        </w:tc>
        <w:tc>
          <w:tcPr>
            <w:tcW w:w="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4,025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19,696</w:t>
            </w:r>
          </w:p>
        </w:tc>
        <w:tc>
          <w:tcPr>
            <w:tcW w:w="20" w:type="dxa"/>
            <w:vAlign w:val="bottom"/>
          </w:tcPr>
          <w:p>
            <w:pPr>
              <w:spacing w:after="0"/>
              <w:rPr>
                <w:sz w:val="19"/>
                <w:szCs w:val="19"/>
                <w:color w:val="auto"/>
              </w:rPr>
            </w:pPr>
          </w:p>
        </w:tc>
      </w:tr>
      <w:tr>
        <w:trPr>
          <w:trHeight w:val="230"/>
        </w:trPr>
        <w:tc>
          <w:tcPr>
            <w:tcW w:w="6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89"/>
              </w:rPr>
              <w:t>2020</w:t>
            </w:r>
          </w:p>
        </w:tc>
        <w:tc>
          <w:tcPr>
            <w:tcW w:w="4420" w:type="dxa"/>
            <w:vAlign w:val="bottom"/>
            <w:gridSpan w:val="4"/>
            <w:shd w:val="clear" w:color="auto" w:fill="CFF0FC"/>
          </w:tcPr>
          <w:p>
            <w:pPr>
              <w:ind w:left="3940"/>
              <w:spacing w:after="0"/>
              <w:rPr>
                <w:sz w:val="20"/>
                <w:szCs w:val="20"/>
                <w:color w:val="auto"/>
              </w:rPr>
            </w:pPr>
            <w:r>
              <w:rPr>
                <w:rFonts w:ascii="Arial" w:cs="Arial" w:eastAsia="Arial" w:hAnsi="Arial"/>
                <w:sz w:val="18"/>
                <w:szCs w:val="18"/>
                <w:color w:val="auto"/>
              </w:rPr>
              <w:t>4,220</w:t>
            </w:r>
          </w:p>
        </w:tc>
        <w:tc>
          <w:tcPr>
            <w:tcW w:w="15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3,952</w:t>
            </w:r>
          </w:p>
        </w:tc>
        <w:tc>
          <w:tcPr>
            <w:tcW w:w="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60" w:type="dxa"/>
            <w:vAlign w:val="bottom"/>
            <w:gridSpan w:val="5"/>
            <w:shd w:val="clear" w:color="auto" w:fill="CFF0FC"/>
          </w:tcPr>
          <w:p>
            <w:pPr>
              <w:ind w:left="112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11,813</w:t>
            </w:r>
          </w:p>
        </w:tc>
        <w:tc>
          <w:tcPr>
            <w:tcW w:w="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Condition and Operating Results</w:t>
      </w:r>
    </w:p>
    <w:p>
      <w:pPr>
        <w:spacing w:after="0" w:line="225"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the commercial launch of new products by us and our competitors, the commercial launch of our products in geographies outside of the United States and due to general seasonality in the United States. We expect these periodic fluctuations in our operating results to continue.</w:t>
      </w:r>
    </w:p>
    <w:p>
      <w:pPr>
        <w:spacing w:after="0" w:line="188"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70" w:lineRule="exact"/>
        <w:rPr>
          <w:sz w:val="20"/>
          <w:szCs w:val="20"/>
          <w:color w:val="auto"/>
        </w:rPr>
      </w:pPr>
    </w:p>
    <w:p>
      <w:pPr>
        <w:ind w:left="1960" w:right="320" w:hanging="656"/>
        <w:spacing w:after="0" w:line="277" w:lineRule="auto"/>
        <w:tabs>
          <w:tab w:leader="none" w:pos="1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60" w:right="120" w:hanging="656"/>
        <w:spacing w:after="0" w:line="277" w:lineRule="auto"/>
        <w:tabs>
          <w:tab w:leader="none" w:pos="1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of new products, treatment techniques or technologies for the treatment of diabetes, including the timing of the commercialization of new products by us and our competitors;</w:t>
      </w:r>
    </w:p>
    <w:p>
      <w:pPr>
        <w:spacing w:after="0" w:line="170" w:lineRule="exact"/>
        <w:rPr>
          <w:rFonts w:ascii="Arial" w:cs="Arial" w:eastAsia="Arial" w:hAnsi="Arial"/>
          <w:sz w:val="18"/>
          <w:szCs w:val="18"/>
          <w:color w:val="auto"/>
        </w:rPr>
      </w:pPr>
    </w:p>
    <w:p>
      <w:pPr>
        <w:ind w:left="1960" w:right="160" w:hanging="656"/>
        <w:spacing w:after="0" w:line="277" w:lineRule="auto"/>
        <w:tabs>
          <w:tab w:leader="none" w:pos="1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70" w:lineRule="exact"/>
        <w:rPr>
          <w:rFonts w:ascii="Arial" w:cs="Arial" w:eastAsia="Arial" w:hAnsi="Arial"/>
          <w:sz w:val="18"/>
          <w:szCs w:val="18"/>
          <w:color w:val="auto"/>
        </w:rPr>
      </w:pPr>
    </w:p>
    <w:p>
      <w:pPr>
        <w:ind w:left="1960" w:right="420" w:hanging="656"/>
        <w:spacing w:after="0" w:line="277" w:lineRule="auto"/>
        <w:tabs>
          <w:tab w:leader="none" w:pos="1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incidence of disease or illness, including the COVID-19 global pandemic, that may impact customer purchasing patterns or disrupt our supply chain;</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holidays and summer vacations, which may vary by geography;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 both domestically and internationally;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the competitive landscape, including as a result of companies entering or exiting the diabetes therapy market;</w:t>
      </w:r>
    </w:p>
    <w:p>
      <w:pPr>
        <w:spacing w:after="0" w:line="236" w:lineRule="exact"/>
        <w:rPr>
          <w:rFonts w:ascii="Arial" w:cs="Arial" w:eastAsia="Arial" w:hAnsi="Arial"/>
          <w:sz w:val="17"/>
          <w:szCs w:val="17"/>
          <w:color w:val="auto"/>
        </w:rPr>
      </w:pPr>
    </w:p>
    <w:p>
      <w:pPr>
        <w:ind w:left="1960" w:right="260" w:hanging="656"/>
        <w:spacing w:after="0" w:line="277" w:lineRule="auto"/>
        <w:tabs>
          <w:tab w:leader="none" w:pos="1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 factors impacting our ability to access our facilities;</w:t>
      </w:r>
    </w:p>
    <w:p>
      <w:pPr>
        <w:spacing w:after="0" w:line="170"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any privacy breaches, which may subject us to legal and regulatory proceedings and substantial fines, penalties and expenses, as well as significant reputational harm;</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 and</w:t>
      </w:r>
    </w:p>
    <w:p>
      <w:pPr>
        <w:spacing w:after="0" w:line="225" w:lineRule="exact"/>
        <w:rPr>
          <w:rFonts w:ascii="Arial" w:cs="Arial" w:eastAsia="Arial" w:hAnsi="Arial"/>
          <w:sz w:val="18"/>
          <w:szCs w:val="18"/>
          <w:color w:val="auto"/>
        </w:rPr>
      </w:pPr>
    </w:p>
    <w:p>
      <w:pPr>
        <w:ind w:left="1960" w:right="260" w:hanging="656"/>
        <w:spacing w:after="0" w:line="277" w:lineRule="auto"/>
        <w:tabs>
          <w:tab w:leader="none" w:pos="1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recalls impacting, or the suspension or withdrawal of regulatory clearance or approval relating to, our products or the products of our competitors.</w:t>
      </w:r>
    </w:p>
    <w:p>
      <w:pPr>
        <w:spacing w:after="0" w:line="170"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In addition to these general trends, we believe the following specific factors have materially impacted, and could continue to materially impact, our business going forward:</w:t>
      </w:r>
    </w:p>
    <w:p>
      <w:pPr>
        <w:spacing w:after="0" w:line="170" w:lineRule="exact"/>
        <w:rPr>
          <w:sz w:val="20"/>
          <w:szCs w:val="20"/>
          <w:color w:val="auto"/>
        </w:rPr>
      </w:pPr>
    </w:p>
    <w:p>
      <w:pPr>
        <w:ind w:left="1960" w:right="660" w:hanging="656"/>
        <w:spacing w:after="0" w:line="277" w:lineRule="auto"/>
        <w:tabs>
          <w:tab w:leader="none" w:pos="1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disruptions caused by the COVID-19 global pandemic on suppliers, third-party manufacturers, healthcare providers, distributors and our existing or potential customers;</w:t>
      </w:r>
    </w:p>
    <w:p>
      <w:pPr>
        <w:spacing w:after="0" w:line="170" w:lineRule="exact"/>
        <w:rPr>
          <w:rFonts w:ascii="Arial" w:cs="Arial" w:eastAsia="Arial" w:hAnsi="Arial"/>
          <w:sz w:val="18"/>
          <w:szCs w:val="18"/>
          <w:color w:val="auto"/>
        </w:rPr>
      </w:pPr>
    </w:p>
    <w:p>
      <w:pPr>
        <w:ind w:left="1960" w:right="100" w:hanging="656"/>
        <w:spacing w:after="0" w:line="277" w:lineRule="auto"/>
        <w:tabs>
          <w:tab w:leader="none" w:pos="1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with Control-IQ technology, and the demonstrated success of our Tandem Device Updater;</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anticipated new product launches;</w:t>
      </w:r>
    </w:p>
    <w:p>
      <w:pPr>
        <w:spacing w:after="0" w:line="225" w:lineRule="exact"/>
        <w:rPr>
          <w:rFonts w:ascii="Arial" w:cs="Arial" w:eastAsia="Arial" w:hAnsi="Arial"/>
          <w:sz w:val="18"/>
          <w:szCs w:val="18"/>
          <w:color w:val="auto"/>
        </w:rPr>
      </w:pPr>
    </w:p>
    <w:p>
      <w:pPr>
        <w:ind w:left="1960" w:right="300" w:hanging="656"/>
        <w:spacing w:after="0" w:line="277" w:lineRule="auto"/>
        <w:tabs>
          <w:tab w:leader="none" w:pos="1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70" w:lineRule="exact"/>
        <w:rPr>
          <w:rFonts w:ascii="Arial" w:cs="Arial" w:eastAsia="Arial" w:hAnsi="Arial"/>
          <w:sz w:val="18"/>
          <w:szCs w:val="18"/>
          <w:color w:val="auto"/>
        </w:rPr>
      </w:pPr>
    </w:p>
    <w:p>
      <w:pPr>
        <w:ind w:left="1960" w:right="320" w:hanging="656"/>
        <w:spacing w:after="0" w:line="263" w:lineRule="auto"/>
        <w:tabs>
          <w:tab w:leader="none" w:pos="1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opportunity to transition former customers of Animas Corporation (Animas) to our t:slim X2 insulin pump in 2018 and 2019 following the announcement by Johnson &amp; Johnson that it had discontinued the operations of Animas and discontinued the availability of Animas pump supplies in September 2019;</w:t>
      </w:r>
    </w:p>
    <w:p>
      <w:pPr>
        <w:spacing w:after="0" w:line="183" w:lineRule="exact"/>
        <w:rPr>
          <w:rFonts w:ascii="Arial" w:cs="Arial" w:eastAsia="Arial" w:hAnsi="Arial"/>
          <w:sz w:val="18"/>
          <w:szCs w:val="18"/>
          <w:color w:val="auto"/>
        </w:rPr>
      </w:pPr>
    </w:p>
    <w:p>
      <w:pPr>
        <w:ind w:left="1960" w:right="200" w:hanging="656"/>
        <w:spacing w:after="0" w:line="277" w:lineRule="auto"/>
        <w:tabs>
          <w:tab w:leader="none" w:pos="1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designation by UnitedHealthcare of one of our competitors as its preferred, in-network durable medical equipment provider of insulin pumps for most customers age seven and above from July 2016 through June 2020;</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enter into and maintain agreements with CGM partners for CGM integration;</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expansion and new product launches in select international geographies, including initial orders to stock inventories; and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60" w:right="40" w:hanging="656"/>
        <w:spacing w:after="0" w:line="263" w:lineRule="auto"/>
        <w:tabs>
          <w:tab w:leader="none" w:pos="1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effectively scale our operations to support rapid growth, including expanding our facilities, advancing our research and development efforts, increasing manufacturing capacity through third-party manufacturers, and hiring and retaining employees in customer service and support functions.</w:t>
      </w:r>
    </w:p>
    <w:p>
      <w:pPr>
        <w:spacing w:after="0" w:line="211" w:lineRule="exact"/>
        <w:rPr>
          <w:sz w:val="20"/>
          <w:szCs w:val="20"/>
          <w:color w:val="auto"/>
        </w:rPr>
      </w:pPr>
    </w:p>
    <w:p>
      <w:pPr>
        <w:ind w:right="20" w:firstLine="810"/>
        <w:spacing w:after="0" w:line="293" w:lineRule="auto"/>
        <w:rPr>
          <w:sz w:val="20"/>
          <w:szCs w:val="20"/>
          <w:color w:val="auto"/>
        </w:rPr>
      </w:pPr>
      <w:r>
        <w:rPr>
          <w:rFonts w:ascii="Arial" w:cs="Arial" w:eastAsia="Arial" w:hAnsi="Arial"/>
          <w:sz w:val="16"/>
          <w:szCs w:val="16"/>
          <w:color w:val="auto"/>
        </w:rPr>
        <w:t>In addition to working to achieve our sales growth expectations, in the long-term we intend to continue to leverage our infrastructure investments to realize additional manufacturing, sales, marketing and administration cost efficiencies with the goal of improving our operating margins and ultimately achieving sustained profitability. We achieved profitability for the first time in the fourth quarter of 2018, and again in the fourth quarter of 2019. Though we may be unable to achieve profitability consistently from period to period, we believe we can ultimately achieve sustained profitability by driving incremental sales growth in U.S. and international markets, meeting our pump renewal sales objectives, maximizing manufacturing efficiencies on increased production volumes, and leveraging the investments made in our sales, clinical, marketing and customer support organizations.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NEJM Publication of Pediatric Study Demonstrating Increased Time-In-Range Using the t:slim X2 Insulin Pump with Control-IQ Technology</w:t>
      </w:r>
    </w:p>
    <w:p>
      <w:pPr>
        <w:spacing w:after="0" w:line="127"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color w:val="auto"/>
        </w:rPr>
        <w:t>In August 2020, we announced publication by the New England Journal of Medicine (NEJM) of results from the Protocol 5 study (DCLP5) of the International Diabetes Closed Loop (iDCL) trial. Results demonstrated increased time spent in range (70-180 mg/dL) in children ages six to 13 years old using the t:slim X2 insulin pump with Control-IQ advanced hybrid closed-loop technology.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20" w:firstLine="810"/>
        <w:spacing w:after="0" w:line="293" w:lineRule="auto"/>
        <w:rPr>
          <w:sz w:val="20"/>
          <w:szCs w:val="20"/>
          <w:color w:val="auto"/>
        </w:rPr>
      </w:pPr>
      <w:r>
        <w:rPr>
          <w:rFonts w:ascii="Arial" w:cs="Arial" w:eastAsia="Arial" w:hAnsi="Arial"/>
          <w:sz w:val="16"/>
          <w:szCs w:val="16"/>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insulin pump platform with advanced software algorithms and remote software update capabilities, now represents 100% of our new pump shipments and is used by nearly all of our in-warranty customers. Our products also include disposable cartridges and infusion sets, as well as our complementary t:connect, Tandem Device Updater and mobile application products. We also offer additional accessories including protective cases, belt clips, and power adapters, although sales of these products are not significant.</w:t>
      </w:r>
    </w:p>
    <w:p>
      <w:pPr>
        <w:spacing w:after="0" w:line="164"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 although the COVID-19 global pandemic has had, and may continue to have, an adverse impact on our sales.</w:t>
      </w:r>
    </w:p>
    <w:p>
      <w:pPr>
        <w:spacing w:after="0" w:line="178"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In the third quarter of 2018, we began the launch of our t:slim X2 hardware platform through distribution partners outside the United States, including in select European countries, Australia, New Zealand, and South Africa. The software version on the t:slim X2 hardware platform has progressed from Dexcom G5 CGM integration at initial launch, followed by Basal-IQ technology scaling across various international markets beginning in the second quarter of 2019, and most recently we commenced the launch of our Control-IQ technology in limited geographies. Our launch of Control-IQ technology in international markets will scale through the remainder of 2020, contingent upon regulatory and reimbursement approvals.</w:t>
      </w:r>
    </w:p>
    <w:p>
      <w:pPr>
        <w:spacing w:after="0" w:line="161"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In the first quarter of 2020, we expanded into additional international markets by delivering initial orders to support product launches in France and Germany occurring in the second and third quarters of 2020, respectively. Our independent international distributor partners perform all sales, customer support and training in their respective markets. In Canada, we market with a direct sales force and, similar to the United States, use a distributor partner for certain billing and fulfillment activities. Historically, we have experienced consistent levels of reimbursement for our products in the United States, but we expect the average sales price will vary in international markets based on a number of factors, such as the geographical mix, nature of the reimbursement environment, government regulations and the extent to which we rely on distributor relationships to provide sales, clinical and marketing support.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810"/>
        <w:spacing w:after="0" w:line="293" w:lineRule="auto"/>
        <w:rPr>
          <w:sz w:val="20"/>
          <w:szCs w:val="20"/>
          <w:color w:val="auto"/>
        </w:rPr>
      </w:pPr>
      <w:r>
        <w:rPr>
          <w:rFonts w:ascii="Arial" w:cs="Arial" w:eastAsia="Arial" w:hAnsi="Arial"/>
          <w:sz w:val="16"/>
          <w:szCs w:val="16"/>
          <w:color w:val="auto"/>
        </w:rPr>
        <w:t>In general, in the United States we have experienced pump shipments being weighted heavily towards the second half of the year, with the highest percentage of pump shipments expected in the fourth quarter due to the nature of the reimbursement environment. Consistent with these historical seasonality trends, our domestic pump shipments have typically decreased significantly from the fourth quarter to the following first quarter. Internationally, we do not expect this same impact from seasonality associated with reimbursement, although the quarterly sales trends may be impacted by a number of factors, including summer vacations and product launches into new geographies. While the opportunity to transition former Animas customers positively impacted our 2019 quarterly sales trends worldwide, we do not anticipate that this trend will continue to have a significant impact.</w:t>
      </w:r>
    </w:p>
    <w:p>
      <w:pPr>
        <w:spacing w:after="0" w:line="164"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During 2020, the COVID-19 global pandemic had a major impact on businesses around the world. While we experienced only a modest negative impact from the pandemic during the first quarter of 2020, the negative impact during the second and third quarters of 2020 was more pronounced, and we anticipate that our sales and operating results will continue to be adversely impacted in future periods. Starting in March 2020 we ceased nearly all in-person sales, marketing and training activities and adopted numerous other changes to our daily business operations. These changes primarily remain in effect as of the date of this report and it remains uncertain when we may be able to resume our normal operations. Accordingly, we anticipate that our sales will not follow historical trends and will be adversely impacted in the coming months as customers delay their purchasing decisions or physicians pause their prescriptions of new products. Our sales outside the United States have been negatively impacted due to similar disruptions. Initially, the impact was relatively consistent worldwide but we have since seen varying degrees of impact in international markets based on local conditions. The full extent of the impact of the COVID-19 global pandemic on our business and operations will depend on a number of factors, including the scope and duration of the pandemic, varying government responses to the pandemic and potential delays to product development timelines.</w:t>
      </w:r>
    </w:p>
    <w:p>
      <w:pPr>
        <w:spacing w:after="0" w:line="168"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Separate from any impacts of the COVID-19 global pandemic, our quarterly sales have historically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such FDA approval or product launch before making their purchasing decisions. For instance, we believe certain customers paused their decision-making during the second half of 2019 in anticipation of the commercial availability of the t:slim X2 with Control-IQ technology. However, it is difficult to quantify the extent of the impact of these or similar events on future purchasing decisions.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80" w:firstLine="810"/>
        <w:spacing w:after="0" w:line="291" w:lineRule="auto"/>
        <w:rPr>
          <w:sz w:val="20"/>
          <w:szCs w:val="20"/>
          <w:color w:val="auto"/>
        </w:rPr>
      </w:pPr>
      <w:r>
        <w:rPr>
          <w:rFonts w:ascii="Arial" w:cs="Arial" w:eastAsia="Arial" w:hAnsi="Arial"/>
          <w:sz w:val="16"/>
          <w:szCs w:val="16"/>
          <w:color w:val="auto"/>
        </w:rPr>
        <w:t>Historically, we have manufactured our pumps and disposable cartridges at our manufacturing facility in San Diego, California. Near the end of the first quarter of 2020, our third-party cartridge manufacturer completed validation and commenced commercial-scale manufacturing to supplement our existing cartridge manufacturing capacity. Infusion sets and pump accessories are manufactured by third-party suppliers. 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 sales increase.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810"/>
        <w:spacing w:after="0" w:line="267" w:lineRule="auto"/>
        <w:rPr>
          <w:sz w:val="20"/>
          <w:szCs w:val="20"/>
          <w:color w:val="auto"/>
        </w:rPr>
      </w:pPr>
      <w:r>
        <w:rPr>
          <w:rFonts w:ascii="Arial" w:cs="Arial" w:eastAsia="Arial" w:hAnsi="Arial"/>
          <w:sz w:val="17"/>
          <w:szCs w:val="17"/>
          <w:color w:val="auto"/>
        </w:rPr>
        <w:t>Over the long term, we expect our overall gross margin percentage, which for any given period is calculated as sales less cost of sales divided by sales, to improve, as our sales increase and our overhead costs are spread over larger production volumes. We expect we will be able to leverage our manufacturing cost structure across our products that utilize the same technology platform and manufacturing infrastructure and will be able to further reduce per unit costs with increased automation, process improvements and raw materials cost reductions. Pumps have, and are expected to continue to have, a higher gross margin percentage than our pump-related supplies. Therefore, the percentage of pump sales relative to total sales will have a significant impact on our overall gross margin percentage. In the event that customers delay their pump purchasing decisions or physicians pause in prescribing new pumps, whether as a result of the COVID-19 global pandemic, or for other reasons, it is possible that we may experience a higher percentage of pump-related supply sales than anticipated, which in turn could adversely impact our overall gross margin percentage. We also expect our warranty cost per unit to decrease as we release additional product features and functionality utilizing the Tandem Device Updater. However, our overall gross margin percentage may fluctuate in future quarterly periods as a result of numerous factors aside from those associated with production volumes and product mix. For instance, as a result of the COVID-19 global pandemic we have implemented operational changes that may introduce unpredictable variability to our cost of sales, such as supplemental staffing, incremental expenses to protect the health, safety and welfare of our employees working on-site and to enable other employees to work remotely. In addition, as demand for our products increases, we may continue to make additional investments in manufacturing capacity or increase our reliance on third parties for manufacturing-related services, either of which could have a negative impact on our gross margins. Specifically, in 2020 we began investing in additional manufacturing equipment that will double our existing capacity to meet anticipated long-term demand for our cartridges, which may initially place downward pressure on the gross margin percentage associated with our pump-related supplies.</w:t>
      </w:r>
    </w:p>
    <w:p>
      <w:pPr>
        <w:spacing w:after="0" w:line="191"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Other factors impacting our overall gross margin percentage may include the changing percentage of products sold to distributors versus directly to individual customers, varying levels of reimbursement among third-party payors in domestic and international markets, the timing and success of new regulatory approvals and product launches, the impact of the valuation and amortization of employee stock awards on non-cash stock-based compensation expense allocated to cost of sales, changes in warranty estimates, training costs, licensing and royalty costs, increased costs to support our digital health platforms, cost associated with excess and obsolete inventories, and changes in our manufacturing processes, capacity, costs or output.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firstLine="810"/>
        <w:spacing w:after="0" w:line="285" w:lineRule="auto"/>
        <w:rPr>
          <w:sz w:val="20"/>
          <w:szCs w:val="20"/>
          <w:color w:val="auto"/>
        </w:rPr>
      </w:pPr>
      <w:r>
        <w:rPr>
          <w:rFonts w:ascii="Arial" w:cs="Arial" w:eastAsia="Arial" w:hAnsi="Arial"/>
          <w:sz w:val="16"/>
          <w:szCs w:val="16"/>
          <w:color w:val="auto"/>
        </w:rPr>
        <w:t>Our selling, general and administrative (SG&amp;A) expenses primarily consist of salary, cash-based incentive compensation, fringe benefits and non-cash stock-based compensation for our executive, financial, legal, marketing, sales, clinical, customer support, technical services, insurance verification, regulatory affairs and other administrative functions. We began expanding our U.S. field sales and clinical organization during the third quarter of 2019 to support an expected increase in demand for our products. We had approximately 90 sales territories in the United States as of September 30, 2020. Our existing territories are generally maintained by sales representatives and field clinical specialists, and supported by managed care liaisons, additional sales management and other customer support personnel, which have also been rapidly expanding to support our growing installed base. Our operations in Canada are comprised of approximately ten sales territories.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Overall, we expect our SG&amp;A expenses, including the cost of our customer support infrastructure, to increase as our customer base grows in the United States and international markets. We will continue to evaluate, and may further increase, the number of our field sales and clinical personnel in order to optimize the coverage of our existing territories. Additionally, we realized a notable increase in non-cash stock-based compensation expense allocated to SG&amp;A beginning in the third quarter of 2018, and again in the second quarter of 2019, due to the valuation of certain 2018 and 2019 employee stock option grants and the impact on the valuation of the significant increase in our stock price over the previous year. We recognized higher non-cash stock-based compensation expense through the first half of 2020, and experienced a reduction in the third quarter of 2020 as certain 2018 employee stock option grants are now fully amortized. Our SG&amp;A expenses may be affected by our response to the COVID-19 global pandemic, including reduced spending in areas such as non-essential employee travel, which may be offset by increased spending to support measures designed to prioritize the retention, health, safety and welfare of our employees. In the longer term, SG&amp;A expenses may also increase due to anticipated costs associated with additional compliance and regulatory reporting requirements.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Our research and development (R&amp;D) activities primarily consist of engineering and research programs associated with our products under development, as well as activities associated with our core technologies and processes. R&amp;D expenses are primarily related to employee compensation, including salary, cash-based incentive compensation,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 partially offset by future expected declines in non-cash stock-based compensation. Similar to our SG&amp;A expenses, our future R&amp;D spending may be impacted by the COVID-19 global pandemic. For instance, we may experience lower spending associated with delays in the advancement of particular programs, which may be offset by increased spending to support the retention, health, safety and welfare of our employees or to enable development activities under alternative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52"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Other income and expense primarily consists of changes in the fair value of certain warrants issued in connection with our public offering of common stock in October 2017, interest expense which includes the amortization of debt discount and debt issuance costs related to our Convertible Senior Notes issued in May 2020 (our Notes), and interest earned on our cash equivalents and short-term investments. We expect interest expense in future quarters to be comparable with that of the third quarter of 2020 as our Notes were outstanding for the entire period, and total other income and expense, net to fluctuate from period to period primarily due to the revaluation of the outstanding Series A warrants, which expire in the fourth quarter of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2"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Because we are in a net loss position with respect to federal income taxes, income tax expense is expected to primarily consist of state and foreign income tax expense as a result of current taxable income in those jurisdictions. Income tax expense (benefit) may fluctuate in future quarters due to adjustments related to non-recurring transactions and changes in certain tax assessments.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31"/>
        </w:trPr>
        <w:tc>
          <w:tcPr>
            <w:tcW w:w="20" w:type="dxa"/>
            <w:vAlign w:val="bottom"/>
          </w:tcPr>
          <w:p>
            <w:pPr>
              <w:spacing w:after="0"/>
              <w:rPr>
                <w:sz w:val="11"/>
                <w:szCs w:val="11"/>
                <w:color w:val="auto"/>
              </w:rPr>
            </w:pPr>
          </w:p>
        </w:tc>
        <w:tc>
          <w:tcPr>
            <w:tcW w:w="532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rPr>
              <w:t>(in thousands, except percentages)</w:t>
            </w:r>
          </w:p>
        </w:tc>
        <w:tc>
          <w:tcPr>
            <w:tcW w:w="340" w:type="dxa"/>
            <w:vAlign w:val="bottom"/>
          </w:tcPr>
          <w:p>
            <w:pPr>
              <w:spacing w:after="0"/>
              <w:rPr>
                <w:sz w:val="11"/>
                <w:szCs w:val="11"/>
                <w:color w:val="auto"/>
              </w:rPr>
            </w:pPr>
          </w:p>
        </w:tc>
        <w:tc>
          <w:tcPr>
            <w:tcW w:w="1060" w:type="dxa"/>
            <w:vAlign w:val="bottom"/>
          </w:tcPr>
          <w:p>
            <w:pPr>
              <w:jc w:val="right"/>
              <w:ind w:right="473"/>
              <w:spacing w:after="0" w:line="115"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jc w:val="right"/>
              <w:ind w:right="431"/>
              <w:spacing w:after="0" w:line="115"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493"/>
              <w:spacing w:after="0" w:line="115"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jc w:val="right"/>
              <w:ind w:right="451"/>
              <w:spacing w:after="0" w:line="115" w:lineRule="exact"/>
              <w:rPr>
                <w:sz w:val="20"/>
                <w:szCs w:val="20"/>
                <w:color w:val="auto"/>
              </w:rPr>
            </w:pPr>
            <w:r>
              <w:rPr>
                <w:rFonts w:ascii="Arial" w:cs="Arial" w:eastAsia="Arial" w:hAnsi="Arial"/>
                <w:sz w:val="13"/>
                <w:szCs w:val="13"/>
                <w:b w:val="1"/>
                <w:bCs w:val="1"/>
                <w:color w:val="auto"/>
                <w:w w:val="96"/>
              </w:rPr>
              <w:t>2019</w:t>
            </w:r>
          </w:p>
        </w:tc>
      </w:tr>
      <w:tr>
        <w:trPr>
          <w:trHeight w:val="34"/>
        </w:trPr>
        <w:tc>
          <w:tcPr>
            <w:tcW w:w="20" w:type="dxa"/>
            <w:vAlign w:val="bottom"/>
            <w:tcBorders>
              <w:bottom w:val="single" w:sz="8" w:color="CFF0FC"/>
            </w:tcBorders>
          </w:tcPr>
          <w:p>
            <w:pPr>
              <w:spacing w:after="0"/>
              <w:rPr>
                <w:sz w:val="2"/>
                <w:szCs w:val="2"/>
                <w:color w:val="auto"/>
              </w:rPr>
            </w:pPr>
          </w:p>
        </w:tc>
        <w:tc>
          <w:tcPr>
            <w:tcW w:w="2100" w:type="dxa"/>
            <w:vAlign w:val="bottom"/>
            <w:tcBorders>
              <w:top w:val="single" w:sz="8" w:color="auto"/>
              <w:bottom w:val="single" w:sz="8" w:color="CFF0FC"/>
            </w:tcBorders>
          </w:tcPr>
          <w:p>
            <w:pPr>
              <w:spacing w:after="0"/>
              <w:rPr>
                <w:sz w:val="2"/>
                <w:szCs w:val="2"/>
                <w:color w:val="auto"/>
              </w:rPr>
            </w:pPr>
          </w:p>
        </w:tc>
        <w:tc>
          <w:tcPr>
            <w:tcW w:w="32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FF0FC"/>
          </w:tcPr>
          <w:p>
            <w:pPr>
              <w:spacing w:after="0"/>
              <w:rPr>
                <w:sz w:val="18"/>
                <w:szCs w:val="18"/>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Domestic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107,517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78,842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276,340</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w w:val="92"/>
              </w:rPr>
              <w:t>203,867</w:t>
            </w:r>
          </w:p>
        </w:tc>
      </w:tr>
      <w:tr>
        <w:trPr>
          <w:trHeight w:val="229"/>
        </w:trPr>
        <w:tc>
          <w:tcPr>
            <w:tcW w:w="20" w:type="dxa"/>
            <w:vAlign w:val="bottom"/>
            <w:shd w:val="clear" w:color="auto" w:fill="CFF0FC"/>
          </w:tcPr>
          <w:p>
            <w:pPr>
              <w:spacing w:after="0"/>
              <w:rPr>
                <w:sz w:val="19"/>
                <w:szCs w:val="19"/>
                <w:color w:val="auto"/>
              </w:rPr>
            </w:pPr>
          </w:p>
        </w:tc>
        <w:tc>
          <w:tcPr>
            <w:tcW w:w="5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16,086</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15,815</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54,425</w:t>
            </w: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50,040</w:t>
            </w: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Total sales</w:t>
            </w:r>
          </w:p>
        </w:tc>
        <w:tc>
          <w:tcPr>
            <w:tcW w:w="34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123,603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94,657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330,765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w w:val="92"/>
              </w:rPr>
              <w:t>253,907</w:t>
            </w:r>
          </w:p>
        </w:tc>
      </w:tr>
      <w:tr>
        <w:trPr>
          <w:trHeight w:val="229"/>
        </w:trPr>
        <w:tc>
          <w:tcPr>
            <w:tcW w:w="20" w:type="dxa"/>
            <w:vAlign w:val="bottom"/>
            <w:shd w:val="clear" w:color="auto" w:fill="CFF0FC"/>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58,290</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43,974</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160,801</w:t>
            </w: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92"/>
              </w:rPr>
              <w:t>119,967</w:t>
            </w: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65,313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50,683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169,964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w w:val="92"/>
              </w:rPr>
              <w:t>133,940</w:t>
            </w:r>
          </w:p>
        </w:tc>
      </w:tr>
      <w:tr>
        <w:trPr>
          <w:trHeight w:val="230"/>
        </w:trPr>
        <w:tc>
          <w:tcPr>
            <w:tcW w:w="20" w:type="dxa"/>
            <w:vAlign w:val="bottom"/>
            <w:shd w:val="clear" w:color="auto" w:fill="CFF0FC"/>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53 %</w:t>
            </w: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shd w:val="clear" w:color="auto" w:fill="CFF0FC"/>
          </w:tcPr>
          <w:p>
            <w:pPr>
              <w:spacing w:after="0"/>
              <w:rPr>
                <w:sz w:val="19"/>
                <w:szCs w:val="19"/>
                <w:color w:val="auto"/>
              </w:rPr>
            </w:pPr>
          </w:p>
        </w:tc>
        <w:tc>
          <w:tcPr>
            <w:tcW w:w="5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50,228</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44,649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150,385</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92"/>
              </w:rPr>
              <w:t>120,173</w:t>
            </w:r>
          </w:p>
        </w:tc>
      </w:tr>
      <w:tr>
        <w:trPr>
          <w:trHeight w:val="229"/>
        </w:trPr>
        <w:tc>
          <w:tcPr>
            <w:tcW w:w="20" w:type="dxa"/>
            <w:vAlign w:val="bottom"/>
            <w:tcBorders>
              <w:bottom w:val="single" w:sz="8" w:color="CFF0FC"/>
            </w:tcBorders>
          </w:tcPr>
          <w:p>
            <w:pPr>
              <w:spacing w:after="0"/>
              <w:rPr>
                <w:sz w:val="19"/>
                <w:szCs w:val="19"/>
                <w:color w:val="auto"/>
              </w:rPr>
            </w:pPr>
          </w:p>
        </w:tc>
        <w:tc>
          <w:tcPr>
            <w:tcW w:w="5320" w:type="dxa"/>
            <w:vAlign w:val="bottom"/>
            <w:tcBorders>
              <w:bottom w:val="single" w:sz="8" w:color="CFF0FC"/>
            </w:tcBorders>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16,094</w:t>
            </w: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12,038</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46,198</w:t>
            </w: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32,632</w:t>
            </w:r>
          </w:p>
        </w:tc>
      </w:tr>
      <w:tr>
        <w:trPr>
          <w:trHeight w:val="223"/>
        </w:trPr>
        <w:tc>
          <w:tcPr>
            <w:tcW w:w="20" w:type="dxa"/>
            <w:vAlign w:val="bottom"/>
            <w:shd w:val="clear" w:color="auto" w:fill="CFF0FC"/>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66,322</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56,687</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196,583</w:t>
            </w: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92"/>
              </w:rPr>
              <w:t>152,805</w:t>
            </w: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(6,004)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(26,619)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w w:val="95"/>
              </w:rPr>
              <w:t>(18,865)</w:t>
            </w:r>
          </w:p>
        </w:tc>
      </w:tr>
      <w:tr>
        <w:trPr>
          <w:trHeight w:val="230"/>
        </w:trPr>
        <w:tc>
          <w:tcPr>
            <w:tcW w:w="20" w:type="dxa"/>
            <w:vAlign w:val="bottom"/>
            <w:shd w:val="clear" w:color="auto" w:fill="CFF0FC"/>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Interest income and other, net</w:t>
            </w:r>
          </w:p>
        </w:tc>
        <w:tc>
          <w:tcPr>
            <w:tcW w:w="34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2,381</w:t>
            </w:r>
          </w:p>
        </w:tc>
      </w:tr>
      <w:tr>
        <w:trPr>
          <w:trHeight w:val="229"/>
        </w:trPr>
        <w:tc>
          <w:tcPr>
            <w:tcW w:w="20" w:type="dxa"/>
            <w:vAlign w:val="bottom"/>
            <w:shd w:val="clear" w:color="auto" w:fill="CFF0FC"/>
          </w:tcPr>
          <w:p>
            <w:pPr>
              <w:spacing w:after="0"/>
              <w:rPr>
                <w:sz w:val="19"/>
                <w:szCs w:val="19"/>
                <w:color w:val="auto"/>
              </w:rPr>
            </w:pPr>
          </w:p>
        </w:tc>
        <w:tc>
          <w:tcPr>
            <w:tcW w:w="5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(8,030)</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FF0FC"/>
            </w:tcBorders>
          </w:tcPr>
          <w:p>
            <w:pPr>
              <w:spacing w:after="0"/>
              <w:rPr>
                <w:sz w:val="19"/>
                <w:szCs w:val="19"/>
                <w:color w:val="auto"/>
              </w:rPr>
            </w:pPr>
          </w:p>
        </w:tc>
        <w:tc>
          <w:tcPr>
            <w:tcW w:w="5320" w:type="dxa"/>
            <w:vAlign w:val="bottom"/>
            <w:tcBorders>
              <w:bottom w:val="single" w:sz="8" w:color="CFF0FC"/>
            </w:tcBorders>
            <w:gridSpan w:val="2"/>
          </w:tcPr>
          <w:p>
            <w:pPr>
              <w:ind w:left="200"/>
              <w:spacing w:after="0"/>
              <w:rPr>
                <w:sz w:val="20"/>
                <w:szCs w:val="20"/>
                <w:color w:val="auto"/>
              </w:rPr>
            </w:pPr>
            <w:r>
              <w:rPr>
                <w:rFonts w:ascii="Arial" w:cs="Arial" w:eastAsia="Arial" w:hAnsi="Arial"/>
                <w:sz w:val="18"/>
                <w:szCs w:val="18"/>
                <w:color w:val="auto"/>
              </w:rPr>
              <w:t>Change in fair value of common stock warrants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2,321</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(19,906)</w:t>
            </w: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5"/>
              </w:rPr>
              <w:t>(10,849)</w:t>
            </w:r>
          </w:p>
        </w:tc>
      </w:tr>
      <w:tr>
        <w:trPr>
          <w:trHeight w:val="223"/>
        </w:trPr>
        <w:tc>
          <w:tcPr>
            <w:tcW w:w="20" w:type="dxa"/>
            <w:vAlign w:val="bottom"/>
            <w:shd w:val="clear" w:color="auto" w:fill="CFF0FC"/>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(8,360)</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3,175</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(26,701)</w:t>
            </w: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(8,468)</w:t>
            </w: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(9,369)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(53,320)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w w:val="95"/>
              </w:rPr>
              <w:t>(27,333)</w:t>
            </w:r>
          </w:p>
        </w:tc>
      </w:tr>
      <w:tr>
        <w:trPr>
          <w:trHeight w:val="229"/>
        </w:trPr>
        <w:tc>
          <w:tcPr>
            <w:tcW w:w="20" w:type="dxa"/>
            <w:vAlign w:val="bottom"/>
            <w:shd w:val="clear" w:color="auto" w:fill="CFF0FC"/>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72</w:t>
            </w: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(51,382)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5"/>
              </w:rPr>
              <w:t>(27,405)</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2020 and 2019</w:t>
      </w:r>
    </w:p>
    <w:p>
      <w:pPr>
        <w:spacing w:after="0" w:line="229" w:lineRule="exact"/>
        <w:rPr>
          <w:sz w:val="20"/>
          <w:szCs w:val="20"/>
          <w:color w:val="auto"/>
        </w:rPr>
      </w:pPr>
    </w:p>
    <w:p>
      <w:pPr>
        <w:ind w:right="340" w:firstLine="810"/>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three months ended September 30, 2020, sales were $123.6 million, which included $16.1 million of international sales. Sales</w:t>
      </w:r>
      <w:r>
        <w:rPr>
          <w:rFonts w:ascii="Arial" w:cs="Arial" w:eastAsia="Arial" w:hAnsi="Arial"/>
          <w:sz w:val="18"/>
          <w:szCs w:val="18"/>
          <w:i w:val="1"/>
          <w:iCs w:val="1"/>
          <w:color w:val="auto"/>
        </w:rPr>
        <w:t xml:space="preserve"> </w:t>
      </w:r>
      <w:r>
        <w:rPr>
          <w:rFonts w:ascii="Arial" w:cs="Arial" w:eastAsia="Arial" w:hAnsi="Arial"/>
          <w:sz w:val="18"/>
          <w:szCs w:val="18"/>
          <w:color w:val="auto"/>
        </w:rPr>
        <w:t>were $94.7 million for the same period in 2019, which included $15.8 million of international sales.</w:t>
      </w:r>
    </w:p>
    <w:p>
      <w:pPr>
        <w:spacing w:after="0" w:line="197" w:lineRule="exact"/>
        <w:rPr>
          <w:sz w:val="20"/>
          <w:szCs w:val="20"/>
          <w:color w:val="auto"/>
        </w:rPr>
      </w:pPr>
    </w:p>
    <w:p>
      <w:pPr>
        <w:ind w:right="140" w:firstLine="810"/>
        <w:spacing w:after="0" w:line="311" w:lineRule="auto"/>
        <w:rPr>
          <w:sz w:val="20"/>
          <w:szCs w:val="20"/>
          <w:color w:val="auto"/>
        </w:rPr>
      </w:pPr>
      <w:r>
        <w:rPr>
          <w:rFonts w:ascii="Arial" w:cs="Arial" w:eastAsia="Arial" w:hAnsi="Arial"/>
          <w:sz w:val="16"/>
          <w:szCs w:val="16"/>
          <w:color w:val="auto"/>
        </w:rPr>
        <w:t>The increase in worldwide sales of $28.9 million in the third quarter of 2020 compared to the third quarter of 2019 was primarily driven by a 23% increase in worldwide pump shipments to 22,021 in the third quarter of 2020, compared to 17,839 in the third quarter of 2019, and a 43% increase in pump-related supply sales. Sales of pump-related supplies increased primarily due to a 46% increase in our estimated installed base of customers.</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Domestic sales by product were as follows (in thousands):</w:t>
      </w:r>
    </w:p>
    <w:p>
      <w:pPr>
        <w:spacing w:after="0" w:line="112"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Three Months Ended</w:t>
      </w:r>
    </w:p>
    <w:p>
      <w:pPr>
        <w:jc w:val="center"/>
        <w:ind w:left="76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Borders>
              <w:bottom w:val="single" w:sz="8" w:color="CFF0FC"/>
            </w:tcBorders>
          </w:tcPr>
          <w:p>
            <w:pPr>
              <w:spacing w:after="0"/>
              <w:rPr>
                <w:sz w:val="16"/>
                <w:szCs w:val="16"/>
                <w:color w:val="auto"/>
              </w:rPr>
            </w:pPr>
          </w:p>
        </w:tc>
        <w:tc>
          <w:tcPr>
            <w:tcW w:w="4080" w:type="dxa"/>
            <w:vAlign w:val="bottom"/>
            <w:tcBorders>
              <w:bottom w:val="single" w:sz="8" w:color="CFF0FC"/>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40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69,464</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4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4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11,767</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Domestic Sales</w:t>
            </w:r>
          </w:p>
        </w:tc>
        <w:tc>
          <w:tcPr>
            <w:tcW w:w="40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107,517</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1910"/>
              <w:spacing w:after="0"/>
              <w:rPr>
                <w:sz w:val="20"/>
                <w:szCs w:val="20"/>
                <w:color w:val="auto"/>
              </w:rPr>
            </w:pPr>
            <w:r>
              <w:rPr>
                <w:rFonts w:ascii="Arial" w:cs="Arial" w:eastAsia="Arial" w:hAnsi="Arial"/>
                <w:sz w:val="18"/>
                <w:szCs w:val="18"/>
                <w:color w:val="auto"/>
              </w:rPr>
              <w:t>33</w:t>
            </w: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firstLine="810"/>
        <w:spacing w:after="0" w:line="291" w:lineRule="auto"/>
        <w:rPr>
          <w:sz w:val="20"/>
          <w:szCs w:val="20"/>
          <w:color w:val="auto"/>
        </w:rPr>
      </w:pPr>
      <w:r>
        <w:rPr>
          <w:rFonts w:ascii="Arial" w:cs="Arial" w:eastAsia="Arial" w:hAnsi="Arial"/>
          <w:sz w:val="16"/>
          <w:szCs w:val="16"/>
          <w:color w:val="auto"/>
        </w:rPr>
        <w:t>Domestic pump sales were $69.5 million for the third quarter of 2020, compared to $52.9 million in the third quarter of 2019, as pump shipments increased 31% compared to the same period in the prior year due to continued strong demand for our products following the January 2020 domestic launch of our t:slim X2 insulin pump with Control-IQ technology. Domestic pump shipments were 18,380 in the third quarter of 2020 compared to 13,814 in the third quarter of 2019. Sales of pump-related supplies increased primarily due to a 42% increase in our estimated domestic installed base of customers. Sales to distributors accounted for 74% and 72% of our total domestic sales for the three months ended September 30, 2020 and 2019,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126"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Three Months Ended</w:t>
      </w:r>
    </w:p>
    <w:p>
      <w:pPr>
        <w:jc w:val="center"/>
        <w:ind w:left="7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13335</wp:posOffset>
            </wp:positionV>
            <wp:extent cx="22028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104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10,310</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3,444</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International Sales</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16,086</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International pump sales were $9.0 million for the third quarter of 2020, compared to $10.3 million in the third quarter of 2019, as pump shipments declined 10% compared to the same period in the prior year. Sales of pump-related supplies benefited from a 64% increase in our estimated international installed base of customers. The ordering patterns of our international distributors for pumps and supplies is highly variable from period to period, particularly during the typical third quarter European holiday season. This variability was compounded by the varying levels of impact of the global pandemic across the international markets in which we operate. Sales to distributors accounted for 91% and 89% of our total international sales for the three months ended September 30, 2020 and 2019, respectively.</w:t>
      </w:r>
    </w:p>
    <w:p>
      <w:pPr>
        <w:spacing w:after="0" w:line="192"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September 30, 2020 was $58.3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gross profit of</w:t>
      </w:r>
      <w:r>
        <w:rPr>
          <w:rFonts w:ascii="Arial" w:cs="Arial" w:eastAsia="Arial" w:hAnsi="Arial"/>
          <w:sz w:val="18"/>
          <w:szCs w:val="18"/>
          <w:i w:val="1"/>
          <w:iCs w:val="1"/>
          <w:color w:val="auto"/>
        </w:rPr>
        <w:t xml:space="preserve"> </w:t>
      </w:r>
      <w:r>
        <w:rPr>
          <w:rFonts w:ascii="Arial" w:cs="Arial" w:eastAsia="Arial" w:hAnsi="Arial"/>
          <w:sz w:val="18"/>
          <w:szCs w:val="18"/>
          <w:color w:val="auto"/>
        </w:rPr>
        <w:t>$65.3 million, compared to cost of sales of $44.0 million for the same period in 2019 resulting in gross profit of $50.7 million. The gross margin percentage for the three months ended September 30, 2020 was 53%, compared to 54% in the same period in 2019.</w:t>
      </w:r>
    </w:p>
    <w:p>
      <w:pPr>
        <w:spacing w:after="0" w:line="184"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The increase in our gross profit for the three months ended September 30, 2020 was primarily the result of the $28.9 million increase in total sales. Gross profit and gross margin were negatively impacted by royalty costs, for which there was no comparable expense in the prior year. We recognized $1.7 million of product royalty costs in the third quarter of 2020 associated with sales of products with Control-IQ technology and free software updates downloaded by existing customers in the United States, as well as in certain international markets where we launched Control-IQ in the third quarter. On an aggregate basis, other non-manufacturing costs, which primarily consist of warranty, freight, training and digital health product support costs, reflected improvement on a per unit basis. Gross margin was also pressured to a lesser extent by other factors that are more temporary in nature or anticipated to be leveraged through growth in future quarters, including costs associated with COVID-19 risk mitigation, managing pump production to achieve desired stocking levels, the expansion of cartridge manufacturing capacity and increased spending to support our digital health product offerings. Other factors that have and may continue to impact the gross margin percentage are changes in product and geographical mix and the level of non-cash stock-based compensation allocated to cost of sales. Pump sales, which have the highest gross margin, were 64% of total worldwide sales in the third quarter of 2020 versus 67% in the third quarter of 2019. Non-cash stock-based compensation expense allocated to cost of sales was $2.1 million for the three months ended September 30, 2020, compared to $1.8 million in the same period of 2019, representing 2% of sales in both periods.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89"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12% to $50.2 million for the three months ended September 30, 2020</w:t>
      </w:r>
      <w:r>
        <w:rPr>
          <w:rFonts w:ascii="Arial" w:cs="Arial" w:eastAsia="Arial" w:hAnsi="Arial"/>
          <w:sz w:val="16"/>
          <w:szCs w:val="16"/>
          <w:i w:val="1"/>
          <w:iCs w:val="1"/>
          <w:color w:val="auto"/>
        </w:rPr>
        <w:t xml:space="preserve"> </w:t>
      </w:r>
      <w:r>
        <w:rPr>
          <w:rFonts w:ascii="Arial" w:cs="Arial" w:eastAsia="Arial" w:hAnsi="Arial"/>
          <w:sz w:val="16"/>
          <w:szCs w:val="16"/>
          <w:color w:val="auto"/>
        </w:rPr>
        <w:t>from $44.6 million for the same period in 2019. Employee-related expenses for our SG&amp;A functions comprise the majority of SG&amp;A expenses. The increase compared to 2019 was primarily the result of an $8.5 million increase in salaries, incentive compensation and other employee benefits due to an increase in personnel to support additional sales territories, higher sales and other services in support of our growing installed customer base, offset by a decrease of $4.2 million in non-cash stock-based compensation. Non-cash stock-based compensation expense allocated to SG&amp;A was $8.9 million for the three months ended September 30, 2020, compared to $13.1 million in the same period in 2019. The higher non-cash stock-based compensation expense in the prior year was primarily due to the valuation of certain 2018 employee stock option grants which are now fully amortized, partially offset by non-cash stock-based compensation expense associated with increased headcount in 2020. We also experienced increased costs for software maintenance, facilities maintenance, and outside consulting of $3.1 million, offset by a $1.2 million decrease in travel and entertainment, and outside services expenses.</w:t>
      </w:r>
    </w:p>
    <w:p>
      <w:pPr>
        <w:spacing w:after="0" w:line="166"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34% to $16.1 million for the three months ended September 30,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$12.0 million for the same period in 2019. The increase in R&amp;D expenses was primarily the result of an increase of $2.2 million in salaries, incentive compensation and other employee benefits due to an increase in personnel to support our product development efforts, offset by a decrease of $0.6 million in non-cash stock-based compensation. Non-cash stock-based compensation expense allocated to R&amp;D was $1.8 million for the three months ended September 30, 2020</w:t>
      </w:r>
      <w:r>
        <w:rPr>
          <w:rFonts w:ascii="Arial" w:cs="Arial" w:eastAsia="Arial" w:hAnsi="Arial"/>
          <w:sz w:val="18"/>
          <w:szCs w:val="18"/>
          <w:i w:val="1"/>
          <w:iCs w:val="1"/>
          <w:color w:val="auto"/>
        </w:rPr>
        <w:t>,</w:t>
      </w:r>
      <w:r>
        <w:rPr>
          <w:rFonts w:ascii="Arial" w:cs="Arial" w:eastAsia="Arial" w:hAnsi="Arial"/>
          <w:sz w:val="18"/>
          <w:szCs w:val="18"/>
          <w:color w:val="auto"/>
        </w:rPr>
        <w:t xml:space="preserve"> compared to $2.4 million in the same period in 2019. We also experienced increased costs for consulting services and equipment and maintenance attributable to R&amp;D of $2.3 million.</w:t>
      </w:r>
    </w:p>
    <w:p>
      <w:pPr>
        <w:spacing w:after="0" w:line="192"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Total other expense, net for the three months ended September 30, 2020 was $8.4 million compared to total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net of $3.2 million in the same period in 2019. Total other expense, net for the three months ended September 30, 2020 primarily consisted of a $3.6 million revaluation loss from the change in the fair value of certain warrants due to the appreciation of our stock price, and $4.9 million of interest expense which includes the amortization of debt discount and debt issuance costs related to our Notes issued in the second quarter of 2020. Total other income, net for the three months ended September 30, 2019 primarily consisted of a $2.3 million gain on revaluation from the change in the fair value of certain warrants, and interest earned on our cash equivalents and short-term investments.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2020 and 2019</w:t>
      </w:r>
    </w:p>
    <w:p>
      <w:pPr>
        <w:spacing w:after="0" w:line="229"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nine months ended September 30, 2020, sales were $330.8 million, which included $54.4 million of international sales.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2019, sales were $253.9 million, which included $50.0 million of international sales.</w:t>
      </w:r>
    </w:p>
    <w:p>
      <w:pPr>
        <w:spacing w:after="0" w:line="170" w:lineRule="exact"/>
        <w:rPr>
          <w:sz w:val="20"/>
          <w:szCs w:val="20"/>
          <w:color w:val="auto"/>
        </w:rPr>
      </w:pPr>
    </w:p>
    <w:p>
      <w:pPr>
        <w:jc w:val="both"/>
        <w:ind w:right="380" w:firstLine="810"/>
        <w:spacing w:after="0" w:line="286" w:lineRule="auto"/>
        <w:rPr>
          <w:sz w:val="20"/>
          <w:szCs w:val="20"/>
          <w:color w:val="auto"/>
        </w:rPr>
      </w:pPr>
      <w:r>
        <w:rPr>
          <w:rFonts w:ascii="Arial" w:cs="Arial" w:eastAsia="Arial" w:hAnsi="Arial"/>
          <w:sz w:val="17"/>
          <w:szCs w:val="17"/>
          <w:color w:val="auto"/>
        </w:rPr>
        <w:t>The increase in worldwide sales of $76.9 million in the first nine months of 2020 compared to the first nine months of 2019 was primarily driven by $127.2 million in pump-related supplies sales from a 46% growth in the worldwide installed base and an increase in domestic pump sales of $36.9 million, offset by the effect of international product mix and non-recurring market dynamics in the prior year.</w:t>
      </w:r>
    </w:p>
    <w:p>
      <w:pPr>
        <w:spacing w:after="0" w:line="1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Domestic sales by product were as follows (in thousands):</w:t>
      </w:r>
    </w:p>
    <w:p>
      <w:pPr>
        <w:spacing w:after="0" w:line="12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Nine Months Ended</w:t>
      </w:r>
    </w:p>
    <w:p>
      <w:pPr>
        <w:jc w:val="center"/>
        <w:ind w:left="76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20" w:type="dxa"/>
            <w:vAlign w:val="bottom"/>
            <w:tcBorders>
              <w:bottom w:val="single" w:sz="8" w:color="CFF0FC"/>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2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175,550</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138,624</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44,335</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20,530</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Domestic Sales</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276,340</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203,867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Domestic pump sales were $175.6 million for the first nine months of 2020, compared to $138.6 million in the first nine months of 2019, as pump shipments increased 28% compared to the same period in the prior year due to continued strong demand for our products following the January 2020 domestic launch of our t:slim X2 insulin pump with Control-IQ technology. Domestic pump shipments were 46,273 in the first nine months of 2020 compared to 36,282 in the first nine months of 2019. Sales of pump-related supplies increased primarily due to a 42% increase in our estimated domestic installed base of customers. Sales to distributors accounted for 72% and 73% of our total domestic sales for the nine months ended September 30, 2020 and 2019,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12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Nine Months Ended</w:t>
      </w:r>
    </w:p>
    <w:p>
      <w:pPr>
        <w:jc w:val="center"/>
        <w:ind w:left="76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13335</wp:posOffset>
            </wp:positionV>
            <wp:extent cx="22028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104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27,985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36,472</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18,794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8,225</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International Sales</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54,425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50,040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International pump sales were $28.0 million for the first nine months of 2020, compared to $36.5 million in the first nine months of 2019. The first half of 2019 was positively impacted by the transition of former Animas customers to our products and the fulfillment of certain international pump demand from backlog that existed at the end of 2018 due to supply constraints in prior periods. Sales of pump-related supplies increased primarily due to an 64% increase in our estimated international installed base of customers. The ordering patterns of our international distributors for pumps and supplies is highly variable from period to period, particularly during the typical third quarter European holiday season. This variability was compounded by the varying levels of impact of the global pandemic across the international markets in which we operate. Sales to distributors accounted for 93% and 93% of our total international sales for the nine months ended September 30, 2020 and 2019, respectively.</w:t>
      </w:r>
    </w:p>
    <w:p>
      <w:pPr>
        <w:spacing w:after="0" w:line="204" w:lineRule="exact"/>
        <w:rPr>
          <w:sz w:val="20"/>
          <w:szCs w:val="20"/>
          <w:color w:val="auto"/>
        </w:rPr>
      </w:pPr>
    </w:p>
    <w:p>
      <w:pPr>
        <w:ind w:right="140" w:firstLine="810"/>
        <w:spacing w:after="0" w:line="286" w:lineRule="auto"/>
        <w:rPr>
          <w:sz w:val="20"/>
          <w:szCs w:val="20"/>
          <w:color w:val="auto"/>
        </w:rPr>
      </w:pPr>
      <w:r>
        <w:rPr>
          <w:rFonts w:ascii="Arial" w:cs="Arial" w:eastAsia="Arial" w:hAnsi="Arial"/>
          <w:sz w:val="17"/>
          <w:szCs w:val="17"/>
          <w:i w:val="1"/>
          <w:iCs w:val="1"/>
          <w:color w:val="auto"/>
        </w:rPr>
        <w:t>Cost of Sales and Gross Profit</w:t>
      </w:r>
      <w:r>
        <w:rPr>
          <w:rFonts w:ascii="Arial" w:cs="Arial" w:eastAsia="Arial" w:hAnsi="Arial"/>
          <w:sz w:val="17"/>
          <w:szCs w:val="17"/>
          <w:color w:val="auto"/>
        </w:rPr>
        <w:t>. Our cost of sales for the nine months ended September 30, 2020 was $160.8 million resulting in gross profit of</w:t>
      </w:r>
      <w:r>
        <w:rPr>
          <w:rFonts w:ascii="Arial" w:cs="Arial" w:eastAsia="Arial" w:hAnsi="Arial"/>
          <w:sz w:val="17"/>
          <w:szCs w:val="17"/>
          <w:i w:val="1"/>
          <w:iCs w:val="1"/>
          <w:color w:val="auto"/>
        </w:rPr>
        <w:t xml:space="preserve"> </w:t>
      </w:r>
      <w:r>
        <w:rPr>
          <w:rFonts w:ascii="Arial" w:cs="Arial" w:eastAsia="Arial" w:hAnsi="Arial"/>
          <w:sz w:val="17"/>
          <w:szCs w:val="17"/>
          <w:color w:val="auto"/>
        </w:rPr>
        <w:t>$170.0 million, compared to $120.0 million of cost of sales for the same period in 2019 resulting in gross profit of $133.9 million. The gross margin percentage for the nine months ended September 30, 2020 was 51% compared to 53% in the same period in 2019.</w:t>
      </w:r>
    </w:p>
    <w:p>
      <w:pPr>
        <w:spacing w:after="0" w:line="192" w:lineRule="exact"/>
        <w:rPr>
          <w:sz w:val="20"/>
          <w:szCs w:val="20"/>
          <w:color w:val="auto"/>
        </w:rPr>
      </w:pPr>
    </w:p>
    <w:p>
      <w:pPr>
        <w:ind w:right="100" w:firstLine="810"/>
        <w:spacing w:after="0" w:line="269" w:lineRule="auto"/>
        <w:rPr>
          <w:sz w:val="20"/>
          <w:szCs w:val="20"/>
          <w:color w:val="auto"/>
        </w:rPr>
      </w:pPr>
      <w:r>
        <w:rPr>
          <w:rFonts w:ascii="Arial" w:cs="Arial" w:eastAsia="Arial" w:hAnsi="Arial"/>
          <w:sz w:val="17"/>
          <w:szCs w:val="17"/>
          <w:color w:val="auto"/>
        </w:rPr>
        <w:t>The increase in our gross profit for the nine months ended September 30, 2020 was primarily the result of the $76.9 million increase in total sales, including higher volumes shipped and improvement in pump average selling prices. Gross profit and gross margin were negatively impacted by royalty costs, for which there was no comparable expense in the prior year. We recognized $4.7 million of product royalty costs in the first nine months of 2020 associated with the first quarter launch of Control-IQ technology in the United States and a staged introduction in international markets beginning in the third quarter. On an aggregate basis, other non-manufacturing costs, which primarily consist of warranty, freight, training and digital health product support costs, reflected improvement on a per unit basis, as well as per unit manufacturing costs for pumps. Other factors that have and may continue to impact the gross margin percentage are changes in product and geographical mix and the level of non-cash stock-based compensation allocated to cost of sales. Pump sales, which have the highest gross margin, were 62% of total worldwide sales in the first nine months of 2020 compared to 69% in the same period in 2019. Non-cash stock-based compensation expense allocated to cost of sales was $6.5 million for the nine months ended September 30, 2020, compared to $4.2 million in the same period in 2019.</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25% to $150.4 million for the nine months ended September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from $120.2 million for the same period in 2019. Employee-related expenses for our SG&amp;A functions comprise the majority of SG&amp;A expenses. The increase compared to 2019 was primarily the result of a $25.4 million increase in salaries, incentive compensation and other employee benefits due to an increase in personnel to support additional sales territories, higher sales and our growing installed customer base, which included an increase of $3.0 million in non-cash stock-based compensation. Non-cash stock-based compensation expense allocated to SG&amp;A was $32.1 million for the nine months ended September 30, 2020, compared to $29.1 million in the same period in 2019. The increase in non-cash stock-based compensation expense was primarily due to increased headcount, as well as the valuation of certain 2019 employee stock option grants and the impact on the valuation of the significant increase in our stock price over the previous year. We also experienced increased costs for software maintenance, supplies, and outside consulting of $7.6 million, offset by decreased costs for travel and outside services of $2.3 million.</w:t>
      </w:r>
    </w:p>
    <w:p>
      <w:pPr>
        <w:spacing w:after="0" w:line="181"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R&amp;D expenses increased 42% to $46.2 million for the nine months ended September 30, 2020 from $32.6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2019. The increase in R&amp;D expenses was primarily the result of an increase of $6.1 million in salaries, incentive compensation and other employee benefits due to an increase in personnel to support our product development efforts, as well as an increase of $7.5 million in consulting services, supplies, and equipment and maintenance costs attributable to R&amp;D. Non-cash stock-based compensation expense allocated to R&amp;D was $6.6 million for the nine months ended September 30, 2020, compared to $6.1 million in the same period in 2019.</w:t>
      </w:r>
    </w:p>
    <w:p>
      <w:pPr>
        <w:spacing w:after="0" w:line="161" w:lineRule="exact"/>
        <w:rPr>
          <w:sz w:val="20"/>
          <w:szCs w:val="20"/>
          <w:color w:val="auto"/>
        </w:rPr>
      </w:pPr>
    </w:p>
    <w:p>
      <w:pPr>
        <w:ind w:right="80" w:firstLine="810"/>
        <w:spacing w:after="0" w:line="25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Total other expense, net for the nine months ended September 30, 2020 and 2019 was $26.7 million and $8.5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Other expense for the nine months ended September 30, 2020 primarily consisted of a $19.9 million revaluation loss from the change in the fair value of certain warrants due to the significant appreciation of our stock price during the first nine months of 2020, and $8.0 million of interest expense which includes the amortization of debt discount and debt issuance costs related to our Notes issued in the second quarter of 2020. Other expense for the nine months ended September 30, 2019 primarily consisted of a $10.8 million revaluation loss from the change in the fair value of certain warrants. Interest income and other, net for the nine months ended September 30, 2020 and 2019 primarily consisted of interest earned on our cash equivalents and short-term investments.</w:t>
      </w:r>
    </w:p>
    <w:p>
      <w:pPr>
        <w:spacing w:after="0" w:line="195" w:lineRule="exact"/>
        <w:rPr>
          <w:sz w:val="20"/>
          <w:szCs w:val="20"/>
          <w:color w:val="auto"/>
        </w:rPr>
      </w:pPr>
    </w:p>
    <w:p>
      <w:pPr>
        <w:ind w:right="160" w:firstLine="810"/>
        <w:spacing w:after="0" w:line="255"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We recognized an income tax benefit of $1.9 million on pre-tax loss of $53.3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to income tax expense of $0.1 million on a pre-tax loss of $27.3 million for the nine months ended September 30, 2019. The income tax benefit for the nine months ended September 30, 2020 was primarily due to benefit associated with the release of valuation allowance related to the acquisition of certain intangible assets, partially offset by state and foreign income tax expense as a result of current taxable income in those jurisdictions. Income tax expense for the nine months ended September 30, 2019 was primarily attributable to state and foreign income tax expense as a result of current taxable income in those jurisdictions.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810"/>
        <w:spacing w:after="0" w:line="342" w:lineRule="auto"/>
        <w:rPr>
          <w:sz w:val="20"/>
          <w:szCs w:val="20"/>
          <w:color w:val="auto"/>
        </w:rPr>
      </w:pPr>
      <w:r>
        <w:rPr>
          <w:rFonts w:ascii="Arial" w:cs="Arial" w:eastAsia="Arial" w:hAnsi="Arial"/>
          <w:sz w:val="16"/>
          <w:szCs w:val="16"/>
          <w:color w:val="auto"/>
        </w:rPr>
        <w:t>As of September 30, 2020, we had $464.5 million in cash and cash equivalents and short-term investments. We believe that our cash and cash equivalents and short-term investments balance is sufficient to satisfy our liquidity requirements for at least the next 12 months from the date of this filing.</w:t>
      </w:r>
    </w:p>
    <w:p>
      <w:pPr>
        <w:spacing w:after="0" w:line="124" w:lineRule="exact"/>
        <w:rPr>
          <w:sz w:val="20"/>
          <w:szCs w:val="20"/>
          <w:color w:val="auto"/>
        </w:rPr>
      </w:pPr>
    </w:p>
    <w:p>
      <w:pPr>
        <w:ind w:right="400" w:firstLine="810"/>
        <w:spacing w:after="0" w:line="308" w:lineRule="auto"/>
        <w:rPr>
          <w:sz w:val="20"/>
          <w:szCs w:val="20"/>
          <w:color w:val="auto"/>
        </w:rPr>
      </w:pPr>
      <w:r>
        <w:rPr>
          <w:rFonts w:ascii="Arial" w:cs="Arial" w:eastAsia="Arial" w:hAnsi="Arial"/>
          <w:sz w:val="17"/>
          <w:szCs w:val="17"/>
          <w:color w:val="auto"/>
        </w:rPr>
        <w:t>Historically, our principal sources of cash have included cash collected from product sales, private and public offerings of equity securities, exercises of employee stock awards, and debt financing. Since the beginning of 2019, we completed the following financing activities:</w:t>
      </w:r>
    </w:p>
    <w:p>
      <w:pPr>
        <w:spacing w:after="0" w:line="146" w:lineRule="exact"/>
        <w:rPr>
          <w:sz w:val="20"/>
          <w:szCs w:val="20"/>
          <w:color w:val="auto"/>
        </w:rPr>
      </w:pPr>
    </w:p>
    <w:p>
      <w:pPr>
        <w:ind w:left="1960" w:right="640" w:hanging="656"/>
        <w:spacing w:after="0" w:line="342" w:lineRule="auto"/>
        <w:tabs>
          <w:tab w:leader="none" w:pos="19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In May 2020, we raised $278.7 million in </w:t>
      </w:r>
      <w:r>
        <w:rPr>
          <w:rFonts w:ascii="Arial" w:cs="Arial" w:eastAsia="Arial" w:hAnsi="Arial"/>
          <w:sz w:val="16"/>
          <w:szCs w:val="16"/>
          <w:color w:val="212529"/>
        </w:rPr>
        <w:t>net proceeds from the issuance of the Notes, and used</w:t>
      </w:r>
      <w:r>
        <w:rPr>
          <w:rFonts w:ascii="Arial" w:cs="Arial" w:eastAsia="Arial" w:hAnsi="Arial"/>
          <w:sz w:val="16"/>
          <w:szCs w:val="16"/>
          <w:color w:val="auto"/>
        </w:rPr>
        <w:t xml:space="preserve"> $34.1 million </w:t>
      </w:r>
      <w:r>
        <w:rPr>
          <w:rFonts w:ascii="Arial" w:cs="Arial" w:eastAsia="Arial" w:hAnsi="Arial"/>
          <w:sz w:val="16"/>
          <w:szCs w:val="16"/>
          <w:color w:val="212529"/>
        </w:rPr>
        <w:t>of the net</w:t>
      </w:r>
      <w:r>
        <w:rPr>
          <w:rFonts w:ascii="Arial" w:cs="Arial" w:eastAsia="Arial" w:hAnsi="Arial"/>
          <w:sz w:val="16"/>
          <w:szCs w:val="16"/>
          <w:color w:val="auto"/>
        </w:rPr>
        <w:t xml:space="preserve"> </w:t>
      </w:r>
      <w:r>
        <w:rPr>
          <w:rFonts w:ascii="Arial" w:cs="Arial" w:eastAsia="Arial" w:hAnsi="Arial"/>
          <w:sz w:val="16"/>
          <w:szCs w:val="16"/>
          <w:color w:val="212529"/>
        </w:rPr>
        <w:t xml:space="preserve">proceeds to purchase capped call options in connection with the transaction </w:t>
      </w:r>
      <w:r>
        <w:rPr>
          <w:rFonts w:ascii="Arial" w:cs="Arial" w:eastAsia="Arial" w:hAnsi="Arial"/>
          <w:sz w:val="16"/>
          <w:szCs w:val="16"/>
          <w:color w:val="000000"/>
        </w:rPr>
        <w:t>(see Note 7, “Convertible Senior Notes”).</w:t>
      </w:r>
    </w:p>
    <w:p>
      <w:pPr>
        <w:spacing w:after="0" w:line="123" w:lineRule="exact"/>
        <w:rPr>
          <w:rFonts w:ascii="Arial" w:cs="Arial" w:eastAsia="Arial" w:hAnsi="Arial"/>
          <w:sz w:val="16"/>
          <w:szCs w:val="16"/>
          <w:color w:val="auto"/>
        </w:rPr>
      </w:pPr>
    </w:p>
    <w:p>
      <w:pPr>
        <w:ind w:left="1960" w:right="180" w:hanging="656"/>
        <w:spacing w:after="0" w:line="263" w:lineRule="auto"/>
        <w:tabs>
          <w:tab w:leader="none" w:pos="1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From January 2019 through September 2020, we issued 3,617,939 shares of common stock upon the exercise of stock options, and 558,392 shares of common stock were purchased under our 2013 Employee Stock Purchase Plan, which generated aggregate proceeds of $81.6 million.</w:t>
      </w:r>
    </w:p>
    <w:p>
      <w:pPr>
        <w:spacing w:after="0" w:line="183" w:lineRule="exact"/>
        <w:rPr>
          <w:rFonts w:ascii="Arial" w:cs="Arial" w:eastAsia="Arial" w:hAnsi="Arial"/>
          <w:sz w:val="18"/>
          <w:szCs w:val="18"/>
          <w:color w:val="auto"/>
        </w:rPr>
      </w:pPr>
    </w:p>
    <w:p>
      <w:pPr>
        <w:ind w:left="1960" w:right="20" w:hanging="656"/>
        <w:spacing w:after="0" w:line="311" w:lineRule="auto"/>
        <w:tabs>
          <w:tab w:leader="none" w:pos="19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From January 2019 through September 2020, we received proceeds of $1.2 million from the exercise of 352,585 outstanding warrants which were originally issued in connection with our registered public offering of common stock in October 2017. As of September 30, 2020, there were warrants to purchase 158,200 shares outstanding relating to the October 2017 offering.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60" w:hanging="656"/>
        <w:spacing w:after="0" w:line="263" w:lineRule="auto"/>
        <w:tabs>
          <w:tab w:leader="none" w:pos="1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January 2020 through September 2020, we received proceeds of $2.0 million from the exercise of 67,799 outstanding warrants which were originally issued between August 2011 and August 2012. As of September 30, 2020, there were warrants to purchase 31,166 shares outstanding relating to these issuances.</w:t>
      </w:r>
    </w:p>
    <w:p>
      <w:pPr>
        <w:spacing w:after="0" w:line="184"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international geographies, the acquisition of intellectual property, expenditures related to increases in our manufacturing capacity and improvements to our manufacturing efficiency, overall expansion of our facilities and operations, and other working capital needs.</w:t>
      </w:r>
    </w:p>
    <w:p>
      <w:pPr>
        <w:spacing w:after="0" w:line="188" w:lineRule="exact"/>
        <w:rPr>
          <w:sz w:val="20"/>
          <w:szCs w:val="20"/>
          <w:color w:val="auto"/>
        </w:rPr>
      </w:pPr>
    </w:p>
    <w:p>
      <w:pPr>
        <w:ind w:right="400" w:firstLine="810"/>
        <w:spacing w:after="0" w:line="259" w:lineRule="auto"/>
        <w:rPr>
          <w:sz w:val="20"/>
          <w:szCs w:val="20"/>
          <w:color w:val="auto"/>
        </w:rPr>
      </w:pPr>
      <w:r>
        <w:rPr>
          <w:rFonts w:ascii="Arial" w:cs="Arial" w:eastAsia="Arial" w:hAnsi="Arial"/>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 In light of the COVID-19 global pandemic, we are prudently managing our use of cash. We will continue to evaluate new information as it becomes available and make changes as are considered necessary.</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2020 and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4"/>
        </w:trPr>
        <w:tc>
          <w:tcPr>
            <w:tcW w:w="84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11"/>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9,432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22,463</w:t>
            </w: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(236,430)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(36,054)</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305,234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17,789</w:t>
            </w: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8440" w:type="dxa"/>
            <w:vAlign w:val="bottom"/>
          </w:tcPr>
          <w:p>
            <w:pPr>
              <w:ind w:left="2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810"/>
        <w:spacing w:after="0" w:line="291"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was $9.4 million for the nine months ended September 30, 2020,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$22.5 million in the same period in 2019. The decrease in net cash provided by operating activities was due to an increase in our operating loss on higher operating expenses, as well as working capital changes primarily related to accounts payable and accrued expenses. Working capital changes during the first nine months of 2020 primarily consisted of increases in accounts receivable, inventories, accounts payable, deferred revenue, and other current liabilities, all of which are related to the growth in our business. Accounts receivable increased to $52.1 million at September 30, 2020 from $46.6 million at December 31, 2019, as a result of higher sales in the third quarter of 2020 as compared to the fourth quarter of 2019. Inventories increased to $70.6 million at September 30, 2020 from $49.1 million at December 31, 2019, primarily to support the growth in our business.</w:t>
      </w:r>
    </w:p>
    <w:p>
      <w:pPr>
        <w:spacing w:after="0" w:line="166" w:lineRule="exact"/>
        <w:rPr>
          <w:sz w:val="20"/>
          <w:szCs w:val="20"/>
          <w:color w:val="auto"/>
        </w:rPr>
      </w:pPr>
    </w:p>
    <w:p>
      <w:pPr>
        <w:ind w:right="300" w:firstLine="810"/>
        <w:spacing w:after="0" w:line="287"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$236.4 million for the nine months ended September 30, 2020,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related to $332.0 million of purchases of short-term investments, $23.3 million in purchases of property and equipment, and $4.9 million cash paid for the acquisition of intangible assets, offset by $123.7 million in proceeds from maturities and sales of short-term investments. Net cash used</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investing activities was $36.1 million for the nine months ended September 30, 2019, which was primarily related to $126.3 million of purchases of short-term investments and $12.8 million in purchases of property and equipment, offset by $103.0 million in proceeds from maturities and sales of short-term investments.</w:t>
      </w:r>
    </w:p>
    <w:p>
      <w:pPr>
        <w:spacing w:after="0" w:line="190"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$305.2 million for the nine months ended September 30, 2020,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$278.7 million in proceeds from the issuance of the Convertible Senior Notes which was partially offset by $34.1 million in payments for the purchase of the related Capped Call Options, and $57.7 million in proceeds from the issuance of common stock under our stock plans. Net cash provided by financing activities was $17.8 million for the nine months ended September 30, 2019, which primarily consisted of proceeds from the issuance of common stock under our stock plans.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liquidity position and capital requirements are subject to fluctuation based on a number of factors, including the following:</w:t>
      </w:r>
    </w:p>
    <w:p>
      <w:pPr>
        <w:spacing w:after="0" w:line="225" w:lineRule="exact"/>
        <w:rPr>
          <w:sz w:val="20"/>
          <w:szCs w:val="20"/>
          <w:color w:val="auto"/>
        </w:rPr>
      </w:pPr>
    </w:p>
    <w:p>
      <w:pPr>
        <w:ind w:left="1960" w:right="160" w:hanging="656"/>
        <w:spacing w:after="0" w:line="277" w:lineRule="auto"/>
        <w:tabs>
          <w:tab w:leader="none" w:pos="19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any additional financings, and the net proceeds raised from such financings;</w:t>
      </w:r>
    </w:p>
    <w:p>
      <w:pPr>
        <w:spacing w:after="0" w:line="225" w:lineRule="exact"/>
        <w:rPr>
          <w:rFonts w:ascii="Arial" w:cs="Arial" w:eastAsia="Arial" w:hAnsi="Arial"/>
          <w:sz w:val="18"/>
          <w:szCs w:val="18"/>
          <w:color w:val="auto"/>
        </w:rPr>
      </w:pPr>
    </w:p>
    <w:p>
      <w:pPr>
        <w:ind w:left="1960" w:right="360" w:hanging="656"/>
        <w:spacing w:after="0" w:line="277" w:lineRule="auto"/>
        <w:tabs>
          <w:tab w:leader="none" w:pos="19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amount of the exercise of outstanding warrants, and proceeds from the issuance of equity awards pursuant to employee stock plans;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employee-related liabilities, and operating lease liabilities; and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impacts and disruptions caused by the COVID-19 global pandemic.</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primary short-term capital needs are expected to include expenditures related to:</w:t>
      </w:r>
    </w:p>
    <w:p>
      <w:pPr>
        <w:spacing w:after="0" w:line="225" w:lineRule="exact"/>
        <w:rPr>
          <w:sz w:val="20"/>
          <w:szCs w:val="20"/>
          <w:color w:val="auto"/>
        </w:rPr>
      </w:pPr>
    </w:p>
    <w:p>
      <w:pPr>
        <w:ind w:left="1940" w:hanging="636"/>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leasing or licensing of equipment, technology, intellectual property and other assets;</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facilities leases and related tenant improvements, and manufacturing equipment to support business growth and increase manufacturing capacity; and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w:t>
      </w:r>
    </w:p>
    <w:p>
      <w:pPr>
        <w:spacing w:after="0" w:line="225"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 capital from public or private offerings of our equity or debt securities, or we may elect to borrow capital under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uncertainties regarding the regulatory environment in which we operate and conditions impacting the capital markets more generally, including economic weakness, inflation, political instability, war and terrorism, natural disasters, incidence of illness or disease, or other events beyond our control.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and accompanying notes as of the date of the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66"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2019, with the exception of policies put in place with regards to the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of September 30, 2020,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We invest our excess cash primarily in commercial paper, corporate debt securities, U.S. Government-sponsored enterprise securities and U.S. Treasury securities. 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7" w:lineRule="exact"/>
        <w:rPr>
          <w:sz w:val="20"/>
          <w:szCs w:val="20"/>
          <w:color w:val="auto"/>
        </w:rPr>
      </w:pPr>
    </w:p>
    <w:p>
      <w:pPr>
        <w:ind w:right="120" w:firstLine="810"/>
        <w:spacing w:after="0" w:line="291" w:lineRule="auto"/>
        <w:rPr>
          <w:sz w:val="20"/>
          <w:szCs w:val="20"/>
          <w:color w:val="auto"/>
        </w:rPr>
      </w:pPr>
      <w:r>
        <w:rPr>
          <w:rFonts w:ascii="Arial" w:cs="Arial" w:eastAsia="Arial" w:hAnsi="Arial"/>
          <w:sz w:val="16"/>
          <w:szCs w:val="16"/>
          <w:color w:val="auto"/>
        </w:rPr>
        <w:t>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As a result of the COVID-19 global pandemic and the perceived increased credit risks associated with certain securities, credit rating agencies have issued downgrades and revised outlooks to negative for a number of issuers of the debt securities held in our short-term investments portfolio. Unrealized losses on available-for-sale debt securities at September 30, 2020 were not significant. Based on the credit quality of the available-for-sale debt securities that are in an unrealized loss position, and our current estimates of future cash flows to be collected from those securities, we believe the unrealized losses are not credit losses (see Note 3, “Short-Term Investments”).</w:t>
      </w:r>
    </w:p>
    <w:p>
      <w:pPr>
        <w:spacing w:after="0" w:line="166" w:lineRule="exact"/>
        <w:rPr>
          <w:sz w:val="20"/>
          <w:szCs w:val="20"/>
          <w:color w:val="auto"/>
        </w:rPr>
      </w:pPr>
    </w:p>
    <w:p>
      <w:pPr>
        <w:ind w:right="160" w:firstLine="810"/>
        <w:spacing w:after="0" w:line="286" w:lineRule="auto"/>
        <w:rPr>
          <w:sz w:val="20"/>
          <w:szCs w:val="20"/>
          <w:color w:val="auto"/>
        </w:rPr>
      </w:pPr>
      <w:r>
        <w:rPr>
          <w:rFonts w:ascii="Arial" w:cs="Arial" w:eastAsia="Arial" w:hAnsi="Arial"/>
          <w:sz w:val="17"/>
          <w:szCs w:val="17"/>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September 30, 2020, this change would not have had a material effect on the fair value of our investment portfolio as of that date.</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 May 2020, the we issued $287.5 million principal amount of Convertible Senior Notes, which bear interest at a fixed rate of 1.50% per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not subject to interest rate risk as a result of the Convertible Senior Notes (see Note 7, “Convertible Senior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Our operations are primarily located in the United States, and nearly all of our sales since inception have been made in U.S. dollars. With the exception of a portion of our sales in Canada, our sales outside of the United States are currently made to independent distributors under agreements denominated in U.S. dollars. Accordingly, we believe we do not currently have any material exposure to foreign currency rate fluctuations. As our business in markets outside of the United States increases, we may be exposed to foreign currency exchange risk. We believe this is currently limited to our operations in Canada, where fluctuations in the rate of exchange between the U.S. dollar and the Canadian dollar could adversely affect our financial results. In addition, from time to time, we may have foreign currency exchange risk related to existing assets and liabilities, committed transactions and forecasted future cash flows. In certain circumstances, we may seek to manage such foreign currency exchange risk by using derivative instruments such as foreign currency exchange forward contracts to hedge our risk. In general, we may hedge material foreign currency exchange exposures up to 12 months in advance. However, we may choose not to hedge some exposures for a variety of reasons, including prohibitive economic costs.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(Exchange Act) that are designed to ensure that information required to be disclosed in the periodic and current reports we file with the Securities and Exchange Commission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86"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As of September 30, 2020,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September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81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September 30, 2020 that materially affected, or are reasonably likely to materially affect, our internal control over financial reporting.</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0" w:lineRule="exact"/>
        <w:rPr>
          <w:sz w:val="20"/>
          <w:szCs w:val="20"/>
          <w:color w:val="auto"/>
        </w:rPr>
      </w:pPr>
    </w:p>
    <w:p>
      <w:pPr>
        <w:spacing w:after="0" w:line="20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In April 2020, we were named as a defendant in four federal class action lawsuits relating to a data breach we experienced in January 2020, each of which was subsequently dismissed.</w:t>
      </w:r>
    </w:p>
    <w:p>
      <w:pPr>
        <w:spacing w:after="0" w:line="89" w:lineRule="exact"/>
        <w:rPr>
          <w:sz w:val="20"/>
          <w:szCs w:val="20"/>
          <w:color w:val="auto"/>
        </w:rPr>
      </w:pPr>
    </w:p>
    <w:p>
      <w:pPr>
        <w:ind w:right="100" w:firstLine="810"/>
        <w:spacing w:after="0" w:line="271" w:lineRule="auto"/>
        <w:rPr>
          <w:sz w:val="20"/>
          <w:szCs w:val="20"/>
          <w:color w:val="auto"/>
        </w:rPr>
      </w:pPr>
      <w:r>
        <w:rPr>
          <w:rFonts w:ascii="Arial" w:cs="Arial" w:eastAsia="Arial" w:hAnsi="Arial"/>
          <w:sz w:val="17"/>
          <w:szCs w:val="17"/>
          <w:color w:val="auto"/>
        </w:rPr>
        <w:t xml:space="preserve">In addition, in May 2020 we were named as a defendant in three California state court class action lawsuits arising from the same data breach. Collectively, these lawsuits seek statutory, compensatory, actual, and punitive damages; equitable relief, including restitution; pre- and post-judgment interest; injunctive relief; and attorney fees, costs, and expenses from us. On July 24, 2020, these three pending lawsuits were consolidated into a single case in the Superior Court of the State of California in the County of San Bernardino entitled </w:t>
      </w:r>
      <w:r>
        <w:rPr>
          <w:rFonts w:ascii="Arial" w:cs="Arial" w:eastAsia="Arial" w:hAnsi="Arial"/>
          <w:sz w:val="17"/>
          <w:szCs w:val="17"/>
          <w:i w:val="1"/>
          <w:iCs w:val="1"/>
          <w:color w:val="auto"/>
        </w:rPr>
        <w:t>Joseph Deluna et al v. Tandem Diabetes Care, Inc.</w:t>
      </w:r>
      <w:r>
        <w:rPr>
          <w:rFonts w:ascii="Arial" w:cs="Arial" w:eastAsia="Arial" w:hAnsi="Arial"/>
          <w:sz w:val="17"/>
          <w:szCs w:val="17"/>
          <w:color w:val="auto"/>
        </w:rPr>
        <w:t xml:space="preserve"> The consolidated case alleges violations of the Confidentiality of Medical Information Act (CMIA), California Consumer Privacy Act (CCPA), California’s Unfair Competition Law (UCL), and breach of contract. We filed a demurrer seeking dismissal of all claims, which was heard by the Court on October 27, 2020, and which resulted in the following outcome: (i) the demurrer of the CMIA claim was denied; and (ii) the demurrer of the CCPA, UCL, and contract claims were sustained with leave to amend the pending complaint.</w:t>
      </w:r>
    </w:p>
    <w:p>
      <w:pPr>
        <w:spacing w:after="0" w:line="313"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 xml:space="preserve">In September 2020, we were named as a defendant in a lawsuit entitled </w:t>
      </w:r>
      <w:r>
        <w:rPr>
          <w:rFonts w:ascii="Arial" w:cs="Arial" w:eastAsia="Arial" w:hAnsi="Arial"/>
          <w:sz w:val="18"/>
          <w:szCs w:val="18"/>
          <w:i w:val="1"/>
          <w:iCs w:val="1"/>
          <w:color w:val="auto"/>
        </w:rPr>
        <w:t>Buck Walsh, individually and on behalf of others similarly situated v.</w:t>
      </w:r>
      <w:r>
        <w:rPr>
          <w:rFonts w:ascii="Arial" w:cs="Arial" w:eastAsia="Arial" w:hAnsi="Arial"/>
          <w:sz w:val="18"/>
          <w:szCs w:val="18"/>
          <w:color w:val="auto"/>
        </w:rPr>
        <w:t xml:space="preserve"> </w:t>
      </w:r>
      <w:r>
        <w:rPr>
          <w:rFonts w:ascii="Arial" w:cs="Arial" w:eastAsia="Arial" w:hAnsi="Arial"/>
          <w:sz w:val="18"/>
          <w:szCs w:val="18"/>
          <w:i w:val="1"/>
          <w:iCs w:val="1"/>
          <w:color w:val="auto"/>
        </w:rPr>
        <w:t>Tandem Diabetes Care, Inc.</w:t>
      </w:r>
      <w:r>
        <w:rPr>
          <w:rFonts w:ascii="Arial" w:cs="Arial" w:eastAsia="Arial" w:hAnsi="Arial"/>
          <w:sz w:val="18"/>
          <w:szCs w:val="18"/>
          <w:color w:val="auto"/>
        </w:rPr>
        <w:t>, which was filed in the Superior Court of the State of California in San Diego County. The alleged violations include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professions code and labor code violations for failure to compensate wages, unpaid meal and rest periods, and failure to reimburse for necessary business-related expenses. The proposed class of plaintiffs includes hourly paid or non-exempt employees of the Company who were employed from April 6, 2016 through the date of adjudication.</w:t>
      </w:r>
    </w:p>
    <w:p>
      <w:pPr>
        <w:spacing w:after="0" w:line="215" w:lineRule="exact"/>
        <w:rPr>
          <w:sz w:val="20"/>
          <w:szCs w:val="20"/>
          <w:color w:val="auto"/>
        </w:rPr>
      </w:pPr>
    </w:p>
    <w:p>
      <w:pPr>
        <w:ind w:right="700" w:firstLine="810"/>
        <w:spacing w:after="0" w:line="342" w:lineRule="auto"/>
        <w:rPr>
          <w:sz w:val="20"/>
          <w:szCs w:val="20"/>
          <w:color w:val="auto"/>
        </w:rPr>
      </w:pPr>
      <w:r>
        <w:rPr>
          <w:rFonts w:ascii="Arial" w:cs="Arial" w:eastAsia="Arial" w:hAnsi="Arial"/>
          <w:sz w:val="16"/>
          <w:szCs w:val="16"/>
          <w:color w:val="auto"/>
        </w:rPr>
        <w:t>Although we intend to vigorously defend against these claims, there is no guarantee that we will prevail. Accordingly, we are unable to determine the ultimate outcome of these lawsuits or determine the amount and range of potential losses associated with the lawsuits.</w:t>
      </w:r>
    </w:p>
    <w:p>
      <w:pPr>
        <w:spacing w:after="0" w:line="124"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From time to time, we are involved in various other legal proceedings, disputes and other claims arising in the ordinary course of our business, including actions with respect to intellectual property, data privacy, employment, product liability and contractual matters. Although the results of legal proceedings, disputes and other claims cannot be predicted with certainty, we currently believe that the final outcome of these ordinary course matters will not, individually or in the aggregate, have a material adverse effect on our business, financial position, results of operations, cash flows or future prospects. However, regardless of the outcome, legal proceedings, disputes and other claims can have an adverse impact on us because of legal costs, diversion of management time and resources, and other factors.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i w:val="1"/>
          <w:iCs w:val="1"/>
          <w:color w:val="auto"/>
        </w:rPr>
        <w:t>An investment in our common stock or in other convertible securities involves risks.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future prospects. Certain statements below are forward-looking statements.</w:t>
      </w:r>
    </w:p>
    <w:p>
      <w:pPr>
        <w:spacing w:after="0" w:line="178" w:lineRule="exact"/>
        <w:rPr>
          <w:sz w:val="20"/>
          <w:szCs w:val="20"/>
          <w:color w:val="auto"/>
        </w:rPr>
      </w:pPr>
    </w:p>
    <w:p>
      <w:pPr>
        <w:ind w:right="420" w:firstLine="810"/>
        <w:spacing w:after="0" w:line="277" w:lineRule="auto"/>
        <w:rPr>
          <w:sz w:val="20"/>
          <w:szCs w:val="20"/>
          <w:color w:val="auto"/>
        </w:rPr>
      </w:pPr>
      <w:r>
        <w:rPr>
          <w:rFonts w:ascii="Arial" w:cs="Arial" w:eastAsia="Arial" w:hAnsi="Arial"/>
          <w:sz w:val="18"/>
          <w:szCs w:val="18"/>
          <w:i w:val="1"/>
          <w:iCs w:val="1"/>
          <w:color w:val="auto"/>
        </w:rPr>
        <w:t>The risk factors set forth below marked with an asterisk (*) next to the title contain changes to the description of the risk factors previously disclosed in Part I, Item IA of our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sustained profitability.*</w:t>
      </w:r>
    </w:p>
    <w:p>
      <w:pPr>
        <w:spacing w:after="0" w:line="225" w:lineRule="exact"/>
        <w:rPr>
          <w:sz w:val="20"/>
          <w:szCs w:val="20"/>
          <w:color w:val="auto"/>
        </w:rPr>
      </w:pPr>
    </w:p>
    <w:p>
      <w:pPr>
        <w:ind w:right="280" w:firstLine="810"/>
        <w:spacing w:after="0" w:line="275" w:lineRule="auto"/>
        <w:rPr>
          <w:sz w:val="20"/>
          <w:szCs w:val="20"/>
          <w:color w:val="auto"/>
        </w:rPr>
      </w:pPr>
      <w:r>
        <w:rPr>
          <w:rFonts w:ascii="Arial" w:cs="Arial" w:eastAsia="Arial" w:hAnsi="Arial"/>
          <w:sz w:val="17"/>
          <w:szCs w:val="17"/>
          <w:color w:val="auto"/>
        </w:rPr>
        <w:t>Since our inception in January 2006, we have incurred a significant net loss. As of September 30, 2020, we had an accumulated deficit of $676.2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76" w:lineRule="exact"/>
        <w:rPr>
          <w:sz w:val="20"/>
          <w:szCs w:val="20"/>
          <w:color w:val="auto"/>
        </w:rPr>
      </w:pPr>
    </w:p>
    <w:p>
      <w:pPr>
        <w:jc w:val="both"/>
        <w:ind w:right="140" w:firstLine="810"/>
        <w:spacing w:after="0" w:line="263" w:lineRule="auto"/>
        <w:rPr>
          <w:sz w:val="20"/>
          <w:szCs w:val="20"/>
          <w:color w:val="auto"/>
        </w:rPr>
      </w:pPr>
      <w:r>
        <w:rPr>
          <w:rFonts w:ascii="Arial" w:cs="Arial" w:eastAsia="Arial" w:hAnsi="Arial"/>
          <w:sz w:val="18"/>
          <w:szCs w:val="18"/>
          <w:color w:val="auto"/>
        </w:rPr>
        <w:t>We began commercial sales of our first product, t:slim, in August 2012 and our flagship pump platform, t:slim X2, in October 2016. The t:slim X2 insulin pump now represents 100% of new pump shipments. Until the third quarter of 2018 we were selling our products only in the United States and have since launched our products in select international geographies.</w:t>
      </w:r>
    </w:p>
    <w:p>
      <w:pPr>
        <w:spacing w:after="0" w:line="184"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Since the first quarter of 2013, we have been able to manufacture and sell our insulin pump products at a cost and in volumes sufficient to allow us to achieve a positive overall gross margin. For the years ended December 31, 2019 and 2018, our gross profit was $194.2 million and $89.8 million, respectively. Although we have achieved a positive overall gross margin and have substantially reduced our operating loss, we still operate at a net loss on an annual basis and expect that we may continue to do so for the foreseeable future.</w:t>
      </w:r>
    </w:p>
    <w:p>
      <w:pPr>
        <w:spacing w:after="0" w:line="187"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To implement our business strategy and achieve consistent profitability, we need to, among other things, increase sales of our products and the gross profit associated with those sales, maintain an appropriate customer service and support infrastructure, fund ongoing R&amp;D activities, create additional efficiencies in our manufacturing processes while adding to our capacity, and obtain regulatory clearance or approval to commercialize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currently under development both domestically and internationally.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90" w:lineRule="exact"/>
        <w:rPr>
          <w:sz w:val="20"/>
          <w:szCs w:val="20"/>
          <w:color w:val="auto"/>
        </w:rPr>
      </w:pPr>
    </w:p>
    <w:p>
      <w:pPr>
        <w:ind w:right="60" w:firstLine="810"/>
        <w:spacing w:after="0" w:line="275" w:lineRule="auto"/>
        <w:rPr>
          <w:sz w:val="20"/>
          <w:szCs w:val="20"/>
          <w:color w:val="auto"/>
        </w:rPr>
      </w:pPr>
      <w:r>
        <w:rPr>
          <w:rFonts w:ascii="Arial" w:cs="Arial" w:eastAsia="Arial" w:hAnsi="Arial"/>
          <w:sz w:val="17"/>
          <w:szCs w:val="17"/>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the timing of regulatory approval of our products and the products of our competitors, and the scope and duration of the impacts caused by the COVID-19 global pandemic. Any additional operating losses will have an adverse effect on our stockholders’ equity, and we cannot assure you that we will be able to sustain profitability.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70" w:lineRule="exact"/>
        <w:rPr>
          <w:sz w:val="20"/>
          <w:szCs w:val="20"/>
          <w:color w:val="auto"/>
        </w:rPr>
      </w:pPr>
    </w:p>
    <w:p>
      <w:pPr>
        <w:ind w:left="1960" w:right="760" w:hanging="656"/>
        <w:spacing w:after="0" w:line="277" w:lineRule="auto"/>
        <w:tabs>
          <w:tab w:leader="none" w:pos="1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 MiniMed, a division of Medtronic plc;</w:t>
      </w:r>
    </w:p>
    <w:p>
      <w:pPr>
        <w:spacing w:after="0" w:line="170" w:lineRule="exact"/>
        <w:rPr>
          <w:rFonts w:ascii="Arial" w:cs="Arial" w:eastAsia="Arial" w:hAnsi="Arial"/>
          <w:sz w:val="18"/>
          <w:szCs w:val="18"/>
          <w:color w:val="auto"/>
        </w:rPr>
      </w:pPr>
    </w:p>
    <w:p>
      <w:pPr>
        <w:ind w:left="1960" w:right="160" w:hanging="656"/>
        <w:spacing w:after="0" w:line="277" w:lineRule="auto"/>
        <w:tabs>
          <w:tab w:leader="none" w:pos="1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products, or similar products or technologies of our competitors;</w:t>
      </w:r>
    </w:p>
    <w:p>
      <w:pPr>
        <w:spacing w:after="0" w:line="225" w:lineRule="exact"/>
        <w:rPr>
          <w:rFonts w:ascii="Arial" w:cs="Arial" w:eastAsia="Arial" w:hAnsi="Arial"/>
          <w:sz w:val="18"/>
          <w:szCs w:val="18"/>
          <w:color w:val="auto"/>
        </w:rPr>
      </w:pPr>
    </w:p>
    <w:p>
      <w:pPr>
        <w:ind w:left="1960" w:right="220" w:hanging="656"/>
        <w:spacing w:after="0" w:line="277" w:lineRule="auto"/>
        <w:tabs>
          <w:tab w:leader="none" w:pos="1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reimbursement rates or policies relating to insulin pumps or similar products or technologies by third-party payors;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960" w:right="500" w:hanging="656"/>
        <w:spacing w:after="0" w:line="277" w:lineRule="auto"/>
        <w:tabs>
          <w:tab w:leader="none" w:pos="1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concerns regarding the perceived safety or reliability of any of our products, or any component thereof; and</w:t>
      </w:r>
    </w:p>
    <w:p>
      <w:pPr>
        <w:spacing w:after="0" w:line="225" w:lineRule="exact"/>
        <w:rPr>
          <w:rFonts w:ascii="Arial" w:cs="Arial" w:eastAsia="Arial" w:hAnsi="Arial"/>
          <w:sz w:val="18"/>
          <w:szCs w:val="18"/>
          <w:color w:val="auto"/>
        </w:rPr>
      </w:pPr>
    </w:p>
    <w:p>
      <w:pPr>
        <w:ind w:left="1960" w:right="60" w:hanging="656"/>
        <w:spacing w:after="0" w:line="277" w:lineRule="auto"/>
        <w:tabs>
          <w:tab w:leader="none" w:pos="1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that any of our products, or any component thereof, infringes on patent rights or other intellectual property rights of third parties.</w:t>
      </w:r>
    </w:p>
    <w:p>
      <w:pPr>
        <w:spacing w:after="0" w:line="170"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In addition, sales of any of our current or future insulin pump products with CGM integration are subject to the continuation of our applicable agreements with Dexcom or other third parties which, under some circumstances, may be subject to termination, with or without cause, on relatively short notice. Sales of our current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95"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Because we currently rely on sales of our t:slim X2 insulin pump and related products to generate a significant majority of our revenue, any factors that negatively impact sales of these products, or result in sales of these products increasing at a lower rate than expected, could adversely affect our business, financial condition and operating results. We believe the COVID-19 global pandemic has had and may continue to have a material adverse impact on sales of our products as it could result in customers delaying their purchasing decisions or physicians pausing prescriptions for our products. It could also have the effect of magnifying the negative impact of any of the factors described above.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Public health threats, such as the COVID-19 global pandemic, have had and could continue to have a material adverse effect on our operations, the operations of our business partners, and the global economy as a whole.*</w:t>
      </w:r>
    </w:p>
    <w:p>
      <w:pPr>
        <w:spacing w:after="0" w:line="130" w:lineRule="exact"/>
        <w:rPr>
          <w:sz w:val="20"/>
          <w:szCs w:val="20"/>
          <w:color w:val="auto"/>
        </w:rPr>
      </w:pPr>
    </w:p>
    <w:p>
      <w:pPr>
        <w:ind w:right="120" w:firstLine="810"/>
        <w:spacing w:after="0" w:line="269" w:lineRule="auto"/>
        <w:rPr>
          <w:sz w:val="20"/>
          <w:szCs w:val="20"/>
          <w:color w:val="auto"/>
        </w:rPr>
      </w:pPr>
      <w:r>
        <w:rPr>
          <w:rFonts w:ascii="Arial" w:cs="Arial" w:eastAsia="Arial" w:hAnsi="Arial"/>
          <w:sz w:val="17"/>
          <w:szCs w:val="17"/>
          <w:color w:val="auto"/>
        </w:rPr>
        <w:t>Public health threats and other highly communicable diseases and outbreaks could adversely impact our operations, the operations of our customers, suppliers, distributors and other business partners, as well as the healthcare system in general. For example, the COVID-19 global pandemic, which is currently affecting numerous countries throughout the world, has resulted in a rapid rise in unemployment and a sudden decrease in global economic activity, and the scope of the COVID-19 global pandemic and its impacts is continuing to fluctuate, and in some instances worsen, in various regions worldwide. While we experienced only a modest negative impact from the COVID-19 global pandemic during the first quarter of 2020, the negative impact during the second and third quarters of 2020 was more pronounced, and we anticipate that our sales and operating results will continue to be adversely impacted in future periods and subject to unpredictable variability. In addition, the recent rise in unemployment and decrease in economic activity due to the COVID-19 global pandemic may negatively impact the affordability of our products for certain customers, which could reduce demand for our products. Further, the initiation of certain programs originally planned for the second and third quarter, such as human factors studies associated with our product development efforts, have been delayed, which has impacted our regulatory strategies and also could have a negative impact on our product commercialization efforts and the future demand for our products.</w:t>
      </w:r>
    </w:p>
    <w:p>
      <w:pPr>
        <w:spacing w:after="0" w:line="155"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The COVID-19 global pandemic, or other similar outbreaks or epidemics, may have an adverse effect on the overall productivity of our workforce, and we may be required to take extraordinary measures to protect the health and safety of our employees and our business partners and reduce the risk of disruptions to our operations. For example, since in March 2020, we have restricted non-essential employee travel, banned visitors from all of our facilities, and transitioned those employees able to perform their job function outside of our facilities to a remote work environment. For our field-based sales and clinical employees, we initially discontinued all in-person activities and began utilizing technology to remotely engage healthcare providers and customers. Where permitted, in-person activities have resumed, though the scope and scale have been limited and we still rely heavily on remote engagement. For our employees in manufacturing and warehousing positions involved in production and fulfillment operations, we have implemented preventative measures to comply with physical distancing requirements and have taken measures to help ensure safety, including requiring temperature checks for our employees before each shift. We have also increased our staffing in certain operations in order to mitigate potential risks associated with increases in unplanned employee absences or illness. Our adoption of these preventive measures has resulted in incremental costs that have negatively impacted our gross margin, and the impacts could be greater in future periods. In addition, for the duration of the COVID-19 global pandemic, our employees may be required to continue to operate within a remote work environment for extended periods of time due to illness, travel restrictions, government-imposed orders, school closures or for other reasons, any of which could result in reduced productivity of our workforce.</w:t>
      </w:r>
    </w:p>
    <w:p>
      <w:pPr>
        <w:spacing w:after="0" w:line="133"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In addition to the foregoing impacts, disruptions from the COVID-19 global pandemic, or other similar outbreaks or epidemics, could result in delays in or the suspension of our manufacturing operations, research and product development activities, regulatory work streams, clinical development programs and other important commercial functions. In particular, if we were required to delay or suspend our manufacturing operations, we may encounter severe product shortages, which would adversely affect our results of operations and harm our reputation. We are also dependent upon our third-party suppliers for many of our product components, and the COVID-19 global pandemic could have a material adverse impact on the operations of one or more of our suppliers, which could prevent them from delivering products to us on a timely basis, or at all. For example, we continue to focus on increasing our cartridge inventory to targeted levels, but there can be no assurance that we or our third-party cartridge manufacturer will be able to manufacture cartridges in the quantities we require to meet product demand. In addition, in the second quarter of 2020 our primary infusion set manufacturer experienced certain inventory constraints. There can be no assurance our supplier will be able to provide infusion sets in the quantities we require to meet customer demand. If we experience these or similar manufacturing challenges in the future, it could have a negative impact on product sales and harm our reputation.</w:t>
      </w:r>
    </w:p>
    <w:p>
      <w:pPr>
        <w:spacing w:after="0" w:line="151" w:lineRule="exact"/>
        <w:rPr>
          <w:sz w:val="20"/>
          <w:szCs w:val="20"/>
          <w:color w:val="auto"/>
        </w:rPr>
      </w:pPr>
    </w:p>
    <w:p>
      <w:pPr>
        <w:jc w:val="both"/>
        <w:ind w:right="200" w:firstLine="810"/>
        <w:spacing w:after="0" w:line="259" w:lineRule="auto"/>
        <w:rPr>
          <w:sz w:val="20"/>
          <w:szCs w:val="20"/>
          <w:color w:val="auto"/>
        </w:rPr>
      </w:pPr>
      <w:r>
        <w:rPr>
          <w:rFonts w:ascii="Arial" w:cs="Arial" w:eastAsia="Arial" w:hAnsi="Arial"/>
          <w:sz w:val="18"/>
          <w:szCs w:val="18"/>
          <w:color w:val="auto"/>
        </w:rPr>
        <w:t>The full extent of the impact of the COVID-19 global pandemic on our business and operations is highly uncertain and subject to change, and will continue to depend on a number of factors, including the scope and duration of the pandemic. We expect any further spread of the COVID-19 global pandemic, or even the threat or perception that this could occur, or any protracted duration of decreased economic activity, could have a material adverse impact on our business, operations and financial results.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in line with our projections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product development or commercialization delays, the impacts and disruptions caused by the COVID-19 global pandemic, or for other reasons.</w:t>
      </w:r>
    </w:p>
    <w:p>
      <w:pPr>
        <w:spacing w:after="0" w:line="185" w:lineRule="exact"/>
        <w:rPr>
          <w:sz w:val="20"/>
          <w:szCs w:val="20"/>
          <w:color w:val="auto"/>
        </w:rPr>
      </w:pPr>
    </w:p>
    <w:p>
      <w:pPr>
        <w:ind w:right="220" w:firstLine="810"/>
        <w:spacing w:after="0" w:line="301" w:lineRule="auto"/>
        <w:rPr>
          <w:sz w:val="20"/>
          <w:szCs w:val="20"/>
          <w:color w:val="auto"/>
        </w:rPr>
      </w:pPr>
      <w:r>
        <w:rPr>
          <w:rFonts w:ascii="Arial" w:cs="Arial" w:eastAsia="Arial" w:hAnsi="Arial"/>
          <w:sz w:val="16"/>
          <w:szCs w:val="16"/>
          <w:color w:val="auto"/>
        </w:rPr>
        <w:t>Further, the COVID-19 global pandemic has resulted in substantial restrictions on our engagement efforts with customers and healthcare providers, including through the cancellation or postponement of company-sponsored educational events, as well as third-party conferences, trade shows and similar events. These restrictions are likely to negatively impact our ability to promote our new products and features to customers and healthcare providers, which could adversely impact our product sales and customer retention rates, as well as the strength of our brand.</w:t>
      </w:r>
    </w:p>
    <w:p>
      <w:pPr>
        <w:spacing w:after="0" w:line="157"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4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jc w:val="both"/>
        <w:ind w:right="20" w:firstLine="810"/>
        <w:spacing w:after="0" w:line="311"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149" w:lineRule="exact"/>
        <w:rPr>
          <w:sz w:val="20"/>
          <w:szCs w:val="20"/>
          <w:color w:val="auto"/>
        </w:rPr>
      </w:pPr>
    </w:p>
    <w:p>
      <w:pPr>
        <w:ind w:right="140" w:firstLine="810"/>
        <w:spacing w:after="0" w:line="296" w:lineRule="auto"/>
        <w:rPr>
          <w:sz w:val="20"/>
          <w:szCs w:val="20"/>
          <w:color w:val="auto"/>
        </w:rPr>
      </w:pPr>
      <w:r>
        <w:rPr>
          <w:rFonts w:ascii="Arial" w:cs="Arial" w:eastAsia="Arial" w:hAnsi="Arial"/>
          <w:sz w:val="16"/>
          <w:szCs w:val="16"/>
          <w:color w:val="auto"/>
        </w:rPr>
        <w:t>Our primary competitors are major medical device companies that are publicly traded companies or divisions or subsidiaries of publicly traded companies, including Insulet and Medtronic MiniMed. In addition, Eli Lilly &amp; Co. is developing an insulin pump.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61" w:lineRule="exact"/>
        <w:rPr>
          <w:sz w:val="20"/>
          <w:szCs w:val="20"/>
          <w:color w:val="auto"/>
        </w:rPr>
      </w:pPr>
    </w:p>
    <w:p>
      <w:pPr>
        <w:ind w:left="1940" w:hanging="636"/>
        <w:spacing w:after="0"/>
        <w:tabs>
          <w:tab w:leader="none" w:pos="1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regulatory uncertainty, or challenges within the financial markets;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market share and established base of customers;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experience in conducting R&amp;D, manufacturing, clinical trials, and obtaining regulatory approval or clearance.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400" w:firstLine="810"/>
        <w:spacing w:after="0" w:line="263"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Insulet offers an insulin pump with a tubeless delivery system that does not utilize an infusion set and Medtronic recently announced the acquisition of a connected insulin pen delivery device.</w:t>
      </w:r>
    </w:p>
    <w:p>
      <w:pPr>
        <w:spacing w:after="0" w:line="184"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Since 2017 Abbott has launched new blood glucose sensors which compete with Dexcom CGMs. In June 2020, we entered into an agreement with Abbott to develop and commercialize integrated diabetes solutions. There can be no assurance that our collaboration with Abbott will be successful or that we will not experience unanticipated challenges or delays. Competitive pressures within our industry, as well as the impacts and disruptions associated with the COVID-19 global pandemic, could negatively impact the financial condition of our business partners, impact their ability to fulfill contractual obligations to us, and result in harm to our financial condition and operating results.</w:t>
      </w:r>
    </w:p>
    <w:p>
      <w:pPr>
        <w:spacing w:after="0" w:line="178" w:lineRule="exact"/>
        <w:rPr>
          <w:sz w:val="20"/>
          <w:szCs w:val="20"/>
          <w:color w:val="auto"/>
        </w:rPr>
      </w:pPr>
    </w:p>
    <w:p>
      <w:pPr>
        <w:ind w:right="380" w:firstLine="810"/>
        <w:spacing w:after="0" w:line="342" w:lineRule="auto"/>
        <w:rPr>
          <w:sz w:val="20"/>
          <w:szCs w:val="20"/>
          <w:color w:val="auto"/>
        </w:rPr>
      </w:pPr>
      <w:r>
        <w:rPr>
          <w:rFonts w:ascii="Arial" w:cs="Arial" w:eastAsia="Arial" w:hAnsi="Arial"/>
          <w:sz w:val="16"/>
          <w:szCs w:val="16"/>
          <w:color w:val="auto"/>
        </w:rPr>
        <w:t>For these and other reasons, we may not be able to compete successfully against our current or potential future competitors. As a result, our product sales may be negatively affected, which could have a material adverse impact on our financial condition and operating results.</w:t>
      </w:r>
    </w:p>
    <w:p>
      <w:pPr>
        <w:spacing w:after="0" w:line="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right="40" w:firstLine="810"/>
        <w:spacing w:after="0" w:line="271" w:lineRule="auto"/>
        <w:rPr>
          <w:sz w:val="20"/>
          <w:szCs w:val="20"/>
          <w:color w:val="auto"/>
        </w:rPr>
      </w:pPr>
      <w:r>
        <w:rPr>
          <w:rFonts w:ascii="Arial" w:cs="Arial" w:eastAsia="Arial" w:hAnsi="Arial"/>
          <w:sz w:val="17"/>
          <w:szCs w:val="17"/>
          <w:color w:val="auto"/>
        </w:rPr>
        <w:t>Our ability to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78" w:lineRule="exact"/>
        <w:rPr>
          <w:sz w:val="20"/>
          <w:szCs w:val="20"/>
          <w:color w:val="auto"/>
        </w:rPr>
      </w:pPr>
    </w:p>
    <w:p>
      <w:pPr>
        <w:ind w:right="100" w:firstLine="810"/>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6"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Moreover, we have designed our hardware products to resemble modern consumer electronic devices to address certain embarrassment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right="100" w:firstLine="810"/>
        <w:spacing w:after="0" w:line="271" w:lineRule="auto"/>
        <w:rPr>
          <w:sz w:val="20"/>
          <w:szCs w:val="20"/>
          <w:color w:val="auto"/>
        </w:rPr>
      </w:pPr>
      <w:r>
        <w:rPr>
          <w:rFonts w:ascii="Arial" w:cs="Arial" w:eastAsia="Arial" w:hAnsi="Arial"/>
          <w:sz w:val="17"/>
          <w:szCs w:val="17"/>
          <w:color w:val="auto"/>
        </w:rPr>
        <w:t>Our current business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960" w:right="600" w:hanging="656"/>
        <w:spacing w:after="0" w:line="342" w:lineRule="auto"/>
        <w:tabs>
          <w:tab w:leader="none" w:pos="19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23" w:lineRule="exact"/>
        <w:rPr>
          <w:rFonts w:ascii="Arial" w:cs="Arial" w:eastAsia="Arial" w:hAnsi="Arial"/>
          <w:sz w:val="16"/>
          <w:szCs w:val="16"/>
          <w:color w:val="auto"/>
        </w:rPr>
      </w:pPr>
    </w:p>
    <w:p>
      <w:pPr>
        <w:ind w:left="1960" w:hanging="656"/>
        <w:spacing w:after="0" w:line="277" w:lineRule="auto"/>
        <w:tabs>
          <w:tab w:leader="none" w:pos="1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 available insulin treatment methodologies;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products, or components thereof, or of similar products or technologies of our competitors;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237"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We anticipate that customers may delay their purchasing decisions, or physicians may pause prescriptions of our products, as a result of the COVID-19 global pandemic.</w:t>
      </w:r>
    </w:p>
    <w:p>
      <w:pPr>
        <w:spacing w:after="0" w:line="188" w:lineRule="exact"/>
        <w:rPr>
          <w:sz w:val="20"/>
          <w:szCs w:val="20"/>
          <w:color w:val="auto"/>
        </w:rPr>
      </w:pPr>
    </w:p>
    <w:p>
      <w:pPr>
        <w:ind w:right="500" w:firstLine="810"/>
        <w:spacing w:after="0" w:line="308"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Effective January 1, 2020, in addition to the existing reimbursement code for insulin pumps, CMS established additional reimbursement codes for insulin pumps with AID and CGM integration and associated supplies. In light of complexities surrounding use and payment of the codes, CMS subsequently determined the new codes will not be valid for Medicare submission at this time.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68"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We currently have contracts establishing reimbursement for our insulin pump products with a number of national and regional third-party payors in the United States. While we may enter into additional contracts both domestically and internationally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1"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 We anticipate that selling our products to customers with higher insulin requirements, including customers with type 2 diabetes, may be even more difficult following our decision to discontinue sales of new t:flex pumps in the third quarter of 2018.</w:t>
      </w:r>
    </w:p>
    <w:p>
      <w:pPr>
        <w:spacing w:after="0" w:line="188"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In addition, due to the current COVID-19 global pandemic, starting in March 2020 we temporarily discontinued in-person activities for our field-based sales and clinical employees and are utilizing technology to remotely engage healthcare providers and customers. While we have authorized limited in-person activities to resume, many restrictions persist that have been imposed by state and local governments, as well as by the health systems and professional organizations with which we interact. The duration of these restrictions on our field-based employees remains highly uncertain, and it is difficult to predict the extent of any adverse impacts on the demand for our products resulting from these restrictions.</w:t>
      </w:r>
    </w:p>
    <w:p>
      <w:pPr>
        <w:spacing w:after="0" w:line="176" w:lineRule="exact"/>
        <w:rPr>
          <w:sz w:val="20"/>
          <w:szCs w:val="20"/>
          <w:color w:val="auto"/>
        </w:rPr>
      </w:pPr>
    </w:p>
    <w:p>
      <w:pPr>
        <w:jc w:val="both"/>
        <w:ind w:right="20" w:firstLine="810"/>
        <w:spacing w:after="0" w:line="259" w:lineRule="auto"/>
        <w:rPr>
          <w:sz w:val="20"/>
          <w:szCs w:val="20"/>
          <w:color w:val="auto"/>
        </w:rPr>
      </w:pPr>
      <w:r>
        <w:rPr>
          <w:rFonts w:ascii="Arial" w:cs="Arial" w:eastAsia="Arial" w:hAnsi="Arial"/>
          <w:sz w:val="18"/>
          <w:szCs w:val="18"/>
          <w:color w:val="auto"/>
        </w:rPr>
        <w:t>Our financial condition and operating results are and will continue to be highly dependent on our ability to adequately promote, market and sell our t:slim X2 insulin pump and related products, and the ability of our diabetes educators to train new customers on the use of our products. If our sales and marketing representatives or diabetes educators continue to be restricted in their ability to interact with healthcare providers and customers, our sales could decrease or may not increase at levels that are in line with our forecasts.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commenced commercial sales in 2012. However, we have faced considerable challenges in growing and managing these resources, including with respect to recruiting, training and assimilation of sales territories. We expect to continue to face significant challenges as we seek to further increase the number of our sales, clinical and customer service personnel in order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72"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We expect the oversight of our sales, marketing, clinical and customer service personnel will continue to place significant burdens on our management team. These burdens may be even higher while we seek to manage and expand a remote workforce during the duration of the COVID-19 global pandemic.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46"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For the year ended December 31, 2019, sales to approximately 55 independent distributors represented approximately 76% of our sales. 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of the United States generally have longer initial terms and, in addition to being terminable in connection with a party’s material breach, include provisions that allow us to terminate those agreements prior to their ordinary expiration in specified circumstances. If we are unable to maintain or expand our network of independent distributors, our sales may be negatively affected.</w:t>
      </w:r>
    </w:p>
    <w:p>
      <w:pPr>
        <w:spacing w:after="0" w:line="179"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For the year ended December 31, 2019, our two largest independent distributors in the United States collectively comprised approximately 31% of our worldwide sales, and our three largest independent international distributors collectively comprised approximately 60% of our international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180" w:firstLine="810"/>
        <w:spacing w:after="0" w:line="291"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13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24" w:lineRule="exact"/>
        <w:rPr>
          <w:sz w:val="20"/>
          <w:szCs w:val="20"/>
          <w:color w:val="auto"/>
        </w:rPr>
      </w:pPr>
    </w:p>
    <w:p>
      <w:pPr>
        <w:ind w:right="160" w:firstLine="810"/>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5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6" w:lineRule="exact"/>
        <w:rPr>
          <w:sz w:val="20"/>
          <w:szCs w:val="20"/>
          <w:color w:val="auto"/>
        </w:rPr>
      </w:pPr>
    </w:p>
    <w:p>
      <w:pPr>
        <w:ind w:right="20" w:firstLine="810"/>
        <w:spacing w:after="0" w:line="291" w:lineRule="auto"/>
        <w:rPr>
          <w:sz w:val="20"/>
          <w:szCs w:val="20"/>
          <w:color w:val="auto"/>
        </w:rPr>
      </w:pPr>
      <w:r>
        <w:rPr>
          <w:rFonts w:ascii="Arial" w:cs="Arial" w:eastAsia="Arial" w:hAnsi="Arial"/>
          <w:sz w:val="16"/>
          <w:szCs w:val="16"/>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6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70"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operate in a competitive and rapidly evolving market. Important industry changes, such as the FDA approval and launch of new products by our competitors, as well as changes specific to our business, such as the timing of our launch of new products currently in development and our potential expansion of commercial sales in international markets, combine to make it more difficult for us to predict our future sales and operating results, as well as our expected timeframe to achieve profitability. The significant uncertainty resulting from the COVID-19 global pandemic will make it more difficult for us to accurately forecast our financial results and achieve sustained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9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940" w:hanging="636"/>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960" w:right="160" w:hanging="656"/>
        <w:spacing w:after="0" w:line="308" w:lineRule="auto"/>
        <w:tabs>
          <w:tab w:leader="none" w:pos="19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46" w:lineRule="exact"/>
        <w:rPr>
          <w:rFonts w:ascii="Arial" w:cs="Arial" w:eastAsia="Arial" w:hAnsi="Arial"/>
          <w:sz w:val="17"/>
          <w:szCs w:val="17"/>
          <w:color w:val="auto"/>
        </w:rPr>
      </w:pPr>
    </w:p>
    <w:p>
      <w:pPr>
        <w:ind w:left="1960" w:right="500" w:hanging="656"/>
        <w:spacing w:after="0" w:line="277"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960" w:right="280" w:hanging="656"/>
        <w:spacing w:after="0" w:line="277"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 and maintain regulatory clearance or approval to enhance our existing products and commercialize proposed products;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ability to achieve profitability will depend, in part, on our ability to reduce the per-unit cost of our products while also increasing production volume.*</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are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810"/>
        <w:spacing w:after="0" w:line="271" w:lineRule="auto"/>
        <w:rPr>
          <w:sz w:val="20"/>
          <w:szCs w:val="20"/>
          <w:color w:val="auto"/>
        </w:rPr>
      </w:pPr>
      <w:r>
        <w:rPr>
          <w:rFonts w:ascii="Arial" w:cs="Arial" w:eastAsia="Arial" w:hAnsi="Arial"/>
          <w:sz w:val="17"/>
          <w:szCs w:val="17"/>
          <w:color w:val="auto"/>
        </w:rPr>
        <w:t>In response to the COVID-19 global pandemic, we have taken steps to prioritize the health and safety of our employees and customers, while working to maintain a continuous supply of products, training and customer support. For example, we have implemented preventative safety measures for our employees involved in production and fulfillment operations as well as for any field-based employees. For employees in other functions, we have adopted measures designed to help employees remain effective in a work-from-home environment. We have also increased our staffing in certain operations in order to mitigate potential risks associated with increases in unplanned employee absences or illness. Each of these measures has resulted in unanticipated expenses that will negatively impact our gross margin and may adversely impact our ability to achieve profitability. We may also incur additional incremental expenses to help us support our ongoing operations during a period of unpredictable variability in the demand for our products, including throughout the duration of the COVID-19 pandemic.</w:t>
      </w:r>
    </w:p>
    <w:p>
      <w:pPr>
        <w:spacing w:after="0" w:line="178"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87" w:lineRule="exact"/>
        <w:rPr>
          <w:sz w:val="20"/>
          <w:szCs w:val="20"/>
          <w:color w:val="auto"/>
        </w:rPr>
      </w:pPr>
    </w:p>
    <w:p>
      <w:pPr>
        <w:ind w:right="80" w:firstLine="810"/>
        <w:spacing w:after="0" w:line="293" w:lineRule="auto"/>
        <w:rPr>
          <w:sz w:val="20"/>
          <w:szCs w:val="20"/>
          <w:color w:val="auto"/>
        </w:rPr>
      </w:pPr>
      <w:r>
        <w:rPr>
          <w:rFonts w:ascii="Arial" w:cs="Arial" w:eastAsia="Arial" w:hAnsi="Arial"/>
          <w:sz w:val="16"/>
          <w:szCs w:val="16"/>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 unit costs, which would adversely impact our gross margins. Further, we may not achieve anticipated improvements in manufacturing efficiency as we undertake actions to expand our manufacturing capacity.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84" w:lineRule="exact"/>
        <w:rPr>
          <w:sz w:val="20"/>
          <w:szCs w:val="20"/>
          <w:color w:val="auto"/>
        </w:rPr>
      </w:pPr>
    </w:p>
    <w:p>
      <w:pPr>
        <w:ind w:left="1940" w:hanging="636"/>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inability to secure product components in a timely manner, in sufficient quantities and on commercially reasonable terms;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960" w:right="120" w:hanging="656"/>
        <w:spacing w:after="0" w:line="308" w:lineRule="auto"/>
        <w:tabs>
          <w:tab w:leader="none" w:pos="19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government-mandated or voluntary closures of our manufacturing facilities;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facilities.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810"/>
        <w:spacing w:after="0" w:line="271"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78"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In response to the COVID-19 global pandemic, in early 2020 we initiated discussions with our key suppliers regarding their abilities to fulfill existing orders and we have continued to regularly assess their capacity. In the second quarter of 2020, our primary infusion set manufacturer experienced certain inventory constraints which resulted in our having to ask some customers to accept substitutions of similar products to prevent delays in order fulfillment. Additionally, our cartridge inventory was below our targeted stocking levels. We now have pump and infusion set inventory on hand that meets targeted stocking levels and continue to focus on increasing our cartridge inventory level. Currently, we do not anticipate a significant disruption in our ability to manufacture insulin pumps and cartridges, nor do we anticipate our third-party manufacturers will be unable to provide sufficient quantities to meet product demand. If we experience these or similar manufacturing challenges in the future, it could have a negative impact on product sales and harm our reputation.</w:t>
      </w:r>
    </w:p>
    <w:p>
      <w:pPr>
        <w:spacing w:after="0" w:line="192" w:lineRule="exact"/>
        <w:rPr>
          <w:sz w:val="20"/>
          <w:szCs w:val="20"/>
          <w:color w:val="auto"/>
        </w:rPr>
      </w:pPr>
    </w:p>
    <w:p>
      <w:pPr>
        <w:jc w:val="both"/>
        <w:ind w:right="340" w:firstLine="810"/>
        <w:spacing w:after="0" w:line="248" w:lineRule="auto"/>
        <w:rPr>
          <w:sz w:val="20"/>
          <w:szCs w:val="20"/>
          <w:color w:val="auto"/>
        </w:rPr>
      </w:pPr>
      <w:r>
        <w:rPr>
          <w:rFonts w:ascii="Arial" w:cs="Arial" w:eastAsia="Arial" w:hAnsi="Arial"/>
          <w:sz w:val="18"/>
          <w:szCs w:val="18"/>
          <w:color w:val="auto"/>
        </w:rPr>
        <w:t>If we and our suppliers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41"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100"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78"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or problems with their own suppliers.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We generally use a small number of suppliers for our components and products, some of which are located outside the United States, including in China and Mexico. Depending on a limited number of suppliers exposes us to risks, including limited control over costs such as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These risks associated with the procurement of critical components from a limited number of suppliers may be increased as a result of the COVID-19 global pandemic.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68"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We expect it will be particularly difficult to accurately forecast demand during the global pandemic.</w:t>
      </w:r>
    </w:p>
    <w:p>
      <w:pPr>
        <w:spacing w:after="0" w:line="188"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cannot reliably manufacture our proprietary infusion set connector, or if it does not achieve market acceptance, we may not achieve our financial projections.*</w:t>
      </w:r>
    </w:p>
    <w:p>
      <w:pPr>
        <w:spacing w:after="0" w:line="170"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In September 2017, we began commercial sales in the United States of products with our customized t:lock connector, which is used to connect our pump cartridge to our infusion set offerings. Our t:lock connector replaced the standard luer-lock connector that historically joined an infusion set to our proprietary disposable insulin cartridges. Concurrently, we began selling infusion sets that are compatible with our t:lock connector. Starting in 2018, we initially offered standard luer-lock cartridges and infusion sets in select international markets, and transitioned to our t:lock connector in international markets during 2019.</w:t>
      </w:r>
    </w:p>
    <w:p>
      <w:pPr>
        <w:spacing w:after="0" w:line="188"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We believe the transition to the t:lock connector, for our direct customers and distributors in the United States and international markets, is substantially complete. However, during 2020 there may be limited circumstances where we continue offering both styles of cartridges and infusion sets in international markets to facilitate the transition of customer supplies. Due to the variability in purchasing patterns, standard luer-lock inventories may not be consumed at the predicted rates and we may be required to offer both styles of insulin cartridges and infusion sets for a longer period than anticipated or we may be left with excess quantities of standard luer-lock inventories that we cannot sell at standard prices or at all, which would negatively impact our results of operations.</w:t>
      </w:r>
    </w:p>
    <w:p>
      <w:pPr>
        <w:spacing w:after="0" w:line="192"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While the t:lock connector was designed based on customer feedback, and all standard luer-lock infusion sets that we recently offered are now available with the t:lock connector, it is possible that t:lock may not continue to gain market acceptance by current or potential customers, their caregivers, or healthcare providers. Any negative market response to the t:lock connector may impact a current customer’s decision to purchase a new pump from us at the time of renewal. In addition, potential customers may decide not to purchase our insulin pumps if they do not prefer the t:lock connector or t:lock compatible infusion sets, which could have a material adverse impact on our business, financial condition and operating results.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b w:val="1"/>
          <w:bCs w:val="1"/>
          <w:i w:val="1"/>
          <w:iCs w:val="1"/>
          <w:color w:val="auto"/>
        </w:rPr>
        <w:t>Our business operations are primarily located in San Diego, California, and any disruption at one of our facilities could adversely affect our business and operating results.*</w:t>
      </w:r>
    </w:p>
    <w:p>
      <w:pPr>
        <w:spacing w:after="0" w:line="170" w:lineRule="exact"/>
        <w:rPr>
          <w:sz w:val="20"/>
          <w:szCs w:val="20"/>
          <w:color w:val="auto"/>
        </w:rPr>
      </w:pPr>
    </w:p>
    <w:p>
      <w:pPr>
        <w:jc w:val="both"/>
        <w:ind w:right="180" w:firstLine="810"/>
        <w:spacing w:after="0" w:line="286" w:lineRule="auto"/>
        <w:rPr>
          <w:sz w:val="20"/>
          <w:szCs w:val="20"/>
          <w:color w:val="auto"/>
        </w:rPr>
      </w:pPr>
      <w:r>
        <w:rPr>
          <w:rFonts w:ascii="Arial" w:cs="Arial" w:eastAsia="Arial" w:hAnsi="Arial"/>
          <w:sz w:val="16"/>
          <w:szCs w:val="16"/>
          <w:color w:val="auto"/>
        </w:rPr>
        <w:t>Substantially all of our current operations are conducted in San Diego, California, including our manufacturing processes, R&amp;D activities and management and administrative functions. In addition, the majority of our inventories of component supplies and finished goods is stored at two facilities in San Diego. In the second half of 2019, we commenced customer and technical support activities in Boise, Idaho. We expect our operations in Boise to expand substantially over the next 12 months. We take precautions to safeguard our facilities, including by acquiring insurance, employing back-</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up generators, adopting health and safety protocols and utilizing off-site storage of computer data. However, vandalism, terrorism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experience the anticipated operating efficiencies from the transition of our manufacturing and warehousing operations.*</w:t>
      </w:r>
    </w:p>
    <w:p>
      <w:pPr>
        <w:spacing w:after="0" w:line="237" w:lineRule="exact"/>
        <w:rPr>
          <w:sz w:val="20"/>
          <w:szCs w:val="20"/>
          <w:color w:val="auto"/>
        </w:rPr>
      </w:pPr>
    </w:p>
    <w:p>
      <w:pPr>
        <w:ind w:right="160" w:firstLine="810"/>
        <w:spacing w:after="0" w:line="287" w:lineRule="auto"/>
        <w:rPr>
          <w:sz w:val="20"/>
          <w:szCs w:val="20"/>
          <w:color w:val="auto"/>
        </w:rPr>
      </w:pPr>
      <w:r>
        <w:rPr>
          <w:rFonts w:ascii="Arial" w:cs="Arial" w:eastAsia="Arial" w:hAnsi="Arial"/>
          <w:sz w:val="16"/>
          <w:szCs w:val="16"/>
          <w:color w:val="auto"/>
        </w:rPr>
        <w:t>At the beginning of 2018 we completed the transition of our manufacturing operations to a facility located on Barnes Canyon Road in San Diego, and during the fourth quarter of 2019 we commenced operations at a new logistics warehouse in San Diego. We expect that both of these actions will allow for future capacity for product manufacturing and warehousing expansion. However, we may not experience the anticipated operating efficiencies at either facility. In addition, beginning in 2020 we outsourced a portion of our cartridge manufacturing demand to an experienced third-party contract manufacturer. If we fail to achieve the operating efficiencies that we anticipate, our manufacturing and operating costs may be greater than expected, which would have a material adverse impact on our operating results. In addition, we or our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our contract manufacturer, we may not be able to quickly establish additional or alternative arrangements.</w:t>
      </w:r>
    </w:p>
    <w:p>
      <w:pPr>
        <w:spacing w:after="0" w:line="172" w:lineRule="exact"/>
        <w:rPr>
          <w:sz w:val="20"/>
          <w:szCs w:val="20"/>
          <w:color w:val="auto"/>
        </w:rPr>
      </w:pPr>
    </w:p>
    <w:p>
      <w:pPr>
        <w:ind w:right="140" w:firstLine="810"/>
        <w:spacing w:after="0" w:line="273" w:lineRule="auto"/>
        <w:rPr>
          <w:sz w:val="20"/>
          <w:szCs w:val="20"/>
          <w:color w:val="auto"/>
        </w:rPr>
      </w:pPr>
      <w:r>
        <w:rPr>
          <w:rFonts w:ascii="Arial" w:cs="Arial" w:eastAsia="Arial" w:hAnsi="Arial"/>
          <w:sz w:val="17"/>
          <w:szCs w:val="17"/>
          <w:color w:val="auto"/>
        </w:rPr>
        <w:t>We expect that the management and support of our new facilities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external third parties to perform contracted manufacturing services for us.</w:t>
      </w:r>
    </w:p>
    <w:p>
      <w:pPr>
        <w:spacing w:after="0" w:line="1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portfolio to meet the demands of our market, we may fail to effectively compete, which may impede our ability to become profitable.</w:t>
      </w:r>
    </w:p>
    <w:p>
      <w:pPr>
        <w:spacing w:after="0" w:line="170"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61" w:lineRule="exact"/>
        <w:rPr>
          <w:sz w:val="20"/>
          <w:szCs w:val="20"/>
          <w:color w:val="auto"/>
        </w:rPr>
      </w:pPr>
    </w:p>
    <w:p>
      <w:pPr>
        <w:ind w:left="1960" w:right="520" w:hanging="656"/>
        <w:spacing w:after="0" w:line="308" w:lineRule="auto"/>
        <w:tabs>
          <w:tab w:leader="none" w:pos="19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225" w:lineRule="exact"/>
        <w:rPr>
          <w:sz w:val="20"/>
          <w:szCs w:val="20"/>
          <w:color w:val="auto"/>
        </w:rPr>
      </w:pPr>
    </w:p>
    <w:p>
      <w:pPr>
        <w:ind w:right="180" w:firstLine="810"/>
        <w:spacing w:after="0" w:line="269" w:lineRule="auto"/>
        <w:rPr>
          <w:sz w:val="20"/>
          <w:szCs w:val="20"/>
          <w:color w:val="auto"/>
        </w:rPr>
      </w:pPr>
      <w:r>
        <w:rPr>
          <w:rFonts w:ascii="Arial" w:cs="Arial" w:eastAsia="Arial" w:hAnsi="Arial"/>
          <w:sz w:val="17"/>
          <w:szCs w:val="17"/>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70"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Studies to evaluate the safety or effectiveness of our products in a controlled setting are only recently available.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and we remain subject to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95"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7"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181"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72" w:lineRule="exact"/>
        <w:rPr>
          <w:sz w:val="20"/>
          <w:szCs w:val="20"/>
          <w:color w:val="auto"/>
        </w:rPr>
      </w:pPr>
    </w:p>
    <w:p>
      <w:pPr>
        <w:ind w:right="60" w:firstLine="810"/>
        <w:spacing w:after="0" w:line="269" w:lineRule="auto"/>
        <w:rPr>
          <w:sz w:val="20"/>
          <w:szCs w:val="20"/>
          <w:color w:val="auto"/>
        </w:rPr>
      </w:pPr>
      <w:r>
        <w:rPr>
          <w:rFonts w:ascii="Arial" w:cs="Arial" w:eastAsia="Arial" w:hAnsi="Arial"/>
          <w:sz w:val="17"/>
          <w:szCs w:val="17"/>
          <w:color w:val="auto"/>
        </w:rPr>
        <w:t>For example, we have entered into multiple development agreements with Dexcom, which provide us non-exclusive licenses to integrate various currently available generations of Dexcom CGM technology with our insulin pump products. Our agreements with Dexcom related to G5 and G6 CGM currently run until June 2021 with automatic one-year renewals unless a party provides prior notice to the contrary. Under certain circumstances, these agreements may be terminated by either party without cause or on short notice. Our current agreements with Dexcom do not grant us rights to integrate future generations of Dexcom CGM technology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We operate our business in regions subject to natural disasters, including earthquakes, hurricanes, floods, fires and other catastrophic events. For example, a portion of our office facilities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to sensitive information relating to our customers, suppliers, employees or other individuals, which could damage our relationships, expose us to litigation or regulatory proceedings, or harm our reputation, any of which could have an adverse and material effect on our business, financial condition and operating results.*</w:t>
      </w:r>
    </w:p>
    <w:p>
      <w:pPr>
        <w:spacing w:after="0" w:line="188" w:lineRule="exact"/>
        <w:rPr>
          <w:sz w:val="20"/>
          <w:szCs w:val="20"/>
          <w:color w:val="auto"/>
        </w:rPr>
      </w:pPr>
    </w:p>
    <w:p>
      <w:pPr>
        <w:ind w:right="20" w:firstLine="810"/>
        <w:spacing w:after="0" w:line="290" w:lineRule="auto"/>
        <w:rPr>
          <w:sz w:val="20"/>
          <w:szCs w:val="20"/>
          <w:color w:val="auto"/>
        </w:rPr>
      </w:pPr>
      <w:r>
        <w:rPr>
          <w:rFonts w:ascii="Arial" w:cs="Arial" w:eastAsia="Arial" w:hAnsi="Arial"/>
          <w:sz w:val="16"/>
          <w:szCs w:val="16"/>
          <w:color w:val="auto"/>
        </w:rPr>
        <w:t>The efficient operation of our business depends on our information technology and communication systems, as well as those of our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our t:connect uploader software and cloud-based web application, our current and future mobile applications, as well as those involved in the operation of our Tandem Device Updater,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165"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as well as the risk that one or more of our employees may fail to comply, whether knowingly or accidentally, with established security measures, or with internal policies relating to use, storage or transmission of confidential or sensitive information. We are unable to predict the direct or indirect impact of any such incidents to our business. Further, many of our service providers are subject to similar risks. Whether or not our security measures and those of our service providers are ultimately successful, our expenditures on those measures could have an adverse impact on our financial condition and results of operations, and divert management’s attention from pursuing our strategic objectives.</w:t>
      </w:r>
    </w:p>
    <w:p>
      <w:pPr>
        <w:spacing w:after="0" w:line="168"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In addition to the risks regarding information technology systems and processing of sensitive information, our insulin pumps and other products rely on software that could contain unanticipated vulnerabilities, which could make our products subject to computer viruses, cyber-attacks, or failures. These risks significantly increased after July 2016, when we received FDA clearance of our Tandem Device Updater, which enables customers to remotely update software on their insulin pumps and may be higher following the launch of our new mobile application in the second half of 2020.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 or new features to our existing applications.</w:t>
      </w:r>
    </w:p>
    <w:p>
      <w:pPr>
        <w:spacing w:after="0" w:line="195" w:lineRule="exact"/>
        <w:rPr>
          <w:sz w:val="20"/>
          <w:szCs w:val="20"/>
          <w:color w:val="auto"/>
        </w:rPr>
      </w:pPr>
    </w:p>
    <w:p>
      <w:pPr>
        <w:ind w:right="160" w:firstLine="810"/>
        <w:spacing w:after="0" w:line="290" w:lineRule="auto"/>
        <w:rPr>
          <w:sz w:val="20"/>
          <w:szCs w:val="20"/>
          <w:color w:val="auto"/>
        </w:rPr>
      </w:pPr>
      <w:r>
        <w:rPr>
          <w:rFonts w:ascii="Arial" w:cs="Arial" w:eastAsia="Arial" w:hAnsi="Arial"/>
          <w:sz w:val="16"/>
          <w:szCs w:val="16"/>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experienced a breach of our information technology systems in January 2020.*</w:t>
      </w:r>
    </w:p>
    <w:p>
      <w:pPr>
        <w:spacing w:after="0" w:line="225" w:lineRule="exact"/>
        <w:rPr>
          <w:sz w:val="20"/>
          <w:szCs w:val="20"/>
          <w:color w:val="auto"/>
        </w:rPr>
      </w:pPr>
    </w:p>
    <w:p>
      <w:pPr>
        <w:jc w:val="both"/>
        <w:ind w:firstLine="810"/>
        <w:spacing w:after="0" w:line="291" w:lineRule="auto"/>
        <w:rPr>
          <w:sz w:val="20"/>
          <w:szCs w:val="20"/>
          <w:color w:val="auto"/>
        </w:rPr>
      </w:pPr>
      <w:r>
        <w:rPr>
          <w:rFonts w:ascii="Arial" w:cs="Arial" w:eastAsia="Arial" w:hAnsi="Arial"/>
          <w:sz w:val="16"/>
          <w:szCs w:val="16"/>
          <w:color w:val="auto"/>
        </w:rPr>
        <w:t xml:space="preserve">On January 17, 2020, we learned that an unauthorized person gained access to an employee’s email account through a cyber-attack commonly known as “phishing.” We investigated the incident, and learned that a limited number of our employee email accounts may have been accessed by an unauthorized user in a similar manner between January 17, 2020 and January 20, 2020. Our continued investigation indicated that customer information, as well as proprietary Company information, may have been contained in one or more of the employee email accounts affected by the incident. Our investigation has not determined whether an unauthorized person viewed any such information. As a result of this incident, we were named a defendant in three California state court putative class action lawsuits. The three cases were recently combined into a single class action lawsuit entitled </w:t>
      </w:r>
      <w:r>
        <w:rPr>
          <w:rFonts w:ascii="Arial" w:cs="Arial" w:eastAsia="Arial" w:hAnsi="Arial"/>
          <w:sz w:val="16"/>
          <w:szCs w:val="16"/>
          <w:i w:val="1"/>
          <w:iCs w:val="1"/>
          <w:color w:val="auto"/>
        </w:rPr>
        <w:t>Joseph Deluna</w:t>
      </w:r>
      <w:r>
        <w:rPr>
          <w:rFonts w:ascii="Arial" w:cs="Arial" w:eastAsia="Arial" w:hAnsi="Arial"/>
          <w:sz w:val="16"/>
          <w:szCs w:val="16"/>
          <w:color w:val="auto"/>
        </w:rPr>
        <w:t xml:space="preserve"> </w:t>
      </w:r>
      <w:r>
        <w:rPr>
          <w:rFonts w:ascii="Arial" w:cs="Arial" w:eastAsia="Arial" w:hAnsi="Arial"/>
          <w:sz w:val="16"/>
          <w:szCs w:val="16"/>
          <w:i w:val="1"/>
          <w:iCs w:val="1"/>
          <w:color w:val="auto"/>
        </w:rPr>
        <w:t>et al v. Tandem Diabetes Care, Inc.</w:t>
      </w:r>
      <w:r>
        <w:rPr>
          <w:rFonts w:ascii="Arial" w:cs="Arial" w:eastAsia="Arial" w:hAnsi="Arial"/>
          <w:sz w:val="16"/>
          <w:szCs w:val="16"/>
          <w:color w:val="auto"/>
        </w:rPr>
        <w:t>, which is pending in the Superior Court of the State of California in the County of San Bernardino.</w:t>
      </w:r>
    </w:p>
    <w:p>
      <w:pPr>
        <w:spacing w:after="0" w:line="166"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The risks posed by this lawsuit and any future related matters include civil monetary damages, attorney fees and costs, other legal penalties, reputational damage, loss of goodwill, and competitive harm.</w:t>
      </w:r>
    </w:p>
    <w:p>
      <w:pPr>
        <w:spacing w:after="0" w:line="14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46"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There are a number of domestic and international laws protecting the privacy and security of personal information. These laws include the U.S. Health Insurance Portability and Accountability Act of 1996 (HIPAA) and related regulations, U.S. state laws, Canada’s Personal Information and Electronic Documents Act (PIPEDA) or the applicable provincial alternatives, the EU’s General Data Protection Regulation (GDPR), EU member states directives, or similar applicable laws. These laws place limits on how we may collect, use, share and store medical information and other personal information, and they impose obligations to protect that information against unauthorized access, use, loss, and disclosure. The putative class action lawsuits described above allege violations of some of these laws.</w:t>
      </w:r>
    </w:p>
    <w:p>
      <w:pPr>
        <w:spacing w:after="0" w:line="192" w:lineRule="exact"/>
        <w:rPr>
          <w:sz w:val="20"/>
          <w:szCs w:val="20"/>
          <w:color w:val="auto"/>
        </w:rPr>
      </w:pPr>
    </w:p>
    <w:p>
      <w:pPr>
        <w:ind w:right="160" w:firstLine="810"/>
        <w:spacing w:after="0" w:line="257"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or security requirements of HIPAA, PIPEDA, GDPR, or applicable U.S. state and Canadian provincial laws, we could be subject to civil or criminal penalties, which could increase our liabilities, harm our reputation and have a material adverse effect on our business, financial condition and operating results. Although we utilize a variety of measures to secure the data that we control, even compliant entities can experience security breaches or have inadvertent failures despite employing reasonable practices and safeguards.</w:t>
      </w:r>
    </w:p>
    <w:p>
      <w:pPr>
        <w:spacing w:after="0" w:line="188"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may also face new risks relating to data privacy and security as the United States, individual U.S. states or Canadian provinces, E.U. member states, and other international jurisdictions adopt or implement new data privacy and security laws and regulations as we continue to commercialize our products worldwide. For example, the California Consumer Privacy Act, which took effect on January 1, 2020, may impose additional requirements on us and increase our regulatory and litigation risk. As we continue to expand, our business will need to adapt to meet these and other similar legal requirements.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5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84" w:lineRule="exact"/>
        <w:rPr>
          <w:sz w:val="20"/>
          <w:szCs w:val="20"/>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end-users and employees, including GDPR;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960" w:right="20" w:hanging="656"/>
        <w:spacing w:after="0" w:line="277" w:lineRule="auto"/>
        <w:tabs>
          <w:tab w:leader="none" w:pos="1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960" w:right="40" w:hanging="656"/>
        <w:spacing w:after="0" w:line="277" w:lineRule="auto"/>
        <w:tabs>
          <w:tab w:leader="none" w:pos="1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or incidence of disease, including as a result of the COVID-19 global pandemic.</w:t>
      </w:r>
    </w:p>
    <w:p>
      <w:pPr>
        <w:spacing w:after="0" w:line="170"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Accordingly,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84" w:lineRule="exact"/>
        <w:rPr>
          <w:sz w:val="20"/>
          <w:szCs w:val="20"/>
          <w:color w:val="auto"/>
        </w:rPr>
      </w:pPr>
    </w:p>
    <w:p>
      <w:pPr>
        <w:ind w:right="400" w:firstLine="810"/>
        <w:spacing w:after="0" w:line="263" w:lineRule="auto"/>
        <w:rPr>
          <w:sz w:val="20"/>
          <w:szCs w:val="20"/>
          <w:color w:val="auto"/>
        </w:rPr>
      </w:pPr>
      <w:r>
        <w:rPr>
          <w:rFonts w:ascii="Arial" w:cs="Arial" w:eastAsia="Arial" w:hAnsi="Arial"/>
          <w:sz w:val="18"/>
          <w:szCs w:val="18"/>
          <w:color w:val="auto"/>
        </w:rPr>
        <w:t>From time to time, we may consider opportunities to acquire other products or technologies that may enhance our product platform or technology, expand the breadth of our markets or customer base, or advance our business strategies. Potential and completed acquisitions both involve numerous risks, including:</w:t>
      </w:r>
    </w:p>
    <w:p>
      <w:pPr>
        <w:spacing w:after="0" w:line="184" w:lineRule="exact"/>
        <w:rPr>
          <w:sz w:val="20"/>
          <w:szCs w:val="20"/>
          <w:color w:val="auto"/>
        </w:rPr>
      </w:pPr>
    </w:p>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960" w:right="140" w:hanging="656"/>
        <w:spacing w:after="0" w:line="277" w:lineRule="auto"/>
        <w:tabs>
          <w:tab w:leader="none" w:pos="1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comply with regulatory requirements or other compliance matters.</w:t>
      </w:r>
    </w:p>
    <w:p>
      <w:pPr>
        <w:spacing w:after="0" w:line="170" w:lineRule="exact"/>
        <w:rPr>
          <w:sz w:val="20"/>
          <w:szCs w:val="20"/>
          <w:color w:val="auto"/>
        </w:rPr>
      </w:pPr>
    </w:p>
    <w:p>
      <w:pPr>
        <w:ind w:right="160" w:firstLine="810"/>
        <w:spacing w:after="0" w:line="279" w:lineRule="auto"/>
        <w:rPr>
          <w:sz w:val="20"/>
          <w:szCs w:val="20"/>
          <w:color w:val="auto"/>
        </w:rPr>
      </w:pPr>
      <w:r>
        <w:rPr>
          <w:rFonts w:ascii="Arial" w:cs="Arial" w:eastAsia="Arial" w:hAnsi="Arial"/>
          <w:sz w:val="17"/>
          <w:szCs w:val="17"/>
          <w:color w:val="auto"/>
        </w:rPr>
        <w:t>We may experience one more or of those risks in connection with our recent acquisition of Sugarmate. We do not know if we will be able to identify future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At September 30, 2020, we had $464.5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increase the size of our facility footprint due to increasing headcount and additional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92" w:lineRule="exact"/>
        <w:rPr>
          <w:sz w:val="20"/>
          <w:szCs w:val="20"/>
          <w:color w:val="auto"/>
        </w:rPr>
      </w:pPr>
    </w:p>
    <w:p>
      <w:pPr>
        <w:ind w:left="1960" w:right="20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225" w:lineRule="exact"/>
        <w:rPr>
          <w:rFonts w:ascii="Arial" w:cs="Arial" w:eastAsia="Arial" w:hAnsi="Arial"/>
          <w:sz w:val="18"/>
          <w:szCs w:val="18"/>
          <w:color w:val="auto"/>
        </w:rPr>
      </w:pPr>
    </w:p>
    <w:p>
      <w:pPr>
        <w:ind w:left="1960" w:right="104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an appropriate sales, marketing, clinical and customer service infrastructure;</w:t>
      </w:r>
    </w:p>
    <w:p>
      <w:pPr>
        <w:spacing w:after="0" w:line="170" w:lineRule="exact"/>
        <w:rPr>
          <w:rFonts w:ascii="Arial" w:cs="Arial" w:eastAsia="Arial" w:hAnsi="Arial"/>
          <w:sz w:val="18"/>
          <w:szCs w:val="18"/>
          <w:color w:val="auto"/>
        </w:rPr>
      </w:pPr>
    </w:p>
    <w:p>
      <w:pPr>
        <w:ind w:left="1960" w:right="280" w:hanging="656"/>
        <w:spacing w:after="0" w:line="263"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expenses we incur or other capital expenditures we make to maintain or enhance our manufacturing operations, including leasing additional property, hiring additional personnel, purchasing additional manufacturing equipment and other measures taken to add manufacturing capacity;</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service infrastructure;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of obtaining and maintaining regulatory clearance or approval for our products and our manufacturing facilities;</w:t>
      </w:r>
    </w:p>
    <w:p>
      <w:pPr>
        <w:spacing w:after="0" w:line="236" w:lineRule="exact"/>
        <w:rPr>
          <w:rFonts w:ascii="Arial" w:cs="Arial" w:eastAsia="Arial" w:hAnsi="Arial"/>
          <w:sz w:val="17"/>
          <w:szCs w:val="17"/>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225" w:lineRule="exact"/>
        <w:rPr>
          <w:rFonts w:ascii="Arial" w:cs="Arial" w:eastAsia="Arial" w:hAnsi="Arial"/>
          <w:sz w:val="18"/>
          <w:szCs w:val="18"/>
          <w:color w:val="auto"/>
        </w:rPr>
      </w:pPr>
    </w:p>
    <w:p>
      <w:pPr>
        <w:ind w:left="1960" w:right="160" w:hanging="656"/>
        <w:spacing w:after="0" w:line="277" w:lineRule="auto"/>
        <w:tabs>
          <w:tab w:leader="none" w:pos="1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we may incur or other financial commitments we may make in connection with current and potential new business or commercial collaborations, development agreements or licensing arrangements;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anticipated or unanticipated capital expenditures;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general and administrative expenses; and</w:t>
      </w:r>
    </w:p>
    <w:p>
      <w:pPr>
        <w:spacing w:after="0" w:line="225" w:lineRule="exact"/>
        <w:rPr>
          <w:rFonts w:ascii="Arial" w:cs="Arial" w:eastAsia="Arial" w:hAnsi="Arial"/>
          <w:sz w:val="18"/>
          <w:szCs w:val="18"/>
          <w:color w:val="auto"/>
        </w:rPr>
      </w:pPr>
    </w:p>
    <w:p>
      <w:pPr>
        <w:ind w:left="1960" w:right="540" w:hanging="656"/>
        <w:spacing w:after="0" w:line="277" w:lineRule="auto"/>
        <w:tabs>
          <w:tab w:leader="none" w:pos="1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impacts and disruptions resulting from geopolitical actions, including war and terrorism, natural disasters, or incidence of disease, including as a result of the impacts from the COVID-19 global pandemic.</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92"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87" w:lineRule="exact"/>
        <w:rPr>
          <w:sz w:val="20"/>
          <w:szCs w:val="20"/>
          <w:color w:val="auto"/>
        </w:rPr>
      </w:pPr>
    </w:p>
    <w:p>
      <w:pPr>
        <w:ind w:left="1960" w:right="20" w:hanging="656"/>
        <w:spacing w:after="0" w:line="277" w:lineRule="auto"/>
        <w:tabs>
          <w:tab w:leader="none" w:pos="1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increase sales and gross profit from our insulin pump products, including the related insulin cartridges and infusion sets, and to commercialize and sell our future products;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70"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 for product quality and reliability;</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timing of revenue and expense recognition associated with our product sales pursuant to applicable accounting standards.</w:t>
      </w:r>
    </w:p>
    <w:p>
      <w:pPr>
        <w:spacing w:after="0" w:line="248" w:lineRule="exact"/>
        <w:rPr>
          <w:sz w:val="20"/>
          <w:szCs w:val="20"/>
          <w:color w:val="auto"/>
        </w:rPr>
      </w:pPr>
    </w:p>
    <w:p>
      <w:pPr>
        <w:ind w:right="860" w:firstLine="810"/>
        <w:spacing w:after="0" w:line="277" w:lineRule="auto"/>
        <w:rPr>
          <w:sz w:val="20"/>
          <w:szCs w:val="20"/>
          <w:color w:val="auto"/>
        </w:rPr>
      </w:pPr>
      <w:r>
        <w:rPr>
          <w:rFonts w:ascii="Arial" w:cs="Arial" w:eastAsia="Arial" w:hAnsi="Arial"/>
          <w:sz w:val="18"/>
          <w:szCs w:val="18"/>
          <w:color w:val="auto"/>
        </w:rPr>
        <w:t>Each of these factors may be negatively impacted by the COVID-19 global pandemic, which could have the effect of causing greater fluctuations in our operating results in future periods.</w:t>
      </w:r>
    </w:p>
    <w:p>
      <w:pPr>
        <w:spacing w:after="0" w:line="170" w:lineRule="exact"/>
        <w:rPr>
          <w:sz w:val="20"/>
          <w:szCs w:val="20"/>
          <w:color w:val="auto"/>
        </w:rPr>
      </w:pPr>
    </w:p>
    <w:p>
      <w:pPr>
        <w:ind w:right="180" w:firstLine="810"/>
        <w:spacing w:after="0" w:line="296" w:lineRule="auto"/>
        <w:rPr>
          <w:sz w:val="20"/>
          <w:szCs w:val="20"/>
          <w:color w:val="auto"/>
        </w:rPr>
      </w:pPr>
      <w:r>
        <w:rPr>
          <w:rFonts w:ascii="Arial" w:cs="Arial" w:eastAsia="Arial" w:hAnsi="Arial"/>
          <w:sz w:val="16"/>
          <w:szCs w:val="16"/>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rely primarily on patent, trademark and trade secret laws, as well as confidentiality and non-disclosure agreements, to protect our proprietary technologies. As of September 30, 2020, our patent portfolio consisted of approximately 99 issued U.S. patents and 72 pending U.S. patent applications. Of these, our issued U.S. patents expire between approximately 2021 and 2038. We are also seeking patent protection for our proprietary technologies in other countries throughout the world. In addition, we also have 43 trademark registrations, including 19 U.S. trademark registrations and 24 foreign trademark registrations.</w:t>
      </w:r>
    </w:p>
    <w:p>
      <w:pPr>
        <w:spacing w:after="0" w:line="188" w:lineRule="exact"/>
        <w:rPr>
          <w:sz w:val="20"/>
          <w:szCs w:val="20"/>
          <w:color w:val="auto"/>
        </w:rPr>
      </w:pPr>
    </w:p>
    <w:p>
      <w:pPr>
        <w:ind w:right="180" w:firstLine="810"/>
        <w:spacing w:after="0" w:line="288"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68"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810"/>
        <w:spacing w:after="0" w:line="257" w:lineRule="auto"/>
        <w:rPr>
          <w:sz w:val="20"/>
          <w:szCs w:val="20"/>
          <w:color w:val="auto"/>
        </w:rPr>
      </w:pPr>
      <w:r>
        <w:rPr>
          <w:rFonts w:ascii="Arial" w:cs="Arial" w:eastAsia="Arial" w:hAnsi="Arial"/>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88"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expensive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76"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intellectual property that is alleged to relate to products that we are currently developing. Any intellectual property-related discussions, disputes or litigation could force us to do one or more of the following:</w:t>
      </w:r>
    </w:p>
    <w:p>
      <w:pPr>
        <w:spacing w:after="0" w:line="184" w:lineRule="exact"/>
        <w:rPr>
          <w:sz w:val="20"/>
          <w:szCs w:val="20"/>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prevent or limit our ability to sell a product that we are currently developing;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0"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149"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6" w:lineRule="exact"/>
        <w:rPr>
          <w:sz w:val="20"/>
          <w:szCs w:val="20"/>
          <w:color w:val="auto"/>
        </w:rPr>
      </w:pPr>
    </w:p>
    <w:p>
      <w:pPr>
        <w:ind w:right="160" w:firstLine="810"/>
        <w:spacing w:after="0" w:line="263" w:lineRule="auto"/>
        <w:rPr>
          <w:sz w:val="20"/>
          <w:szCs w:val="20"/>
          <w:color w:val="auto"/>
        </w:rPr>
      </w:pPr>
      <w:r>
        <w:rPr>
          <w:rFonts w:ascii="Arial" w:cs="Arial" w:eastAsia="Arial" w:hAnsi="Arial"/>
          <w:sz w:val="18"/>
          <w:szCs w:val="18"/>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are subject to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72"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FDCA or approval of a pre-market approval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6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right="240" w:firstLine="810"/>
        <w:spacing w:after="0" w:line="259"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More recently, the FDA has stated that the review process for new submissions may take longer than normal due to the impact of the COVID-19 global pandemic.</w:t>
      </w:r>
    </w:p>
    <w:p>
      <w:pPr>
        <w:spacing w:after="0" w:line="187" w:lineRule="exact"/>
        <w:rPr>
          <w:sz w:val="20"/>
          <w:szCs w:val="20"/>
          <w:color w:val="auto"/>
        </w:rPr>
      </w:pPr>
    </w:p>
    <w:p>
      <w:pPr>
        <w:ind w:right="220" w:firstLine="810"/>
        <w:spacing w:after="0" w:line="25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8"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under the applicable laws and regulations of the international markets we enter.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95"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57"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b w:val="1"/>
          <w:bCs w:val="1"/>
          <w:i w:val="1"/>
          <w:iCs w:val="1"/>
          <w:color w:val="auto"/>
        </w:rPr>
        <w:t>If we or our third-party suppliers, contract manufacturers and service providers fail to comply with the FDA’s good manufacturing practice regulations, this could impair our ability to market our products in a cost-effective and timely manner.</w:t>
      </w:r>
    </w:p>
    <w:p>
      <w:pPr>
        <w:spacing w:after="0" w:line="146"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We and our third-party suppliers, contract manufacturers and service providers are required to comply with the FDA’s Quality System Regulation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We cannot assure you that our facilities or our contract manufacturer or component suppliers’ facilities would pass any future quality system inspection or audit. If we or our suppliers, contract manufacturers and service providers have significant non-compliance issues or if any corrective action plan that we or our suppliers, contract manufacturers or service providers propose in response to observed deficiencies is not sufficient, the FDA could take enforcement action against us and the manufacturing or distribution of our devices could be interrupted and our operations disrupted.</w:t>
      </w:r>
    </w:p>
    <w:p>
      <w:pPr>
        <w:spacing w:after="0" w:line="17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If we, or our suppliers, manufacturers and service providers, fail to adhere to QSR requirements,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recall or suspension of our products, or the discovery of serious safety issues with our products, could have a significant negative impact on us.*</w:t>
      </w:r>
    </w:p>
    <w:p>
      <w:pPr>
        <w:spacing w:after="0" w:line="260" w:lineRule="exact"/>
        <w:rPr>
          <w:sz w:val="20"/>
          <w:szCs w:val="20"/>
          <w:color w:val="auto"/>
        </w:rPr>
      </w:pPr>
    </w:p>
    <w:p>
      <w:pPr>
        <w:ind w:right="80" w:firstLine="810"/>
        <w:spacing w:after="0" w:line="289" w:lineRule="auto"/>
        <w:rPr>
          <w:sz w:val="20"/>
          <w:szCs w:val="20"/>
          <w:color w:val="auto"/>
        </w:rPr>
      </w:pPr>
      <w:r>
        <w:rPr>
          <w:rFonts w:ascii="Arial" w:cs="Arial" w:eastAsia="Arial" w:hAnsi="Arial"/>
          <w:sz w:val="16"/>
          <w:szCs w:val="16"/>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810"/>
        <w:spacing w:after="0" w:line="254" w:lineRule="auto"/>
        <w:rPr>
          <w:sz w:val="20"/>
          <w:szCs w:val="20"/>
          <w:color w:val="auto"/>
        </w:rPr>
      </w:pPr>
      <w:r>
        <w:rPr>
          <w:rFonts w:ascii="Arial" w:cs="Arial" w:eastAsia="Arial" w:hAnsi="Arial"/>
          <w:sz w:val="18"/>
          <w:szCs w:val="18"/>
          <w:color w:val="auto"/>
        </w:rPr>
        <w:t>Further, under the FDA’s Medical Device Reporting regulations and equivalent regulations in other geographies, we are required to maintain appropriate quality systems and report incidents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95" w:lineRule="exact"/>
        <w:rPr>
          <w:sz w:val="20"/>
          <w:szCs w:val="20"/>
          <w:color w:val="auto"/>
        </w:rPr>
      </w:pPr>
    </w:p>
    <w:p>
      <w:pPr>
        <w:ind w:right="80" w:firstLine="810"/>
        <w:spacing w:after="0" w:line="269" w:lineRule="auto"/>
        <w:rPr>
          <w:sz w:val="20"/>
          <w:szCs w:val="20"/>
          <w:color w:val="auto"/>
        </w:rPr>
      </w:pPr>
      <w:r>
        <w:rPr>
          <w:rFonts w:ascii="Arial" w:cs="Arial" w:eastAsia="Arial" w:hAnsi="Arial"/>
          <w:sz w:val="17"/>
          <w:szCs w:val="17"/>
          <w:color w:val="auto"/>
        </w:rPr>
        <w:t>Any adverse event involving any products that we distribute, either domestically or internationally, could result in future voluntary corrective actions, such as recalls or customer notifications, or regulatory agency action, which could include inspection, mandatory recall or other enforcement action. For example, earlier this year we received a notice from the Australian Therapeutic Goods Administration, TGA, proposing to suspend the sale of our insulin pump products. Most of our historical pump sales in Australia were of our t:slim X2 with Dexcom G5 CGM and more recently we commenced sales of our t:slim X2 with Basal-IQ technology. To date we have not offered our Control-IQ technology in Australia. Although we provided a response to this initial regulatory inquiry, in October 2020 we were informed that the TGA intends to suspend our pump product sales in Australia commencing November 24, 2020. We intend to work with our local independent distributor to meet with the TGA and, if necessary, seek a review of this action; however, unless the decision is reversed or delayed we will be unable to continue to sell our pump products in Australia for at least six months. Any corrective actions we take in response to this action or future matters with other regulatory bodies, whether voluntary or involuntary, will require the dedication of our time and capital, distract management from operating our business, may harm our reputation and financial results or could result in additional regulatory scrutiny in other geographies.</w:t>
      </w:r>
    </w:p>
    <w:p>
      <w:pPr>
        <w:spacing w:after="0" w:line="14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120" w:firstLine="810"/>
        <w:spacing w:after="0" w:line="279"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1"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960" w:right="160" w:hanging="656"/>
        <w:spacing w:after="0" w:line="257" w:lineRule="auto"/>
        <w:tabs>
          <w:tab w:leader="none" w:pos="1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87" w:lineRule="exact"/>
        <w:rPr>
          <w:rFonts w:ascii="Arial" w:cs="Arial" w:eastAsia="Arial" w:hAnsi="Arial"/>
          <w:sz w:val="18"/>
          <w:szCs w:val="18"/>
          <w:color w:val="auto"/>
        </w:rPr>
      </w:pPr>
    </w:p>
    <w:p>
      <w:pPr>
        <w:ind w:left="1960" w:right="160" w:hanging="656"/>
        <w:spacing w:after="0" w:line="263" w:lineRule="auto"/>
        <w:tabs>
          <w:tab w:leader="none" w:pos="1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83" w:lineRule="exact"/>
        <w:rPr>
          <w:rFonts w:ascii="Arial" w:cs="Arial" w:eastAsia="Arial" w:hAnsi="Arial"/>
          <w:sz w:val="18"/>
          <w:szCs w:val="18"/>
          <w:color w:val="auto"/>
        </w:rPr>
      </w:pPr>
    </w:p>
    <w:p>
      <w:pPr>
        <w:ind w:left="1960" w:hanging="656"/>
        <w:spacing w:after="0" w:line="286" w:lineRule="auto"/>
        <w:tabs>
          <w:tab w:leader="none" w:pos="19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federal and state physician referral laws, such as the Stark Law, that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w:t>
      </w:r>
    </w:p>
    <w:p>
      <w:pPr>
        <w:spacing w:after="0" w:line="165" w:lineRule="exact"/>
        <w:rPr>
          <w:rFonts w:ascii="Arial" w:cs="Arial" w:eastAsia="Arial" w:hAnsi="Arial"/>
          <w:sz w:val="17"/>
          <w:szCs w:val="17"/>
          <w:color w:val="auto"/>
        </w:rPr>
      </w:pPr>
    </w:p>
    <w:p>
      <w:pPr>
        <w:ind w:left="1960" w:right="140" w:hanging="656"/>
        <w:spacing w:after="0" w:line="257" w:lineRule="auto"/>
        <w:tabs>
          <w:tab w:leader="none" w:pos="1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60" w:right="240" w:hanging="656"/>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jc w:val="both"/>
        <w:ind w:left="1960" w:right="180" w:hanging="656"/>
        <w:spacing w:after="0" w:line="263"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personal information, including protected health information, such as HIPAA and the Health Information Technology for Economic and Clinical Health.</w:t>
      </w:r>
    </w:p>
    <w:p>
      <w:pPr>
        <w:spacing w:after="0" w:line="170"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Recently, federal government agencies have published proposed rules for public comment which would make material modifications to several of these laws, including but not limited to the Anti-Kickback Statute, the Stark Law and HIPAA. It is unknown if or when these proposed rules may be adopted and what final form the proposed rules may take and how they may impact our business operations.</w:t>
      </w:r>
    </w:p>
    <w:p>
      <w:pPr>
        <w:spacing w:after="0" w:line="195" w:lineRule="exact"/>
        <w:rPr>
          <w:sz w:val="20"/>
          <w:szCs w:val="20"/>
          <w:color w:val="auto"/>
        </w:rPr>
      </w:pPr>
    </w:p>
    <w:p>
      <w:pPr>
        <w:ind w:right="60" w:firstLine="810"/>
        <w:spacing w:after="0" w:line="273" w:lineRule="auto"/>
        <w:rPr>
          <w:sz w:val="20"/>
          <w:szCs w:val="20"/>
          <w:color w:val="auto"/>
        </w:rPr>
      </w:pPr>
      <w:r>
        <w:rPr>
          <w:rFonts w:ascii="Arial" w:cs="Arial" w:eastAsia="Arial" w:hAnsi="Arial"/>
          <w:sz w:val="17"/>
          <w:szCs w:val="17"/>
          <w:color w:val="auto"/>
        </w:rPr>
        <w:t>To enforce compliance with the federal laws, the U.S. Department of Justice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78" w:lineRule="exact"/>
        <w:rPr>
          <w:sz w:val="20"/>
          <w:szCs w:val="20"/>
          <w:color w:val="auto"/>
        </w:rPr>
      </w:pPr>
    </w:p>
    <w:p>
      <w:pPr>
        <w:ind w:right="220" w:firstLine="810"/>
        <w:spacing w:after="0" w:line="301" w:lineRule="auto"/>
        <w:rPr>
          <w:sz w:val="20"/>
          <w:szCs w:val="20"/>
          <w:color w:val="auto"/>
        </w:rPr>
      </w:pPr>
      <w:r>
        <w:rPr>
          <w:rFonts w:ascii="Arial" w:cs="Arial" w:eastAsia="Arial" w:hAnsi="Arial"/>
          <w:sz w:val="16"/>
          <w:szCs w:val="16"/>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6"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95"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The Patient Protection and Affordable Care Act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also been proposed that could modify or repeal the PPACA. The uncertainties regarding the future of the PPACA, and other healthcare reform initiatives, may have an adverse effect on our customers’ purchasing decisions regarding our products.</w:t>
      </w:r>
    </w:p>
    <w:p>
      <w:pPr>
        <w:spacing w:after="0" w:line="188" w:lineRule="exact"/>
        <w:rPr>
          <w:sz w:val="20"/>
          <w:szCs w:val="20"/>
          <w:color w:val="auto"/>
        </w:rPr>
      </w:pPr>
    </w:p>
    <w:p>
      <w:pPr>
        <w:ind w:right="400" w:firstLine="810"/>
        <w:spacing w:after="0" w:line="301" w:lineRule="auto"/>
        <w:rPr>
          <w:sz w:val="20"/>
          <w:szCs w:val="20"/>
          <w:color w:val="auto"/>
        </w:rPr>
      </w:pPr>
      <w:r>
        <w:rPr>
          <w:rFonts w:ascii="Arial" w:cs="Arial" w:eastAsia="Arial" w:hAnsi="Arial"/>
          <w:sz w:val="16"/>
          <w:szCs w:val="16"/>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right="80" w:firstLine="810"/>
        <w:spacing w:after="0" w:line="254" w:lineRule="auto"/>
        <w:rPr>
          <w:sz w:val="20"/>
          <w:szCs w:val="20"/>
          <w:color w:val="auto"/>
        </w:rPr>
      </w:pPr>
      <w:r>
        <w:rPr>
          <w:rFonts w:ascii="Arial" w:cs="Arial" w:eastAsia="Arial" w:hAnsi="Arial"/>
          <w:sz w:val="18"/>
          <w:szCs w:val="18"/>
          <w:color w:val="auto"/>
        </w:rPr>
        <w:t>The PPACA imposed, among other things, an excise tax of 2.3% on any entity that manufactures or imports medical devices offered for sale in the United States, starting January 1, 2013. In December 2019, the medical device excise tax was repealed. Prior to the repeal, the tax had been suspended for calendar years 2016, 2017, 2018 and 2019. As a result of the repeal and the prior moratorium, sales of taxable medical devices after December 31, 2015, are not subject to the tax. We do not believe that our products were subject to this tax based on the retail exemption under applicable Treasury Regulations. However, the availability of this exemption is subject to interpretation by the Internal Revenue Service (IRS) and the IRS may disagree with our analysis. Additionally, Congress could enact future legislation or further change the law related to the medical device tax in a manner that could adversely affect us. The financial impact such taxes could have on our business is unclear and there can be no assurance that our business would not be materially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960" w:right="160" w:hanging="656"/>
        <w:spacing w:after="0" w:line="277" w:lineRule="auto"/>
        <w:tabs>
          <w:tab w:leader="none" w:pos="1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 political or economic conditions, including the impacts and disruptions caused by the COVID-19 global pandemic.</w:t>
      </w:r>
    </w:p>
    <w:p>
      <w:pPr>
        <w:spacing w:after="0" w:line="237"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70"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3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84" w:lineRule="exact"/>
        <w:rPr>
          <w:sz w:val="20"/>
          <w:szCs w:val="20"/>
          <w:color w:val="auto"/>
        </w:rPr>
      </w:pPr>
    </w:p>
    <w:p>
      <w:pPr>
        <w:ind w:right="460" w:firstLine="810"/>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960" w:hanging="656"/>
        <w:spacing w:after="0" w:line="277" w:lineRule="auto"/>
        <w:tabs>
          <w:tab w:leader="none" w:pos="19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960" w:right="300" w:hanging="656"/>
        <w:spacing w:after="0" w:line="277" w:lineRule="auto"/>
        <w:tabs>
          <w:tab w:leader="none" w:pos="19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960" w:right="680" w:hanging="656"/>
        <w:spacing w:after="0" w:line="277" w:lineRule="auto"/>
        <w:tabs>
          <w:tab w:leader="none" w:pos="19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then by the affirmative vote of the holders of a majority of the outstanding shares;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960" w:right="420" w:hanging="656"/>
        <w:spacing w:after="0" w:line="277" w:lineRule="auto"/>
        <w:tabs>
          <w:tab w:leader="none" w:pos="19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the vote of at least two-thirds of the outstanding shares to approve amendments to the certificate of incorporation or bylaws; and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248" w:lineRule="exact"/>
        <w:rPr>
          <w:sz w:val="20"/>
          <w:szCs w:val="20"/>
          <w:color w:val="auto"/>
        </w:rPr>
      </w:pPr>
    </w:p>
    <w:p>
      <w:pPr>
        <w:ind w:right="260" w:firstLine="810"/>
        <w:spacing w:after="0" w:line="273" w:lineRule="auto"/>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 and our stockholders.</w:t>
      </w:r>
    </w:p>
    <w:p>
      <w:pPr>
        <w:spacing w:after="0" w:line="225"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(2017 Tax Act) which significantly reforms the Internal Revenue Code of 1986, as amended (the Code). The 2017 Tax Act,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on our projection of minimal cash taxes. Our net deferred tax assets and liabilities were revalued at the newly enacted U.S. corporate rate, and the impact was recognized in our tax expense, offset by a full valuation allowance, in the year of enactment. We continue to examine the impact that this tax reform legislation may have on our business. The impact of this tax reform on holders of our common stock is uncertain and could be adverse.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40" w:firstLine="810"/>
        <w:spacing w:after="0" w:line="291" w:lineRule="auto"/>
        <w:rPr>
          <w:sz w:val="20"/>
          <w:szCs w:val="20"/>
          <w:color w:val="auto"/>
        </w:rPr>
      </w:pPr>
      <w:r>
        <w:rPr>
          <w:rFonts w:ascii="Arial" w:cs="Arial" w:eastAsia="Arial" w:hAnsi="Arial"/>
          <w:sz w:val="16"/>
          <w:szCs w:val="16"/>
          <w:color w:val="auto"/>
        </w:rPr>
        <w:t>As of December 31, 2019, we had federal net operating loss (NOL) carryforwards of approximately $248.7 million, which includes the reduction recorded in 2019 discussed below. Of the total federal net operating loss carryforwards, $208.5 million will begin to expire in 2026, unless previously utilized. If there is an “ownership change” with respect to our company, as defined under Section 382 of the Code, the utilization of our NOL and research credit carryforwards may be subject to substantial limitations imposed by the Code, and similar state provisions. Limitations imposed on our ability to utilize NOL carryforwards could cause U.S. federal income taxes to be paid earlier than would be paid if such limitations were not in effect and could cause NOL carryforwards to expire unused, in each case reducing or eliminating the benefit of our NOL carryforwards. In general, an ownership change occurs whenever there is a shift in ownership of our company by more than 50% by one or more 5% stockholders over a specified time period.</w:t>
      </w:r>
    </w:p>
    <w:p>
      <w:pPr>
        <w:spacing w:after="0" w:line="166" w:lineRule="exact"/>
        <w:rPr>
          <w:sz w:val="20"/>
          <w:szCs w:val="20"/>
          <w:color w:val="auto"/>
        </w:rPr>
      </w:pPr>
    </w:p>
    <w:p>
      <w:pPr>
        <w:ind w:right="40" w:firstLine="810"/>
        <w:spacing w:after="0" w:line="296" w:lineRule="auto"/>
        <w:rPr>
          <w:sz w:val="20"/>
          <w:szCs w:val="20"/>
          <w:color w:val="auto"/>
        </w:rPr>
      </w:pPr>
      <w:r>
        <w:rPr>
          <w:rFonts w:ascii="Arial" w:cs="Arial" w:eastAsia="Arial" w:hAnsi="Arial"/>
          <w:sz w:val="16"/>
          <w:szCs w:val="16"/>
          <w:color w:val="auto"/>
        </w:rPr>
        <w:t>We have completed an analysis through December 31, 2018 to determine whether our net operating losses and credits are likely to be limited by Section 382. Based on this study, the Company determined that offerings of our securities caused an ownership change, as defined under Section 382, in 2018 and the resulting limitation significantly reduced the Company’s ability to utilize its net operating loss and credit carryovers before they expire. As a result, in 2019 the Company significantly reduced its deferred tax assets for the net operating loss and research credit carryforwards that are projected to expire unused. In addition, future ownership changes under Section 382 may further limit the Company’s ability to fully utilize any remaining tax benefits.</w:t>
      </w:r>
    </w:p>
    <w:p>
      <w:pPr>
        <w:spacing w:after="0" w:line="161"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With respect to our NOLs generated in 2018 and thereafter, the 2017 Tax Act may reduce the tax benefit of our NOLs. Under the 2017 Tax Act, our ability to carry back NOLs incurred after December 31, 2017 to previous tax years is eliminated. Under prior law, we could carry back NOLs for two years and carry forward NOLs for 20 years. Under the 2017 Tax Act, NOL carryforwards may be carried forward indefinitely. However, for NOLs arising after December 31, 2017, NOL carryforwards will be limited to 80% of our taxable income. Our NOLs generated in 2017 and in prior years will not be subject to the limitations under the 2017 Tax Act.</w:t>
      </w:r>
    </w:p>
    <w:p>
      <w:pPr>
        <w:spacing w:after="0" w:line="188"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In response to the COVID-19 global pandemic, The CARES Act was enacted on March 27, 2020, to provide aid and economic stimulus to the economy. Among other provisions, the CARES Act eliminates the 80% NOL limitation for tax years 2018, 2019, and 2020, and allows NOLs generated in those years to be carried back for five years. Due to the recent enactment of the CARES Act, we are currently unable to quantify the impact that the CARES Act will have on our financial position, results of operations or cash flows, although we do not anticipate the impact to be significant.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60" w:firstLine="810"/>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3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4"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2"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60" w:firstLine="810"/>
        <w:spacing w:after="0" w:line="275" w:lineRule="auto"/>
        <w:rPr>
          <w:sz w:val="20"/>
          <w:szCs w:val="20"/>
          <w:color w:val="auto"/>
        </w:rPr>
      </w:pPr>
      <w:r>
        <w:rPr>
          <w:rFonts w:ascii="Arial" w:cs="Arial" w:eastAsia="Arial" w:hAnsi="Arial"/>
          <w:sz w:val="17"/>
          <w:szCs w:val="17"/>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3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Notes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indebtedness in the form of convertible senior notes, which could adversely affect our financial condition and our ability to respond to changes in our business.*</w:t>
      </w:r>
    </w:p>
    <w:p>
      <w:pPr>
        <w:spacing w:after="0" w:line="170"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 xml:space="preserve">In May 2020, we completed the offering of $287.5 million principal amount of 1.50% Convertible Senior Notes due 2025, which we refer to as the Note Offering. Holders of the Notes will have the right to require us to repurchase their Notes upon the occurrence of a fundamental change (as defined in the indenture governing the Notes) at a purchase price equal to 100% of the principal amount of the Notes to be purchased, plus accrued and unpaid interest, if any. </w:t>
      </w:r>
      <w:r>
        <w:rPr>
          <w:rFonts w:ascii="Arial" w:cs="Arial" w:eastAsia="Arial" w:hAnsi="Arial"/>
          <w:sz w:val="16"/>
          <w:szCs w:val="16"/>
          <w:color w:val="231F20"/>
        </w:rPr>
        <w:t>In addition, upon conversion of the Notes, unless we elect to deliver solely shares of our common stock to settle such conversion, we will be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231F20"/>
        </w:rPr>
        <w:t xml:space="preserve">required to make cash payments in respect of the Notes being converted. Furthermore, </w:t>
      </w:r>
      <w:r>
        <w:rPr>
          <w:rFonts w:ascii="Arial" w:cs="Arial" w:eastAsia="Arial" w:hAnsi="Arial"/>
          <w:sz w:val="18"/>
          <w:szCs w:val="18"/>
          <w:color w:val="000000"/>
        </w:rPr>
        <w:t>the indenture governing the Notes provides that, in the event of an</w:t>
      </w:r>
      <w:r>
        <w:rPr>
          <w:rFonts w:ascii="Arial" w:cs="Arial" w:eastAsia="Arial" w:hAnsi="Arial"/>
          <w:sz w:val="18"/>
          <w:szCs w:val="18"/>
          <w:color w:val="231F20"/>
        </w:rPr>
        <w:t xml:space="preserve"> </w:t>
      </w:r>
      <w:r>
        <w:rPr>
          <w:rFonts w:ascii="Arial" w:cs="Arial" w:eastAsia="Arial" w:hAnsi="Arial"/>
          <w:sz w:val="18"/>
          <w:szCs w:val="18"/>
          <w:color w:val="000000"/>
        </w:rPr>
        <w:t>event of default (as defined in the indenture) for the Notes, it may result in the principal, premium, if any, and interest, if any, becoming due prior to the maturity date for the Notes. There can be no assurance that we will be able to pay these amounts when due, or that we will be able to refinance this indebtedness on acceptable terms or at all.</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result of our increased level of indebtedness after the completion of the Notes Offering:</w:t>
      </w:r>
    </w:p>
    <w:p>
      <w:pPr>
        <w:spacing w:after="0" w:line="225" w:lineRule="exact"/>
        <w:rPr>
          <w:sz w:val="20"/>
          <w:szCs w:val="20"/>
          <w:color w:val="auto"/>
        </w:rPr>
      </w:pPr>
    </w:p>
    <w:p>
      <w:pPr>
        <w:ind w:left="1940" w:hanging="636"/>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level of vulnerability to adverse economic conditions and competitive pressures will be heightened;</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be required to dedicate a portion of our liquidity position or cash flow from operations to interest payments, limiting the availability of cash for other purposes;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industry may be more limited; and</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200" w:lineRule="exact"/>
        <w:rPr>
          <w:sz w:val="20"/>
          <w:szCs w:val="20"/>
          <w:color w:val="auto"/>
        </w:rPr>
      </w:pPr>
    </w:p>
    <w:p>
      <w:pPr>
        <w:spacing w:after="0" w:line="213" w:lineRule="exact"/>
        <w:rPr>
          <w:sz w:val="20"/>
          <w:szCs w:val="20"/>
          <w:color w:val="auto"/>
        </w:rPr>
      </w:pPr>
    </w:p>
    <w:p>
      <w:pPr>
        <w:jc w:val="both"/>
        <w:ind w:right="240" w:firstLine="810"/>
        <w:spacing w:after="0" w:line="263" w:lineRule="auto"/>
        <w:rPr>
          <w:sz w:val="20"/>
          <w:szCs w:val="20"/>
          <w:color w:val="auto"/>
        </w:rPr>
      </w:pPr>
      <w:r>
        <w:rPr>
          <w:rFonts w:ascii="Arial" w:cs="Arial" w:eastAsia="Arial" w:hAnsi="Arial"/>
          <w:sz w:val="18"/>
          <w:szCs w:val="18"/>
          <w:color w:val="auto"/>
        </w:rPr>
        <w:t>We cannot be sure that our leverage resulting from the completion of the Notes Offering will not materially and adversely affect our ability to finance our operations or capital needs or to engage in other business activities. In addition, we cannot be sure that additional financing will be available when required or, if available, will be on terms satisfactory to 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the Notes will require a significant amount of cash, and we may not have sufficient cash flow from our business to repay the Notes.*</w:t>
      </w:r>
    </w:p>
    <w:p>
      <w:pPr>
        <w:spacing w:after="0" w:line="248"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Our ability to make scheduled payments of the principal and interest on or to refinance the Notes depends on our future business operations and liquidity, which are subject, to some extent, on economic, financial, competitive and other factors that are beyond our control, including, without limitation, the impacts and disruptions caused by the COVID-19 global pandemic. Our business may not generate or sustain a level of cash flow from operations sufficient to service the Notes and any future indebtedness we may incur, while operating our business and making necessary capital expenditures. If we are unable to generate such cash flow, we may be required to adopt one or more alternatives, such as reducing or delaying capital expenditures, selling or licensing assets, refinancing indebtedness, or obtaining additional equity capital. These alternative measures may not be successful and may not permit us to meet our scheduled debt service obligations.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on the Notes or our future indebtedness.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additional debt or take other actions which could diminish our ability to make payments on the Notes.*</w:t>
      </w:r>
    </w:p>
    <w:p>
      <w:pPr>
        <w:spacing w:after="0" w:line="225"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We and our subsidiaries are not prevented by the terms of the indenture governing the Notes, or otherwise, from incurring substantial additional indebtedness in the future, which may include the issuance of secured debt. We are not restricted under the terms of the indenture governing the Notes from incurring additional indebtedness, securing existing or future indebtedness, or recapitalizing our indebtedness. We are similarly not restricted under the terms of the indenture from taking a number of other actions that could have the effect of diminishing our ability to make payments on the Notes when due.</w:t>
      </w:r>
    </w:p>
    <w:p>
      <w:pPr>
        <w:spacing w:after="0" w:line="157" w:lineRule="exact"/>
        <w:rPr>
          <w:sz w:val="20"/>
          <w:szCs w:val="20"/>
          <w:color w:val="auto"/>
        </w:rPr>
      </w:pPr>
    </w:p>
    <w:p>
      <w:pPr>
        <w:ind w:left="40" w:right="360"/>
        <w:spacing w:after="0" w:line="342" w:lineRule="auto"/>
        <w:rPr>
          <w:sz w:val="20"/>
          <w:szCs w:val="20"/>
          <w:color w:val="auto"/>
        </w:rPr>
      </w:pPr>
      <w:r>
        <w:rPr>
          <w:rFonts w:ascii="Arial" w:cs="Arial" w:eastAsia="Arial" w:hAnsi="Arial"/>
          <w:sz w:val="16"/>
          <w:szCs w:val="16"/>
          <w:b w:val="1"/>
          <w:bCs w:val="1"/>
          <w:i w:val="1"/>
          <w:iCs w:val="1"/>
          <w:color w:val="231F20"/>
        </w:rPr>
        <w:t>We may not have the ability to raise the funds necessary to repurchase the Notes upon a fundamental change, or to settle conversions of the Notes, and our future indebtedness may contain limitations on our ability to pay cash upon repurchase or conversion of the Notes.*</w:t>
      </w:r>
    </w:p>
    <w:p>
      <w:pPr>
        <w:spacing w:after="0" w:line="124" w:lineRule="exact"/>
        <w:rPr>
          <w:sz w:val="20"/>
          <w:szCs w:val="20"/>
          <w:color w:val="auto"/>
        </w:rPr>
      </w:pPr>
    </w:p>
    <w:p>
      <w:pPr>
        <w:ind w:right="220" w:firstLine="810"/>
        <w:spacing w:after="0" w:line="296" w:lineRule="auto"/>
        <w:rPr>
          <w:sz w:val="20"/>
          <w:szCs w:val="20"/>
          <w:color w:val="auto"/>
        </w:rPr>
      </w:pPr>
      <w:r>
        <w:rPr>
          <w:rFonts w:ascii="Arial" w:cs="Arial" w:eastAsia="Arial" w:hAnsi="Arial"/>
          <w:sz w:val="16"/>
          <w:szCs w:val="16"/>
          <w:color w:val="231F20"/>
        </w:rPr>
        <w:t>Holders of the Notes have the right to require us to repurchase their Notes upon the occurrence of a fundamental change at a fundamental change repurchase price equal to 100% of the principal amount of the Notes to be repurchased, plus accrued and unpaid interest, if any. In addition, upon conversion of the Notes, unless we elect to deliver solely shares of our common stock to settle such conversion, we will be required to make cash payments in respect of the Notes being converted. However, we may not have enough available cash or be able to obtain financing at the time we are required to make repurchases of Notes surrendered therefor or Notes being converted. In addition, our ability to repurchase the Notes or to pay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231F20"/>
        </w:rPr>
        <w:t>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An event of default under the indenture, or the fundamental change itself, could also lead to an event of default under agreements governing any future indebtedness we may have issued. If the repayment of the related indebtedness were to be accelerated, we may not have sufficient funds to repay the indebtedness, while also repurchasing the Notes or making cash payments upon conversions thereof.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conditional conversion feature of the Notes may adversely affect our liquidity.*</w:t>
      </w:r>
    </w:p>
    <w:p>
      <w:pPr>
        <w:spacing w:after="0" w:line="225" w:lineRule="exact"/>
        <w:rPr>
          <w:sz w:val="20"/>
          <w:szCs w:val="20"/>
          <w:color w:val="auto"/>
        </w:rPr>
      </w:pPr>
    </w:p>
    <w:p>
      <w:pPr>
        <w:ind w:right="220" w:firstLine="810"/>
        <w:spacing w:after="0" w:line="255" w:lineRule="auto"/>
        <w:rPr>
          <w:sz w:val="20"/>
          <w:szCs w:val="20"/>
          <w:color w:val="auto"/>
        </w:rPr>
      </w:pPr>
      <w:r>
        <w:rPr>
          <w:rFonts w:ascii="Arial" w:cs="Arial" w:eastAsia="Arial" w:hAnsi="Arial"/>
          <w:sz w:val="18"/>
          <w:szCs w:val="18"/>
          <w:color w:val="231F20"/>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we would be required to settle all or a portion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adversely affect our liquidity.</w:t>
      </w:r>
    </w:p>
    <w:p>
      <w:pPr>
        <w:spacing w:after="0" w:line="192" w:lineRule="exact"/>
        <w:rPr>
          <w:sz w:val="20"/>
          <w:szCs w:val="20"/>
          <w:color w:val="auto"/>
        </w:rPr>
      </w:pPr>
    </w:p>
    <w:p>
      <w:pPr>
        <w:ind w:left="40" w:right="460"/>
        <w:spacing w:after="0" w:line="277" w:lineRule="auto"/>
        <w:rPr>
          <w:sz w:val="20"/>
          <w:szCs w:val="20"/>
          <w:color w:val="auto"/>
        </w:rPr>
      </w:pPr>
      <w:r>
        <w:rPr>
          <w:rFonts w:ascii="Arial" w:cs="Arial" w:eastAsia="Arial" w:hAnsi="Arial"/>
          <w:sz w:val="18"/>
          <w:szCs w:val="18"/>
          <w:b w:val="1"/>
          <w:bCs w:val="1"/>
          <w:i w:val="1"/>
          <w:iCs w:val="1"/>
          <w:color w:val="231F20"/>
        </w:rPr>
        <w:t>The accounting method for convertible debt securities that may be settled in cash, such as the Notes, could have a material effect on our reported financial results.*</w:t>
      </w:r>
    </w:p>
    <w:p>
      <w:pPr>
        <w:spacing w:after="0" w:line="170" w:lineRule="exact"/>
        <w:rPr>
          <w:sz w:val="20"/>
          <w:szCs w:val="20"/>
          <w:color w:val="auto"/>
        </w:rPr>
      </w:pPr>
    </w:p>
    <w:p>
      <w:pPr>
        <w:ind w:right="140" w:firstLine="810"/>
        <w:spacing w:after="0" w:line="270" w:lineRule="auto"/>
        <w:rPr>
          <w:sz w:val="20"/>
          <w:szCs w:val="20"/>
          <w:color w:val="auto"/>
        </w:rPr>
      </w:pPr>
      <w:r>
        <w:rPr>
          <w:rFonts w:ascii="Arial" w:cs="Arial" w:eastAsia="Arial" w:hAnsi="Arial"/>
          <w:sz w:val="17"/>
          <w:szCs w:val="17"/>
          <w:color w:val="231F20"/>
        </w:rPr>
        <w:t>Under Accounting Standards Codification 470-20, Debt with Conversion and Other Options (“ASC 470-20”), an entity must evaluate the ability to separately account for the liability and equity components of the convertible debt instruments (such as the Notes) that may be settled entirely or partially in cash upon conversion in a manner that reflects the issuer’s economic interest cost. The determination of the effect of the guidance on the accounting for the Notes is that the equity component has been included in the additional paid-in capital section of stockholders’ equity on our consolidated balance sheet at the issuance date, and the value of the equity component has been treated as debt discount for purposes of accounting for the debt component of the Notes. As a result, we have recorded non-cash interest expense as a result of the amortization of the discounted carrying value of the Notes to their face amount over the term of the Notes. Accordingly, we have reported a greater net loss in our financial results because the guidance requires interest to include both the amortization of the debt discount and the instrument’s coupon interest rate, which could adversely affect the trading price of our common stock.</w:t>
      </w:r>
    </w:p>
    <w:p>
      <w:pPr>
        <w:spacing w:after="0" w:line="181" w:lineRule="exact"/>
        <w:rPr>
          <w:sz w:val="20"/>
          <w:szCs w:val="20"/>
          <w:color w:val="auto"/>
        </w:rPr>
      </w:pPr>
    </w:p>
    <w:p>
      <w:pPr>
        <w:ind w:right="160" w:firstLine="810"/>
        <w:spacing w:after="0" w:line="275" w:lineRule="auto"/>
        <w:rPr>
          <w:sz w:val="20"/>
          <w:szCs w:val="20"/>
          <w:color w:val="auto"/>
        </w:rPr>
      </w:pPr>
      <w:r>
        <w:rPr>
          <w:rFonts w:ascii="Arial" w:cs="Arial" w:eastAsia="Arial" w:hAnsi="Arial"/>
          <w:sz w:val="17"/>
          <w:szCs w:val="17"/>
          <w:color w:val="231F20"/>
        </w:rPr>
        <w:t>In addition, under certain circumstances, convertible debt instruments (such as the Notes) that may be settled entirely or partly in cash are currently accounted for utilizing the treasury stock method, the effect of which is that the shares issuable upon conversion of the Notes are not included in the calculation of diluted earnings (loss) per share except to the extent that the conversion value of the Notes exceeds their principal amount. Under the treasury stock method, for diluted earnings (loss) per share purposes, the transaction is accounted for as if the shares of common stock that would be necessary to settle such excess, if we elected to settle such excess in shares, are issued.</w:t>
      </w:r>
    </w:p>
    <w:p>
      <w:pPr>
        <w:spacing w:after="0" w:line="176" w:lineRule="exact"/>
        <w:rPr>
          <w:sz w:val="20"/>
          <w:szCs w:val="20"/>
          <w:color w:val="auto"/>
        </w:rPr>
      </w:pPr>
    </w:p>
    <w:p>
      <w:pPr>
        <w:ind w:right="240" w:firstLine="810"/>
        <w:spacing w:after="0" w:line="290" w:lineRule="auto"/>
        <w:rPr>
          <w:sz w:val="20"/>
          <w:szCs w:val="20"/>
          <w:color w:val="auto"/>
        </w:rPr>
      </w:pPr>
      <w:r>
        <w:rPr>
          <w:rFonts w:ascii="Arial" w:cs="Arial" w:eastAsia="Arial" w:hAnsi="Arial"/>
          <w:sz w:val="16"/>
          <w:szCs w:val="16"/>
          <w:color w:val="231F20"/>
        </w:rPr>
        <w:t>In July 2019, the FASB issued an exposure draft that proposes to change the accounting for convertible debt instruments that are similar to the Notes. Under the current exposure draft, an entity may no longer be required to separately account for the liability and equity components of convertible debt instruments. If the exposure draft is adopted in its current form, this could have the impact of reducing non-cash interest expense, and thereby reducing our net loss, or increasing our net income. Additionally, as currently proposed, the treasury stock method for calculating earnings (loss) per share will no longer be allowed for convertible debt instruments whose principal amount may be settled using shares. Rather, the if-converted method may be required, which would increase our diluted loss per share, or decrease our diluted earnings per share. We cannot be sure that this exposure draft will be issued, or will be issued in its current format. We also cannot be sure whether other changes may be made to the current accounting standards related to the Notes, or otherwise, that could have an adverse impact on our financial statements.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70"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The conversion of some or all of the Notes will dilute the ownership interests of existing stockholders, including holders who had previously converted their Notes,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w:t>
      </w:r>
    </w:p>
    <w:p>
      <w:pPr>
        <w:spacing w:after="0" w:line="225" w:lineRule="exact"/>
        <w:rPr>
          <w:sz w:val="20"/>
          <w:szCs w:val="20"/>
          <w:color w:val="auto"/>
        </w:rPr>
      </w:pPr>
    </w:p>
    <w:p>
      <w:pPr>
        <w:ind w:right="180" w:firstLine="810"/>
        <w:spacing w:after="0" w:line="257" w:lineRule="auto"/>
        <w:rPr>
          <w:sz w:val="20"/>
          <w:szCs w:val="20"/>
          <w:color w:val="auto"/>
        </w:rPr>
      </w:pPr>
      <w:r>
        <w:rPr>
          <w:rFonts w:ascii="Arial" w:cs="Arial" w:eastAsia="Arial" w:hAnsi="Arial"/>
          <w:sz w:val="18"/>
          <w:szCs w:val="18"/>
          <w:color w:val="auto"/>
        </w:rPr>
        <w:t>The terms of the Notes require us to repurchase the Notes in the event of a fundamental change. A takeover of the Company would trigger an option of the holders of the Notes to require us to repurchase the Notes. In addition, if a make-whole fundamental change (as defined in the indenture) occurs prior to the maturity date of the Notes, we will, in some cases, be required to increase the conversion rate of the Notes for a holder that elects to convert its Notes in connection with such make-whole fundamental change. These and other provisions set forth in the indenture may have the effect of delaying or preventing a takeover of the Company.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231F20"/>
        </w:rPr>
        <w:t>The Capped Call Transactions may affect the value of the Notes and our common stock.*</w:t>
      </w:r>
    </w:p>
    <w:p>
      <w:pPr>
        <w:spacing w:after="0" w:line="225"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231F20"/>
        </w:rPr>
        <w:t>In connection with the issuance of the Notes, we entered into the Capped Call Transactions with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87" w:lineRule="exact"/>
        <w:rPr>
          <w:sz w:val="20"/>
          <w:szCs w:val="20"/>
          <w:color w:val="auto"/>
        </w:rPr>
      </w:pPr>
    </w:p>
    <w:p>
      <w:pPr>
        <w:ind w:right="140" w:firstLine="810"/>
        <w:spacing w:after="0" w:line="254" w:lineRule="auto"/>
        <w:rPr>
          <w:sz w:val="20"/>
          <w:szCs w:val="20"/>
          <w:color w:val="auto"/>
        </w:rPr>
      </w:pPr>
      <w:r>
        <w:rPr>
          <w:rFonts w:ascii="Arial" w:cs="Arial" w:eastAsia="Arial" w:hAnsi="Arial"/>
          <w:sz w:val="18"/>
          <w:szCs w:val="18"/>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This activity could also cause or avoid an increase or a decrease in the market price of our common stock or the Notes, which could affect a Note holder’s ability to convert the Notes and, to the extent the activity occurs during any observation period related to a conversion of Notes, it could affect the number of shares and the value of the consideration that a Note holder will receive upon conversion of the Notes. In addition, if such Capped Call Transactions fail to become effective, the option counterparties or their respective affiliates may unwind their hedge positions with respect to our common stock, which could adversely affect the value of our common stock.</w:t>
      </w:r>
    </w:p>
    <w:p>
      <w:pPr>
        <w:spacing w:after="0" w:line="192"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231F20"/>
        </w:rPr>
        <w:t>The potential effect, if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84" w:lineRule="exact"/>
        <w:rPr>
          <w:sz w:val="20"/>
          <w:szCs w:val="20"/>
          <w:color w:val="auto"/>
        </w:rPr>
      </w:pPr>
    </w:p>
    <w:p>
      <w:pPr>
        <w:ind w:firstLine="810"/>
        <w:spacing w:after="0" w:line="286" w:lineRule="auto"/>
        <w:rPr>
          <w:sz w:val="20"/>
          <w:szCs w:val="20"/>
          <w:color w:val="auto"/>
        </w:rPr>
      </w:pPr>
      <w:r>
        <w:rPr>
          <w:rFonts w:ascii="Arial" w:cs="Arial" w:eastAsia="Arial" w:hAnsi="Arial"/>
          <w:sz w:val="17"/>
          <w:szCs w:val="17"/>
          <w:color w:val="auto"/>
        </w:rPr>
        <w:t>We do not make any representation or prediction as to the direction or magnitude of any potential effect that the transactions described above may have on the value of the Notes or the trading price of our common stock. In addition, we do not make any representation that the option counterparties will engage in these transactions or that these transactions, once commenced, will not be discontinued without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The option counterparties are financial institutions, and we will be subject to the risk that any or all of them may default under the Capped Call Transactions. Our exposure to the credit risk of the option counterparties will not be secured by any collateral. Recent global economic conditions, in particular those related to the COVID-19 global pandemic, have resulted in the failure or financial difficulties of many financial institutions. If an option counterparty becomes subject to insolvency proceedings, we will become an unsecured creditor in those proceedings, with a claim equal to our exposure at that time under our transactions with that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17" w:lineRule="exact"/>
        <w:rPr>
          <w:sz w:val="20"/>
          <w:szCs w:val="20"/>
          <w:color w:val="auto"/>
        </w:rPr>
      </w:pPr>
    </w:p>
    <w:tbl>
      <w:tblPr>
        <w:tblLayout w:type="fixed"/>
        <w:tblInd w:w="6380" w:type="dxa"/>
        <w:tblCellMar>
          <w:top w:w="0" w:type="dxa"/>
          <w:left w:w="0" w:type="dxa"/>
          <w:bottom w:w="0" w:type="dxa"/>
          <w:right w:w="0" w:type="dxa"/>
        </w:tblCellMar>
      </w:tblPr>
      <w:tr>
        <w:trPr>
          <w:trHeight w:val="207"/>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Incorporated by Reference</w:t>
            </w:r>
          </w:p>
        </w:tc>
        <w:tc>
          <w:tcPr>
            <w:tcW w:w="1580" w:type="dxa"/>
            <w:vAlign w:val="bottom"/>
          </w:tcPr>
          <w:p>
            <w:pPr>
              <w:ind w:left="860"/>
              <w:spacing w:after="0"/>
              <w:rPr>
                <w:sz w:val="20"/>
                <w:szCs w:val="20"/>
                <w:color w:val="auto"/>
              </w:rPr>
            </w:pPr>
            <w:r>
              <w:rPr>
                <w:rFonts w:ascii="Arial" w:cs="Arial" w:eastAsia="Arial" w:hAnsi="Arial"/>
                <w:sz w:val="18"/>
                <w:szCs w:val="18"/>
                <w:b w:val="1"/>
                <w:bCs w:val="1"/>
                <w:color w:val="auto"/>
                <w:w w:val="90"/>
              </w:rPr>
              <w:t>Provided</w:t>
            </w:r>
          </w:p>
        </w:tc>
        <w:tc>
          <w:tcPr>
            <w:tcW w:w="0" w:type="dxa"/>
            <w:vAlign w:val="bottom"/>
          </w:tcPr>
          <w:p>
            <w:pPr>
              <w:spacing w:after="0"/>
              <w:rPr>
                <w:sz w:val="1"/>
                <w:szCs w:val="1"/>
                <w:color w:val="auto"/>
              </w:rPr>
            </w:pPr>
          </w:p>
        </w:tc>
      </w:tr>
      <w:tr>
        <w:trPr>
          <w:trHeight w:val="230"/>
        </w:trPr>
        <w:tc>
          <w:tcPr>
            <w:tcW w:w="2940" w:type="dxa"/>
            <w:vAlign w:val="bottom"/>
            <w:vMerge w:val="continue"/>
          </w:tcPr>
          <w:p>
            <w:pPr>
              <w:spacing w:after="0"/>
              <w:rPr>
                <w:sz w:val="19"/>
                <w:szCs w:val="19"/>
                <w:color w:val="auto"/>
              </w:rPr>
            </w:pPr>
          </w:p>
        </w:tc>
        <w:tc>
          <w:tcPr>
            <w:tcW w:w="1580" w:type="dxa"/>
            <w:vAlign w:val="bottom"/>
          </w:tcPr>
          <w:p>
            <w:pPr>
              <w:ind w:left="860"/>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0</wp:posOffset>
            </wp:positionV>
            <wp:extent cx="8401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tbl>
      <w:tblPr>
        <w:tblLayout w:type="fixed"/>
        <w:tblInd w:w="280" w:type="dxa"/>
        <w:tblCellMar>
          <w:top w:w="0" w:type="dxa"/>
          <w:left w:w="0" w:type="dxa"/>
          <w:bottom w:w="0" w:type="dxa"/>
          <w:right w:w="0" w:type="dxa"/>
        </w:tblCellMar>
      </w:tblPr>
      <w:tr>
        <w:trPr>
          <w:trHeight w:val="169"/>
        </w:trPr>
        <w:tc>
          <w:tcPr>
            <w:tcW w:w="940" w:type="dxa"/>
            <w:vAlign w:val="bottom"/>
          </w:tcPr>
          <w:p>
            <w:pPr>
              <w:jc w:val="center"/>
              <w:ind w:right="210"/>
              <w:spacing w:after="0" w:line="169" w:lineRule="exact"/>
              <w:rPr>
                <w:sz w:val="20"/>
                <w:szCs w:val="20"/>
                <w:color w:val="auto"/>
              </w:rPr>
            </w:pPr>
            <w:r>
              <w:rPr>
                <w:rFonts w:ascii="Arial" w:cs="Arial" w:eastAsia="Arial" w:hAnsi="Arial"/>
                <w:sz w:val="18"/>
                <w:szCs w:val="18"/>
                <w:b w:val="1"/>
                <w:bCs w:val="1"/>
                <w:color w:val="auto"/>
                <w:w w:val="93"/>
              </w:rPr>
              <w:t>Exhibit</w:t>
            </w:r>
          </w:p>
        </w:tc>
        <w:tc>
          <w:tcPr>
            <w:tcW w:w="47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940" w:type="dxa"/>
            <w:vAlign w:val="bottom"/>
            <w:tcBorders>
              <w:top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Form</w:t>
            </w:r>
          </w:p>
        </w:tc>
        <w:tc>
          <w:tcPr>
            <w:tcW w:w="2020" w:type="dxa"/>
            <w:vAlign w:val="bottom"/>
            <w:tcBorders>
              <w:top w:val="single" w:sz="8" w:color="auto"/>
            </w:tcBorders>
          </w:tcPr>
          <w:p>
            <w:pPr>
              <w:ind w:left="1240"/>
              <w:spacing w:after="0" w:line="169" w:lineRule="exact"/>
              <w:rPr>
                <w:sz w:val="20"/>
                <w:szCs w:val="20"/>
                <w:color w:val="auto"/>
              </w:rPr>
            </w:pPr>
            <w:r>
              <w:rPr>
                <w:rFonts w:ascii="Arial" w:cs="Arial" w:eastAsia="Arial" w:hAnsi="Arial"/>
                <w:sz w:val="18"/>
                <w:szCs w:val="18"/>
                <w:b w:val="1"/>
                <w:bCs w:val="1"/>
                <w:color w:val="auto"/>
              </w:rPr>
              <w:t>Date of</w:t>
            </w:r>
          </w:p>
        </w:tc>
        <w:tc>
          <w:tcPr>
            <w:tcW w:w="800" w:type="dxa"/>
            <w:vAlign w:val="bottom"/>
          </w:tcPr>
          <w:p>
            <w:pPr>
              <w:jc w:val="center"/>
              <w:ind w:left="70"/>
              <w:spacing w:after="0" w:line="169" w:lineRule="exact"/>
              <w:rPr>
                <w:sz w:val="20"/>
                <w:szCs w:val="20"/>
                <w:color w:val="auto"/>
              </w:rPr>
            </w:pPr>
            <w:r>
              <w:rPr>
                <w:rFonts w:ascii="Arial" w:cs="Arial" w:eastAsia="Arial" w:hAnsi="Arial"/>
                <w:sz w:val="18"/>
                <w:szCs w:val="18"/>
                <w:b w:val="1"/>
                <w:bCs w:val="1"/>
                <w:color w:val="auto"/>
                <w:w w:val="93"/>
              </w:rPr>
              <w:t>Exhibit</w:t>
            </w:r>
          </w:p>
        </w:tc>
        <w:tc>
          <w:tcPr>
            <w:tcW w:w="0" w:type="dxa"/>
            <w:vAlign w:val="bottom"/>
          </w:tcPr>
          <w:p>
            <w:pPr>
              <w:spacing w:after="0"/>
              <w:rPr>
                <w:sz w:val="1"/>
                <w:szCs w:val="1"/>
                <w:color w:val="auto"/>
              </w:rPr>
            </w:pPr>
          </w:p>
        </w:tc>
      </w:tr>
      <w:tr>
        <w:trPr>
          <w:trHeight w:val="229"/>
        </w:trPr>
        <w:tc>
          <w:tcPr>
            <w:tcW w:w="94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Number</w:t>
            </w:r>
          </w:p>
        </w:tc>
        <w:tc>
          <w:tcPr>
            <w:tcW w:w="4720" w:type="dxa"/>
            <w:vAlign w:val="bottom"/>
            <w:gridSpan w:val="7"/>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20" w:type="dxa"/>
            <w:vAlign w:val="bottom"/>
          </w:tcPr>
          <w:p>
            <w:pPr>
              <w:ind w:left="240"/>
              <w:spacing w:after="0"/>
              <w:rPr>
                <w:sz w:val="20"/>
                <w:szCs w:val="20"/>
                <w:color w:val="auto"/>
              </w:rPr>
            </w:pPr>
            <w:r>
              <w:rPr>
                <w:rFonts w:ascii="Arial" w:cs="Arial" w:eastAsia="Arial" w:hAnsi="Arial"/>
                <w:sz w:val="18"/>
                <w:szCs w:val="18"/>
                <w:b w:val="1"/>
                <w:bCs w:val="1"/>
                <w:color w:val="auto"/>
              </w:rPr>
              <w:t>File No.   First Filing</w:t>
            </w:r>
          </w:p>
        </w:tc>
        <w:tc>
          <w:tcPr>
            <w:tcW w:w="80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4720" w:type="dxa"/>
            <w:vAlign w:val="bottom"/>
            <w:gridSpan w:val="7"/>
          </w:tcPr>
          <w:p>
            <w:pPr>
              <w:spacing w:after="0" w:line="190" w:lineRule="exact"/>
              <w:rPr>
                <w:rFonts w:ascii="Arial" w:cs="Arial" w:eastAsia="Arial" w:hAnsi="Arial"/>
                <w:sz w:val="18"/>
                <w:szCs w:val="18"/>
                <w:color w:val="0000FF"/>
                <w:w w:val="91"/>
              </w:rPr>
            </w:pPr>
            <w:hyperlink w:anchor="page83">
              <w:r>
                <w:rPr>
                  <w:rFonts w:ascii="Arial" w:cs="Arial" w:eastAsia="Arial" w:hAnsi="Arial"/>
                  <w:sz w:val="18"/>
                  <w:szCs w:val="18"/>
                  <w:color w:val="0000FF"/>
                  <w:w w:val="91"/>
                </w:rPr>
                <w:t xml:space="preserve">Second Amendment to </w:t>
              </w:r>
              <w:r>
                <w:rPr>
                  <w:rFonts w:ascii="Arial" w:cs="Arial" w:eastAsia="Arial" w:hAnsi="Arial"/>
                  <w:sz w:val="18"/>
                  <w:szCs w:val="18"/>
                  <w:u w:val="single" w:color="auto"/>
                  <w:color w:val="0000FF"/>
                  <w:w w:val="91"/>
                </w:rPr>
                <w:t>Lease Agreement by</w:t>
              </w:r>
              <w:r>
                <w:rPr>
                  <w:rFonts w:ascii="Arial" w:cs="Arial" w:eastAsia="Arial" w:hAnsi="Arial"/>
                  <w:sz w:val="18"/>
                  <w:szCs w:val="18"/>
                  <w:color w:val="0000FF"/>
                  <w:w w:val="91"/>
                </w:rPr>
                <w:t xml:space="preserve"> and Between ARE-</w:t>
              </w:r>
            </w:hyperlink>
          </w:p>
        </w:tc>
        <w:tc>
          <w:tcPr>
            <w:tcW w:w="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40" w:type="dxa"/>
            <w:vAlign w:val="bottom"/>
          </w:tcPr>
          <w:p>
            <w:pPr>
              <w:jc w:val="center"/>
              <w:ind w:right="210"/>
              <w:spacing w:after="0" w:line="156" w:lineRule="exact"/>
              <w:rPr>
                <w:sz w:val="20"/>
                <w:szCs w:val="20"/>
                <w:color w:val="auto"/>
              </w:rPr>
            </w:pPr>
            <w:r>
              <w:rPr>
                <w:rFonts w:ascii="Arial" w:cs="Arial" w:eastAsia="Arial" w:hAnsi="Arial"/>
                <w:sz w:val="18"/>
                <w:szCs w:val="18"/>
                <w:color w:val="auto"/>
                <w:w w:val="91"/>
              </w:rPr>
              <w:t>10.1</w:t>
            </w:r>
          </w:p>
        </w:tc>
        <w:tc>
          <w:tcPr>
            <w:tcW w:w="1680" w:type="dxa"/>
            <w:vAlign w:val="bottom"/>
            <w:tcBorders>
              <w:top w:val="single" w:sz="8" w:color="0000FF"/>
            </w:tcBorders>
            <w:gridSpan w:val="2"/>
          </w:tcPr>
          <w:p>
            <w:pPr>
              <w:spacing w:after="0" w:line="156" w:lineRule="exact"/>
              <w:rPr>
                <w:rFonts w:ascii="Arial" w:cs="Arial" w:eastAsia="Arial" w:hAnsi="Arial"/>
                <w:sz w:val="18"/>
                <w:szCs w:val="18"/>
                <w:color w:val="0000FF"/>
                <w:w w:val="85"/>
              </w:rPr>
            </w:pPr>
            <w:hyperlink w:anchor="page83">
              <w:r>
                <w:rPr>
                  <w:rFonts w:ascii="Arial" w:cs="Arial" w:eastAsia="Arial" w:hAnsi="Arial"/>
                  <w:sz w:val="18"/>
                  <w:szCs w:val="18"/>
                  <w:color w:val="0000FF"/>
                  <w:w w:val="85"/>
                </w:rPr>
                <w:t>11025/11075 ROSELLE</w:t>
              </w:r>
            </w:hyperlink>
          </w:p>
        </w:tc>
        <w:tc>
          <w:tcPr>
            <w:tcW w:w="1500" w:type="dxa"/>
            <w:vAlign w:val="bottom"/>
          </w:tcPr>
          <w:p>
            <w:pPr>
              <w:ind w:left="120"/>
              <w:spacing w:after="0" w:line="156" w:lineRule="exact"/>
              <w:rPr>
                <w:rFonts w:ascii="Arial" w:cs="Arial" w:eastAsia="Arial" w:hAnsi="Arial"/>
                <w:sz w:val="18"/>
                <w:szCs w:val="18"/>
                <w:color w:val="0000FF"/>
                <w:w w:val="88"/>
              </w:rPr>
            </w:pPr>
            <w:hyperlink w:anchor="page83">
              <w:r>
                <w:rPr>
                  <w:rFonts w:ascii="Arial" w:cs="Arial" w:eastAsia="Arial" w:hAnsi="Arial"/>
                  <w:sz w:val="18"/>
                  <w:szCs w:val="18"/>
                  <w:color w:val="0000FF"/>
                  <w:w w:val="88"/>
                </w:rPr>
                <w:t>STREET, LLC, and</w:t>
              </w:r>
            </w:hyperlink>
          </w:p>
        </w:tc>
        <w:tc>
          <w:tcPr>
            <w:tcW w:w="1440" w:type="dxa"/>
            <w:vAlign w:val="bottom"/>
            <w:tcBorders>
              <w:top w:val="single" w:sz="8" w:color="0000FF"/>
            </w:tcBorders>
            <w:gridSpan w:val="3"/>
          </w:tcPr>
          <w:p>
            <w:pPr>
              <w:ind w:left="100"/>
              <w:spacing w:after="0" w:line="156" w:lineRule="exact"/>
              <w:rPr>
                <w:rFonts w:ascii="Arial" w:cs="Arial" w:eastAsia="Arial" w:hAnsi="Arial"/>
                <w:sz w:val="18"/>
                <w:szCs w:val="18"/>
                <w:color w:val="0000FF"/>
                <w:w w:val="92"/>
              </w:rPr>
            </w:pPr>
            <w:hyperlink w:anchor="page83">
              <w:r>
                <w:rPr>
                  <w:rFonts w:ascii="Arial" w:cs="Arial" w:eastAsia="Arial" w:hAnsi="Arial"/>
                  <w:sz w:val="18"/>
                  <w:szCs w:val="18"/>
                  <w:color w:val="0000FF"/>
                  <w:w w:val="92"/>
                </w:rPr>
                <w:t>Tandem Diabetes</w:t>
              </w:r>
            </w:hyperlink>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83">
              <w:r>
                <w:rPr>
                  <w:rFonts w:ascii="Arial" w:cs="Arial" w:eastAsia="Arial" w:hAnsi="Arial"/>
                  <w:sz w:val="18"/>
                  <w:szCs w:val="18"/>
                  <w:color w:val="0000FF"/>
                  <w:w w:val="87"/>
                </w:rPr>
                <w:t>Care, Inc.</w:t>
              </w:r>
            </w:hyperlink>
          </w:p>
        </w:tc>
        <w:tc>
          <w:tcPr>
            <w:tcW w:w="384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40" w:type="dxa"/>
            <w:vAlign w:val="bottom"/>
            <w:vMerge w:val="restart"/>
          </w:tcPr>
          <w:p>
            <w:pPr>
              <w:jc w:val="center"/>
              <w:ind w:right="210"/>
              <w:spacing w:after="0"/>
              <w:rPr>
                <w:sz w:val="20"/>
                <w:szCs w:val="20"/>
                <w:color w:val="auto"/>
              </w:rPr>
            </w:pPr>
            <w:r>
              <w:rPr>
                <w:rFonts w:ascii="Arial" w:cs="Arial" w:eastAsia="Arial" w:hAnsi="Arial"/>
                <w:sz w:val="18"/>
                <w:szCs w:val="18"/>
                <w:color w:val="auto"/>
                <w:w w:val="91"/>
              </w:rPr>
              <w:t>10.2</w:t>
            </w:r>
          </w:p>
        </w:tc>
        <w:tc>
          <w:tcPr>
            <w:tcW w:w="4720" w:type="dxa"/>
            <w:vAlign w:val="bottom"/>
            <w:gridSpan w:val="7"/>
          </w:tcPr>
          <w:p>
            <w:pPr>
              <w:spacing w:after="0"/>
              <w:rPr>
                <w:rFonts w:ascii="Arial" w:cs="Arial" w:eastAsia="Arial" w:hAnsi="Arial"/>
                <w:sz w:val="18"/>
                <w:szCs w:val="18"/>
                <w:color w:val="0000FF"/>
                <w:w w:val="96"/>
              </w:rPr>
            </w:pPr>
            <w:hyperlink w:anchor="page86">
              <w:r>
                <w:rPr>
                  <w:rFonts w:ascii="Arial" w:cs="Arial" w:eastAsia="Arial" w:hAnsi="Arial"/>
                  <w:sz w:val="18"/>
                  <w:szCs w:val="18"/>
                  <w:color w:val="0000FF"/>
                  <w:w w:val="96"/>
                </w:rPr>
                <w:t>Fifth Amendment to Lease Agreement by and Between ARE-</w:t>
              </w:r>
            </w:hyperlink>
          </w:p>
        </w:tc>
        <w:tc>
          <w:tcPr>
            <w:tcW w:w="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40" w:type="dxa"/>
            <w:vAlign w:val="bottom"/>
            <w:vMerge w:val="continue"/>
          </w:tcPr>
          <w:p>
            <w:pPr>
              <w:spacing w:after="0"/>
              <w:rPr>
                <w:sz w:val="13"/>
                <w:szCs w:val="13"/>
                <w:color w:val="auto"/>
              </w:rPr>
            </w:pPr>
          </w:p>
        </w:tc>
        <w:tc>
          <w:tcPr>
            <w:tcW w:w="4440" w:type="dxa"/>
            <w:vAlign w:val="bottom"/>
            <w:tcBorders>
              <w:top w:val="single" w:sz="8" w:color="0000FF"/>
            </w:tcBorders>
            <w:gridSpan w:val="4"/>
          </w:tcPr>
          <w:p>
            <w:pPr>
              <w:spacing w:after="0" w:line="156" w:lineRule="exact"/>
              <w:rPr>
                <w:rFonts w:ascii="Arial" w:cs="Arial" w:eastAsia="Arial" w:hAnsi="Arial"/>
                <w:sz w:val="18"/>
                <w:szCs w:val="18"/>
                <w:color w:val="0000FF"/>
                <w:w w:val="88"/>
              </w:rPr>
            </w:pPr>
            <w:hyperlink w:anchor="page86">
              <w:r>
                <w:rPr>
                  <w:rFonts w:ascii="Arial" w:cs="Arial" w:eastAsia="Arial" w:hAnsi="Arial"/>
                  <w:sz w:val="18"/>
                  <w:szCs w:val="18"/>
                  <w:color w:val="0000FF"/>
                  <w:w w:val="88"/>
                </w:rPr>
                <w:t>11025/11075 ROSELLE STREET, LLC, and Tandem Diabetes</w:t>
              </w:r>
            </w:hyperlink>
          </w:p>
        </w:tc>
        <w:tc>
          <w:tcPr>
            <w:tcW w:w="28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86">
              <w:r>
                <w:rPr>
                  <w:rFonts w:ascii="Arial" w:cs="Arial" w:eastAsia="Arial" w:hAnsi="Arial"/>
                  <w:sz w:val="18"/>
                  <w:szCs w:val="18"/>
                  <w:color w:val="0000FF"/>
                  <w:w w:val="87"/>
                </w:rPr>
                <w:t>Care, Inc.</w:t>
              </w:r>
            </w:hyperlink>
          </w:p>
        </w:tc>
        <w:tc>
          <w:tcPr>
            <w:tcW w:w="384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06285" cy="3689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368935"/>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07"/>
        </w:trPr>
        <w:tc>
          <w:tcPr>
            <w:tcW w:w="780" w:type="dxa"/>
            <w:vAlign w:val="bottom"/>
            <w:vMerge w:val="restart"/>
          </w:tcPr>
          <w:p>
            <w:pPr>
              <w:jc w:val="right"/>
              <w:ind w:right="370"/>
              <w:spacing w:after="0"/>
              <w:rPr>
                <w:sz w:val="20"/>
                <w:szCs w:val="20"/>
                <w:color w:val="auto"/>
              </w:rPr>
            </w:pPr>
            <w:r>
              <w:rPr>
                <w:rFonts w:ascii="Arial" w:cs="Arial" w:eastAsia="Arial" w:hAnsi="Arial"/>
                <w:sz w:val="18"/>
                <w:szCs w:val="18"/>
                <w:color w:val="auto"/>
                <w:w w:val="85"/>
              </w:rPr>
              <w:t>31.1</w:t>
            </w:r>
          </w:p>
        </w:tc>
        <w:tc>
          <w:tcPr>
            <w:tcW w:w="4200" w:type="dxa"/>
            <w:vAlign w:val="bottom"/>
            <w:tcBorders>
              <w:bottom w:val="single" w:sz="8" w:color="0000FF"/>
            </w:tcBorders>
          </w:tcPr>
          <w:p>
            <w:pPr>
              <w:spacing w:after="0"/>
              <w:rPr>
                <w:rFonts w:ascii="Arial" w:cs="Arial" w:eastAsia="Arial" w:hAnsi="Arial"/>
                <w:sz w:val="18"/>
                <w:szCs w:val="18"/>
                <w:color w:val="0000FF"/>
                <w:w w:val="91"/>
              </w:rPr>
            </w:pPr>
            <w:hyperlink w:anchor="page89">
              <w:r>
                <w:rPr>
                  <w:rFonts w:ascii="Arial" w:cs="Arial" w:eastAsia="Arial" w:hAnsi="Arial"/>
                  <w:sz w:val="18"/>
                  <w:szCs w:val="18"/>
                  <w:color w:val="0000FF"/>
                  <w:w w:val="91"/>
                </w:rPr>
                <w:t>Certification of John F. Sheridan, Chief Executive Officer,</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780" w:type="dxa"/>
            <w:vAlign w:val="bottom"/>
            <w:vMerge w:val="continue"/>
          </w:tcPr>
          <w:p>
            <w:pPr>
              <w:spacing w:after="0"/>
              <w:rPr>
                <w:sz w:val="8"/>
                <w:szCs w:val="8"/>
                <w:color w:val="auto"/>
              </w:rPr>
            </w:pPr>
          </w:p>
        </w:tc>
        <w:tc>
          <w:tcPr>
            <w:tcW w:w="4300" w:type="dxa"/>
            <w:vAlign w:val="bottom"/>
            <w:gridSpan w:val="3"/>
            <w:vMerge w:val="restart"/>
          </w:tcPr>
          <w:p>
            <w:pPr>
              <w:spacing w:after="0" w:line="195" w:lineRule="exact"/>
              <w:rPr>
                <w:rFonts w:ascii="Arial" w:cs="Arial" w:eastAsia="Arial" w:hAnsi="Arial"/>
                <w:sz w:val="18"/>
                <w:szCs w:val="18"/>
                <w:color w:val="0000FF"/>
                <w:w w:val="90"/>
              </w:rPr>
            </w:pPr>
            <w:hyperlink w:anchor="page89">
              <w:r>
                <w:rPr>
                  <w:rFonts w:ascii="Arial" w:cs="Arial" w:eastAsia="Arial" w:hAnsi="Arial"/>
                  <w:sz w:val="18"/>
                  <w:szCs w:val="18"/>
                  <w:u w:val="single" w:color="auto"/>
                  <w:color w:val="0000FF"/>
                  <w:w w:val="90"/>
                </w:rPr>
                <w:t>pursuant to Section 302 of the Sarbanes-Oxley Act of 2002</w:t>
              </w:r>
              <w:r>
                <w:rPr>
                  <w:rFonts w:ascii="Arial" w:cs="Arial" w:eastAsia="Arial" w:hAnsi="Arial"/>
                  <w:sz w:val="18"/>
                  <w:szCs w:val="18"/>
                  <w:color w:val="0000FF"/>
                  <w:w w:val="90"/>
                </w:rPr>
                <w:t>.</w:t>
              </w:r>
            </w:hyperlink>
          </w:p>
        </w:tc>
        <w:tc>
          <w:tcPr>
            <w:tcW w:w="0" w:type="dxa"/>
            <w:vAlign w:val="bottom"/>
          </w:tcPr>
          <w:p>
            <w:pPr>
              <w:spacing w:after="0"/>
              <w:rPr>
                <w:sz w:val="1"/>
                <w:szCs w:val="1"/>
                <w:color w:val="auto"/>
              </w:rPr>
            </w:pPr>
          </w:p>
        </w:tc>
      </w:tr>
      <w:tr>
        <w:trPr>
          <w:trHeight w:val="94"/>
        </w:trPr>
        <w:tc>
          <w:tcPr>
            <w:tcW w:w="780" w:type="dxa"/>
            <w:vAlign w:val="bottom"/>
          </w:tcPr>
          <w:p>
            <w:pPr>
              <w:spacing w:after="0"/>
              <w:rPr>
                <w:sz w:val="8"/>
                <w:szCs w:val="8"/>
                <w:color w:val="auto"/>
              </w:rPr>
            </w:pPr>
          </w:p>
        </w:tc>
        <w:tc>
          <w:tcPr>
            <w:tcW w:w="43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80" w:type="dxa"/>
            <w:vAlign w:val="bottom"/>
            <w:vMerge w:val="restart"/>
          </w:tcPr>
          <w:p>
            <w:pPr>
              <w:jc w:val="right"/>
              <w:ind w:right="370"/>
              <w:spacing w:after="0"/>
              <w:rPr>
                <w:sz w:val="20"/>
                <w:szCs w:val="20"/>
                <w:color w:val="auto"/>
              </w:rPr>
            </w:pPr>
            <w:r>
              <w:rPr>
                <w:rFonts w:ascii="Arial" w:cs="Arial" w:eastAsia="Arial" w:hAnsi="Arial"/>
                <w:sz w:val="18"/>
                <w:szCs w:val="18"/>
                <w:color w:val="auto"/>
                <w:w w:val="85"/>
              </w:rPr>
              <w:t>31.2</w:t>
            </w:r>
          </w:p>
        </w:tc>
        <w:tc>
          <w:tcPr>
            <w:tcW w:w="4280" w:type="dxa"/>
            <w:vAlign w:val="bottom"/>
            <w:tcBorders>
              <w:bottom w:val="single" w:sz="8" w:color="0000FF"/>
            </w:tcBorders>
            <w:gridSpan w:val="2"/>
          </w:tcPr>
          <w:p>
            <w:pPr>
              <w:spacing w:after="0" w:line="190" w:lineRule="exact"/>
              <w:rPr>
                <w:rFonts w:ascii="Arial" w:cs="Arial" w:eastAsia="Arial" w:hAnsi="Arial"/>
                <w:sz w:val="18"/>
                <w:szCs w:val="18"/>
                <w:color w:val="0000FF"/>
                <w:w w:val="93"/>
              </w:rPr>
            </w:pPr>
            <w:hyperlink w:anchor="page90">
              <w:r>
                <w:rPr>
                  <w:rFonts w:ascii="Arial" w:cs="Arial" w:eastAsia="Arial" w:hAnsi="Arial"/>
                  <w:sz w:val="18"/>
                  <w:szCs w:val="18"/>
                  <w:color w:val="0000FF"/>
                  <w:w w:val="93"/>
                </w:rPr>
                <w:t>Certification of Leigh A. Vosseller, Chief Financial Officer,</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780" w:type="dxa"/>
            <w:vAlign w:val="bottom"/>
            <w:vMerge w:val="continue"/>
          </w:tcPr>
          <w:p>
            <w:pPr>
              <w:spacing w:after="0"/>
              <w:rPr>
                <w:sz w:val="8"/>
                <w:szCs w:val="8"/>
                <w:color w:val="auto"/>
              </w:rPr>
            </w:pPr>
          </w:p>
        </w:tc>
        <w:tc>
          <w:tcPr>
            <w:tcW w:w="4300" w:type="dxa"/>
            <w:vAlign w:val="bottom"/>
            <w:gridSpan w:val="3"/>
            <w:vMerge w:val="restart"/>
          </w:tcPr>
          <w:p>
            <w:pPr>
              <w:spacing w:after="0" w:line="196" w:lineRule="exact"/>
              <w:rPr>
                <w:rFonts w:ascii="Arial" w:cs="Arial" w:eastAsia="Arial" w:hAnsi="Arial"/>
                <w:sz w:val="18"/>
                <w:szCs w:val="18"/>
                <w:color w:val="0000FF"/>
                <w:w w:val="90"/>
              </w:rPr>
            </w:pPr>
            <w:hyperlink w:anchor="page90">
              <w:r>
                <w:rPr>
                  <w:rFonts w:ascii="Arial" w:cs="Arial" w:eastAsia="Arial" w:hAnsi="Arial"/>
                  <w:sz w:val="18"/>
                  <w:szCs w:val="18"/>
                  <w:u w:val="single" w:color="auto"/>
                  <w:color w:val="0000FF"/>
                  <w:w w:val="90"/>
                </w:rPr>
                <w:t>pursuant to Section 302 of the Sarbanes-Oxley Act of 2002</w:t>
              </w:r>
              <w:r>
                <w:rPr>
                  <w:rFonts w:ascii="Arial" w:cs="Arial" w:eastAsia="Arial" w:hAnsi="Arial"/>
                  <w:sz w:val="18"/>
                  <w:szCs w:val="18"/>
                  <w:color w:val="0000FF"/>
                  <w:w w:val="90"/>
                </w:rPr>
                <w:t>.</w:t>
              </w:r>
            </w:hyperlink>
          </w:p>
        </w:tc>
        <w:tc>
          <w:tcPr>
            <w:tcW w:w="0" w:type="dxa"/>
            <w:vAlign w:val="bottom"/>
          </w:tcPr>
          <w:p>
            <w:pPr>
              <w:spacing w:after="0"/>
              <w:rPr>
                <w:sz w:val="1"/>
                <w:szCs w:val="1"/>
                <w:color w:val="auto"/>
              </w:rPr>
            </w:pPr>
          </w:p>
        </w:tc>
      </w:tr>
      <w:tr>
        <w:trPr>
          <w:trHeight w:val="94"/>
        </w:trPr>
        <w:tc>
          <w:tcPr>
            <w:tcW w:w="780" w:type="dxa"/>
            <w:vAlign w:val="bottom"/>
          </w:tcPr>
          <w:p>
            <w:pPr>
              <w:spacing w:after="0"/>
              <w:rPr>
                <w:sz w:val="8"/>
                <w:szCs w:val="8"/>
                <w:color w:val="auto"/>
              </w:rPr>
            </w:pPr>
          </w:p>
        </w:tc>
        <w:tc>
          <w:tcPr>
            <w:tcW w:w="43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06285" cy="25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30" w:lineRule="exact"/>
        <w:rPr>
          <w:sz w:val="20"/>
          <w:szCs w:val="20"/>
          <w:color w:val="auto"/>
        </w:rPr>
      </w:pPr>
    </w:p>
    <w:p>
      <w:pPr>
        <w:sectPr>
          <w:pgSz w:w="11900" w:h="16838" w:orient="portrait"/>
          <w:cols w:equalWidth="0" w:num="2">
            <w:col w:w="9760" w:space="720"/>
            <w:col w:w="720"/>
          </w:cols>
          <w:pgMar w:left="320" w:top="125" w:right="37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32.1**</w:t>
            </w:r>
          </w:p>
        </w:tc>
        <w:tc>
          <w:tcPr>
            <w:tcW w:w="6900" w:type="dxa"/>
            <w:vAlign w:val="bottom"/>
            <w:gridSpan w:val="5"/>
            <w:shd w:val="clear" w:color="auto" w:fill="CCEEFF"/>
          </w:tcPr>
          <w:p>
            <w:pPr>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Certification of John F. Sheridan, Chief Executive Officer,</w:t>
              </w:r>
            </w:hyperlink>
          </w:p>
        </w:tc>
        <w:tc>
          <w:tcPr>
            <w:tcW w:w="3080" w:type="dxa"/>
            <w:vAlign w:val="bottom"/>
            <w:vMerge w:val="restart"/>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vMerge w:val="continue"/>
            <w:shd w:val="clear" w:color="auto" w:fill="CCEEFF"/>
          </w:tcPr>
          <w:p>
            <w:pPr>
              <w:spacing w:after="0"/>
              <w:rPr>
                <w:sz w:val="13"/>
                <w:szCs w:val="13"/>
                <w:color w:val="auto"/>
              </w:rPr>
            </w:pPr>
          </w:p>
        </w:tc>
        <w:tc>
          <w:tcPr>
            <w:tcW w:w="420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w w:val="92"/>
              </w:rPr>
            </w:pPr>
            <w:hyperlink w:anchor="page91">
              <w:r>
                <w:rPr>
                  <w:rFonts w:ascii="Arial" w:cs="Arial" w:eastAsia="Arial" w:hAnsi="Arial"/>
                  <w:sz w:val="18"/>
                  <w:szCs w:val="18"/>
                  <w:color w:val="0000FF"/>
                  <w:w w:val="92"/>
                </w:rPr>
                <w:t>pursuant to U.S.C. Section 1350, as adopted pursuant to</w:t>
              </w:r>
            </w:hyperlink>
          </w:p>
        </w:tc>
        <w:tc>
          <w:tcPr>
            <w:tcW w:w="80" w:type="dxa"/>
            <w:vAlign w:val="bottom"/>
            <w:tcBorders>
              <w:top w:val="single" w:sz="8" w:color="CCEEFF"/>
            </w:tcBorders>
            <w:shd w:val="clear" w:color="auto" w:fill="CCEEFF"/>
          </w:tcPr>
          <w:p>
            <w:pPr>
              <w:spacing w:after="0"/>
              <w:rPr>
                <w:sz w:val="13"/>
                <w:szCs w:val="13"/>
                <w:color w:val="auto"/>
              </w:rPr>
            </w:pPr>
          </w:p>
        </w:tc>
        <w:tc>
          <w:tcPr>
            <w:tcW w:w="2620" w:type="dxa"/>
            <w:vAlign w:val="bottom"/>
            <w:tcBorders>
              <w:top w:val="single" w:sz="8" w:color="CCEEFF"/>
            </w:tcBorders>
            <w:shd w:val="clear" w:color="auto" w:fill="CCEEFF"/>
          </w:tcPr>
          <w:p>
            <w:pPr>
              <w:spacing w:after="0"/>
              <w:rPr>
                <w:sz w:val="13"/>
                <w:szCs w:val="13"/>
                <w:color w:val="auto"/>
              </w:rPr>
            </w:pPr>
          </w:p>
        </w:tc>
        <w:tc>
          <w:tcPr>
            <w:tcW w:w="308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402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Section 906 of the Sarbanes-Oxley Act of 2002.</w:t>
              </w:r>
            </w:hyperlink>
          </w:p>
        </w:tc>
        <w:tc>
          <w:tcPr>
            <w:tcW w:w="260" w:type="dxa"/>
            <w:vAlign w:val="bottom"/>
            <w:tcBorders>
              <w:top w:val="single" w:sz="8" w:color="CCEEFF"/>
            </w:tcBorders>
            <w:gridSpan w:val="2"/>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7"/>
              </w:rPr>
              <w:t>32.2**</w:t>
            </w:r>
          </w:p>
        </w:tc>
        <w:tc>
          <w:tcPr>
            <w:tcW w:w="6900" w:type="dxa"/>
            <w:vAlign w:val="bottom"/>
            <w:gridSpan w:val="5"/>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Certification of Leigh A. Vosseller, Chief Financial Officer,</w:t>
              </w:r>
            </w:hyperlink>
          </w:p>
        </w:tc>
        <w:tc>
          <w:tcPr>
            <w:tcW w:w="3080" w:type="dxa"/>
            <w:vAlign w:val="bottom"/>
            <w:vMerge w:val="restart"/>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4280" w:type="dxa"/>
            <w:vAlign w:val="bottom"/>
            <w:tcBorders>
              <w:top w:val="single" w:sz="8" w:color="0000FF"/>
            </w:tcBorders>
            <w:gridSpan w:val="4"/>
          </w:tcPr>
          <w:p>
            <w:pPr>
              <w:spacing w:after="0" w:line="156" w:lineRule="exact"/>
              <w:rPr>
                <w:rFonts w:ascii="Arial" w:cs="Arial" w:eastAsia="Arial" w:hAnsi="Arial"/>
                <w:sz w:val="18"/>
                <w:szCs w:val="18"/>
                <w:color w:val="0000FF"/>
                <w:w w:val="94"/>
              </w:rPr>
            </w:pPr>
            <w:hyperlink w:anchor="page92">
              <w:r>
                <w:rPr>
                  <w:rFonts w:ascii="Arial" w:cs="Arial" w:eastAsia="Arial" w:hAnsi="Arial"/>
                  <w:sz w:val="18"/>
                  <w:szCs w:val="18"/>
                  <w:color w:val="0000FF"/>
                  <w:w w:val="94"/>
                </w:rPr>
                <w:t>pursuant to U.S.C. Section 1350, as adopted pursuant to</w:t>
              </w:r>
            </w:hyperlink>
          </w:p>
        </w:tc>
        <w:tc>
          <w:tcPr>
            <w:tcW w:w="2620" w:type="dxa"/>
            <w:vAlign w:val="bottom"/>
          </w:tcPr>
          <w:p>
            <w:pPr>
              <w:spacing w:after="0"/>
              <w:rPr>
                <w:sz w:val="13"/>
                <w:szCs w:val="13"/>
                <w:color w:val="auto"/>
              </w:rPr>
            </w:pPr>
          </w:p>
        </w:tc>
        <w:tc>
          <w:tcPr>
            <w:tcW w:w="3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0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92">
              <w:r>
                <w:rPr>
                  <w:rFonts w:ascii="Arial" w:cs="Arial" w:eastAsia="Arial" w:hAnsi="Arial"/>
                  <w:sz w:val="18"/>
                  <w:szCs w:val="18"/>
                  <w:color w:val="0000FF"/>
                </w:rPr>
                <w:t>Section 906 of the Sarbanes-Oxley Act of 2002.</w:t>
              </w:r>
            </w:hyperlink>
          </w:p>
        </w:tc>
        <w:tc>
          <w:tcPr>
            <w:tcW w:w="2880" w:type="dxa"/>
            <w:vAlign w:val="bottom"/>
            <w:gridSpan w:val="3"/>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34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6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30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69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3080" w:type="dxa"/>
            <w:vAlign w:val="bottom"/>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6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0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69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080" w:type="dxa"/>
            <w:vAlign w:val="bottom"/>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6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30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69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080" w:type="dxa"/>
            <w:vAlign w:val="bottom"/>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69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Cover Page Interactive Data File (embedded within the Inline</w:t>
            </w:r>
          </w:p>
        </w:tc>
        <w:tc>
          <w:tcPr>
            <w:tcW w:w="3080" w:type="dxa"/>
            <w:vAlign w:val="bottom"/>
            <w:vMerge w:val="restart"/>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1220" w:type="dxa"/>
            <w:vAlign w:val="bottom"/>
            <w:vMerge w:val="continue"/>
            <w:shd w:val="clear" w:color="auto" w:fill="CCEEFF"/>
          </w:tcPr>
          <w:p>
            <w:pPr>
              <w:spacing w:after="0"/>
              <w:rPr>
                <w:sz w:val="11"/>
                <w:szCs w:val="11"/>
                <w:color w:val="auto"/>
              </w:rPr>
            </w:pPr>
          </w:p>
        </w:tc>
        <w:tc>
          <w:tcPr>
            <w:tcW w:w="690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XBRL Document contained in Exhibit 101)</w:t>
            </w:r>
          </w:p>
        </w:tc>
        <w:tc>
          <w:tcPr>
            <w:tcW w:w="30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220" w:type="dxa"/>
            <w:vAlign w:val="bottom"/>
            <w:shd w:val="clear" w:color="auto" w:fill="CCEEFF"/>
          </w:tcPr>
          <w:p>
            <w:pPr>
              <w:spacing w:after="0"/>
              <w:rPr>
                <w:sz w:val="8"/>
                <w:szCs w:val="8"/>
                <w:color w:val="auto"/>
              </w:rPr>
            </w:pPr>
          </w:p>
        </w:tc>
        <w:tc>
          <w:tcPr>
            <w:tcW w:w="6900" w:type="dxa"/>
            <w:vAlign w:val="bottom"/>
            <w:gridSpan w:val="5"/>
            <w:vMerge w:val="continue"/>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225" w:lineRule="exact"/>
        <w:rPr>
          <w:sz w:val="20"/>
          <w:szCs w:val="20"/>
          <w:color w:val="auto"/>
        </w:rPr>
      </w:pPr>
    </w:p>
    <w:p>
      <w:pPr>
        <w:ind w:left="340" w:right="100" w:hanging="332"/>
        <w:spacing w:after="0" w:line="263" w:lineRule="auto"/>
        <w:tabs>
          <w:tab w:leader="none" w:pos="37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Tandem Diabetes Care, Inc.</w:t>
      </w:r>
    </w:p>
    <w:p>
      <w:pPr>
        <w:spacing w:after="0" w:line="306"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Dated: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John F. Sheridan</w:t>
      </w:r>
    </w:p>
    <w:p>
      <w:pPr>
        <w:ind w:left="6300"/>
        <w:spacing w:after="0" w:line="203" w:lineRule="auto"/>
        <w:rPr>
          <w:sz w:val="20"/>
          <w:szCs w:val="20"/>
          <w:color w:val="auto"/>
        </w:rPr>
      </w:pPr>
      <w:r>
        <w:rPr>
          <w:rFonts w:ascii="Arial" w:cs="Arial" w:eastAsia="Arial" w:hAnsi="Arial"/>
          <w:sz w:val="18"/>
          <w:szCs w:val="18"/>
          <w:color w:val="auto"/>
        </w:rPr>
        <w:t>President and Chief Executive Officer</w:t>
      </w:r>
    </w:p>
    <w:p>
      <w:pPr>
        <w:ind w:left="6300"/>
        <w:spacing w:after="0" w:line="203" w:lineRule="auto"/>
        <w:rPr>
          <w:sz w:val="20"/>
          <w:szCs w:val="20"/>
          <w:color w:val="auto"/>
        </w:rPr>
      </w:pPr>
      <w:r>
        <w:rPr>
          <w:rFonts w:ascii="Arial" w:cs="Arial" w:eastAsia="Arial" w:hAnsi="Arial"/>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63"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Dated: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Leigh A. Vosseller</w:t>
      </w:r>
    </w:p>
    <w:p>
      <w:pPr>
        <w:ind w:left="6300"/>
        <w:spacing w:after="0" w:line="215" w:lineRule="auto"/>
        <w:rPr>
          <w:sz w:val="20"/>
          <w:szCs w:val="20"/>
          <w:color w:val="auto"/>
        </w:rPr>
      </w:pPr>
      <w:r>
        <w:rPr>
          <w:rFonts w:ascii="Arial" w:cs="Arial" w:eastAsia="Arial" w:hAnsi="Arial"/>
          <w:sz w:val="17"/>
          <w:szCs w:val="17"/>
          <w:color w:val="auto"/>
        </w:rPr>
        <w:t>Executive Vice President, Chief Financial Officer and Treasurer</w:t>
      </w:r>
    </w:p>
    <w:p>
      <w:pPr>
        <w:ind w:left="6300"/>
        <w:spacing w:after="0" w:line="203" w:lineRule="auto"/>
        <w:rPr>
          <w:sz w:val="20"/>
          <w:szCs w:val="20"/>
          <w:color w:val="auto"/>
        </w:rPr>
      </w:pPr>
      <w:r>
        <w:rPr>
          <w:rFonts w:ascii="Arial" w:cs="Arial" w:eastAsia="Arial" w:hAnsi="Arial"/>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125" w:right="49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SECOND AMENDMENT TO LEASE</w:t>
      </w:r>
    </w:p>
    <w:p>
      <w:pPr>
        <w:spacing w:after="0" w:line="239" w:lineRule="exact"/>
        <w:rPr>
          <w:sz w:val="20"/>
          <w:szCs w:val="20"/>
          <w:color w:val="auto"/>
        </w:rPr>
      </w:pPr>
    </w:p>
    <w:p>
      <w:pPr>
        <w:jc w:val="both"/>
        <w:ind w:firstLine="756"/>
        <w:spacing w:after="0" w:line="250" w:lineRule="auto"/>
        <w:rPr>
          <w:sz w:val="20"/>
          <w:szCs w:val="20"/>
          <w:color w:val="auto"/>
        </w:rPr>
      </w:pPr>
      <w:r>
        <w:rPr>
          <w:rFonts w:ascii="Arial" w:cs="Arial" w:eastAsia="Arial" w:hAnsi="Arial"/>
          <w:sz w:val="18"/>
          <w:szCs w:val="18"/>
          <w:color w:val="auto"/>
        </w:rPr>
        <w:t>THIS SECOND AMENDMENT TO LEASE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made as of September 2, 2020, by and between </w:t>
      </w:r>
      <w:r>
        <w:rPr>
          <w:rFonts w:ascii="Arial" w:cs="Arial" w:eastAsia="Arial" w:hAnsi="Arial"/>
          <w:sz w:val="18"/>
          <w:szCs w:val="18"/>
          <w:b w:val="1"/>
          <w:bCs w:val="1"/>
          <w:color w:val="auto"/>
        </w:rPr>
        <w:t>ARE-11025/11075</w:t>
      </w:r>
      <w:r>
        <w:rPr>
          <w:rFonts w:ascii="Arial" w:cs="Arial" w:eastAsia="Arial" w:hAnsi="Arial"/>
          <w:sz w:val="18"/>
          <w:szCs w:val="18"/>
          <w:color w:val="auto"/>
        </w:rPr>
        <w:t xml:space="preserve"> </w:t>
      </w:r>
      <w:r>
        <w:rPr>
          <w:rFonts w:ascii="Arial" w:cs="Arial" w:eastAsia="Arial" w:hAnsi="Arial"/>
          <w:sz w:val="18"/>
          <w:szCs w:val="18"/>
          <w:b w:val="1"/>
          <w:bCs w:val="1"/>
          <w:color w:val="auto"/>
        </w:rPr>
        <w:t>ROSELLE STREET,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TANDEM DIABETES CARE,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RECITALS</w:t>
      </w:r>
    </w:p>
    <w:p>
      <w:pPr>
        <w:spacing w:after="0" w:line="239" w:lineRule="exact"/>
        <w:rPr>
          <w:sz w:val="20"/>
          <w:szCs w:val="20"/>
          <w:color w:val="auto"/>
        </w:rPr>
      </w:pPr>
    </w:p>
    <w:p>
      <w:pPr>
        <w:jc w:val="both"/>
        <w:ind w:left="660" w:hanging="328"/>
        <w:spacing w:after="0"/>
        <w:tabs>
          <w:tab w:leader="none" w:pos="6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Landlord and Tenant are now parties to that certain Lease Agreement dated as of November 5, 2013, as amended by that certain Letter Agreement dated February 11. 2014, and that certain First Amendment to Lease dated as of December 27, 2017 (as so amended,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certain premises consisting of approximately 41,163 rentable square feet ("</w:t>
      </w:r>
      <w:r>
        <w:rPr>
          <w:rFonts w:ascii="Arial" w:cs="Arial" w:eastAsia="Arial" w:hAnsi="Arial"/>
          <w:sz w:val="18"/>
          <w:szCs w:val="18"/>
          <w:b w:val="1"/>
          <w:bCs w:val="1"/>
          <w:color w:val="auto"/>
        </w:rPr>
        <w:t>Premises</w:t>
      </w:r>
      <w:r>
        <w:rPr>
          <w:rFonts w:ascii="Arial" w:cs="Arial" w:eastAsia="Arial" w:hAnsi="Arial"/>
          <w:sz w:val="18"/>
          <w:szCs w:val="18"/>
          <w:color w:val="auto"/>
        </w:rPr>
        <w:t>") in buildings located at 11065 Roselle Street (consisting of approximately 17,227 rentable square feet), and 11075 Roselle Street (consisting of approximately 23,936 rentable square feet), in San Diego, California, as more fully described in the Lease. Capitalized terms used herein without definition shall have the meanings defined for such terms in the Lease.</w:t>
      </w:r>
    </w:p>
    <w:p>
      <w:pPr>
        <w:spacing w:after="0" w:line="216" w:lineRule="exact"/>
        <w:rPr>
          <w:rFonts w:ascii="Arial" w:cs="Arial" w:eastAsia="Arial" w:hAnsi="Arial"/>
          <w:sz w:val="18"/>
          <w:szCs w:val="18"/>
          <w:color w:val="auto"/>
        </w:rPr>
      </w:pPr>
    </w:p>
    <w:p>
      <w:pPr>
        <w:jc w:val="both"/>
        <w:ind w:left="660" w:hanging="328"/>
        <w:spacing w:after="0" w:line="248" w:lineRule="auto"/>
        <w:tabs>
          <w:tab w:leader="none" w:pos="6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Base Term of the Lease will expire on May 31, 2022. Landlord and Tenant desire, subject to the terms and conditions set forth below, to amend the Lease to, among other things, (i) extend the current Base Term of the Lease for a period of one (1) year, and (ii) amend the amount of Base Rent payable under the Lease during the Base Term, as so extended.</w:t>
      </w:r>
    </w:p>
    <w:p>
      <w:pPr>
        <w:spacing w:after="0" w:line="205" w:lineRule="exact"/>
        <w:rPr>
          <w:sz w:val="20"/>
          <w:szCs w:val="20"/>
          <w:color w:val="auto"/>
        </w:rPr>
      </w:pPr>
    </w:p>
    <w:p>
      <w:pPr>
        <w:jc w:val="both"/>
        <w:ind w:firstLine="756"/>
        <w:spacing w:after="0" w:line="250"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 promises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contained herein, and for other good and valuable consideration, the receipt and sufficiency of which are hereby acknowledged, Landlord and Tenant hereby agree as follows:</w:t>
      </w:r>
    </w:p>
    <w:p>
      <w:pPr>
        <w:spacing w:after="0" w:line="204" w:lineRule="exact"/>
        <w:rPr>
          <w:sz w:val="20"/>
          <w:szCs w:val="20"/>
          <w:color w:val="auto"/>
        </w:rPr>
      </w:pPr>
    </w:p>
    <w:p>
      <w:pPr>
        <w:ind w:left="660" w:hanging="328"/>
        <w:spacing w:after="0" w:line="26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Term</w:t>
      </w:r>
      <w:r>
        <w:rPr>
          <w:rFonts w:ascii="Arial" w:cs="Arial" w:eastAsia="Arial" w:hAnsi="Arial"/>
          <w:sz w:val="18"/>
          <w:szCs w:val="18"/>
          <w:color w:val="auto"/>
        </w:rPr>
        <w:t>. Notwithstanding anything to the contrary contained in the Lease, the Base Term of the Lease is hereby extended through May 31,</w:t>
      </w:r>
      <w:r>
        <w:rPr>
          <w:rFonts w:ascii="Arial" w:cs="Arial" w:eastAsia="Arial" w:hAnsi="Arial"/>
          <w:sz w:val="18"/>
          <w:szCs w:val="18"/>
          <w:b w:val="1"/>
          <w:bCs w:val="1"/>
          <w:color w:val="auto"/>
        </w:rPr>
        <w:t xml:space="preserve"> </w:t>
      </w:r>
      <w:r>
        <w:rPr>
          <w:rFonts w:ascii="Arial" w:cs="Arial" w:eastAsia="Arial" w:hAnsi="Arial"/>
          <w:sz w:val="18"/>
          <w:szCs w:val="18"/>
          <w:color w:val="auto"/>
        </w:rPr>
        <w:t>2023 (the “</w:t>
      </w:r>
      <w:r>
        <w:rPr>
          <w:rFonts w:ascii="Arial" w:cs="Arial" w:eastAsia="Arial" w:hAnsi="Arial"/>
          <w:sz w:val="18"/>
          <w:szCs w:val="18"/>
          <w:b w:val="1"/>
          <w:bCs w:val="1"/>
          <w:color w:val="auto"/>
        </w:rPr>
        <w:t>Extended Expiration Date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Tenant shall continue to pay Base Rent as set forth in the Lease through May 31, 2022. Commencing on June 1, 2022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Adjustment Date</w:t>
      </w:r>
      <w:r>
        <w:rPr>
          <w:rFonts w:ascii="Arial" w:cs="Arial" w:eastAsia="Arial" w:hAnsi="Arial"/>
          <w:sz w:val="18"/>
          <w:szCs w:val="18"/>
          <w:color w:val="auto"/>
        </w:rPr>
        <w:t>"), Base Rent shall be increased by multiplying the Base Rent payable immediately before such Adjustment Date by 3% and adding the resulting amount to the Base Rent payable immediately before such Adjustment Date.</w:t>
      </w:r>
    </w:p>
    <w:p>
      <w:pPr>
        <w:spacing w:after="0" w:line="20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Alternative Premises</w:t>
      </w:r>
      <w:r>
        <w:rPr>
          <w:rFonts w:ascii="Arial" w:cs="Arial" w:eastAsia="Arial" w:hAnsi="Arial"/>
          <w:sz w:val="18"/>
          <w:szCs w:val="18"/>
          <w:color w:val="auto"/>
        </w:rPr>
        <w:t>. For the avoidance of doubt, nothing in this Amendment is intended to modify the terms and conditions set forth in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39(m) of the Lease under which Tenant may lease Alternative Premises (as defined therein), and the parties acknowledge and agree that such terms and conditions remain in full force and effect.</w:t>
      </w:r>
    </w:p>
    <w:p>
      <w:pPr>
        <w:spacing w:after="0" w:line="203"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Renewal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rights to renew or extend the term of this Lease beyond the Extended Expiration Date are hereby terminated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declared null and void.</w:t>
      </w:r>
    </w:p>
    <w:p>
      <w:pPr>
        <w:spacing w:after="0" w:line="189" w:lineRule="exact"/>
        <w:rPr>
          <w:rFonts w:ascii="Arial" w:cs="Arial" w:eastAsia="Arial" w:hAnsi="Arial"/>
          <w:sz w:val="18"/>
          <w:szCs w:val="18"/>
          <w:color w:val="auto"/>
        </w:rPr>
      </w:pPr>
    </w:p>
    <w:p>
      <w:pPr>
        <w:jc w:val="both"/>
        <w:ind w:left="660" w:hanging="328"/>
        <w:spacing w:after="0" w:line="24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it has not dealt with any broker, agent or other 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Amendment and that no Broker brought about this transaction, other than CBRE and Cushman &amp; Wakefield, on behalf of Landlord, and Re: Align Tenant Strategies, on behalf of Tenant. Landlord and Tenant each hereby agree to indemnify and hold the other harmless from and against any claims by any Broker, other than CBRE and Cushman &amp; Wakefield, on behalf of Landlord, and Re: Align Tenant Strategies, on behalf of Tenant, claiming a commission or other form of compensation by virtue of having dealt with Tenant or Landlord, as applicable, with regard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7" w:right="339" w:bottom="1440" w:gutter="0" w:footer="0" w:header="0"/>
        </w:sectPr>
      </w:pPr>
    </w:p>
    <w:bookmarkStart w:id="83" w:name="page84"/>
    <w:bookmarkEnd w:id="83"/>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jc w:val="both"/>
        <w:ind w:left="968" w:hanging="320"/>
        <w:spacing w:after="0" w:line="248" w:lineRule="auto"/>
        <w:tabs>
          <w:tab w:leader="none" w:pos="95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Amendment is the entire agreement between the parties with respect to the subject matter hereof and supersedes all prior and contemporaneous oral and written agreements and discussions. This Amendment may be amended only by an agreement in writing, signed by the parties hereto.</w:t>
      </w:r>
    </w:p>
    <w:p>
      <w:pPr>
        <w:spacing w:after="0" w:line="208" w:lineRule="exact"/>
        <w:rPr>
          <w:rFonts w:ascii="Arial" w:cs="Arial" w:eastAsia="Arial" w:hAnsi="Arial"/>
          <w:sz w:val="18"/>
          <w:szCs w:val="18"/>
          <w:color w:val="auto"/>
        </w:rPr>
      </w:pPr>
    </w:p>
    <w:p>
      <w:pPr>
        <w:ind w:left="968" w:hanging="320"/>
        <w:spacing w:after="0" w:line="261" w:lineRule="auto"/>
        <w:tabs>
          <w:tab w:leader="none" w:pos="9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Amendment is binding upon and shall inure to the benefit of the parties hereto, their respective agents, employees, representatives, officers, directors, divisions, subsidiaries, affiliates, assigns, heirs, successors in interest and shareholders.</w:t>
      </w:r>
    </w:p>
    <w:p>
      <w:pPr>
        <w:spacing w:after="0" w:line="197" w:lineRule="exact"/>
        <w:rPr>
          <w:rFonts w:ascii="Arial" w:cs="Arial" w:eastAsia="Arial" w:hAnsi="Arial"/>
          <w:sz w:val="18"/>
          <w:szCs w:val="18"/>
          <w:color w:val="auto"/>
        </w:rPr>
      </w:pPr>
    </w:p>
    <w:p>
      <w:pPr>
        <w:ind w:left="968" w:hanging="320"/>
        <w:spacing w:after="0" w:line="261" w:lineRule="auto"/>
        <w:tabs>
          <w:tab w:leader="none" w:pos="958"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of Landlord and Tenant acknowledges that it has read the provisions of this Amendment, understands them, and is bound by them. Time is of the essence in this Amendment.</w:t>
      </w:r>
    </w:p>
    <w:p>
      <w:pPr>
        <w:spacing w:after="0" w:line="197" w:lineRule="exact"/>
        <w:rPr>
          <w:rFonts w:ascii="Arial" w:cs="Arial" w:eastAsia="Arial" w:hAnsi="Arial"/>
          <w:sz w:val="18"/>
          <w:szCs w:val="18"/>
          <w:color w:val="auto"/>
        </w:rPr>
      </w:pPr>
    </w:p>
    <w:p>
      <w:pPr>
        <w:jc w:val="both"/>
        <w:ind w:left="968" w:hanging="320"/>
        <w:spacing w:after="0"/>
        <w:tabs>
          <w:tab w:leader="none" w:pos="9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Amendment may be executed in two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Amendment and all matters related thereto, with such electronic signatures having the same legal effect as original signatures.</w:t>
      </w:r>
    </w:p>
    <w:p>
      <w:pPr>
        <w:spacing w:after="0" w:line="216" w:lineRule="exact"/>
        <w:rPr>
          <w:rFonts w:ascii="Arial" w:cs="Arial" w:eastAsia="Arial" w:hAnsi="Arial"/>
          <w:sz w:val="18"/>
          <w:szCs w:val="18"/>
          <w:color w:val="auto"/>
        </w:rPr>
      </w:pPr>
    </w:p>
    <w:p>
      <w:pPr>
        <w:jc w:val="both"/>
        <w:ind w:left="968" w:hanging="320"/>
        <w:spacing w:after="0" w:line="241" w:lineRule="auto"/>
        <w:tabs>
          <w:tab w:leader="none" w:pos="958"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Except as amended and/or modified by this Amendment, the Lease is hereby ratified and confirmed and all other terms of the Lease shall remain in full force and effect, unaltered and unchanged by this Amendment. In the event of any conflict between the provisions of this Amendment and the provisions of the Lease, the provisions of this Amendment shall prevail. Whether or not specifically amended by this Amendment, all of the terms and provisions of the Lease are hereby amended to the extent necessary to give effect to the purpose and intent of this Amendment.</w:t>
      </w:r>
    </w:p>
    <w:p>
      <w:pPr>
        <w:spacing w:after="0" w:line="212" w:lineRule="exact"/>
        <w:rPr>
          <w:sz w:val="20"/>
          <w:szCs w:val="20"/>
          <w:color w:val="auto"/>
        </w:rPr>
      </w:pPr>
    </w:p>
    <w:p>
      <w:pPr>
        <w:ind w:left="5428"/>
        <w:spacing w:after="0"/>
        <w:rPr>
          <w:sz w:val="20"/>
          <w:szCs w:val="20"/>
          <w:color w:val="auto"/>
        </w:rPr>
      </w:pPr>
      <w:r>
        <w:rPr>
          <w:rFonts w:ascii="Arial" w:cs="Arial" w:eastAsia="Arial" w:hAnsi="Arial"/>
          <w:sz w:val="18"/>
          <w:szCs w:val="18"/>
          <w:b w:val="1"/>
          <w:bCs w:val="1"/>
          <w:color w:val="auto"/>
        </w:rPr>
        <w:t>[Signatures are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08"/>
          </w:cols>
          <w:pgMar w:left="652" w:top="1417" w:right="339" w:bottom="1440" w:gutter="0" w:footer="0" w:header="0"/>
        </w:sectPr>
      </w:pPr>
    </w:p>
    <w:bookmarkStart w:id="84" w:name="page85"/>
    <w:bookmarkEnd w:id="84"/>
    <w:p>
      <w:pPr>
        <w:ind w:left="734"/>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16"/>
          <w:szCs w:val="16"/>
          <w:color w:val="auto"/>
        </w:rPr>
        <w:t>, the parties hereto have executed this Amendment as of the day and year first above written.</w:t>
      </w:r>
    </w:p>
    <w:p>
      <w:pPr>
        <w:spacing w:after="0" w:line="254" w:lineRule="exact"/>
        <w:rPr>
          <w:sz w:val="20"/>
          <w:szCs w:val="20"/>
          <w:color w:val="auto"/>
        </w:rPr>
      </w:pPr>
    </w:p>
    <w:p>
      <w:pPr>
        <w:ind w:left="3334"/>
        <w:spacing w:after="0"/>
        <w:rPr>
          <w:sz w:val="20"/>
          <w:szCs w:val="20"/>
          <w:color w:val="auto"/>
        </w:rPr>
      </w:pPr>
      <w:r>
        <w:rPr>
          <w:rFonts w:ascii="Arial" w:cs="Arial" w:eastAsia="Arial" w:hAnsi="Arial"/>
          <w:sz w:val="18"/>
          <w:szCs w:val="18"/>
          <w:b w:val="1"/>
          <w:bCs w:val="1"/>
          <w:color w:val="auto"/>
        </w:rPr>
        <w:t>TENANT:</w:t>
      </w:r>
    </w:p>
    <w:p>
      <w:pPr>
        <w:spacing w:after="0" w:line="239" w:lineRule="exact"/>
        <w:rPr>
          <w:sz w:val="20"/>
          <w:szCs w:val="20"/>
          <w:color w:val="auto"/>
        </w:rPr>
      </w:pPr>
    </w:p>
    <w:p>
      <w:pPr>
        <w:ind w:left="3334"/>
        <w:spacing w:after="0"/>
        <w:rPr>
          <w:sz w:val="20"/>
          <w:szCs w:val="20"/>
          <w:color w:val="auto"/>
        </w:rPr>
      </w:pPr>
      <w:r>
        <w:rPr>
          <w:rFonts w:ascii="Arial" w:cs="Arial" w:eastAsia="Arial" w:hAnsi="Arial"/>
          <w:sz w:val="18"/>
          <w:szCs w:val="18"/>
          <w:b w:val="1"/>
          <w:bCs w:val="1"/>
          <w:color w:val="auto"/>
        </w:rPr>
        <w:t>TANDEM DIABETES CARE, INC.</w:t>
      </w:r>
      <w:r>
        <w:rPr>
          <w:rFonts w:ascii="Arial" w:cs="Arial" w:eastAsia="Arial" w:hAnsi="Arial"/>
          <w:sz w:val="18"/>
          <w:szCs w:val="18"/>
          <w:color w:val="auto"/>
        </w:rPr>
        <w:t>,</w:t>
      </w:r>
    </w:p>
    <w:p>
      <w:pPr>
        <w:spacing w:after="0" w:line="16" w:lineRule="exact"/>
        <w:rPr>
          <w:sz w:val="20"/>
          <w:szCs w:val="20"/>
          <w:color w:val="auto"/>
        </w:rPr>
      </w:pPr>
    </w:p>
    <w:p>
      <w:pPr>
        <w:ind w:left="3334"/>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66" w:lineRule="exact"/>
        <w:rPr>
          <w:sz w:val="20"/>
          <w:szCs w:val="20"/>
          <w:color w:val="auto"/>
        </w:rPr>
      </w:pPr>
    </w:p>
    <w:p>
      <w:pPr>
        <w:ind w:left="3334"/>
        <w:spacing w:after="0"/>
        <w:rPr>
          <w:sz w:val="20"/>
          <w:szCs w:val="20"/>
          <w:color w:val="auto"/>
        </w:rPr>
      </w:pPr>
      <w:r>
        <w:rPr>
          <w:rFonts w:ascii="Arial" w:cs="Arial" w:eastAsia="Arial" w:hAnsi="Arial"/>
          <w:sz w:val="18"/>
          <w:szCs w:val="18"/>
          <w:color w:val="auto"/>
        </w:rPr>
        <w:t>By: /s/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-10160</wp:posOffset>
            </wp:positionV>
            <wp:extent cx="1016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spacing w:after="0" w:line="219" w:lineRule="exact"/>
        <w:rPr>
          <w:sz w:val="20"/>
          <w:szCs w:val="20"/>
          <w:color w:val="auto"/>
        </w:rPr>
      </w:pPr>
    </w:p>
    <w:p>
      <w:pPr>
        <w:ind w:left="3334"/>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EVP, Chief Financial Officer</w:t>
      </w:r>
    </w:p>
    <w:p>
      <w:pPr>
        <w:spacing w:after="0" w:line="279" w:lineRule="exact"/>
        <w:rPr>
          <w:sz w:val="20"/>
          <w:szCs w:val="20"/>
          <w:color w:val="auto"/>
        </w:rPr>
      </w:pPr>
    </w:p>
    <w:p>
      <w:pPr>
        <w:ind w:left="-6" w:right="4599" w:firstLine="6"/>
        <w:spacing w:after="0" w:line="235" w:lineRule="auto"/>
        <w:tabs>
          <w:tab w:leader="none" w:pos="201" w:val="left"/>
        </w:tabs>
        <w:numPr>
          <w:ilvl w:val="0"/>
          <w:numId w:val="42"/>
        </w:numPr>
        <w:rPr>
          <w:rFonts w:ascii="MS PGothic" w:cs="MS PGothic" w:eastAsia="MS PGothic" w:hAnsi="MS PGothic"/>
          <w:sz w:val="18"/>
          <w:szCs w:val="18"/>
          <w:color w:val="auto"/>
        </w:rPr>
      </w:pPr>
      <w:r>
        <w:rPr>
          <w:rFonts w:ascii="Arial" w:cs="Arial" w:eastAsia="Arial" w:hAnsi="Arial"/>
          <w:sz w:val="18"/>
          <w:szCs w:val="18"/>
          <w:color w:val="auto"/>
        </w:rPr>
        <w:t>I hereby certify that the signature, name, and title above are my signature, 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334"/>
        <w:spacing w:after="0"/>
        <w:rPr>
          <w:sz w:val="20"/>
          <w:szCs w:val="20"/>
          <w:color w:val="auto"/>
        </w:rPr>
      </w:pPr>
      <w:r>
        <w:rPr>
          <w:rFonts w:ascii="Arial" w:cs="Arial" w:eastAsia="Arial" w:hAnsi="Arial"/>
          <w:sz w:val="18"/>
          <w:szCs w:val="18"/>
          <w:b w:val="1"/>
          <w:bCs w:val="1"/>
          <w:color w:val="auto"/>
        </w:rPr>
        <w:t>LANDLORD:</w:t>
      </w:r>
    </w:p>
    <w:p>
      <w:pPr>
        <w:spacing w:after="0" w:line="239" w:lineRule="exact"/>
        <w:rPr>
          <w:sz w:val="20"/>
          <w:szCs w:val="20"/>
          <w:color w:val="auto"/>
        </w:rPr>
      </w:pPr>
    </w:p>
    <w:p>
      <w:pPr>
        <w:ind w:left="3334"/>
        <w:spacing w:after="0"/>
        <w:rPr>
          <w:sz w:val="20"/>
          <w:szCs w:val="20"/>
          <w:color w:val="auto"/>
        </w:rPr>
      </w:pPr>
      <w:r>
        <w:rPr>
          <w:rFonts w:ascii="Arial" w:cs="Arial" w:eastAsia="Arial" w:hAnsi="Arial"/>
          <w:sz w:val="18"/>
          <w:szCs w:val="18"/>
          <w:b w:val="1"/>
          <w:bCs w:val="1"/>
          <w:color w:val="auto"/>
        </w:rPr>
        <w:t>ARE-11025/11075 ROSELLE STREET, LLC</w:t>
      </w:r>
      <w:r>
        <w:rPr>
          <w:rFonts w:ascii="Arial" w:cs="Arial" w:eastAsia="Arial" w:hAnsi="Arial"/>
          <w:sz w:val="18"/>
          <w:szCs w:val="18"/>
          <w:color w:val="auto"/>
        </w:rPr>
        <w:t>,</w:t>
      </w:r>
    </w:p>
    <w:p>
      <w:pPr>
        <w:spacing w:after="0" w:line="16" w:lineRule="exact"/>
        <w:rPr>
          <w:sz w:val="20"/>
          <w:szCs w:val="20"/>
          <w:color w:val="auto"/>
        </w:rPr>
      </w:pPr>
    </w:p>
    <w:p>
      <w:pPr>
        <w:ind w:left="3334"/>
        <w:spacing w:after="0"/>
        <w:rPr>
          <w:sz w:val="20"/>
          <w:szCs w:val="20"/>
          <w:color w:val="auto"/>
        </w:rPr>
      </w:pPr>
      <w:r>
        <w:rPr>
          <w:rFonts w:ascii="Arial" w:cs="Arial" w:eastAsia="Arial" w:hAnsi="Arial"/>
          <w:sz w:val="18"/>
          <w:szCs w:val="18"/>
          <w:color w:val="auto"/>
        </w:rPr>
        <w:t>a Delaware limited liability company</w:t>
      </w:r>
    </w:p>
    <w:p>
      <w:pPr>
        <w:spacing w:after="0" w:line="223" w:lineRule="exact"/>
        <w:rPr>
          <w:sz w:val="20"/>
          <w:szCs w:val="20"/>
          <w:color w:val="auto"/>
        </w:rPr>
      </w:pPr>
    </w:p>
    <w:p>
      <w:pPr>
        <w:ind w:left="3334"/>
        <w:spacing w:after="0"/>
        <w:rPr>
          <w:sz w:val="20"/>
          <w:szCs w:val="20"/>
          <w:color w:val="auto"/>
        </w:rPr>
      </w:pPr>
      <w:r>
        <w:rPr>
          <w:rFonts w:ascii="Arial" w:cs="Arial" w:eastAsia="Arial" w:hAnsi="Arial"/>
          <w:sz w:val="18"/>
          <w:szCs w:val="18"/>
          <w:color w:val="auto"/>
        </w:rPr>
        <w:t>By: ALEXANDRIA REAL ESTATE EQUITIES, L.P.,</w:t>
      </w:r>
    </w:p>
    <w:p>
      <w:pPr>
        <w:spacing w:after="0" w:line="12" w:lineRule="exact"/>
        <w:rPr>
          <w:sz w:val="20"/>
          <w:szCs w:val="20"/>
          <w:color w:val="auto"/>
        </w:rPr>
      </w:pPr>
    </w:p>
    <w:p>
      <w:pPr>
        <w:ind w:left="3974"/>
        <w:spacing w:after="0"/>
        <w:rPr>
          <w:sz w:val="20"/>
          <w:szCs w:val="20"/>
          <w:color w:val="auto"/>
        </w:rPr>
      </w:pPr>
      <w:r>
        <w:rPr>
          <w:rFonts w:ascii="Arial" w:cs="Arial" w:eastAsia="Arial" w:hAnsi="Arial"/>
          <w:sz w:val="18"/>
          <w:szCs w:val="18"/>
          <w:color w:val="auto"/>
        </w:rPr>
        <w:t>a Delaware limited partnership, managing member</w:t>
      </w:r>
    </w:p>
    <w:p>
      <w:pPr>
        <w:spacing w:after="0" w:line="223" w:lineRule="exact"/>
        <w:rPr>
          <w:sz w:val="20"/>
          <w:szCs w:val="20"/>
          <w:color w:val="auto"/>
        </w:rPr>
      </w:pPr>
    </w:p>
    <w:p>
      <w:pPr>
        <w:ind w:left="3974"/>
        <w:spacing w:after="0"/>
        <w:rPr>
          <w:sz w:val="20"/>
          <w:szCs w:val="20"/>
          <w:color w:val="auto"/>
        </w:rPr>
      </w:pPr>
      <w:r>
        <w:rPr>
          <w:rFonts w:ascii="Arial" w:cs="Arial" w:eastAsia="Arial" w:hAnsi="Arial"/>
          <w:sz w:val="18"/>
          <w:szCs w:val="18"/>
          <w:color w:val="auto"/>
        </w:rPr>
        <w:t>By: ARE-QRS CORP.,</w:t>
      </w:r>
    </w:p>
    <w:p>
      <w:pPr>
        <w:spacing w:after="0" w:line="12" w:lineRule="exact"/>
        <w:rPr>
          <w:sz w:val="20"/>
          <w:szCs w:val="20"/>
          <w:color w:val="auto"/>
        </w:rPr>
      </w:pPr>
    </w:p>
    <w:p>
      <w:pPr>
        <w:ind w:left="4634"/>
        <w:spacing w:after="0"/>
        <w:rPr>
          <w:sz w:val="20"/>
          <w:szCs w:val="20"/>
          <w:color w:val="auto"/>
        </w:rPr>
      </w:pPr>
      <w:r>
        <w:rPr>
          <w:rFonts w:ascii="Arial" w:cs="Arial" w:eastAsia="Arial" w:hAnsi="Arial"/>
          <w:sz w:val="18"/>
          <w:szCs w:val="18"/>
          <w:color w:val="auto"/>
        </w:rPr>
        <w:t>a Maryland corporation, general partner</w:t>
      </w:r>
    </w:p>
    <w:p>
      <w:pPr>
        <w:spacing w:after="0" w:line="200" w:lineRule="exact"/>
        <w:rPr>
          <w:sz w:val="20"/>
          <w:szCs w:val="20"/>
          <w:color w:val="auto"/>
        </w:rPr>
      </w:pPr>
    </w:p>
    <w:p>
      <w:pPr>
        <w:spacing w:after="0" w:line="266" w:lineRule="exact"/>
        <w:rPr>
          <w:sz w:val="20"/>
          <w:szCs w:val="20"/>
          <w:color w:val="auto"/>
        </w:rPr>
      </w:pPr>
    </w:p>
    <w:p>
      <w:pPr>
        <w:ind w:left="4634"/>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Gary Dean</w:t>
      </w:r>
    </w:p>
    <w:p>
      <w:pPr>
        <w:spacing w:after="0" w:line="7" w:lineRule="exact"/>
        <w:rPr>
          <w:sz w:val="20"/>
          <w:szCs w:val="20"/>
          <w:color w:val="auto"/>
        </w:rPr>
      </w:pPr>
    </w:p>
    <w:p>
      <w:pPr>
        <w:ind w:left="4634"/>
        <w:spacing w:after="0"/>
        <w:rPr>
          <w:sz w:val="20"/>
          <w:szCs w:val="20"/>
          <w:color w:val="auto"/>
        </w:rPr>
      </w:pPr>
      <w:r>
        <w:rPr>
          <w:rFonts w:ascii="Arial" w:cs="Arial" w:eastAsia="Arial" w:hAnsi="Arial"/>
          <w:sz w:val="18"/>
          <w:szCs w:val="18"/>
          <w:color w:val="auto"/>
        </w:rPr>
        <w:t>Executive Vice President</w:t>
      </w:r>
    </w:p>
    <w:p>
      <w:pPr>
        <w:ind w:left="4634"/>
        <w:spacing w:after="0"/>
        <w:rPr>
          <w:sz w:val="20"/>
          <w:szCs w:val="20"/>
          <w:color w:val="auto"/>
        </w:rPr>
      </w:pPr>
      <w:r>
        <w:rPr>
          <w:rFonts w:ascii="Arial" w:cs="Arial" w:eastAsia="Arial" w:hAnsi="Arial"/>
          <w:sz w:val="18"/>
          <w:szCs w:val="18"/>
          <w:color w:val="auto"/>
        </w:rPr>
        <w:t>RE Legal Affairs</w:t>
      </w:r>
    </w:p>
    <w:p>
      <w:pPr>
        <w:spacing w:after="0" w:line="200" w:lineRule="exact"/>
        <w:rPr>
          <w:sz w:val="20"/>
          <w:szCs w:val="20"/>
          <w:color w:val="auto"/>
        </w:rPr>
      </w:pPr>
    </w:p>
    <w:p>
      <w:pPr>
        <w:spacing w:after="0" w:line="306" w:lineRule="exact"/>
        <w:rPr>
          <w:sz w:val="20"/>
          <w:szCs w:val="20"/>
          <w:color w:val="auto"/>
        </w:rPr>
      </w:pPr>
    </w:p>
    <w:p>
      <w:pPr>
        <w:ind w:left="-6" w:right="4599" w:firstLine="6"/>
        <w:spacing w:after="0" w:line="235" w:lineRule="auto"/>
        <w:tabs>
          <w:tab w:leader="none" w:pos="201" w:val="left"/>
        </w:tabs>
        <w:numPr>
          <w:ilvl w:val="0"/>
          <w:numId w:val="43"/>
        </w:numPr>
        <w:rPr>
          <w:rFonts w:ascii="MS PGothic" w:cs="MS PGothic" w:eastAsia="MS PGothic" w:hAnsi="MS PGothic"/>
          <w:sz w:val="18"/>
          <w:szCs w:val="18"/>
          <w:color w:val="auto"/>
        </w:rPr>
      </w:pPr>
      <w:r>
        <w:rPr>
          <w:rFonts w:ascii="Arial" w:cs="Arial" w:eastAsia="Arial" w:hAnsi="Arial"/>
          <w:sz w:val="18"/>
          <w:szCs w:val="18"/>
          <w:color w:val="auto"/>
        </w:rPr>
        <w:t>I hereby certify that the signature, name, and title above are my signature, 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3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13"/>
          </w:cols>
          <w:pgMar w:left="346" w:top="1408"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FIFTH AMENDMENT TO LEASE</w:t>
      </w:r>
    </w:p>
    <w:p>
      <w:pPr>
        <w:spacing w:after="0" w:line="239" w:lineRule="exact"/>
        <w:rPr>
          <w:sz w:val="20"/>
          <w:szCs w:val="20"/>
          <w:color w:val="auto"/>
        </w:rPr>
      </w:pPr>
    </w:p>
    <w:p>
      <w:pPr>
        <w:jc w:val="both"/>
        <w:ind w:firstLine="756"/>
        <w:spacing w:after="0" w:line="250" w:lineRule="auto"/>
        <w:rPr>
          <w:sz w:val="20"/>
          <w:szCs w:val="20"/>
          <w:color w:val="auto"/>
        </w:rPr>
      </w:pPr>
      <w:r>
        <w:rPr>
          <w:rFonts w:ascii="Arial" w:cs="Arial" w:eastAsia="Arial" w:hAnsi="Arial"/>
          <w:sz w:val="18"/>
          <w:szCs w:val="18"/>
          <w:color w:val="auto"/>
        </w:rPr>
        <w:t>THIS FIFTH AMENDMENT TO LEASE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made as of September 2, 2020, by and between </w:t>
      </w:r>
      <w:r>
        <w:rPr>
          <w:rFonts w:ascii="Arial" w:cs="Arial" w:eastAsia="Arial" w:hAnsi="Arial"/>
          <w:sz w:val="18"/>
          <w:szCs w:val="18"/>
          <w:b w:val="1"/>
          <w:bCs w:val="1"/>
          <w:color w:val="auto"/>
        </w:rPr>
        <w:t>ARE-11025/11075</w:t>
      </w:r>
      <w:r>
        <w:rPr>
          <w:rFonts w:ascii="Arial" w:cs="Arial" w:eastAsia="Arial" w:hAnsi="Arial"/>
          <w:sz w:val="18"/>
          <w:szCs w:val="18"/>
          <w:color w:val="auto"/>
        </w:rPr>
        <w:t xml:space="preserve"> </w:t>
      </w:r>
      <w:r>
        <w:rPr>
          <w:rFonts w:ascii="Arial" w:cs="Arial" w:eastAsia="Arial" w:hAnsi="Arial"/>
          <w:sz w:val="18"/>
          <w:szCs w:val="18"/>
          <w:b w:val="1"/>
          <w:bCs w:val="1"/>
          <w:color w:val="auto"/>
        </w:rPr>
        <w:t>ROSELLE STREET,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TANDEM DIABETES CARE,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RECITALS</w:t>
      </w:r>
    </w:p>
    <w:p>
      <w:pPr>
        <w:spacing w:after="0" w:line="239" w:lineRule="exact"/>
        <w:rPr>
          <w:sz w:val="20"/>
          <w:szCs w:val="20"/>
          <w:color w:val="auto"/>
        </w:rPr>
      </w:pPr>
    </w:p>
    <w:p>
      <w:pPr>
        <w:jc w:val="both"/>
        <w:ind w:left="660" w:hanging="328"/>
        <w:spacing w:after="0" w:line="255" w:lineRule="auto"/>
        <w:tabs>
          <w:tab w:leader="none" w:pos="659" w:val="left"/>
        </w:tabs>
        <w:numPr>
          <w:ilvl w:val="0"/>
          <w:numId w:val="44"/>
        </w:numPr>
        <w:rPr>
          <w:rFonts w:ascii="Arial" w:cs="Arial" w:eastAsia="Arial" w:hAnsi="Arial"/>
          <w:sz w:val="17"/>
          <w:szCs w:val="17"/>
          <w:color w:val="auto"/>
        </w:rPr>
      </w:pPr>
      <w:r>
        <w:rPr>
          <w:rFonts w:ascii="Arial" w:cs="Arial" w:eastAsia="Arial" w:hAnsi="Arial"/>
          <w:sz w:val="17"/>
          <w:szCs w:val="17"/>
          <w:color w:val="auto"/>
        </w:rPr>
        <w:t>Landlord and Tenant are now parties to that certain Lease Agreement dated as of March 7, 2012, as amended by that certain First Amendment to Lease dated as of April 24, 2012, that certain Second Amendment to Lease dated as of July 31, 2012, that certain Third Amendment to Lease dated as of November 5, 2013 and that certain Fourth Amendment to Lease dated as of December 27, 2017 (as so amended,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 Tenant leases certain premises consisting of approximately 36,295 rentable square feet ("</w:t>
      </w:r>
      <w:r>
        <w:rPr>
          <w:rFonts w:ascii="Arial" w:cs="Arial" w:eastAsia="Arial" w:hAnsi="Arial"/>
          <w:sz w:val="17"/>
          <w:szCs w:val="17"/>
          <w:b w:val="1"/>
          <w:bCs w:val="1"/>
          <w:color w:val="auto"/>
        </w:rPr>
        <w:t>Premises</w:t>
      </w:r>
      <w:r>
        <w:rPr>
          <w:rFonts w:ascii="Arial" w:cs="Arial" w:eastAsia="Arial" w:hAnsi="Arial"/>
          <w:sz w:val="17"/>
          <w:szCs w:val="17"/>
          <w:color w:val="auto"/>
        </w:rPr>
        <w:t>") in buildings located at 11025 Roselle Street (consisting of approximately 18,705 rentable square feet), and 11035 Roselle Street (consisting of approximately 17,590 rentable square feet), in San Diego, California, as more fully described in the Lease. Capitalized terms used herein without definition shall have the meanings defined for such terms in the Lease.</w:t>
      </w:r>
    </w:p>
    <w:p>
      <w:pPr>
        <w:spacing w:after="0" w:line="206" w:lineRule="exact"/>
        <w:rPr>
          <w:rFonts w:ascii="Arial" w:cs="Arial" w:eastAsia="Arial" w:hAnsi="Arial"/>
          <w:sz w:val="17"/>
          <w:szCs w:val="17"/>
          <w:color w:val="auto"/>
        </w:rPr>
      </w:pPr>
    </w:p>
    <w:p>
      <w:pPr>
        <w:jc w:val="both"/>
        <w:ind w:left="660" w:hanging="328"/>
        <w:spacing w:after="0" w:line="248" w:lineRule="auto"/>
        <w:tabs>
          <w:tab w:leader="none" w:pos="6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Base Term of the Lease will expire on May 31, 2022. Landlord and Tenant desire, subject to the terms and conditions set forth below, to amend the Lease to, among other things, (i) extend the current Base Term of the Lease for a period of one (1) year, and (ii) amend the amount of Base Rent payable under the Lease during the Base Term, as so extended.</w:t>
      </w:r>
    </w:p>
    <w:p>
      <w:pPr>
        <w:spacing w:after="0" w:line="205" w:lineRule="exact"/>
        <w:rPr>
          <w:sz w:val="20"/>
          <w:szCs w:val="20"/>
          <w:color w:val="auto"/>
        </w:rPr>
      </w:pPr>
    </w:p>
    <w:p>
      <w:pPr>
        <w:jc w:val="both"/>
        <w:ind w:firstLine="756"/>
        <w:spacing w:after="0" w:line="250"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 promises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contained herein, and for other good and valuable consideration, the receipt and sufficiency of which are hereby acknowledged, Landlord and Tenant hereby agree as follows:</w:t>
      </w:r>
    </w:p>
    <w:p>
      <w:pPr>
        <w:spacing w:after="0" w:line="204" w:lineRule="exact"/>
        <w:rPr>
          <w:sz w:val="20"/>
          <w:szCs w:val="20"/>
          <w:color w:val="auto"/>
        </w:rPr>
      </w:pPr>
    </w:p>
    <w:p>
      <w:pPr>
        <w:ind w:left="660" w:hanging="328"/>
        <w:spacing w:after="0" w:line="26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Term</w:t>
      </w:r>
      <w:r>
        <w:rPr>
          <w:rFonts w:ascii="Arial" w:cs="Arial" w:eastAsia="Arial" w:hAnsi="Arial"/>
          <w:sz w:val="18"/>
          <w:szCs w:val="18"/>
          <w:color w:val="auto"/>
        </w:rPr>
        <w:t>. Notwithstanding anything to the contrary contained in the Lease, the Base Term of the Lease is hereby extended through May 31,</w:t>
      </w:r>
      <w:r>
        <w:rPr>
          <w:rFonts w:ascii="Arial" w:cs="Arial" w:eastAsia="Arial" w:hAnsi="Arial"/>
          <w:sz w:val="18"/>
          <w:szCs w:val="18"/>
          <w:b w:val="1"/>
          <w:bCs w:val="1"/>
          <w:color w:val="auto"/>
        </w:rPr>
        <w:t xml:space="preserve"> </w:t>
      </w:r>
      <w:r>
        <w:rPr>
          <w:rFonts w:ascii="Arial" w:cs="Arial" w:eastAsia="Arial" w:hAnsi="Arial"/>
          <w:sz w:val="18"/>
          <w:szCs w:val="18"/>
          <w:color w:val="auto"/>
        </w:rPr>
        <w:t>2023 (the “</w:t>
      </w:r>
      <w:r>
        <w:rPr>
          <w:rFonts w:ascii="Arial" w:cs="Arial" w:eastAsia="Arial" w:hAnsi="Arial"/>
          <w:sz w:val="18"/>
          <w:szCs w:val="18"/>
          <w:b w:val="1"/>
          <w:bCs w:val="1"/>
          <w:color w:val="auto"/>
        </w:rPr>
        <w:t>Extended Expiration Date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Tenant shall continue to pay Base Rent as set forth in the Lease through May 31, 2022. Commencing on June 1, 2022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Adjustment Date</w:t>
      </w:r>
      <w:r>
        <w:rPr>
          <w:rFonts w:ascii="Arial" w:cs="Arial" w:eastAsia="Arial" w:hAnsi="Arial"/>
          <w:sz w:val="18"/>
          <w:szCs w:val="18"/>
          <w:color w:val="auto"/>
        </w:rPr>
        <w:t>"), Base Rent shall be increased by multiplying the Base Rent payable immediately before such Adjustment Date by 3% and adding the resulting amount to the Base Rent payable immediately before such Adjustment Date.</w:t>
      </w:r>
    </w:p>
    <w:p>
      <w:pPr>
        <w:spacing w:after="0" w:line="20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Alternative Premises</w:t>
      </w:r>
      <w:r>
        <w:rPr>
          <w:rFonts w:ascii="Arial" w:cs="Arial" w:eastAsia="Arial" w:hAnsi="Arial"/>
          <w:sz w:val="18"/>
          <w:szCs w:val="18"/>
          <w:color w:val="auto"/>
        </w:rPr>
        <w:t>. For the avoidance of doubt, nothing in this Amendment is intended to modify the terms and conditions set forth in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41(m) of the Lease under which Tenant may lease Alternative Premises (as defined therein), and the parties acknowledge and agree that such terms and conditions remain in full force and effect.</w:t>
      </w:r>
    </w:p>
    <w:p>
      <w:pPr>
        <w:spacing w:after="0" w:line="203"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Renewal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rights to renew or extend the term of this Lease beyond the Extended Expiration Date are hereby terminated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declared null and void.</w:t>
      </w:r>
    </w:p>
    <w:p>
      <w:pPr>
        <w:spacing w:after="0" w:line="189" w:lineRule="exact"/>
        <w:rPr>
          <w:rFonts w:ascii="Arial" w:cs="Arial" w:eastAsia="Arial" w:hAnsi="Arial"/>
          <w:sz w:val="18"/>
          <w:szCs w:val="18"/>
          <w:color w:val="auto"/>
        </w:rPr>
      </w:pPr>
    </w:p>
    <w:p>
      <w:pPr>
        <w:jc w:val="both"/>
        <w:ind w:left="660" w:hanging="328"/>
        <w:spacing w:after="0" w:line="24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it has not dealt with any broker, agent or other 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Amendment and that no Broker brought about this transaction, other than CBRE and Cushman &amp; Wakefield, on behalf of Landlord, and Re: Align Tenant Strategies, on behalf of Tenant. Landlord and Tenant each hereby agree to indemnify and hold the other harmless from and against any claims by any Broker, other than CBRE and Cushman &amp; Wakefield, on behalf of Landlord, and Re: Align Tenant Strategies, on behalf of Tenant, claiming a commission or other form of compensation by virtue of having dealt with Tenant or Landlord, as applicable, with regard to this Amendment.</w:t>
      </w:r>
    </w:p>
    <w:p>
      <w:pPr>
        <w:sectPr>
          <w:pgSz w:w="11900" w:h="16838" w:orient="portrait"/>
          <w:cols w:equalWidth="0" w:num="1">
            <w:col w:w="11240"/>
          </w:cols>
          <w:pgMar w:left="320" w:top="1417" w:right="339" w:bottom="1440" w:gutter="0" w:footer="0" w:header="0"/>
        </w:sectPr>
      </w:pPr>
    </w:p>
    <w:bookmarkStart w:id="86" w:name="page87"/>
    <w:bookmarkEnd w:id="86"/>
    <w:p>
      <w:pPr>
        <w:ind w:left="328" w:hanging="328"/>
        <w:spacing w:after="0"/>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jc w:val="both"/>
        <w:ind w:left="968" w:hanging="320"/>
        <w:spacing w:after="0" w:line="248" w:lineRule="auto"/>
        <w:tabs>
          <w:tab w:leader="none" w:pos="95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Amendment is the entire agreement between the parties with respect to the subject matter hereof and supersedes all prior and contemporaneous oral and written agreements and discussions. This Amendment may be amended only by an agreement in writing, signed by the parties hereto.</w:t>
      </w:r>
    </w:p>
    <w:p>
      <w:pPr>
        <w:spacing w:after="0" w:line="208" w:lineRule="exact"/>
        <w:rPr>
          <w:rFonts w:ascii="Arial" w:cs="Arial" w:eastAsia="Arial" w:hAnsi="Arial"/>
          <w:sz w:val="18"/>
          <w:szCs w:val="18"/>
          <w:color w:val="auto"/>
        </w:rPr>
      </w:pPr>
    </w:p>
    <w:p>
      <w:pPr>
        <w:ind w:left="968" w:hanging="320"/>
        <w:spacing w:after="0" w:line="261" w:lineRule="auto"/>
        <w:tabs>
          <w:tab w:leader="none" w:pos="9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Amendment is binding upon and shall inure to the benefit of the parties hereto, their respective agents, employees, representatives, officers, directors, divisions, subsidiaries, affiliates, assigns, heirs, successors in interest and shareholders.</w:t>
      </w:r>
    </w:p>
    <w:p>
      <w:pPr>
        <w:spacing w:after="0" w:line="197" w:lineRule="exact"/>
        <w:rPr>
          <w:rFonts w:ascii="Arial" w:cs="Arial" w:eastAsia="Arial" w:hAnsi="Arial"/>
          <w:sz w:val="18"/>
          <w:szCs w:val="18"/>
          <w:color w:val="auto"/>
        </w:rPr>
      </w:pPr>
    </w:p>
    <w:p>
      <w:pPr>
        <w:ind w:left="968" w:hanging="320"/>
        <w:spacing w:after="0" w:line="261" w:lineRule="auto"/>
        <w:tabs>
          <w:tab w:leader="none" w:pos="958"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of Landlord and Tenant acknowledges that it has read the provisions of this Amendment, understands them, and is bound by them. Time is of the essence in this Amendment.</w:t>
      </w:r>
    </w:p>
    <w:p>
      <w:pPr>
        <w:spacing w:after="0" w:line="197" w:lineRule="exact"/>
        <w:rPr>
          <w:rFonts w:ascii="Arial" w:cs="Arial" w:eastAsia="Arial" w:hAnsi="Arial"/>
          <w:sz w:val="18"/>
          <w:szCs w:val="18"/>
          <w:color w:val="auto"/>
        </w:rPr>
      </w:pPr>
    </w:p>
    <w:p>
      <w:pPr>
        <w:jc w:val="both"/>
        <w:ind w:left="968" w:hanging="320"/>
        <w:spacing w:after="0"/>
        <w:tabs>
          <w:tab w:leader="none" w:pos="9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Amendment may be executed in two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Amendment and all matters related thereto, with such electronic signatures having the same legal effect as original signatures.</w:t>
      </w:r>
    </w:p>
    <w:p>
      <w:pPr>
        <w:spacing w:after="0" w:line="216" w:lineRule="exact"/>
        <w:rPr>
          <w:rFonts w:ascii="Arial" w:cs="Arial" w:eastAsia="Arial" w:hAnsi="Arial"/>
          <w:sz w:val="18"/>
          <w:szCs w:val="18"/>
          <w:color w:val="auto"/>
        </w:rPr>
      </w:pPr>
    </w:p>
    <w:p>
      <w:pPr>
        <w:jc w:val="both"/>
        <w:ind w:left="968" w:hanging="320"/>
        <w:spacing w:after="0" w:line="241" w:lineRule="auto"/>
        <w:tabs>
          <w:tab w:leader="none" w:pos="958"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as amended and/or modified by this Amendment, the Lease is hereby ratified and confirmed and all other terms of the Lease shall remain in full force and effect, unaltered and unchanged by this Amendment. In the event of any conflict between the provisions of this Amendment and the provisions of the Lease, the provisions of this Amendment shall prevail. Whether or not specifically amended by this Amendment, all of the terms and provisions of the Lease are hereby amended to the extent necessary to give effect to the purpose and intent of this Amendment.</w:t>
      </w:r>
    </w:p>
    <w:p>
      <w:pPr>
        <w:spacing w:after="0" w:line="216" w:lineRule="exact"/>
        <w:rPr>
          <w:sz w:val="20"/>
          <w:szCs w:val="20"/>
          <w:color w:val="auto"/>
        </w:rPr>
      </w:pPr>
    </w:p>
    <w:p>
      <w:pPr>
        <w:ind w:left="5508"/>
        <w:spacing w:after="0"/>
        <w:rPr>
          <w:sz w:val="20"/>
          <w:szCs w:val="20"/>
          <w:color w:val="auto"/>
        </w:rPr>
      </w:pPr>
      <w:r>
        <w:rPr>
          <w:rFonts w:ascii="Arial" w:cs="Arial" w:eastAsia="Arial" w:hAnsi="Arial"/>
          <w:sz w:val="18"/>
          <w:szCs w:val="18"/>
          <w:color w:val="auto"/>
        </w:rPr>
        <w:t>[Signatures are on the next page.]</w:t>
      </w:r>
    </w:p>
    <w:p>
      <w:pPr>
        <w:sectPr>
          <w:pgSz w:w="11900" w:h="16838" w:orient="portrait"/>
          <w:cols w:equalWidth="0" w:num="1">
            <w:col w:w="10908"/>
          </w:cols>
          <w:pgMar w:left="652" w:top="1417" w:right="339" w:bottom="1440" w:gutter="0" w:footer="0" w:header="0"/>
        </w:sectPr>
      </w:pPr>
    </w:p>
    <w:bookmarkStart w:id="87" w:name="page88"/>
    <w:bookmarkEnd w:id="87"/>
    <w:p>
      <w:pPr>
        <w:ind w:left="734"/>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Amendment as of the day and year first above written.</w:t>
      </w:r>
    </w:p>
    <w:p>
      <w:pPr>
        <w:spacing w:after="0" w:line="266" w:lineRule="exact"/>
        <w:rPr>
          <w:sz w:val="20"/>
          <w:szCs w:val="20"/>
          <w:color w:val="auto"/>
        </w:rPr>
      </w:pPr>
    </w:p>
    <w:p>
      <w:pPr>
        <w:ind w:left="3334"/>
        <w:spacing w:after="0"/>
        <w:rPr>
          <w:sz w:val="20"/>
          <w:szCs w:val="20"/>
          <w:color w:val="auto"/>
        </w:rPr>
      </w:pPr>
      <w:r>
        <w:rPr>
          <w:rFonts w:ascii="Arial" w:cs="Arial" w:eastAsia="Arial" w:hAnsi="Arial"/>
          <w:sz w:val="18"/>
          <w:szCs w:val="18"/>
          <w:color w:val="auto"/>
        </w:rPr>
        <w:t>TENANT:</w:t>
      </w:r>
    </w:p>
    <w:p>
      <w:pPr>
        <w:spacing w:after="0" w:line="235" w:lineRule="exact"/>
        <w:rPr>
          <w:sz w:val="20"/>
          <w:szCs w:val="20"/>
          <w:color w:val="auto"/>
        </w:rPr>
      </w:pPr>
    </w:p>
    <w:p>
      <w:pPr>
        <w:ind w:left="3334"/>
        <w:spacing w:after="0"/>
        <w:rPr>
          <w:sz w:val="20"/>
          <w:szCs w:val="20"/>
          <w:color w:val="auto"/>
        </w:rPr>
      </w:pPr>
      <w:r>
        <w:rPr>
          <w:rFonts w:ascii="Arial" w:cs="Arial" w:eastAsia="Arial" w:hAnsi="Arial"/>
          <w:sz w:val="18"/>
          <w:szCs w:val="18"/>
          <w:b w:val="1"/>
          <w:bCs w:val="1"/>
          <w:color w:val="auto"/>
        </w:rPr>
        <w:t>TANDEM DIABETES CARE, INC.</w:t>
      </w:r>
      <w:r>
        <w:rPr>
          <w:rFonts w:ascii="Arial" w:cs="Arial" w:eastAsia="Arial" w:hAnsi="Arial"/>
          <w:sz w:val="18"/>
          <w:szCs w:val="18"/>
          <w:color w:val="auto"/>
        </w:rPr>
        <w:t>,</w:t>
      </w:r>
    </w:p>
    <w:p>
      <w:pPr>
        <w:spacing w:after="0" w:line="16" w:lineRule="exact"/>
        <w:rPr>
          <w:sz w:val="20"/>
          <w:szCs w:val="20"/>
          <w:color w:val="auto"/>
        </w:rPr>
      </w:pPr>
    </w:p>
    <w:p>
      <w:pPr>
        <w:ind w:left="3334"/>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66" w:lineRule="exact"/>
        <w:rPr>
          <w:sz w:val="20"/>
          <w:szCs w:val="20"/>
          <w:color w:val="auto"/>
        </w:rPr>
      </w:pPr>
    </w:p>
    <w:p>
      <w:pPr>
        <w:ind w:left="3334"/>
        <w:spacing w:after="0"/>
        <w:rPr>
          <w:sz w:val="20"/>
          <w:szCs w:val="20"/>
          <w:color w:val="auto"/>
        </w:rPr>
      </w:pPr>
      <w:r>
        <w:rPr>
          <w:rFonts w:ascii="Arial" w:cs="Arial" w:eastAsia="Arial" w:hAnsi="Arial"/>
          <w:sz w:val="18"/>
          <w:szCs w:val="18"/>
          <w:color w:val="auto"/>
        </w:rPr>
        <w:t>By: /s/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-10160</wp:posOffset>
            </wp:positionV>
            <wp:extent cx="1016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spacing w:after="0" w:line="219" w:lineRule="exact"/>
        <w:rPr>
          <w:sz w:val="20"/>
          <w:szCs w:val="20"/>
          <w:color w:val="auto"/>
        </w:rPr>
      </w:pPr>
    </w:p>
    <w:p>
      <w:pPr>
        <w:ind w:left="3334"/>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EVP, Chief Financial Officer</w:t>
      </w:r>
    </w:p>
    <w:p>
      <w:pPr>
        <w:spacing w:after="0" w:line="279" w:lineRule="exact"/>
        <w:rPr>
          <w:sz w:val="20"/>
          <w:szCs w:val="20"/>
          <w:color w:val="auto"/>
        </w:rPr>
      </w:pPr>
    </w:p>
    <w:p>
      <w:pPr>
        <w:ind w:left="-6" w:right="4599" w:firstLine="6"/>
        <w:spacing w:after="0" w:line="235" w:lineRule="auto"/>
        <w:tabs>
          <w:tab w:leader="none" w:pos="201" w:val="left"/>
        </w:tabs>
        <w:numPr>
          <w:ilvl w:val="0"/>
          <w:numId w:val="47"/>
        </w:numPr>
        <w:rPr>
          <w:rFonts w:ascii="MS PGothic" w:cs="MS PGothic" w:eastAsia="MS PGothic" w:hAnsi="MS PGothic"/>
          <w:sz w:val="18"/>
          <w:szCs w:val="18"/>
          <w:color w:val="auto"/>
        </w:rPr>
      </w:pPr>
      <w:r>
        <w:rPr>
          <w:rFonts w:ascii="Arial" w:cs="Arial" w:eastAsia="Arial" w:hAnsi="Arial"/>
          <w:sz w:val="18"/>
          <w:szCs w:val="18"/>
          <w:color w:val="auto"/>
        </w:rPr>
        <w:t>I hereby certify that the signature, name, and title above are my signature, 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34"/>
        <w:spacing w:after="0"/>
        <w:rPr>
          <w:sz w:val="20"/>
          <w:szCs w:val="20"/>
          <w:color w:val="auto"/>
        </w:rPr>
      </w:pPr>
      <w:r>
        <w:rPr>
          <w:rFonts w:ascii="Arial" w:cs="Arial" w:eastAsia="Arial" w:hAnsi="Arial"/>
          <w:sz w:val="18"/>
          <w:szCs w:val="18"/>
          <w:color w:val="auto"/>
        </w:rPr>
        <w:t>LANDLORD:</w:t>
      </w:r>
    </w:p>
    <w:p>
      <w:pPr>
        <w:spacing w:after="0" w:line="235" w:lineRule="exact"/>
        <w:rPr>
          <w:sz w:val="20"/>
          <w:szCs w:val="20"/>
          <w:color w:val="auto"/>
        </w:rPr>
      </w:pPr>
    </w:p>
    <w:p>
      <w:pPr>
        <w:ind w:left="3334"/>
        <w:spacing w:after="0"/>
        <w:rPr>
          <w:sz w:val="20"/>
          <w:szCs w:val="20"/>
          <w:color w:val="auto"/>
        </w:rPr>
      </w:pPr>
      <w:r>
        <w:rPr>
          <w:rFonts w:ascii="Arial" w:cs="Arial" w:eastAsia="Arial" w:hAnsi="Arial"/>
          <w:sz w:val="18"/>
          <w:szCs w:val="18"/>
          <w:b w:val="1"/>
          <w:bCs w:val="1"/>
          <w:color w:val="auto"/>
        </w:rPr>
        <w:t>ARE-11025/11075 ROSELLE STREET, LLC</w:t>
      </w:r>
      <w:r>
        <w:rPr>
          <w:rFonts w:ascii="Arial" w:cs="Arial" w:eastAsia="Arial" w:hAnsi="Arial"/>
          <w:sz w:val="18"/>
          <w:szCs w:val="18"/>
          <w:color w:val="auto"/>
        </w:rPr>
        <w:t>,</w:t>
      </w:r>
    </w:p>
    <w:p>
      <w:pPr>
        <w:spacing w:after="0" w:line="16" w:lineRule="exact"/>
        <w:rPr>
          <w:sz w:val="20"/>
          <w:szCs w:val="20"/>
          <w:color w:val="auto"/>
        </w:rPr>
      </w:pPr>
    </w:p>
    <w:p>
      <w:pPr>
        <w:ind w:left="3334"/>
        <w:spacing w:after="0"/>
        <w:rPr>
          <w:sz w:val="20"/>
          <w:szCs w:val="20"/>
          <w:color w:val="auto"/>
        </w:rPr>
      </w:pPr>
      <w:r>
        <w:rPr>
          <w:rFonts w:ascii="Arial" w:cs="Arial" w:eastAsia="Arial" w:hAnsi="Arial"/>
          <w:sz w:val="18"/>
          <w:szCs w:val="18"/>
          <w:color w:val="auto"/>
        </w:rPr>
        <w:t>a Delaware limited liability company</w:t>
      </w:r>
    </w:p>
    <w:p>
      <w:pPr>
        <w:spacing w:after="0" w:line="223" w:lineRule="exact"/>
        <w:rPr>
          <w:sz w:val="20"/>
          <w:szCs w:val="20"/>
          <w:color w:val="auto"/>
        </w:rPr>
      </w:pPr>
    </w:p>
    <w:p>
      <w:pPr>
        <w:ind w:left="3334"/>
        <w:spacing w:after="0"/>
        <w:rPr>
          <w:sz w:val="20"/>
          <w:szCs w:val="20"/>
          <w:color w:val="auto"/>
        </w:rPr>
      </w:pPr>
      <w:r>
        <w:rPr>
          <w:rFonts w:ascii="Arial" w:cs="Arial" w:eastAsia="Arial" w:hAnsi="Arial"/>
          <w:sz w:val="18"/>
          <w:szCs w:val="18"/>
          <w:color w:val="auto"/>
        </w:rPr>
        <w:t>By: ALEXANDRIA REAL ESTATE EQUITIES, L.P.,</w:t>
      </w:r>
    </w:p>
    <w:p>
      <w:pPr>
        <w:spacing w:after="0" w:line="12" w:lineRule="exact"/>
        <w:rPr>
          <w:sz w:val="20"/>
          <w:szCs w:val="20"/>
          <w:color w:val="auto"/>
        </w:rPr>
      </w:pPr>
    </w:p>
    <w:p>
      <w:pPr>
        <w:ind w:left="3974"/>
        <w:spacing w:after="0"/>
        <w:rPr>
          <w:sz w:val="20"/>
          <w:szCs w:val="20"/>
          <w:color w:val="auto"/>
        </w:rPr>
      </w:pPr>
      <w:r>
        <w:rPr>
          <w:rFonts w:ascii="Arial" w:cs="Arial" w:eastAsia="Arial" w:hAnsi="Arial"/>
          <w:sz w:val="18"/>
          <w:szCs w:val="18"/>
          <w:color w:val="auto"/>
        </w:rPr>
        <w:t>a Delaware limited partnership, managing member</w:t>
      </w:r>
    </w:p>
    <w:p>
      <w:pPr>
        <w:spacing w:after="0" w:line="223" w:lineRule="exact"/>
        <w:rPr>
          <w:sz w:val="20"/>
          <w:szCs w:val="20"/>
          <w:color w:val="auto"/>
        </w:rPr>
      </w:pPr>
    </w:p>
    <w:p>
      <w:pPr>
        <w:ind w:left="3974"/>
        <w:spacing w:after="0"/>
        <w:rPr>
          <w:sz w:val="20"/>
          <w:szCs w:val="20"/>
          <w:color w:val="auto"/>
        </w:rPr>
      </w:pPr>
      <w:r>
        <w:rPr>
          <w:rFonts w:ascii="Arial" w:cs="Arial" w:eastAsia="Arial" w:hAnsi="Arial"/>
          <w:sz w:val="18"/>
          <w:szCs w:val="18"/>
          <w:color w:val="auto"/>
        </w:rPr>
        <w:t>By: ARE-QRS CORP.,</w:t>
      </w:r>
    </w:p>
    <w:p>
      <w:pPr>
        <w:spacing w:after="0" w:line="12" w:lineRule="exact"/>
        <w:rPr>
          <w:sz w:val="20"/>
          <w:szCs w:val="20"/>
          <w:color w:val="auto"/>
        </w:rPr>
      </w:pPr>
    </w:p>
    <w:p>
      <w:pPr>
        <w:ind w:left="4634"/>
        <w:spacing w:after="0"/>
        <w:rPr>
          <w:sz w:val="20"/>
          <w:szCs w:val="20"/>
          <w:color w:val="auto"/>
        </w:rPr>
      </w:pPr>
      <w:r>
        <w:rPr>
          <w:rFonts w:ascii="Arial" w:cs="Arial" w:eastAsia="Arial" w:hAnsi="Arial"/>
          <w:sz w:val="18"/>
          <w:szCs w:val="18"/>
          <w:color w:val="auto"/>
        </w:rPr>
        <w:t>a Maryland corporation, general partner</w:t>
      </w:r>
    </w:p>
    <w:p>
      <w:pPr>
        <w:spacing w:after="0" w:line="200" w:lineRule="exact"/>
        <w:rPr>
          <w:sz w:val="20"/>
          <w:szCs w:val="20"/>
          <w:color w:val="auto"/>
        </w:rPr>
      </w:pPr>
    </w:p>
    <w:p>
      <w:pPr>
        <w:spacing w:after="0" w:line="266" w:lineRule="exact"/>
        <w:rPr>
          <w:sz w:val="20"/>
          <w:szCs w:val="20"/>
          <w:color w:val="auto"/>
        </w:rPr>
      </w:pPr>
    </w:p>
    <w:p>
      <w:pPr>
        <w:ind w:left="4634"/>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Gary Dean</w:t>
      </w:r>
    </w:p>
    <w:p>
      <w:pPr>
        <w:spacing w:after="0" w:line="7" w:lineRule="exact"/>
        <w:rPr>
          <w:sz w:val="20"/>
          <w:szCs w:val="20"/>
          <w:color w:val="auto"/>
        </w:rPr>
      </w:pPr>
    </w:p>
    <w:p>
      <w:pPr>
        <w:ind w:left="4634"/>
        <w:spacing w:after="0"/>
        <w:rPr>
          <w:sz w:val="20"/>
          <w:szCs w:val="20"/>
          <w:color w:val="auto"/>
        </w:rPr>
      </w:pPr>
      <w:r>
        <w:rPr>
          <w:rFonts w:ascii="Arial" w:cs="Arial" w:eastAsia="Arial" w:hAnsi="Arial"/>
          <w:sz w:val="18"/>
          <w:szCs w:val="18"/>
          <w:color w:val="auto"/>
        </w:rPr>
        <w:t>Executive Vice President</w:t>
      </w:r>
    </w:p>
    <w:p>
      <w:pPr>
        <w:ind w:left="4634"/>
        <w:spacing w:after="0"/>
        <w:rPr>
          <w:sz w:val="20"/>
          <w:szCs w:val="20"/>
          <w:color w:val="auto"/>
        </w:rPr>
      </w:pPr>
      <w:r>
        <w:rPr>
          <w:rFonts w:ascii="Arial" w:cs="Arial" w:eastAsia="Arial" w:hAnsi="Arial"/>
          <w:sz w:val="18"/>
          <w:szCs w:val="18"/>
          <w:color w:val="auto"/>
        </w:rPr>
        <w:t>RE Legal Affairs</w:t>
      </w:r>
    </w:p>
    <w:p>
      <w:pPr>
        <w:spacing w:after="0" w:line="263" w:lineRule="exact"/>
        <w:rPr>
          <w:sz w:val="20"/>
          <w:szCs w:val="20"/>
          <w:color w:val="auto"/>
        </w:rPr>
      </w:pPr>
    </w:p>
    <w:p>
      <w:pPr>
        <w:ind w:left="-6" w:right="4599" w:firstLine="6"/>
        <w:spacing w:after="0" w:line="235" w:lineRule="auto"/>
        <w:tabs>
          <w:tab w:leader="none" w:pos="201"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I hereby certify that the signature, name, and title above are my signature, name and title.</w:t>
      </w:r>
    </w:p>
    <w:p>
      <w:pPr>
        <w:sectPr>
          <w:pgSz w:w="11900" w:h="16838" w:orient="portrait"/>
          <w:cols w:equalWidth="0" w:num="1">
            <w:col w:w="10113"/>
          </w:cols>
          <w:pgMar w:left="346" w:top="1417"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22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120" w:right="40" w:hanging="654"/>
        <w:spacing w:after="0" w:line="311" w:lineRule="auto"/>
        <w:tabs>
          <w:tab w:leader="none" w:pos="2111"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120" w:right="60" w:hanging="654"/>
        <w:spacing w:after="0" w:line="286" w:lineRule="auto"/>
        <w:tabs>
          <w:tab w:leader="none" w:pos="2108"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120" w:right="140" w:hanging="654"/>
        <w:spacing w:after="0" w:line="263" w:lineRule="auto"/>
        <w:tabs>
          <w:tab w:leader="none" w:pos="211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120" w:right="160" w:hanging="654"/>
        <w:spacing w:after="0" w:line="311" w:lineRule="auto"/>
        <w:tabs>
          <w:tab w:leader="none" w:pos="2108"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80" w:hanging="652"/>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2120" w:right="400" w:hanging="654"/>
        <w:spacing w:after="0" w:line="235" w:lineRule="auto"/>
        <w:tabs>
          <w:tab w:leader="none" w:pos="211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2120" w:right="780" w:hanging="654"/>
        <w:spacing w:after="0" w:line="246" w:lineRule="auto"/>
        <w:tabs>
          <w:tab w:leader="none" w:pos="210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Tandem Diabetes Care, Inc.</w:t>
      </w:r>
    </w:p>
    <w:p>
      <w:pPr>
        <w:spacing w:after="0" w:line="77" w:lineRule="exact"/>
        <w:rPr>
          <w:sz w:val="20"/>
          <w:szCs w:val="20"/>
          <w:color w:val="auto"/>
        </w:rPr>
      </w:pPr>
    </w:p>
    <w:p>
      <w:pPr>
        <w:ind w:left="6720"/>
        <w:spacing w:after="0"/>
        <w:tabs>
          <w:tab w:leader="none" w:pos="716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717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John F. Sheridan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Chief Executive Officer</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5, 2020</w:t>
      </w:r>
    </w:p>
    <w:p>
      <w:pPr>
        <w:sectPr>
          <w:pgSz w:w="11900" w:h="16838" w:orient="portrait"/>
          <w:cols w:equalWidth="0" w:num="1">
            <w:col w:w="11240"/>
          </w:cols>
          <w:pgMar w:left="320" w:top="110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22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120" w:right="40" w:hanging="654"/>
        <w:spacing w:after="0" w:line="311" w:lineRule="auto"/>
        <w:tabs>
          <w:tab w:leader="none" w:pos="2111"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120" w:right="60" w:hanging="654"/>
        <w:spacing w:after="0" w:line="308" w:lineRule="auto"/>
        <w:tabs>
          <w:tab w:leader="none" w:pos="2108"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w:t>
      </w:r>
    </w:p>
    <w:p>
      <w:pPr>
        <w:spacing w:after="0" w:line="146" w:lineRule="exact"/>
        <w:rPr>
          <w:rFonts w:ascii="Arial" w:cs="Arial" w:eastAsia="Arial" w:hAnsi="Arial"/>
          <w:sz w:val="17"/>
          <w:szCs w:val="17"/>
          <w:color w:val="auto"/>
        </w:rPr>
      </w:pPr>
    </w:p>
    <w:p>
      <w:pPr>
        <w:ind w:left="2120" w:right="140" w:hanging="654"/>
        <w:spacing w:after="0" w:line="263" w:lineRule="auto"/>
        <w:tabs>
          <w:tab w:leader="none" w:pos="2111"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120" w:right="160" w:hanging="654"/>
        <w:spacing w:after="0" w:line="311" w:lineRule="auto"/>
        <w:tabs>
          <w:tab w:leader="none" w:pos="2108"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80" w:hanging="652"/>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2120" w:right="400" w:hanging="654"/>
        <w:spacing w:after="0" w:line="263" w:lineRule="auto"/>
        <w:tabs>
          <w:tab w:leader="none" w:pos="211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120" w:right="780" w:hanging="654"/>
        <w:spacing w:after="0" w:line="277" w:lineRule="auto"/>
        <w:tabs>
          <w:tab w:leader="none" w:pos="210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Tandem Diabetes Care, Inc.</w:t>
      </w:r>
    </w:p>
    <w:p>
      <w:pPr>
        <w:spacing w:after="0" w:line="77" w:lineRule="exact"/>
        <w:rPr>
          <w:sz w:val="20"/>
          <w:szCs w:val="20"/>
          <w:color w:val="auto"/>
        </w:rPr>
      </w:pPr>
    </w:p>
    <w:p>
      <w:pPr>
        <w:ind w:left="6720"/>
        <w:spacing w:after="0"/>
        <w:tabs>
          <w:tab w:leader="none" w:pos="718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457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Leigh A. Vosseller</w:t>
      </w:r>
    </w:p>
    <w:p>
      <w:pPr>
        <w:spacing w:after="0" w:line="1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Executive Vice President, Chief Financial Officer and</w:t>
      </w:r>
    </w:p>
    <w:p>
      <w:pPr>
        <w:ind w:left="7200"/>
        <w:spacing w:after="0"/>
        <w:rPr>
          <w:sz w:val="20"/>
          <w:szCs w:val="20"/>
          <w:color w:val="auto"/>
        </w:rPr>
      </w:pPr>
      <w:r>
        <w:rPr>
          <w:rFonts w:ascii="Arial" w:cs="Arial" w:eastAsia="Arial" w:hAnsi="Arial"/>
          <w:sz w:val="18"/>
          <w:szCs w:val="18"/>
          <w:color w:val="auto"/>
        </w:rPr>
        <w:t>Treasurer</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5, 2020</w:t>
      </w:r>
    </w:p>
    <w:p>
      <w:pPr>
        <w:sectPr>
          <w:pgSz w:w="11900" w:h="16838" w:orient="portrait"/>
          <w:cols w:equalWidth="0" w:num="1">
            <w:col w:w="11240"/>
          </w:cols>
          <w:pgMar w:left="320" w:top="110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September 30, 2020, as filed with the Securities and Exchange Commission on the date hereof (the “Report”), I, John F. Sheridan, President and Chief Executive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48" w:lineRule="exact"/>
        <w:rPr>
          <w:sz w:val="20"/>
          <w:szCs w:val="20"/>
          <w:color w:val="auto"/>
        </w:rPr>
      </w:pPr>
    </w:p>
    <w:p>
      <w:pPr>
        <w:ind w:left="1460" w:right="14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Dated: November 5, 2020</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 Sheridan</w:t>
            </w:r>
          </w:p>
        </w:tc>
      </w:tr>
      <w:tr>
        <w:trPr>
          <w:trHeight w:val="222"/>
        </w:trPr>
        <w:tc>
          <w:tcPr>
            <w:tcW w:w="618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John F. Sheridan</w:t>
            </w:r>
          </w:p>
        </w:tc>
      </w:tr>
      <w:tr>
        <w:trPr>
          <w:trHeight w:val="230"/>
        </w:trPr>
        <w:tc>
          <w:tcPr>
            <w:tcW w:w="61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President, Chief Executive Officer</w:t>
            </w:r>
          </w:p>
        </w:tc>
      </w:tr>
    </w:tbl>
    <w:p>
      <w:pPr>
        <w:spacing w:after="0" w:line="202"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foregoing certification is being furnished solely to accompany the Report pursuant to 18 U.S.C. § 1350, and is not being filed for</w:t>
      </w:r>
      <w:r>
        <w:rPr>
          <w:rFonts w:ascii="Arial" w:cs="Arial" w:eastAsia="Arial" w:hAnsi="Arial"/>
          <w:sz w:val="16"/>
          <w:szCs w:val="16"/>
          <w:color w:val="auto"/>
        </w:rPr>
        <w:t xml:space="preserve"> </w:t>
      </w:r>
      <w:r>
        <w:rPr>
          <w:rFonts w:ascii="Arial" w:cs="Arial" w:eastAsia="Arial" w:hAnsi="Arial"/>
          <w:sz w:val="16"/>
          <w:szCs w:val="16"/>
          <w:i w:val="1"/>
          <w:iCs w:val="1"/>
          <w:color w:val="auto"/>
        </w:rPr>
        <w:t>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320" w:firstLine="1296"/>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September 30, 2020, as filed with the Securities and Exchange Commission on the date hereof (the “Report”), I, Leigh A. Vosseller,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48" w:lineRule="exact"/>
        <w:rPr>
          <w:sz w:val="20"/>
          <w:szCs w:val="20"/>
          <w:color w:val="auto"/>
        </w:rPr>
      </w:pPr>
    </w:p>
    <w:p>
      <w:pPr>
        <w:ind w:left="1460" w:right="14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Dated: November 5, 2020</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Leigh A. Vosseller</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Leigh A. Vosseller</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202"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842"/>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upperLetter"/>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6"/>
    </w:lvl>
    <w:lvl w:ilvl="1">
      <w:lvlJc w:val="left"/>
      <w:lvlText w:val="%2."/>
      <w:numFmt w:val="lowerLetter"/>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upp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6"/>
    </w:lvl>
    <w:lvl w:ilvl="1">
      <w:lvlJc w:val="left"/>
      <w:lvlText w:val="%2."/>
      <w:numFmt w:val="lowerLetter"/>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2020-11-05T16:42:40Z</dcterms:created>
  <dcterms:modified xsi:type="dcterms:W3CDTF">2020-11-05T16:42:40Z</dcterms:modified>
</cp:coreProperties>
</file>