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11045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82550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1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320"/>
          </w:cols>
          <w:pgMar w:left="240" w:top="341" w:right="339" w:bottom="1440" w:gutter="0" w:footer="0" w:header="0"/>
        </w:sectPr>
      </w:pP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820" w:space="720"/>
            <w:col w:w="4840" w:space="720"/>
            <w:col w:w="2340" w:space="720"/>
            <w:col w:w="160"/>
          </w:cols>
          <w:pgMar w:left="240" w:top="341" w:right="3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820" w:space="720"/>
            <w:col w:w="160" w:space="80"/>
            <w:col w:w="4600" w:space="720"/>
            <w:col w:w="2340" w:space="720"/>
            <w:col w:w="160"/>
          </w:cols>
          <w:pgMar w:left="240" w:top="341" w:right="339" w:bottom="1440" w:gutter="0" w:footer="0" w:header="0"/>
          <w:type w:val="continuous"/>
        </w:sectPr>
      </w:pPr>
    </w:p>
    <w:p>
      <w:pPr>
        <w:ind w:left="520"/>
        <w:spacing w:after="0" w:line="196" w:lineRule="exact"/>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3">
            <w:col w:w="9380" w:space="200"/>
            <w:col w:w="220" w:space="120"/>
            <w:col w:w="1400"/>
          </w:cols>
          <w:pgMar w:left="240" w:top="341" w:right="3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October 28, 2016, there were 30,642,276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556895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0" w:type="dxa"/>
            <w:vAlign w:val="bottom"/>
            <w:gridSpan w:val="7"/>
          </w:tcPr>
          <w:p>
            <w:pPr>
              <w:ind w:left="1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0" w:type="dxa"/>
            <w:vAlign w:val="bottom"/>
            <w:tcBorders>
              <w:top w:val="single" w:sz="8" w:color="0000EE"/>
            </w:tcBorders>
          </w:tcPr>
          <w:p>
            <w:pPr>
              <w:spacing w:after="0"/>
              <w:rPr>
                <w:sz w:val="17"/>
                <w:szCs w:val="17"/>
                <w:color w:val="auto"/>
              </w:rPr>
            </w:pPr>
          </w:p>
        </w:tc>
        <w:tc>
          <w:tcPr>
            <w:tcW w:w="842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62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at September 30, 2016 (Unaudited) and December 31, 2015</w:t>
              </w:r>
            </w:hyperlink>
          </w:p>
        </w:tc>
        <w:tc>
          <w:tcPr>
            <w:tcW w:w="370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Statements of Operations and Comprehensive Loss for the Three and Nine Months Ended September 30, 2016 and 2015</w:t>
              </w:r>
            </w:hyperlink>
          </w:p>
        </w:tc>
        <w:tc>
          <w:tcPr>
            <w:tcW w:w="66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9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4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Nine Months Ended September 30, 2016 and 2015 (Unaudited)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7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214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98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68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31"/>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2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98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66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80" w:type="dxa"/>
            <w:vAlign w:val="bottom"/>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64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80" w:type="dxa"/>
            <w:vAlign w:val="bottom"/>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822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868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3404"/>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62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6620" w:type="dxa"/>
            <w:vAlign w:val="bottom"/>
          </w:tcPr>
          <w:p>
            <w:pPr>
              <w:jc w:val="center"/>
              <w:ind w:left="2490"/>
              <w:spacing w:after="0"/>
              <w:rPr>
                <w:sz w:val="20"/>
                <w:szCs w:val="20"/>
                <w:color w:val="auto"/>
              </w:rPr>
            </w:pPr>
            <w:r>
              <w:rPr>
                <w:rFonts w:ascii="Arial" w:cs="Arial" w:eastAsia="Arial" w:hAnsi="Arial"/>
                <w:sz w:val="18"/>
                <w:szCs w:val="18"/>
                <w:b w:val="1"/>
                <w:bCs w:val="1"/>
                <w:color w:val="auto"/>
              </w:rPr>
              <w:t>TANDEM DIABETES CARE,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62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62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(In thousands, except par value)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6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Patents, net</w:t>
            </w:r>
          </w:p>
        </w:tc>
        <w:tc>
          <w:tcPr>
            <w:tcW w:w="6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9"/>
                <w:szCs w:val="19"/>
                <w:color w:val="auto"/>
              </w:rPr>
            </w:pP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Employee-related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Notes payable—long-term</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rent—long-term</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gridSpan w:val="2"/>
          </w:tcPr>
          <w:p>
            <w:pPr>
              <w:ind w:left="260"/>
              <w:spacing w:after="0"/>
              <w:rPr>
                <w:sz w:val="20"/>
                <w:szCs w:val="20"/>
                <w:color w:val="auto"/>
              </w:rPr>
            </w:pPr>
            <w:r>
              <w:rPr>
                <w:rFonts w:ascii="Arial" w:cs="Arial" w:eastAsia="Arial" w:hAnsi="Arial"/>
                <w:sz w:val="18"/>
                <w:szCs w:val="18"/>
                <w:color w:val="auto"/>
                <w:w w:val="90"/>
              </w:rPr>
              <w:t>Common stock, $0.001 par value; 100,000 shares authorized as of September 30, 2016 and December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60"/>
              <w:spacing w:after="0"/>
              <w:rPr>
                <w:sz w:val="20"/>
                <w:szCs w:val="20"/>
                <w:color w:val="auto"/>
              </w:rPr>
            </w:pPr>
            <w:r>
              <w:rPr>
                <w:rFonts w:ascii="Arial" w:cs="Arial" w:eastAsia="Arial" w:hAnsi="Arial"/>
                <w:sz w:val="18"/>
                <w:szCs w:val="18"/>
                <w:color w:val="auto"/>
                <w:w w:val="90"/>
              </w:rPr>
              <w:t>31, 2015, 30,642 and 30,255 shares issued and outstanding at September 30, 2016 and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2015,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394,926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(389,757)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(321,133)</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26,837</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78,232</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(28,414)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(64,705)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(1,434)</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(4,177)</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short-term investments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(29,820)</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(19,590)</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(68,647)</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(60,304)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w w:val="90"/>
              </w:rPr>
              <w:t>Weighted average shares used to compute basic and diluted net loss per share</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rPr>
              <w:t>TANDEM DIABETES CARE, INC.</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w w:val="98"/>
              </w:rPr>
              <w:t>CONDENSED STATEMENTS OF CASH FLOWS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jc w:val="center"/>
              <w:ind w:left="3510"/>
              <w:spacing w:after="0"/>
              <w:rPr>
                <w:sz w:val="20"/>
                <w:szCs w:val="20"/>
                <w:color w:val="auto"/>
              </w:rPr>
            </w:pPr>
            <w:r>
              <w:rPr>
                <w:rFonts w:ascii="Arial" w:cs="Arial" w:eastAsia="Arial" w:hAnsi="Arial"/>
                <w:sz w:val="18"/>
                <w:szCs w:val="18"/>
                <w:b w:val="1"/>
                <w:bCs w:val="1"/>
                <w:color w:val="auto"/>
                <w:w w:val="93"/>
              </w:rPr>
              <w:t>(Unaudited)</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w w:val="90"/>
              </w:rPr>
              <w:t>(In thousands)</w:t>
            </w:r>
          </w:p>
        </w:tc>
        <w:tc>
          <w:tcPr>
            <w:tcW w:w="360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19"/>
                <w:szCs w:val="19"/>
                <w:color w:val="auto"/>
              </w:rPr>
            </w:pPr>
          </w:p>
        </w:tc>
        <w:tc>
          <w:tcPr>
            <w:tcW w:w="36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(68,624)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(60,328)</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short-term investments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8,733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(7,110)</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(1,408)</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Accrued expense</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Employee-related liabilities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(1,225)</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(47,591)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(25,890)</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(67,471)</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(6,187)</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Purchase of patents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Issuance of notes payable, net of issuance costs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public offering, net of offering costs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issuance of common stock</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(25,132)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paid</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incentive - lessor-paid tenant improvements</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issuance cost included in other long-term liabilities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Property and equipment included in accounts payable</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420" w:firstLine="577"/>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a family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320" w:firstLine="588"/>
        <w:spacing w:after="0" w:line="308" w:lineRule="auto"/>
        <w:rPr>
          <w:sz w:val="20"/>
          <w:szCs w:val="20"/>
          <w:color w:val="auto"/>
        </w:rPr>
      </w:pPr>
      <w:r>
        <w:rPr>
          <w:rFonts w:ascii="Arial" w:cs="Arial" w:eastAsia="Arial" w:hAnsi="Arial"/>
          <w:sz w:val="17"/>
          <w:szCs w:val="17"/>
          <w:color w:val="auto"/>
        </w:rPr>
        <w:t>The Company manufactures and sells insulin pump products in the United States that are designed to address large and differentiated needs of the insulin-dependent diabetes market. During the first three quarters of 2016, the Company’s pump products included:</w:t>
      </w:r>
    </w:p>
    <w:p>
      <w:pPr>
        <w:spacing w:after="0" w:line="147" w:lineRule="exact"/>
        <w:rPr>
          <w:sz w:val="20"/>
          <w:szCs w:val="20"/>
          <w:color w:val="auto"/>
        </w:rPr>
      </w:pPr>
    </w:p>
    <w:p>
      <w:pPr>
        <w:ind w:left="960" w:hanging="37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t:slim</w:t>
      </w:r>
      <w:r>
        <w:rPr>
          <w:rFonts w:ascii="Arial" w:cs="Arial" w:eastAsia="Arial" w:hAnsi="Arial"/>
          <w:sz w:val="15"/>
          <w:szCs w:val="15"/>
          <w:color w:val="auto"/>
        </w:rPr>
        <w:t>®</w:t>
      </w:r>
      <w:r>
        <w:rPr>
          <w:rFonts w:ascii="Arial" w:cs="Arial" w:eastAsia="Arial" w:hAnsi="Arial"/>
          <w:sz w:val="18"/>
          <w:szCs w:val="18"/>
          <w:color w:val="auto"/>
        </w:rPr>
        <w:t xml:space="preserve"> Insulin Delivery System, or t:slim, the Company’s first product designed to easily and discreetly fit into a pocket,</w:t>
      </w:r>
    </w:p>
    <w:p>
      <w:pPr>
        <w:spacing w:after="0" w:line="23" w:lineRule="exact"/>
        <w:rPr>
          <w:rFonts w:ascii="Arial" w:cs="Arial" w:eastAsia="Arial" w:hAnsi="Arial"/>
          <w:sz w:val="18"/>
          <w:szCs w:val="18"/>
          <w:color w:val="auto"/>
        </w:rPr>
      </w:pPr>
    </w:p>
    <w:p>
      <w:pPr>
        <w:ind w:left="960" w:hanging="37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t:flex</w:t>
      </w:r>
      <w:r>
        <w:rPr>
          <w:rFonts w:ascii="Arial" w:cs="Arial" w:eastAsia="Arial" w:hAnsi="Arial"/>
          <w:sz w:val="15"/>
          <w:szCs w:val="15"/>
          <w:color w:val="auto"/>
        </w:rPr>
        <w:t>®</w:t>
      </w:r>
      <w:r>
        <w:rPr>
          <w:rFonts w:ascii="Arial" w:cs="Arial" w:eastAsia="Arial" w:hAnsi="Arial"/>
          <w:sz w:val="18"/>
          <w:szCs w:val="18"/>
          <w:color w:val="auto"/>
        </w:rPr>
        <w:t xml:space="preserve"> Insulin Delivery System, or t:flex Pump, for people with greater insulin needs, and</w:t>
      </w:r>
    </w:p>
    <w:p>
      <w:pPr>
        <w:spacing w:after="0" w:line="9" w:lineRule="exact"/>
        <w:rPr>
          <w:rFonts w:ascii="Arial" w:cs="Arial" w:eastAsia="Arial" w:hAnsi="Arial"/>
          <w:sz w:val="18"/>
          <w:szCs w:val="18"/>
          <w:color w:val="auto"/>
        </w:rPr>
      </w:pPr>
    </w:p>
    <w:p>
      <w:pPr>
        <w:ind w:left="960" w:hanging="371"/>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t:slim G4</w:t>
      </w:r>
      <w:r>
        <w:rPr>
          <w:rFonts w:ascii="Arial" w:cs="Arial" w:eastAsia="Arial" w:hAnsi="Arial"/>
          <w:sz w:val="13"/>
          <w:szCs w:val="13"/>
          <w:color w:val="auto"/>
        </w:rPr>
        <w:t>TM</w:t>
      </w:r>
      <w:r>
        <w:rPr>
          <w:rFonts w:ascii="Arial" w:cs="Arial" w:eastAsia="Arial" w:hAnsi="Arial"/>
          <w:sz w:val="16"/>
          <w:szCs w:val="16"/>
          <w:color w:val="auto"/>
        </w:rPr>
        <w:t xml:space="preserve"> Insulin Delivery System, or t:slim G4, a Continuous Glucose Monitoring (“CGM”) enabled pump with touchscreen simplicity.</w:t>
      </w:r>
    </w:p>
    <w:p>
      <w:pPr>
        <w:spacing w:after="0" w:line="234" w:lineRule="exact"/>
        <w:rPr>
          <w:sz w:val="20"/>
          <w:szCs w:val="20"/>
          <w:color w:val="auto"/>
        </w:rPr>
      </w:pPr>
    </w:p>
    <w:p>
      <w:pPr>
        <w:ind w:right="340" w:firstLine="629"/>
        <w:spacing w:after="0" w:line="264" w:lineRule="auto"/>
        <w:rPr>
          <w:sz w:val="20"/>
          <w:szCs w:val="20"/>
          <w:color w:val="auto"/>
        </w:rPr>
      </w:pPr>
      <w:r>
        <w:rPr>
          <w:rFonts w:ascii="Arial" w:cs="Arial" w:eastAsia="Arial" w:hAnsi="Arial"/>
          <w:sz w:val="18"/>
          <w:szCs w:val="18"/>
          <w:color w:val="auto"/>
        </w:rPr>
        <w:t>The Company designed and commercialized its products based on its proprietary technology platform and consumer-focused approach. The Company began commercial sales of its first product, t:slim, in August 2012. During 2015, the Company commenced commercial sales of two additional insulin pumps: the t:flex Pump in May 2015 and t:slim G4 Pump in September 2015.</w:t>
      </w:r>
    </w:p>
    <w:p>
      <w:pPr>
        <w:spacing w:after="0" w:line="181" w:lineRule="exact"/>
        <w:rPr>
          <w:sz w:val="20"/>
          <w:szCs w:val="20"/>
          <w:color w:val="auto"/>
        </w:rPr>
      </w:pPr>
    </w:p>
    <w:p>
      <w:pPr>
        <w:ind w:right="140" w:firstLine="588"/>
        <w:spacing w:after="0" w:line="286" w:lineRule="auto"/>
        <w:rPr>
          <w:sz w:val="20"/>
          <w:szCs w:val="20"/>
          <w:color w:val="auto"/>
        </w:rPr>
      </w:pPr>
      <w:r>
        <w:rPr>
          <w:rFonts w:ascii="Arial" w:cs="Arial" w:eastAsia="Arial" w:hAnsi="Arial"/>
          <w:sz w:val="18"/>
          <w:szCs w:val="18"/>
          <w:color w:val="auto"/>
        </w:rPr>
        <w:t>In July 2016, the Company received clearance from the U.S. Food and Drug Administration (“FDA”) to begin offering the Tandem Device Updater, which is a Mac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PC-compatible tool for the remote update of Tandem insulin pump software.</w:t>
      </w:r>
    </w:p>
    <w:p>
      <w:pPr>
        <w:spacing w:after="0" w:line="45" w:lineRule="exact"/>
        <w:rPr>
          <w:sz w:val="20"/>
          <w:szCs w:val="20"/>
          <w:color w:val="auto"/>
        </w:rPr>
      </w:pPr>
    </w:p>
    <w:p>
      <w:pPr>
        <w:ind w:right="100" w:firstLine="571"/>
        <w:spacing w:after="0" w:line="342" w:lineRule="auto"/>
        <w:rPr>
          <w:sz w:val="20"/>
          <w:szCs w:val="20"/>
          <w:color w:val="auto"/>
        </w:rPr>
      </w:pPr>
      <w:r>
        <w:rPr>
          <w:rFonts w:ascii="Arial" w:cs="Arial" w:eastAsia="Arial" w:hAnsi="Arial"/>
          <w:sz w:val="16"/>
          <w:szCs w:val="16"/>
          <w:color w:val="auto"/>
        </w:rPr>
        <w:t>In October 2016, the Company began shipping the t:slim X2</w:t>
      </w:r>
      <w:r>
        <w:rPr>
          <w:rFonts w:ascii="Arial" w:cs="Arial" w:eastAsia="Arial" w:hAnsi="Arial"/>
          <w:sz w:val="13"/>
          <w:szCs w:val="13"/>
          <w:color w:val="auto"/>
        </w:rPr>
        <w:t>TM</w:t>
      </w:r>
      <w:r>
        <w:rPr>
          <w:rFonts w:ascii="Arial" w:cs="Arial" w:eastAsia="Arial" w:hAnsi="Arial"/>
          <w:sz w:val="16"/>
          <w:szCs w:val="16"/>
          <w:color w:val="auto"/>
        </w:rPr>
        <w:t xml:space="preserve"> Insulin Pump, a next generation t:slim Pump. As a result, the Company discontinued new shipments of the t:slim Pump, though the Company will continue to provide ongoing service and support to existing t:slim Pump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577"/>
        <w:spacing w:after="0" w:line="257" w:lineRule="auto"/>
        <w:rPr>
          <w:sz w:val="20"/>
          <w:szCs w:val="20"/>
          <w:color w:val="auto"/>
        </w:rPr>
      </w:pPr>
      <w:r>
        <w:rPr>
          <w:rFonts w:ascii="Arial" w:cs="Arial" w:eastAsia="Arial" w:hAnsi="Arial"/>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20" w:firstLine="577"/>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financial statements should be read in conjunction with the Company’s audited financial statements and footnotes included in the Company’s Annual Report on Form 10-K for the year ended December 31, 2015, from which the balance sheet information herein was derived but excludes disclosures required by U.S. GAAP for complete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There have been no significant changes in our significant accounting policies during the nine months ended September 30, 2016, as compared with those disclosed in our Annual Report on Form 10-K for the year ended December 31, 2015, except for the accounting policies related to trade-in rights, which are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60"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notes as of the date of the financial statements. Actual results could materially differ from those estimates and assumptions.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577"/>
        <w:spacing w:after="0" w:line="279" w:lineRule="auto"/>
        <w:rPr>
          <w:sz w:val="20"/>
          <w:szCs w:val="20"/>
          <w:color w:val="auto"/>
        </w:rPr>
      </w:pPr>
      <w:r>
        <w:rPr>
          <w:rFonts w:ascii="Arial" w:cs="Arial" w:eastAsia="Arial" w:hAnsi="Arial"/>
          <w:sz w:val="17"/>
          <w:szCs w:val="17"/>
          <w:color w:val="auto"/>
        </w:rPr>
        <w:t>Restricted cash as of September 30, 2016 and December 31, 2015 was comprised of a $2.0 million minimum cash balance requirement in connection with the Company’s Term Loan Agreement, as amended by Consent and Amendment Agreement, dated June 20, 2014, Omnibus Amendment Agreement No. 2, dated February 23, 2015 and Amendment No. 3 to Term Loan Agreement, dated January 8, 2016 with Capital Royalty Partners II, L.P. and its affiliate funds (“Capital Royalty Partners”) (as amended, the “Term Loan Agreement”) (see Note 6, “Term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200" w:firstLine="577"/>
        <w:spacing w:after="0" w:line="259" w:lineRule="auto"/>
        <w:rPr>
          <w:sz w:val="20"/>
          <w:szCs w:val="20"/>
          <w:color w:val="auto"/>
        </w:rPr>
      </w:pPr>
      <w:r>
        <w:rPr>
          <w:rFonts w:ascii="Arial" w:cs="Arial" w:eastAsia="Arial" w:hAnsi="Arial"/>
          <w:sz w:val="18"/>
          <w:szCs w:val="18"/>
          <w:color w:val="auto"/>
        </w:rPr>
        <w:t>The Company grants credit to various customers in the normal course of business. The Company maintains an allowance for doubtful accounts for potential credit losses. Provisions are made, generally, for receivables greater than 120 days past due and based upon a specific review of other outstanding invoices. Uncollectible accounts are written off against the allowance after appropriate collection efforts have been exhausted and when it is deemed that a balance is uncollectible.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and foreign exchange forward contracts that are not designated as hedges are carried at fair value. Based on the borrowing rates currently available for loans with similar terms, the Company believes that the fair value of its long-term notes payable approximates its carrying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20" w:firstLine="571"/>
        <w:spacing w:after="0" w:line="264" w:lineRule="auto"/>
        <w:rPr>
          <w:sz w:val="20"/>
          <w:szCs w:val="20"/>
          <w:color w:val="auto"/>
        </w:rPr>
      </w:pPr>
      <w:r>
        <w:rPr>
          <w:rFonts w:ascii="Arial" w:cs="Arial" w:eastAsia="Arial" w:hAnsi="Arial"/>
          <w:sz w:val="18"/>
          <w:szCs w:val="18"/>
          <w:color w:val="auto"/>
        </w:rPr>
        <w:t>Revenue is generated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 These criteria are applied as follows:</w:t>
      </w:r>
    </w:p>
    <w:p>
      <w:pPr>
        <w:spacing w:after="0" w:line="170" w:lineRule="exact"/>
        <w:rPr>
          <w:sz w:val="20"/>
          <w:szCs w:val="20"/>
          <w:color w:val="auto"/>
        </w:rPr>
      </w:pPr>
    </w:p>
    <w:p>
      <w:pPr>
        <w:ind w:left="1140" w:right="54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evidence of an arrangement generally consists of contractual arrangements with distributors, third-party insurance payors or direct customers.</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Transfer of title and risk and rewards of ownership are passed upon shipment of the pump to distributors or upon delivery to the customer.</w:t>
      </w:r>
    </w:p>
    <w:p>
      <w:pPr>
        <w:spacing w:after="0" w:line="248" w:lineRule="exact"/>
        <w:rPr>
          <w:rFonts w:ascii="Arial" w:cs="Arial" w:eastAsia="Arial" w:hAnsi="Arial"/>
          <w:sz w:val="16"/>
          <w:szCs w:val="16"/>
          <w:color w:val="auto"/>
        </w:rPr>
      </w:pPr>
    </w:p>
    <w:p>
      <w:pPr>
        <w:ind w:left="1140" w:right="100" w:hanging="376"/>
        <w:spacing w:after="0" w:line="31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selling prices are fixed and agreed upon based on the contracts with distributors, the customer and contracted insurance payors, if applicable. For sales to customers associated with insurance providers with whom there is no contract, revenue is recognized upon collection of cash, at which time the price is determinable. The Company generally does not offer rebates to its distributors and customers.</w:t>
      </w:r>
    </w:p>
    <w:p>
      <w:pPr>
        <w:spacing w:after="0" w:line="146" w:lineRule="exact"/>
        <w:rPr>
          <w:rFonts w:ascii="Arial" w:cs="Arial" w:eastAsia="Arial" w:hAnsi="Arial"/>
          <w:sz w:val="16"/>
          <w:szCs w:val="16"/>
          <w:color w:val="auto"/>
        </w:rPr>
      </w:pPr>
    </w:p>
    <w:p>
      <w:pPr>
        <w:ind w:left="1140" w:right="20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considers the overall creditworthiness and payment history of the distributor, customer and the contracted insurance payor in determining whether collectability is reasonably assured.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Trade-In Rights</w:t>
      </w:r>
    </w:p>
    <w:p>
      <w:pPr>
        <w:spacing w:after="0" w:line="225" w:lineRule="exact"/>
        <w:rPr>
          <w:sz w:val="20"/>
          <w:szCs w:val="20"/>
          <w:color w:val="auto"/>
        </w:rPr>
      </w:pPr>
    </w:p>
    <w:p>
      <w:pPr>
        <w:ind w:firstLine="588"/>
        <w:spacing w:after="0" w:line="302" w:lineRule="auto"/>
        <w:rPr>
          <w:sz w:val="20"/>
          <w:szCs w:val="20"/>
          <w:color w:val="auto"/>
        </w:rPr>
      </w:pPr>
      <w:r>
        <w:rPr>
          <w:rFonts w:ascii="Arial" w:cs="Arial" w:eastAsia="Arial" w:hAnsi="Arial"/>
          <w:sz w:val="16"/>
          <w:szCs w:val="16"/>
          <w:color w:val="auto"/>
        </w:rPr>
        <w:t>In July 2016, the Company announced and launched a Technology Upgrade Program that provides eligible t:slim and t:slim G4 Pump customers a path forward to the t:slim X2 Pump. The t:slim X2 Pump is the next generation t:slim Pump that is updateable with PMA classified software, such as CGM integration, using the Tandem Device Updater. Participating customers have the right to trade in the original t:slim Pump and t:slim G4 Pump for a new t:slim X2 Pump when available, under a variable pricing structure. The Technology Upgrade Program expires on September 30, 2017.</w:t>
      </w:r>
    </w:p>
    <w:p>
      <w:pPr>
        <w:spacing w:after="0" w:line="154" w:lineRule="exact"/>
        <w:rPr>
          <w:sz w:val="20"/>
          <w:szCs w:val="20"/>
          <w:color w:val="auto"/>
        </w:rPr>
      </w:pPr>
    </w:p>
    <w:p>
      <w:pPr>
        <w:ind w:right="280" w:firstLine="588"/>
        <w:spacing w:after="0" w:line="308" w:lineRule="auto"/>
        <w:rPr>
          <w:sz w:val="20"/>
          <w:szCs w:val="20"/>
          <w:color w:val="auto"/>
        </w:rPr>
      </w:pPr>
      <w:r>
        <w:rPr>
          <w:rFonts w:ascii="Arial" w:cs="Arial" w:eastAsia="Arial" w:hAnsi="Arial"/>
          <w:sz w:val="17"/>
          <w:szCs w:val="17"/>
          <w:color w:val="auto"/>
        </w:rPr>
        <w:t>The trade-in rights are accounted for as guarantees or rights to return based on specific factors and circumstances, including the period of time the trade-in rights are exercisable, the likelihood that the trade-in rights will be exercised, and the amount of the specified-price trade-in value.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ind w:right="20" w:firstLine="588"/>
        <w:spacing w:after="0" w:line="291" w:lineRule="auto"/>
        <w:rPr>
          <w:sz w:val="20"/>
          <w:szCs w:val="20"/>
          <w:color w:val="auto"/>
        </w:rPr>
      </w:pPr>
      <w:r>
        <w:rPr>
          <w:rFonts w:ascii="Arial" w:cs="Arial" w:eastAsia="Arial" w:hAnsi="Arial"/>
          <w:sz w:val="16"/>
          <w:szCs w:val="16"/>
          <w:color w:val="auto"/>
        </w:rPr>
        <w:t>The Company has determined that trade-in rights for t:slim G4 Pump customers are guarantees. The Company accounts for the guarantees under applicable accounting standards, which requires a guarantor to recognize, at the inception of a guarantee, a liability for the estimated fair value of the obligation undertaken in issuing certain guarantees. Subsequently, the initial liability recognized for the guarantee is generally reduced as the Company is released from the risk under the guarantee, which is when the trade-in right is exercised or the right expires. The guarantee is accounted for as an element of a multiple element arrangement. The estimated fair value of the guarantees are based on various economic and customer behavioral assumptions, including the probability of a trade-in, the specified trade-in amount, the expected fair value of the used t:slim G4 Pump at trade-in and the expected sales price of the t:slim X2 Pump. At September 30, 2016, $0.9 million was recorded as a guarantee liability in other current liabilities on the accompanying balance sheet.</w:t>
      </w:r>
    </w:p>
    <w:p>
      <w:pPr>
        <w:spacing w:after="0" w:line="167" w:lineRule="exact"/>
        <w:rPr>
          <w:sz w:val="20"/>
          <w:szCs w:val="20"/>
          <w:color w:val="auto"/>
        </w:rPr>
      </w:pPr>
    </w:p>
    <w:p>
      <w:pPr>
        <w:ind w:right="200" w:firstLine="588"/>
        <w:spacing w:after="0" w:line="302" w:lineRule="auto"/>
        <w:rPr>
          <w:sz w:val="20"/>
          <w:szCs w:val="20"/>
          <w:color w:val="auto"/>
        </w:rPr>
      </w:pPr>
      <w:r>
        <w:rPr>
          <w:rFonts w:ascii="Arial" w:cs="Arial" w:eastAsia="Arial" w:hAnsi="Arial"/>
          <w:sz w:val="16"/>
          <w:szCs w:val="16"/>
          <w:color w:val="auto"/>
        </w:rPr>
        <w:t>The Company has determined that t:slim Pump trade-in rights are in-substance rights to return products. Such rights to return are accounted for pursuant to the right of return accounting guidance. As the Company does not have sufficient history to reasonably estimate returns associated with trade-in rights, all eligible t:slim Pump sales between July 1, 2016 and September 30, 2016 were recorded as deferred revenue until the trade-in right is exercised or the right expires. At September 30, 2016, $7.6 million was recorded as a trade-in rights reserve in deferred revenue on the accompanying balance sheet.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20" w:firstLine="588"/>
        <w:spacing w:after="0" w:line="291" w:lineRule="auto"/>
        <w:rPr>
          <w:sz w:val="20"/>
          <w:szCs w:val="20"/>
          <w:color w:val="auto"/>
        </w:rPr>
      </w:pPr>
      <w:r>
        <w:rPr>
          <w:rFonts w:ascii="Arial" w:cs="Arial" w:eastAsia="Arial" w:hAnsi="Arial"/>
          <w:sz w:val="16"/>
          <w:szCs w:val="16"/>
          <w:color w:val="auto"/>
        </w:rPr>
        <w:t>The Company considers the deliverables in its product offering as separate units of accounting and recognizes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The Company allocates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167" w:lineRule="exact"/>
        <w:rPr>
          <w:sz w:val="20"/>
          <w:szCs w:val="20"/>
          <w:color w:val="auto"/>
        </w:rPr>
      </w:pPr>
    </w:p>
    <w:p>
      <w:pPr>
        <w:ind w:right="100" w:firstLine="518"/>
        <w:spacing w:after="0" w:line="275" w:lineRule="auto"/>
        <w:rPr>
          <w:sz w:val="20"/>
          <w:szCs w:val="20"/>
          <w:color w:val="auto"/>
        </w:rPr>
      </w:pPr>
      <w:r>
        <w:rPr>
          <w:rFonts w:ascii="Arial" w:cs="Arial" w:eastAsia="Arial" w:hAnsi="Arial"/>
          <w:sz w:val="16"/>
          <w:szCs w:val="16"/>
          <w:color w:val="auto"/>
        </w:rPr>
        <w:t>The Company offers a cloud-based data management application, t:connect, which is made available to customers upon purchase of any of its insulin pumps. In July 2016, the Company received clearance from the FDA to begin offering the Tandem Device Updater, which is a Mac</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PC-compatible tool for the remote update of Tandem insulin pump software. Utilizing Tandem Device Updater, the Company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the Company has neither VSOE nor TPE for these deliverables,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these elements at the time of sale and is recognizing the revenue over a four-year period, which is the hosting period for t:connect and the period that software upgrades are expected to be provided. At September 30, 2016 and December 31, 2015, $1.3 million and $1.1 million, respectively, were recorded as deferred revenue for these undelivered elements. All other undelivered elements at the time of sale are deemed inconsequential or perfunctory.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is recorded as a reduction of revenue and accounts receivable in the period in which the related sale is recorded. The amounts recorded on the Company’s balance sheet for product return allowance were $55,000 and $0.3 million at September 30, 2016 and December 31, 2015, respectively. Actual product returns have not differed materially from estimated amounts reserved in the accompanying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replacement product cost and expected replacement rates based on historical experience. The Company evaluates the reserve quarterly and makes adjustments when appropriate. Changes to the actual replacement rates could have a material impact on the Company’s estimated liability.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right="120" w:firstLine="571"/>
        <w:spacing w:after="0" w:line="277" w:lineRule="auto"/>
        <w:rPr>
          <w:sz w:val="20"/>
          <w:szCs w:val="20"/>
          <w:color w:val="auto"/>
        </w:rPr>
      </w:pPr>
      <w:r>
        <w:rPr>
          <w:rFonts w:ascii="Arial" w:cs="Arial" w:eastAsia="Arial" w:hAnsi="Arial"/>
          <w:sz w:val="18"/>
          <w:szCs w:val="18"/>
          <w:color w:val="auto"/>
        </w:rPr>
        <w:t>At September 30, 2016 and December 31, 2015, the warranty reserve was $5.1 million and $3.5 million, respectively. The following table provides a reconciliation of the change in product warranty liabilities through September 30,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2016</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2013 Stock Incentive Plan (“2013 Plan”) and shares issued under the Employee Stock Purchase Plan (“ESPP”) using a Black-Scholes option-pricing model on the date of grant. The Black-Scholes option-pricing model requires the use of subjective assumptions including volatility, expected term, and risk-free rate. For awards that vest based on service conditions, the Company recognizes expense using the straight-line method less estimated forfeitures based on historical experience.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Basic net loss per share is calculated by dividing the net loss by the weighted average number of common shares that were outstanding for the period, without consideration for common stock equivalents. Diluted net loss per share is calculated by dividing the net loss by the sum of the weighted-average number of dilutive common share equivalents outstanding for the period determined using the treasury stock method. Dilutive common share equivalents are comprised of warrants, potential awards granted pursuant to the ESPP, and options outstanding under the Company’s other equity incentive plans. For all periods presented, there is no difference in the number of shares used to calculate basic and diluted shares outstanding due to the Company’s net loss position.</w:t>
      </w:r>
    </w:p>
    <w:p>
      <w:pPr>
        <w:spacing w:after="0" w:line="158"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9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0"/>
                <w:szCs w:val="20"/>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2,942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1,935</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ESPP</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37"/>
        </w:trPr>
        <w:tc>
          <w:tcPr>
            <w:tcW w:w="4920" w:type="dxa"/>
            <w:vAlign w:val="bottom"/>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26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26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In August 2016, the Financial Accounting Standards Board (“FASB”) issued new guidance that clarifies how entities should classify certain cash receipts and cash payments on the statement of cash flows. The guidance also clarifies how the predominance principle should be applied when cash receipts and cash payments have aspects of more than one class of cash flows. The guidance is effective for public business entities for fiscal years beginning after December 15, 2017, and interim periods within those years. The Company does not believe the adoption of the standard will have a material impact on the Company’s statement of cash flow.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40" w:firstLine="571"/>
        <w:spacing w:after="0" w:line="259" w:lineRule="auto"/>
        <w:rPr>
          <w:sz w:val="20"/>
          <w:szCs w:val="20"/>
          <w:color w:val="auto"/>
        </w:rPr>
      </w:pPr>
      <w:r>
        <w:rPr>
          <w:rFonts w:ascii="Arial" w:cs="Arial" w:eastAsia="Arial" w:hAnsi="Arial"/>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87"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color w:val="auto"/>
        </w:rPr>
        <w:t>In March 2016, FASB issued an Accounting Standards Update on changing certain aspects of accounting for share-based payments to employees. The new guidance will require all income tax effects of awards to be recognized in the income statement when the awards vest or are settled. It also will allow an employer to repurchase more of an employee’s shares than it can today for tax withholding purposes without triggering liability accounting, and to make a policy election to account for forfeitures as they occur. The guidance is effective for public business entities for fiscal years beginning after December 15, 2016, and interim periods within those years. Early adoption is permitted, but all of the guidance must be adopted in the same period. The Company is in the process of assessing the impact of the adoption of the standard on its financial statements.</w:t>
      </w:r>
    </w:p>
    <w:p>
      <w:pPr>
        <w:spacing w:after="0" w:line="178"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guidance requires lessees to put most leases on their balance sheet but to recognize expenses on their income statement in a manner similar to today’s accounting. The new guidance also eliminates today’s real estate-specific provisions for all entities. The standard is effective for public business entities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188"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In April 2015, FASB issued new guidance, which amended requirements that require debt issuance costs, related to a recognized debt liability, to be presented in the balance sheet as a direct deduction from the carrying amount of that debt liability, effective for the Company beginning January 1, 2016 and applied retroactively for all consolidated balance sheets presented. The Company applied the amended presentation requirements in the first quarter 2016, which resulted in the reclassification of $0.4 million of debt issuance costs in the Company’s balance sheet from other long-term assets to long-term notes payable at December 31, 2015.</w:t>
      </w:r>
    </w:p>
    <w:p>
      <w:pPr>
        <w:spacing w:after="0" w:line="188"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In May 2014, FASB and the International Accounting Standards Board issued a comprehensive new revenue recognition standard that will supersede existing revenue guidance under U.S. GAAP and International Financial Reporting Standards.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This may include identifying performance obligations in the contract, estimating the amount of variable consideration to include in the transaction price and allocating the transaction price to each separate performance obligation. On July 9, 2015, FASB approved a one-year deferral of the effective date of the standard to December 15, 2017 and early application is permitted, but not before the original effective date of December 15, 2016. The Company expects to adopt the new standard on January 1, 2018 and is in the process of assessing the impact of the adoption of the standard on its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260" w:firstLine="571"/>
        <w:spacing w:after="0" w:line="342" w:lineRule="auto"/>
        <w:rPr>
          <w:sz w:val="20"/>
          <w:szCs w:val="20"/>
          <w:color w:val="auto"/>
        </w:rPr>
      </w:pPr>
      <w:r>
        <w:rPr>
          <w:rFonts w:ascii="Arial" w:cs="Arial" w:eastAsia="Arial" w:hAnsi="Arial"/>
          <w:sz w:val="16"/>
          <w:szCs w:val="16"/>
          <w:color w:val="auto"/>
        </w:rPr>
        <w:t>The Company invests in various securities, principally in commercial paper issued by certain financial institutions and corporations. The following represents a summary of the estimated fair value of short-term investments at September 30, 2016 and December 31, 2015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September 30, 2016</w:t>
            </w:r>
          </w:p>
        </w:tc>
        <w:tc>
          <w:tcPr>
            <w:tcW w:w="326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980" w:type="dxa"/>
            <w:vAlign w:val="bottom"/>
          </w:tcPr>
          <w:p>
            <w:pPr>
              <w:jc w:val="right"/>
              <w:ind w:right="157"/>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400" w:type="dxa"/>
            <w:vAlign w:val="bottom"/>
            <w:tcBorders>
              <w:bottom w:val="single" w:sz="8" w:color="auto"/>
            </w:tcBorders>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98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15,776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2"/>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December 31, 2015</w:t>
            </w:r>
          </w:p>
        </w:tc>
        <w:tc>
          <w:tcPr>
            <w:tcW w:w="3300" w:type="dxa"/>
            <w:vAlign w:val="bottom"/>
            <w:vMerge w:val="restart"/>
          </w:tcPr>
          <w:p>
            <w:pPr>
              <w:spacing w:after="0"/>
              <w:rPr>
                <w:sz w:val="14"/>
                <w:szCs w:val="14"/>
                <w:color w:val="auto"/>
              </w:rPr>
            </w:pPr>
          </w:p>
        </w:tc>
        <w:tc>
          <w:tcPr>
            <w:tcW w:w="1100" w:type="dxa"/>
            <w:vAlign w:val="bottom"/>
          </w:tcPr>
          <w:p>
            <w:pPr>
              <w:jc w:val="center"/>
              <w:ind w:left="57"/>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100" w:type="dxa"/>
            <w:vAlign w:val="bottom"/>
          </w:tcPr>
          <w:p>
            <w:pPr>
              <w:jc w:val="center"/>
              <w:ind w:left="37"/>
              <w:spacing w:after="0" w:line="158"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5"/>
                <w:szCs w:val="15"/>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8"/>
                <w:szCs w:val="18"/>
                <w:color w:val="auto"/>
              </w:rPr>
              <w:t>Available-for-sale investment securities:</w:t>
            </w: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88"/>
              </w:rPr>
              <w:t>Less than 1</w:t>
            </w:r>
          </w:p>
        </w:tc>
        <w:tc>
          <w:tcPr>
            <w:tcW w:w="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4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US Treasuries</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w w:val="88"/>
              </w:rPr>
              <w:t>Less than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Government-sponsored enterprise securities</w:t>
            </w:r>
          </w:p>
        </w:tc>
        <w:tc>
          <w:tcPr>
            <w:tcW w:w="110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88"/>
              </w:rPr>
              <w:t>Less than 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2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14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2"/>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plan participants</w:t>
            </w:r>
          </w:p>
        </w:tc>
        <w:tc>
          <w:tcPr>
            <w:tcW w:w="1100" w:type="dxa"/>
            <w:vAlign w:val="bottom"/>
          </w:tcPr>
          <w:p>
            <w:pPr>
              <w:spacing w:after="0"/>
              <w:rPr>
                <w:sz w:val="20"/>
                <w:szCs w:val="20"/>
                <w:color w:val="auto"/>
              </w:rPr>
            </w:pPr>
          </w:p>
        </w:tc>
        <w:tc>
          <w:tcPr>
            <w:tcW w:w="280" w:type="dxa"/>
            <w:vAlign w:val="bottom"/>
            <w:gridSpan w:val="3"/>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FF0FC"/>
          </w:tcPr>
          <w:p>
            <w:pPr>
              <w:spacing w:after="0" w:line="20" w:lineRule="exact"/>
              <w:rPr>
                <w:sz w:val="1"/>
                <w:szCs w:val="1"/>
                <w:color w:val="auto"/>
              </w:rPr>
            </w:pPr>
          </w:p>
        </w:tc>
        <w:tc>
          <w:tcPr>
            <w:tcW w:w="6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vMerge w:val="continue"/>
            <w:shd w:val="clear" w:color="auto" w:fill="CFF0FC"/>
          </w:tcPr>
          <w:p>
            <w:pPr>
              <w:spacing w:after="0"/>
              <w:rPr>
                <w:sz w:val="19"/>
                <w:szCs w:val="19"/>
                <w:color w:val="auto"/>
              </w:rPr>
            </w:pPr>
          </w:p>
        </w:tc>
        <w:tc>
          <w:tcPr>
            <w:tcW w:w="4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4. Inventory</w:t>
            </w:r>
          </w:p>
        </w:tc>
        <w:tc>
          <w:tcPr>
            <w:tcW w:w="1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gridSpan w:val="2"/>
          </w:tcPr>
          <w:p>
            <w:pPr>
              <w:ind w:left="580"/>
              <w:spacing w:after="0"/>
              <w:rPr>
                <w:sz w:val="20"/>
                <w:szCs w:val="20"/>
                <w:color w:val="auto"/>
              </w:rPr>
            </w:pPr>
            <w:r>
              <w:rPr>
                <w:rFonts w:ascii="Arial" w:cs="Arial" w:eastAsia="Arial" w:hAnsi="Arial"/>
                <w:sz w:val="18"/>
                <w:szCs w:val="18"/>
                <w:color w:val="auto"/>
              </w:rPr>
              <w:t>Inventory consisted of the following (in thousands):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4"/>
          </w:tcPr>
          <w:p>
            <w:pPr>
              <w:jc w:val="center"/>
              <w:ind w:left="297"/>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1360" w:type="dxa"/>
            <w:vAlign w:val="bottom"/>
            <w:tcBorders>
              <w:bottom w:val="single" w:sz="8" w:color="CFF0FC"/>
            </w:tcBorders>
          </w:tcPr>
          <w:p>
            <w:pPr>
              <w:spacing w:after="0"/>
              <w:rPr>
                <w:sz w:val="18"/>
                <w:szCs w:val="18"/>
                <w:color w:val="auto"/>
              </w:rPr>
            </w:pPr>
          </w:p>
        </w:tc>
        <w:tc>
          <w:tcPr>
            <w:tcW w:w="33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180" w:type="dxa"/>
            <w:vAlign w:val="bottom"/>
            <w:shd w:val="clear" w:color="auto" w:fill="CFF0FC"/>
          </w:tcPr>
          <w:p>
            <w:pPr>
              <w:spacing w:after="0"/>
              <w:rPr>
                <w:sz w:val="19"/>
                <w:szCs w:val="19"/>
                <w:color w:val="auto"/>
              </w:rPr>
            </w:pPr>
          </w:p>
        </w:tc>
        <w:tc>
          <w:tcPr>
            <w:tcW w:w="260" w:type="dxa"/>
            <w:vAlign w:val="bottom"/>
            <w:tcBorders>
              <w:right w:val="single" w:sz="8" w:color="CFF0FC"/>
            </w:tcBorders>
            <w:gridSpan w:val="2"/>
            <w:shd w:val="clear" w:color="auto" w:fill="CFF0FC"/>
          </w:tcPr>
          <w:p>
            <w:pPr>
              <w:spacing w:after="0"/>
              <w:rPr>
                <w:sz w:val="19"/>
                <w:szCs w:val="19"/>
                <w:color w:val="auto"/>
              </w:rPr>
            </w:pPr>
          </w:p>
        </w:tc>
        <w:tc>
          <w:tcPr>
            <w:tcW w:w="140" w:type="dxa"/>
            <w:vAlign w:val="bottom"/>
            <w:shd w:val="clear" w:color="auto" w:fill="CFF0FC"/>
          </w:tcPr>
          <w:p>
            <w:pPr>
              <w:jc w:val="right"/>
              <w:ind w:right="50"/>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22,896</w:t>
            </w: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tcPr>
          <w:p>
            <w:pPr>
              <w:jc w:val="right"/>
              <w:ind w:right="50"/>
              <w:spacing w:after="0"/>
              <w:rPr>
                <w:sz w:val="20"/>
                <w:szCs w:val="20"/>
                <w:color w:val="auto"/>
              </w:rPr>
            </w:pPr>
            <w:r>
              <w:rPr>
                <w:rFonts w:ascii="Arial" w:cs="Arial" w:eastAsia="Arial" w:hAnsi="Arial"/>
                <w:sz w:val="5"/>
                <w:szCs w:val="5"/>
                <w:color w:val="auto"/>
                <w:w w:val="70"/>
              </w:rPr>
              <w: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71"/>
        <w:spacing w:after="0" w:line="264" w:lineRule="auto"/>
        <w:rPr>
          <w:sz w:val="20"/>
          <w:szCs w:val="20"/>
          <w:color w:val="auto"/>
        </w:rPr>
      </w:pPr>
      <w:r>
        <w:rPr>
          <w:rFonts w:ascii="Arial" w:cs="Arial" w:eastAsia="Arial" w:hAnsi="Arial"/>
          <w:sz w:val="18"/>
          <w:szCs w:val="18"/>
          <w:color w:val="auto"/>
        </w:rPr>
        <w:t>Finished goods at September 30, 2016 included $1.8 million of deferred cost of sales associated with the trade-in rights related to the Technology Upgrade Program. The trade-in rights were accounted for pursuant to the right of return accounting guidance (see Note 2, “Summary of Significant Accounting Policies – Revenue Recognition”).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20" w:firstLine="4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September 30, 2016 and December 31, 2015, and indicates the fair value hierarchy of the valuation techniques utilized by the Company to determine such fair value (in thousands):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8,613</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8,613</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349</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27,405</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27,405</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55,423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54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478"/>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Generally, cash equivalents include money market funds and investments with a maturity of three months or less from the date of purchase.</w:t>
      </w:r>
    </w:p>
    <w:p>
      <w:pPr>
        <w:spacing w:after="0" w:line="34" w:lineRule="exact"/>
        <w:rPr>
          <w:rFonts w:ascii="Arial" w:cs="Arial" w:eastAsia="Arial" w:hAnsi="Arial"/>
          <w:sz w:val="17"/>
          <w:szCs w:val="17"/>
          <w:color w:val="auto"/>
        </w:rPr>
      </w:pPr>
    </w:p>
    <w:p>
      <w:pPr>
        <w:ind w:left="540" w:right="240" w:hanging="478"/>
        <w:spacing w:after="0" w:line="277"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Deferred compensation plans are compensation plans directed by the Company and structured as a Rabbi Trust for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3"/>
          <w:szCs w:val="13"/>
          <w:color w:val="auto"/>
        </w:rPr>
        <w:t>.</w:t>
      </w:r>
    </w:p>
    <w:p>
      <w:pPr>
        <w:spacing w:after="0" w:line="173"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nine months ended September 30, 2016.</w:t>
      </w:r>
    </w:p>
    <w:p>
      <w:pPr>
        <w:spacing w:after="0" w:line="154"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For the three months ended September 30, 2016, the Company recorded a $0.9 million guarantee liability in other current liabilities on the accompanying balance sheet, as a reduction of revenue. Guarantees are classified within Level 3 of the fair value hierarchy. The estimated fair value of the guarantee is based on various economic and customer behavioral assumptions, including the probability that a trade-in right will be exercised, the specified trade-in amount, the expected fair value of the used t:slim G4 Pump at trade-in and the expected sales price of the t:slim X2 Pump (see Note 2, “Summary of Significant Accounting Policies – Revenue Recognition”). Changes in the probability of the trade-in have the most significant impact on the estimate of the fair value of the liability.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Term Loan Agreement</w:t>
      </w:r>
    </w:p>
    <w:p>
      <w:pPr>
        <w:spacing w:after="0" w:line="229" w:lineRule="exact"/>
        <w:rPr>
          <w:sz w:val="20"/>
          <w:szCs w:val="20"/>
          <w:color w:val="auto"/>
        </w:rPr>
      </w:pPr>
    </w:p>
    <w:p>
      <w:pPr>
        <w:ind w:right="120" w:firstLine="571"/>
        <w:spacing w:after="0" w:line="264" w:lineRule="auto"/>
        <w:rPr>
          <w:sz w:val="20"/>
          <w:szCs w:val="20"/>
          <w:color w:val="auto"/>
        </w:rPr>
      </w:pPr>
      <w:r>
        <w:rPr>
          <w:rFonts w:ascii="Arial" w:cs="Arial" w:eastAsia="Arial" w:hAnsi="Arial"/>
          <w:sz w:val="18"/>
          <w:szCs w:val="18"/>
          <w:color w:val="auto"/>
        </w:rPr>
        <w:t>In January 2016, the Company entered into Amendment No. 3 to Term Loan Agreement with Capital Royalty Partners (“Third Amendment”), which was previously amended by Consent and Amendment Agreement, dated June 20, 2014, and Omnibus Amendment Agreement No. 2, dated February 23, 2015.</w:t>
      </w:r>
    </w:p>
    <w:p>
      <w:pPr>
        <w:spacing w:after="0" w:line="18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Under the Term Loan Agreement, the Company had aggregate borrowings outstanding of $30.2 million (such amount, the “First Tranche”) as of December 31, 2015. Under the Third Amendment, the Company borrowed $15.0 million (such amount, the “Second Tranche”) in January 2016, and the Third Amendment provides the Company with a one-time option to draw up to an additional $35.0 million in increments of $5.0 million on or before December 31, 2016 (such amount, to the extent drawn, the “Third Tranche”).</w:t>
      </w:r>
    </w:p>
    <w:p>
      <w:pPr>
        <w:spacing w:after="0" w:line="187" w:lineRule="exact"/>
        <w:rPr>
          <w:sz w:val="20"/>
          <w:szCs w:val="20"/>
          <w:color w:val="auto"/>
        </w:rPr>
      </w:pPr>
    </w:p>
    <w:p>
      <w:pPr>
        <w:jc w:val="both"/>
        <w:ind w:right="60" w:firstLine="571"/>
        <w:spacing w:after="0" w:line="288" w:lineRule="auto"/>
        <w:rPr>
          <w:sz w:val="20"/>
          <w:szCs w:val="20"/>
          <w:color w:val="auto"/>
        </w:rPr>
      </w:pPr>
      <w:r>
        <w:rPr>
          <w:rFonts w:ascii="Arial" w:cs="Arial" w:eastAsia="Arial" w:hAnsi="Arial"/>
          <w:sz w:val="16"/>
          <w:szCs w:val="16"/>
          <w:color w:val="auto"/>
        </w:rPr>
        <w:t>The other principal terms of the Term Loan Agreement were not amended by the Third Amendment. Accordingly, interest continues to be payable, at the Company’s option, (i) in cash at a rate of 11.5% per annum or (ii) at a rate of 9.5% of the 11.5% per annum in cash and 2.0% of the 11.5% per annum (the “PIK Loan”) to be added to the principal of the loan and subject to accruing interest. Interest-only payments continue to be due quarterly on</w:t>
      </w:r>
    </w:p>
    <w:p>
      <w:pPr>
        <w:ind w:right="80"/>
        <w:spacing w:after="0" w:line="270" w:lineRule="auto"/>
        <w:rPr>
          <w:sz w:val="20"/>
          <w:szCs w:val="20"/>
          <w:color w:val="auto"/>
        </w:rPr>
      </w:pPr>
      <w:r>
        <w:rPr>
          <w:rFonts w:ascii="Arial" w:cs="Arial" w:eastAsia="Arial" w:hAnsi="Arial"/>
          <w:sz w:val="17"/>
          <w:szCs w:val="17"/>
          <w:color w:val="auto"/>
        </w:rPr>
        <w:t>March 31, June 30, September 30 and December 31 of each year of the interest-only payment period, which ends on December 31, 2019. The principal balance continues to be due in full at the end of the term of the loan, which is March 31, 2020 (the “Maturity Date”). The Term Loan Agreement provides for prepayment fees in an amount equal to one percent (1.0%) of the outstanding balance of the loan if the loan is repaid prior to March 31, 2017, after which there is no prepayment fee. The term loan is collateralized by all assets of the Company. The principal financial covenants continue to require that the Company attain minimum annual revenues of $65.0 million in 2016, $80.0 million in 2017 and $95.0 million each year thereafter until the Maturity Date. At September 30, 2016, the Company was in compliance with all of the covenants in the Term Loan Agreement.</w:t>
      </w:r>
    </w:p>
    <w:p>
      <w:pPr>
        <w:spacing w:after="0" w:line="179"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color w:val="auto"/>
        </w:rPr>
        <w:t>The Company had elected to pay interest in cash at a rate of 11.5% per annum through September 30, 2015. Beginning October 1, 2015, the Company elected to pay interest in cash at a rate of 9.5% per annum and to have 2.0% per annum added to the principal of the loan. As a result, $675,000 and $153,000 was added to the principal of the loan for the nine months ended September 30, 2016 and the three months ended December 31, 2015, respectively. The Company had $45.8 million of aggregate borrowings outstanding under the Term Loan Agreement as of September 30, 2016.</w:t>
      </w:r>
    </w:p>
    <w:p>
      <w:pPr>
        <w:spacing w:after="0" w:line="154" w:lineRule="exact"/>
        <w:rPr>
          <w:sz w:val="20"/>
          <w:szCs w:val="20"/>
          <w:color w:val="auto"/>
        </w:rPr>
      </w:pPr>
    </w:p>
    <w:p>
      <w:pPr>
        <w:ind w:right="80" w:firstLine="571"/>
        <w:spacing w:after="0" w:line="297" w:lineRule="auto"/>
        <w:rPr>
          <w:sz w:val="20"/>
          <w:szCs w:val="20"/>
          <w:color w:val="auto"/>
        </w:rPr>
      </w:pPr>
      <w:r>
        <w:rPr>
          <w:rFonts w:ascii="Arial" w:cs="Arial" w:eastAsia="Arial" w:hAnsi="Arial"/>
          <w:sz w:val="16"/>
          <w:szCs w:val="16"/>
          <w:color w:val="auto"/>
        </w:rPr>
        <w:t>Pursuant to the Third Amendment, the Company has agreed to pay, on the earlier of (i) the Maturity Date; (ii) the date that the loan under the Term Loan Agreement becomes due, and (iii) the date on which the Company makes a voluntary pre-payment of the loan, a financing fee equal to three percent (3.0%) of the sum of (x) the aggregate amount of the Second Tranche and Third Tranche drawn, and (y) any PIK Loans issued in relation to the Second Tranche and Third Tranche (collectively, the “Back End Financing Fee”). As of September 30, 2016 the Company had accrued $0.5 million for the Back End Financing Fee in other long-term liabilities and as contra-debt in notes payable-long-term on the accompanying balance sheet.</w:t>
      </w:r>
    </w:p>
    <w:p>
      <w:pPr>
        <w:spacing w:after="0" w:line="158" w:lineRule="exact"/>
        <w:rPr>
          <w:sz w:val="20"/>
          <w:szCs w:val="20"/>
          <w:color w:val="auto"/>
        </w:rPr>
      </w:pPr>
    </w:p>
    <w:p>
      <w:pPr>
        <w:jc w:val="both"/>
        <w:ind w:right="180" w:firstLine="571"/>
        <w:spacing w:after="0" w:line="312" w:lineRule="auto"/>
        <w:rPr>
          <w:sz w:val="20"/>
          <w:szCs w:val="20"/>
          <w:color w:val="auto"/>
        </w:rPr>
      </w:pPr>
      <w:r>
        <w:rPr>
          <w:rFonts w:ascii="Arial" w:cs="Arial" w:eastAsia="Arial" w:hAnsi="Arial"/>
          <w:sz w:val="16"/>
          <w:szCs w:val="16"/>
          <w:color w:val="auto"/>
        </w:rPr>
        <w:t>The Company treated this amendment as a modification. The present value of the future cash flows under the Third Amendment did not exceed the present value of the future cash flows under the previous terms by more than 10%. The Back End Financing Fee and the remaining balance of debt issuance costs and debt discount of the loan are amortized to interest expense over the remaining term of the Third Amendment using the effective interest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color w:val="auto"/>
        </w:rPr>
        <w:t>In the first quarter of 2015, the Company completed a public offering of 6,037,500 shares of its common stock at a public offering price of $11.50 per share. Net cash proceeds from the public offering were approximately $64.9 million, after deducting underwriting discounts, commissions and offering expenses paid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at September 30, 2016:</w:t>
      </w:r>
    </w:p>
    <w:p>
      <w:pPr>
        <w:sectPr>
          <w:pgSz w:w="11900" w:h="16838" w:orient="portrait"/>
          <w:cols w:equalWidth="0" w:num="1">
            <w:col w:w="11420"/>
          </w:cols>
          <w:pgMar w:left="240" w:top="121"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990,031</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6,785,803</w:t>
      </w:r>
    </w:p>
    <w:p>
      <w:pPr>
        <w:spacing w:after="0" w:line="34"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2,017,165</w:t>
      </w:r>
    </w:p>
    <w:p>
      <w:pPr>
        <w:spacing w:after="0" w:line="34"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520,420</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10,313,419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53975</wp:posOffset>
            </wp:positionV>
            <wp:extent cx="2075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60" w:space="720"/>
            <w:col w:w="940"/>
          </w:cols>
          <w:pgMar w:left="240" w:top="121" w:right="2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ind w:right="220" w:firstLine="571"/>
        <w:spacing w:after="0" w:line="342" w:lineRule="auto"/>
        <w:rPr>
          <w:sz w:val="20"/>
          <w:szCs w:val="20"/>
          <w:color w:val="auto"/>
        </w:rPr>
      </w:pPr>
      <w:r>
        <w:rPr>
          <w:rFonts w:ascii="Arial" w:cs="Arial" w:eastAsia="Arial" w:hAnsi="Arial"/>
          <w:sz w:val="16"/>
          <w:szCs w:val="16"/>
          <w:color w:val="auto"/>
        </w:rPr>
        <w:t>The Company issued 137,341 shares of its common stock upon the exercise of stock options and warrants during the nine months ended September 30, 2016, and issued 260,091 shares of its common stock upon the exercise of stock options and warrants during the year ended December 31, 2015.</w:t>
      </w:r>
    </w:p>
    <w:p>
      <w:pPr>
        <w:spacing w:after="0" w:line="124" w:lineRule="exact"/>
        <w:rPr>
          <w:sz w:val="20"/>
          <w:szCs w:val="20"/>
          <w:color w:val="auto"/>
        </w:rPr>
      </w:pPr>
    </w:p>
    <w:p>
      <w:pPr>
        <w:ind w:right="180" w:firstLine="571"/>
        <w:spacing w:after="0" w:line="279"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 tax payroll deductions, subject to certain conditions. The ESPP consists of a two-year offering period with four six-month purchase periods which begin in May and November of each year. There were 250,367 shares of the Company’s common stock purchased under the ESPP during the nine months ended September 30, 2016, and 302,171 shares of the Company’s common stock purchased under the ESPP during the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4"/>
                <w:szCs w:val="14"/>
                <w:b w:val="1"/>
                <w:bCs w:val="1"/>
                <w:color w:val="auto"/>
              </w:rPr>
              <w:t>Stock Option</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80" w:type="dxa"/>
            <w:vAlign w:val="bottom"/>
            <w:gridSpan w:val="4"/>
          </w:tcPr>
          <w:p>
            <w:pPr>
              <w:jc w:val="center"/>
              <w:ind w:right="445"/>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center"/>
              <w:ind w:right="425"/>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Pr>
          <w:p>
            <w:pPr>
              <w:spacing w:after="0"/>
              <w:rPr>
                <w:sz w:val="19"/>
                <w:szCs w:val="19"/>
                <w:color w:val="auto"/>
              </w:rPr>
            </w:pPr>
          </w:p>
        </w:tc>
        <w:tc>
          <w:tcPr>
            <w:tcW w:w="980" w:type="dxa"/>
            <w:vAlign w:val="bottom"/>
          </w:tcPr>
          <w:p>
            <w:pPr>
              <w:jc w:val="right"/>
              <w:ind w:right="7"/>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9"/>
                <w:szCs w:val="19"/>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3.78</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r>
        <w:trPr>
          <w:trHeight w:val="446"/>
        </w:trPr>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6"/>
              </w:rPr>
              <w:t>ESPP</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9"/>
                <w:szCs w:val="19"/>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ind w:right="87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allocation of stock-based compensation expense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8,002</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FF0FC"/>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firstLine="571"/>
        <w:spacing w:after="0" w:line="277" w:lineRule="auto"/>
        <w:rPr>
          <w:sz w:val="20"/>
          <w:szCs w:val="20"/>
          <w:color w:val="auto"/>
        </w:rPr>
      </w:pPr>
      <w:r>
        <w:rPr>
          <w:rFonts w:ascii="Arial" w:cs="Arial" w:eastAsia="Arial" w:hAnsi="Arial"/>
          <w:sz w:val="18"/>
          <w:szCs w:val="18"/>
          <w:color w:val="auto"/>
        </w:rPr>
        <w:t>The total stock-based compensation capitalized as part of the cost of inventory was $0.2 million and $0.1 million at September 30, 2016 and December 31,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DexCom Development and Commercialization Agreement</w:t>
      </w:r>
    </w:p>
    <w:p>
      <w:pPr>
        <w:spacing w:after="0" w:line="225" w:lineRule="exact"/>
        <w:rPr>
          <w:sz w:val="20"/>
          <w:szCs w:val="20"/>
          <w:color w:val="auto"/>
        </w:rPr>
      </w:pPr>
    </w:p>
    <w:p>
      <w:pPr>
        <w:ind w:right="420" w:firstLine="571"/>
        <w:spacing w:after="0" w:line="264" w:lineRule="auto"/>
        <w:rPr>
          <w:sz w:val="20"/>
          <w:szCs w:val="20"/>
          <w:color w:val="auto"/>
        </w:rPr>
      </w:pPr>
      <w:r>
        <w:rPr>
          <w:rFonts w:ascii="Arial" w:cs="Arial" w:eastAsia="Arial" w:hAnsi="Arial"/>
          <w:sz w:val="18"/>
          <w:szCs w:val="18"/>
          <w:color w:val="auto"/>
        </w:rPr>
        <w:t>In February 2012, the Company entered into a Development and Commercialization Agreement (the “DexCom Agreement”) with DexCom, Inc. (“DexCom”) for the purpose of collaborating on the development and commercialization of an integrated system which incorporates the t:slim Insulin Delivery System with DexCom’s proprietary CGM system.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right="300" w:firstLine="571"/>
        <w:spacing w:after="0" w:line="286" w:lineRule="auto"/>
        <w:rPr>
          <w:sz w:val="20"/>
          <w:szCs w:val="20"/>
          <w:color w:val="auto"/>
        </w:rPr>
      </w:pPr>
      <w:r>
        <w:rPr>
          <w:rFonts w:ascii="Arial" w:cs="Arial" w:eastAsia="Arial" w:hAnsi="Arial"/>
          <w:sz w:val="17"/>
          <w:szCs w:val="17"/>
          <w:color w:val="auto"/>
        </w:rPr>
        <w:t>Under the DexCom Agreement, the Company paid DexCom $1.0 million at the commencement of the collaboration in 2012, $1.0 million in 2014 upon the achievement of t:slim G4 Pump PMA submission to the FDA and an additional $1.0 million in September 2015 upon obtaining approval of the PMA submission from the FDA. All payments were recorded as research and development costs in their respective years.</w:t>
      </w:r>
    </w:p>
    <w:p>
      <w:pPr>
        <w:spacing w:after="0" w:line="166" w:lineRule="exact"/>
        <w:rPr>
          <w:sz w:val="20"/>
          <w:szCs w:val="20"/>
          <w:color w:val="auto"/>
        </w:rPr>
      </w:pPr>
    </w:p>
    <w:p>
      <w:pPr>
        <w:ind w:right="220" w:firstLine="571"/>
        <w:spacing w:after="0" w:line="277" w:lineRule="auto"/>
        <w:rPr>
          <w:sz w:val="20"/>
          <w:szCs w:val="20"/>
          <w:color w:val="auto"/>
        </w:rPr>
      </w:pPr>
      <w:r>
        <w:rPr>
          <w:rFonts w:ascii="Arial" w:cs="Arial" w:eastAsia="Arial" w:hAnsi="Arial"/>
          <w:sz w:val="18"/>
          <w:szCs w:val="18"/>
          <w:color w:val="auto"/>
        </w:rPr>
        <w:t>Additionally, upon commercialization of the t:slim G4 Pump, and as compensation for the non-exclusive license rights, under the original DexCom Agreement the Company agreed to pay DexCom a royalty calculated at $100 per integrated system sold.</w:t>
      </w:r>
    </w:p>
    <w:p>
      <w:pPr>
        <w:spacing w:after="0" w:line="17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September 2015, the Company entered into an amendment to the DexCom Agreement (the “Amendment”). Pursuant to the Amendment, in lieu of the $100 royalty payment for each integrated system sold, the Company agreed to commit $100 of each t:slim G4 integrated system sold to incremental marketing activities associated with t:slim G4 integrated systems that are in addition to a level of ordinary course marketing activities or marketing activities to support other Company and DexCom jointly funded development projects. The committed marketing fund is recorded as an increase to cost of sales and current liability in the period that the related t:slim G4 Pump sale is recorded. The Company has recorded such marketing fund activities of $0.1M and $0.6M for the three and nine months ended September 30, 2016, respectively. As of September 30, 2016 and December 31, 2015, the Company had a marketing fund liability of $0.9 million and $0.4 million, respectively, recorded in other current liabilities on the accompanying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Collaboration</w:t>
      </w:r>
    </w:p>
    <w:p>
      <w:pPr>
        <w:spacing w:after="0" w:line="225"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In January 2013, the Company entered into a Research, Development and Commercialization Agreement (“JDRF Agreement”) with JDRF to develop the t:dual Infusion System, a first-of-its-kind, dual-chamber infusion pump for the management of diabetes. According to the terms of the JDRF Agreement, JDRF would provide research funding of up to $3.0 million based on the achievement of research and development milestones, not to exceed research costs incurred by the Company.</w:t>
      </w:r>
    </w:p>
    <w:p>
      <w:pPr>
        <w:spacing w:after="0" w:line="187" w:lineRule="exact"/>
        <w:rPr>
          <w:sz w:val="20"/>
          <w:szCs w:val="20"/>
          <w:color w:val="auto"/>
        </w:rPr>
      </w:pPr>
    </w:p>
    <w:p>
      <w:pPr>
        <w:ind w:firstLine="571"/>
        <w:spacing w:after="0" w:line="276" w:lineRule="auto"/>
        <w:rPr>
          <w:sz w:val="20"/>
          <w:szCs w:val="20"/>
          <w:color w:val="auto"/>
        </w:rPr>
      </w:pPr>
      <w:r>
        <w:rPr>
          <w:rFonts w:ascii="Arial" w:cs="Arial" w:eastAsia="Arial" w:hAnsi="Arial"/>
          <w:sz w:val="17"/>
          <w:szCs w:val="17"/>
          <w:color w:val="auto"/>
        </w:rPr>
        <w:t>In February 2016, the Company and JDRF entered into a termination agreement (“JDRF Termination Agreement”), where both parties mutually terminated the JDRF Agreement. As of December 31, 2015, milestone payment achievements totaled $0.7 million, and research and development costs were offset cumulatively by $0.5 million. Under the terms of the JDRF Termination Agreement, the Company agreed to repay JDRF $0.7 million, which is equal to the amount of milestone payments received by the Company to date. The Company accrued for the repayment in other current liabilities on the accompanying balance sheet as of December 31, 2015 and repaid such amount during the first quarter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120" w:firstLine="571"/>
        <w:spacing w:after="0" w:line="271" w:lineRule="auto"/>
        <w:rPr>
          <w:sz w:val="20"/>
          <w:szCs w:val="20"/>
          <w:color w:val="auto"/>
        </w:rPr>
      </w:pPr>
      <w:r>
        <w:rPr>
          <w:rFonts w:ascii="Arial" w:cs="Arial" w:eastAsia="Arial" w:hAnsi="Arial"/>
          <w:sz w:val="17"/>
          <w:szCs w:val="17"/>
          <w:color w:val="auto"/>
        </w:rPr>
        <w:t>From time to time, the Company may be subject to legal proceedings or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each of September 30, 2016 and December 31, 2015, there were no material matters for which the negative outcome was considered probable or estimable.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or this Quarterly Report.</w:t>
      </w:r>
    </w:p>
    <w:p>
      <w:pPr>
        <w:spacing w:after="0" w:line="170" w:lineRule="exact"/>
        <w:rPr>
          <w:sz w:val="20"/>
          <w:szCs w:val="20"/>
          <w:color w:val="auto"/>
        </w:rPr>
      </w:pPr>
    </w:p>
    <w:p>
      <w:pPr>
        <w:ind w:right="60" w:firstLine="571"/>
        <w:spacing w:after="0" w:line="276"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w:t>
      </w:r>
    </w:p>
    <w:p>
      <w:pPr>
        <w:spacing w:after="0" w:line="173"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results may be materially different and worse from what we expect.</w:t>
      </w:r>
    </w:p>
    <w:p>
      <w:pPr>
        <w:spacing w:after="0" w:line="178"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30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571"/>
        <w:spacing w:after="0" w:line="276" w:lineRule="auto"/>
        <w:rPr>
          <w:sz w:val="20"/>
          <w:szCs w:val="20"/>
          <w:color w:val="auto"/>
        </w:rPr>
      </w:pPr>
      <w:r>
        <w:rPr>
          <w:rFonts w:ascii="Arial" w:cs="Arial" w:eastAsia="Arial" w:hAnsi="Arial"/>
          <w:sz w:val="17"/>
          <w:szCs w:val="17"/>
          <w:color w:val="auto"/>
        </w:rPr>
        <w:t>We are a medical device company with an innovative approach to the design, development and commercialization of a family of products for people with insulin-dependent diabetes. Our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During the first three quarters of 2016, our pump products included:</w:t>
      </w:r>
    </w:p>
    <w:p>
      <w:pPr>
        <w:spacing w:after="0" w:line="173" w:lineRule="exact"/>
        <w:rPr>
          <w:sz w:val="20"/>
          <w:szCs w:val="20"/>
          <w:color w:val="auto"/>
        </w:rPr>
      </w:pPr>
    </w:p>
    <w:p>
      <w:pPr>
        <w:ind w:left="1420" w:hanging="386"/>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t:slim Insulin Delivery System, or t:slim, our first product designed to easily and discreetly fit into a pocket,</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 and</w:t>
      </w:r>
    </w:p>
    <w:p>
      <w:pPr>
        <w:spacing w:after="0" w:line="9" w:lineRule="exact"/>
        <w:rPr>
          <w:rFonts w:ascii="Arial" w:cs="Arial" w:eastAsia="Arial" w:hAnsi="Arial"/>
          <w:sz w:val="18"/>
          <w:szCs w:val="18"/>
          <w:color w:val="auto"/>
        </w:rPr>
      </w:pPr>
    </w:p>
    <w:p>
      <w:pPr>
        <w:ind w:left="1420" w:right="200" w:hanging="386"/>
        <w:spacing w:after="0" w:line="261"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t:slim G4 Insulin Delivery System, or t:slim G4, the first Continuous Glucose Monitoring, or CGM, enabled pump with touchscreen simplicity.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This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88"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technology platform features our patented Micro-Delivery technology, a miniaturized pumping mechanism which draws insulin from a flexible bag within the pump’s cartridge, rather than relying on a syringe and plunger mechanism. It also features an easy-to-navigate software architecture, a vivid color touchscreen and a micro-USB connection that supports both a rechargeable battery and t:connect, our custom cloud-based data management application that provides a fast, easy and visual way to display therapy management data from the pump and supported blood glucose meters.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began commercial sales of our original t:slim Pump in August 2012. During 2015, we commenced commercial sales of two additional insulin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pumps: the t:flex Pump in May 2015 and t:slim G4 Pump in September 2015.</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July 2016, we received clearance from the U.S. Food and Drug Administration, or FDA, to begin offering the Tandem Device Updater, which is a Mac</w:t>
      </w:r>
      <w:r>
        <w:rPr>
          <w:rFonts w:ascii="Arial" w:cs="Arial" w:eastAsia="Arial" w:hAnsi="Arial"/>
          <w:sz w:val="15"/>
          <w:szCs w:val="15"/>
          <w:color w:val="auto"/>
        </w:rPr>
        <w:t>®</w:t>
      </w:r>
      <w:r>
        <w:rPr>
          <w:rFonts w:ascii="Arial" w:cs="Arial" w:eastAsia="Arial" w:hAnsi="Arial"/>
          <w:sz w:val="18"/>
          <w:szCs w:val="18"/>
          <w:color w:val="auto"/>
        </w:rPr>
        <w:t xml:space="preserve"> and PC-compatible tool for the remote update of Tandem insulin pump software, designed to update software and add new features for our pumps from a personal computer. This tool allows us to provide our customers access to new and enhanced features faster than the industry has been able to in the past, and separate from the typical multi-year pump reimbursement cycle.</w:t>
      </w:r>
    </w:p>
    <w:p>
      <w:pPr>
        <w:spacing w:after="0" w:line="187" w:lineRule="exact"/>
        <w:rPr>
          <w:sz w:val="20"/>
          <w:szCs w:val="20"/>
          <w:color w:val="auto"/>
        </w:rPr>
      </w:pPr>
    </w:p>
    <w:p>
      <w:pPr>
        <w:ind w:right="80" w:firstLine="571"/>
        <w:spacing w:after="0" w:line="312" w:lineRule="auto"/>
        <w:rPr>
          <w:sz w:val="20"/>
          <w:szCs w:val="20"/>
          <w:color w:val="auto"/>
        </w:rPr>
      </w:pPr>
      <w:r>
        <w:rPr>
          <w:rFonts w:ascii="Arial" w:cs="Arial" w:eastAsia="Arial" w:hAnsi="Arial"/>
          <w:sz w:val="16"/>
          <w:szCs w:val="16"/>
          <w:color w:val="auto"/>
        </w:rPr>
        <w:t>In the third quarter of 2016, we began to roll out the Tandem Device Updater to our customer base. The first use of the Tandem Device Updater is for the deployment of the latest t:slim Insulin Pump software to in-warranty t:slim Pumps purchased before April 2015. Future software improvements and enhancements will be implemented through the Tandem Device Updater as they are cleared for commercial distribution by the FDA.</w:t>
      </w:r>
    </w:p>
    <w:p>
      <w:pPr>
        <w:spacing w:after="0" w:line="147" w:lineRule="exact"/>
        <w:rPr>
          <w:sz w:val="20"/>
          <w:szCs w:val="20"/>
          <w:color w:val="auto"/>
        </w:rPr>
      </w:pPr>
    </w:p>
    <w:p>
      <w:pPr>
        <w:ind w:right="140" w:firstLine="571"/>
        <w:spacing w:after="0" w:line="279" w:lineRule="auto"/>
        <w:rPr>
          <w:sz w:val="20"/>
          <w:szCs w:val="20"/>
          <w:color w:val="auto"/>
        </w:rPr>
      </w:pPr>
      <w:r>
        <w:rPr>
          <w:rFonts w:ascii="Arial" w:cs="Arial" w:eastAsia="Arial" w:hAnsi="Arial"/>
          <w:sz w:val="17"/>
          <w:szCs w:val="17"/>
          <w:color w:val="auto"/>
        </w:rPr>
        <w:t>In October 2016, we began shipping the t:slim X2 Pump, a next generation t:slim Pump. The t:slim X2 Pump was specifically designed to be updateable with PMA-classified software, such as CGM integration, using the Tandem Device Updater. However, software updates and new features are not currently available for the t:slim X2 Pump. As a result of the commercialization of the t:slim X2 Pump, in October 2016 we discontinued new shipments of our t:slim Pump, though we will continue to provide ongoing service and support to our existing t:slim Pump customers.</w:t>
      </w:r>
    </w:p>
    <w:p>
      <w:pPr>
        <w:spacing w:after="0" w:line="171" w:lineRule="exact"/>
        <w:rPr>
          <w:sz w:val="20"/>
          <w:szCs w:val="20"/>
          <w:color w:val="auto"/>
        </w:rPr>
      </w:pPr>
    </w:p>
    <w:p>
      <w:pPr>
        <w:ind w:right="780" w:firstLine="571"/>
        <w:spacing w:after="0" w:line="277" w:lineRule="auto"/>
        <w:rPr>
          <w:sz w:val="20"/>
          <w:szCs w:val="20"/>
          <w:color w:val="auto"/>
        </w:rPr>
      </w:pPr>
      <w:r>
        <w:rPr>
          <w:rFonts w:ascii="Arial" w:cs="Arial" w:eastAsia="Arial" w:hAnsi="Arial"/>
          <w:sz w:val="18"/>
          <w:szCs w:val="18"/>
          <w:color w:val="auto"/>
        </w:rPr>
        <w:t>We have a number of additional products and product enhancements that we plan to launch over the next several years, pending appropriate regulatory clearances.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and Technology Upgrade Program</w:t>
      </w:r>
    </w:p>
    <w:p>
      <w:pPr>
        <w:spacing w:after="0" w:line="225" w:lineRule="exact"/>
        <w:rPr>
          <w:sz w:val="20"/>
          <w:szCs w:val="20"/>
          <w:color w:val="auto"/>
        </w:rPr>
      </w:pPr>
    </w:p>
    <w:p>
      <w:pPr>
        <w:ind w:right="80" w:firstLine="571"/>
        <w:spacing w:after="0" w:line="286" w:lineRule="auto"/>
        <w:rPr>
          <w:sz w:val="20"/>
          <w:szCs w:val="20"/>
          <w:color w:val="auto"/>
        </w:rPr>
      </w:pPr>
      <w:r>
        <w:rPr>
          <w:rFonts w:ascii="Arial" w:cs="Arial" w:eastAsia="Arial" w:hAnsi="Arial"/>
          <w:sz w:val="17"/>
          <w:szCs w:val="17"/>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more than 46,000 insulin pumps since the initiation of our commercial efforts in 2012. Pump shipments are broken down by product and by quarter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w:t>
            </w:r>
            <w:r>
              <w:rPr>
                <w:rFonts w:ascii="Arial" w:cs="Arial" w:eastAsia="Arial" w:hAnsi="Arial"/>
                <w:sz w:val="12"/>
                <w:szCs w:val="12"/>
                <w:b w:val="1"/>
                <w:bCs w:val="1"/>
                <w:color w:val="auto"/>
                <w:w w:val="92"/>
              </w:rPr>
              <w:t>(1) (3)</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t:slim</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3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t:flex</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20"/>
                <w:szCs w:val="20"/>
                <w:color w:val="auto"/>
              </w:rPr>
            </w:pP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0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t:slim G4</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20"/>
                <w:szCs w:val="20"/>
                <w:color w:val="auto"/>
              </w:rPr>
            </w:pP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00" w:type="dxa"/>
            <w:vAlign w:val="bottom"/>
          </w:tcPr>
          <w:p>
            <w:pPr>
              <w:jc w:val="right"/>
              <w:spacing w:after="0"/>
              <w:rPr>
                <w:sz w:val="20"/>
                <w:szCs w:val="20"/>
                <w:color w:val="auto"/>
              </w:rPr>
            </w:pPr>
            <w:r>
              <w:rPr>
                <w:rFonts w:ascii="Arial" w:cs="Arial" w:eastAsia="Arial" w:hAnsi="Arial"/>
                <w:sz w:val="18"/>
                <w:szCs w:val="18"/>
                <w:color w:val="auto"/>
              </w:rPr>
              <w:t>6,549</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12,520</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This table does not reflect returns or exchanges of pump products that occurred in the ordinary course of business.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380" w:right="160" w:hanging="372"/>
        <w:spacing w:after="0" w:line="256"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fourth quarter of 2015, 148 t:slim Pumps and two t:flex Pumps originally shipped in the third quarter of 2015 were exchanged for t:slim G4 Pumps under a limited product exchange program. Amounts for the fourth quarter of 2015 in the table above are adjusted to reflect the impact of the exchange program.</w:t>
      </w:r>
    </w:p>
    <w:p>
      <w:pPr>
        <w:ind w:left="380" w:hanging="37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table does not reflect the impact of trade-ins made under the Technology Upgrade Program related to our launch of the t:slim X2 Pump.</w:t>
      </w:r>
    </w:p>
    <w:p>
      <w:pPr>
        <w:spacing w:after="0" w:line="222" w:lineRule="exact"/>
        <w:rPr>
          <w:sz w:val="20"/>
          <w:szCs w:val="20"/>
          <w:color w:val="auto"/>
        </w:rPr>
      </w:pPr>
    </w:p>
    <w:p>
      <w:pPr>
        <w:ind w:right="120" w:firstLine="571"/>
        <w:spacing w:after="0" w:line="264" w:lineRule="auto"/>
        <w:rPr>
          <w:sz w:val="20"/>
          <w:szCs w:val="20"/>
          <w:color w:val="auto"/>
        </w:rPr>
      </w:pPr>
      <w:r>
        <w:rPr>
          <w:rFonts w:ascii="Arial" w:cs="Arial" w:eastAsia="Arial" w:hAnsi="Arial"/>
          <w:sz w:val="18"/>
          <w:szCs w:val="18"/>
          <w:color w:val="auto"/>
        </w:rPr>
        <w:t>In July 2016, we launched a Technology Upgrade Program that provides eligible t:slim and t:slim G4 Pump customers a path towards ownership of the t:slim X2 Pump by providing customers the right to trade in a t:slim Pump or t:slim G4 Pump for a new t:slim X2 Pump when available, under a variable pricing structure. The Technology Upgrade Program expires on September 30, 2017.</w:t>
      </w:r>
    </w:p>
    <w:p>
      <w:pPr>
        <w:spacing w:after="0" w:line="18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Due to the high degree of accounting complexity, the Technology Upgrade Program has created, and will continue to create, unpredictable financial results for the duration of the program. The accounting treatment for this program requires the deferral of some portion (up to 100%) of sales and cost of sales for shipments of eligible pumps beginning in the third quarter of 2016. We have determined that, from an accounting perspective, the opportunity for a customer to trade in a t:slim or t:slim G4 Pump represents either a right of return or a guarantee at the time of the initial product purchase. Because we have not offered an upgrade program in the past, we do not have sufficient history with similar upgrade programs to estimate the number of customers that will participate. As a result, sales and cost of sales for all eligible t:slim Pump and t:slim G4 Pump shipments are subject to deferral. The amount of sales and cost of sales deferred varies based on a number of factors, including the model of pump involved and the timing of the initial sales relative to the availability of certain future products. We expect to recognize the deferred amount of sales and cost of sales at the earlier of when the Company’s obligations under the Technology Upgrade Program are satisfied or when the Technology Upgrade Program expires. If a customer elects to participate in the Technology Upgrade Program, we will recognize upgrade fees that we receive, if any, and the associated costs at the time of fulfilling the given obligation. At this time we are not able to estimate when we will recognize deferred sales or costs of goods sold as a result of the Technology Upgrade Program, nor are we able to estimate the amount of upgrade fees or associated costs for a customer’s election to participate in the Technology Upgrade Program.</w:t>
      </w:r>
    </w:p>
    <w:p>
      <w:pPr>
        <w:spacing w:after="0" w:line="169"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color w:val="auto"/>
        </w:rPr>
        <w:t>For the three months ended September 30, 2016 and 2015, our sales were $12.3 million and $15.7 million, respectively. For the three months ended September 30, 2016, we recorded net deferrals of $8.4 million in sales and $1.4 million in cost of sales, respectively, as a result of the Technology Upgrade Program. For the three months ended September 30, 2016 and 2015, our net loss was $29.8 million and $19.6 million, respectively. For the nine months ended September 30, 2016 and 2015, our sales were $55.3 million and $43.7 million, respectively. For the nine months ended September 30, 2016 and 2015, our net loss was $68.6 million and $60.3 million, respectively.</w:t>
      </w:r>
    </w:p>
    <w:p>
      <w:pPr>
        <w:spacing w:after="0" w:line="188" w:lineRule="exact"/>
        <w:rPr>
          <w:sz w:val="20"/>
          <w:szCs w:val="20"/>
          <w:color w:val="auto"/>
        </w:rPr>
      </w:pPr>
    </w:p>
    <w:p>
      <w:pPr>
        <w:ind w:right="140" w:firstLine="571"/>
        <w:spacing w:after="0" w:line="279" w:lineRule="auto"/>
        <w:rPr>
          <w:sz w:val="20"/>
          <w:szCs w:val="20"/>
          <w:color w:val="auto"/>
        </w:rPr>
      </w:pPr>
      <w:r>
        <w:rPr>
          <w:rFonts w:ascii="Arial" w:cs="Arial" w:eastAsia="Arial" w:hAnsi="Arial"/>
          <w:sz w:val="17"/>
          <w:szCs w:val="17"/>
          <w:color w:val="auto"/>
        </w:rPr>
        <w:t>Overall, we have experienced considerable sales growth since the commercial launch of t:slim in the third quarter of 2012, while incurring operating losses since our inception. Our operating results fluctuate on a quarterly or annual basis, particularly in the periods surrounding anticipated and actual regulatory approvals and initial stages of commercialization of our new products and those of our competitors. These fluctuations have been, and may continue to be, more pronounced following the commencement of the Technology Upgrade Program.</w:t>
      </w:r>
    </w:p>
    <w:p>
      <w:pPr>
        <w:spacing w:after="0" w:line="171" w:lineRule="exact"/>
        <w:rPr>
          <w:sz w:val="20"/>
          <w:szCs w:val="20"/>
          <w:color w:val="auto"/>
        </w:rPr>
      </w:pPr>
    </w:p>
    <w:p>
      <w:pPr>
        <w:ind w:right="80" w:firstLine="588"/>
        <w:spacing w:after="0" w:line="297" w:lineRule="auto"/>
        <w:rPr>
          <w:sz w:val="20"/>
          <w:szCs w:val="20"/>
          <w:color w:val="auto"/>
        </w:rPr>
      </w:pPr>
      <w:r>
        <w:rPr>
          <w:rFonts w:ascii="Arial" w:cs="Arial" w:eastAsia="Arial" w:hAnsi="Arial"/>
          <w:sz w:val="16"/>
          <w:szCs w:val="16"/>
          <w:color w:val="auto"/>
        </w:rPr>
        <w:t>We believe that the timing of the commercial launch of the t:slim X2 Pump has negatively impacted our aggregate pump shipments during the three months ended September 30, 2016 and may cause further fluctuations in quarterly pump shipments throughout the duration of the Technology Upgrade Program. In particular, in the period leading up to the commercial launch of the t:slim X2 Pump, we believe there was an increasing number of potential customers who delayed their purchasing decision until they could include the t:slim X2 Pump in their decision-making process. In addition, recent regulatory filings, approvals and new product launches by our competitors have and may continue to negatively impact the purchasing decisions of potential customers.</w:t>
      </w:r>
    </w:p>
    <w:p>
      <w:pPr>
        <w:spacing w:after="0" w:line="15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 substantial portion of the purchase price of an insulin pump is typically paid for by third-party payors, including private insurance companies, preferred provider organizations and other managed care providers. Access to adequate coverage and reimbursement for our current and future products by third-party payors is essential to the acceptance of our products by customers. Future sales of our current and future products will be limited unless our customers can rely on third-party payors to pay for all or part of the associated purchase cost. For example,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However, in most other circumstances in which we do not have contracts established with third-party payors, we utilize our network of national and regional distributors to service our customers.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firstLine="571"/>
        <w:spacing w:after="0" w:line="271" w:lineRule="auto"/>
        <w:rPr>
          <w:sz w:val="20"/>
          <w:szCs w:val="20"/>
          <w:color w:val="auto"/>
        </w:rPr>
      </w:pPr>
      <w:r>
        <w:rPr>
          <w:rFonts w:ascii="Arial" w:cs="Arial" w:eastAsia="Arial" w:hAnsi="Arial"/>
          <w:sz w:val="17"/>
          <w:szCs w:val="17"/>
          <w:color w:val="auto"/>
        </w:rPr>
        <w:t>We believe we can ultimately achieve profitability because our proprietary technology platform will allow us to maximize efficiencies in the development, production and sale of our products. By offering a family of products, all of which are based on our proprietary technology platform, we believe we can develop and bring to market products more rapidly, while significantly reducing our design and development costs. Due to shared product design features, our production system is adaptable to new products and we intend to leverage our shared manufacturing infrastructure to reduce our product costs and drive operational efficiencies. Further, we expect to continue to increase production volume and to reduce the per-unit production overhead cost for our pump products and their associated disposable cartridges over time. By expanding our product offerings to address people in different segments of the large and growing insulin-dependent diabetes market, we believe we can increase the productivity of our sales, clinical and marketing organization, and utilize the expertise of our customer, technical and support services, thereby improving our operating margin.</w:t>
      </w:r>
    </w:p>
    <w:p>
      <w:pPr>
        <w:spacing w:after="0" w:line="179" w:lineRule="exact"/>
        <w:rPr>
          <w:sz w:val="20"/>
          <w:szCs w:val="20"/>
          <w:color w:val="auto"/>
        </w:rPr>
      </w:pPr>
    </w:p>
    <w:p>
      <w:pPr>
        <w:jc w:val="both"/>
        <w:ind w:right="20" w:firstLine="571"/>
        <w:spacing w:after="0" w:line="264" w:lineRule="auto"/>
        <w:rPr>
          <w:sz w:val="20"/>
          <w:szCs w:val="20"/>
          <w:color w:val="auto"/>
        </w:rPr>
      </w:pPr>
      <w:r>
        <w:rPr>
          <w:rFonts w:ascii="Arial" w:cs="Arial" w:eastAsia="Arial" w:hAnsi="Arial"/>
          <w:sz w:val="18"/>
          <w:szCs w:val="18"/>
          <w:color w:val="auto"/>
        </w:rPr>
        <w:t>From inception through September 30, 2016, we have primarily financed our operations through sales of equity securities, and, to a lesser extent, debt financings. We expect to continue to incur net losses for the next several years, and may require additional capital through equity and debt financings in order to fund our operations until we achieve a level of revenue adequate to support our cost structure.</w:t>
      </w:r>
    </w:p>
    <w:p>
      <w:pPr>
        <w:spacing w:after="0" w:line="181"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In the first quarter of 2016, we entered into a third amendment (the “Third Amendment”) to our Term Loan Agreement, as amended by Consent and Amendment Agreement, dated June 20, 2014, Omnibus Amendment Agreement No. 2, dated February 23, 2015 and Amendment No. 3 to Term Loan Agreement, dated January 8, 2016 (as amended, the “Term Loan Agreement”) with Capital Royalty Partners II, L.P. and its affiliate funds (“Capital Royalty Partners”). The Third Amendment granted us the right to borrow up to an additional $50.0 million. We borrowed $15.0 million of this amount in January 2016, and the Third Amendment provides us with a one-time option to draw up to an additional $35.0 million in increments of $5.0 million on or before December 31, 2016.</w:t>
      </w:r>
    </w:p>
    <w:p>
      <w:pPr>
        <w:spacing w:after="0" w:line="193"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We may not be able to achieve profitability in the future. For additional information about the risks and uncertainties associated with our business, see the section entitled “Risk Factors” in Part II, Item 1A of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We offer a family of products for people with insulin-dependent diabetes. We commenced commercial sales of the t:slim Pump in the United States in the third quarter of 2012. We launched our second insulin pump product, t:flex, in the second quarter of 2015, and launched our third insulin pump product, t:slim G4, in September 2015. In October of 2016, we began shipping the t:slim X2 Pump. Our products include these insulin pumps, as well as disposable cartridges and infusion sets. We also offer accessories including protective cases, belt clips, and power adapters. Sales of accessories since commercial launch have not been significant.</w:t>
      </w:r>
    </w:p>
    <w:p>
      <w:pPr>
        <w:spacing w:after="0" w:line="188" w:lineRule="exact"/>
        <w:rPr>
          <w:sz w:val="20"/>
          <w:szCs w:val="20"/>
          <w:color w:val="auto"/>
        </w:rPr>
      </w:pPr>
    </w:p>
    <w:p>
      <w:pPr>
        <w:ind w:right="60" w:firstLine="571"/>
        <w:spacing w:after="0" w:line="276" w:lineRule="auto"/>
        <w:rPr>
          <w:sz w:val="20"/>
          <w:szCs w:val="20"/>
          <w:color w:val="auto"/>
        </w:rPr>
      </w:pPr>
      <w:r>
        <w:rPr>
          <w:rFonts w:ascii="Arial" w:cs="Arial" w:eastAsia="Arial" w:hAnsi="Arial"/>
          <w:sz w:val="17"/>
          <w:szCs w:val="17"/>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recent expansion of our sales, clinical and marketing infrastructure will allow us to engage with more potential customers, their caregivers and healthcare providers on a more frequent basis to promote our products.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sales may fluctuate on a quarterly basis in the future due to a variety of factors, including the impact of:</w:t>
      </w:r>
    </w:p>
    <w:p>
      <w:pPr>
        <w:spacing w:after="0" w:line="225" w:lineRule="exact"/>
        <w:rPr>
          <w:sz w:val="20"/>
          <w:szCs w:val="20"/>
          <w:color w:val="auto"/>
        </w:rPr>
      </w:pPr>
    </w:p>
    <w:p>
      <w:pPr>
        <w:ind w:left="760" w:right="380" w:hanging="374"/>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deductibles and coinsurance requirements associated with most medical insurance plans utilized by our individual customers and the individual customers of our distributors,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and actual regulatory approvals and commercial launches of new products by us or our competitors,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and timing of sales force expansions,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recently announced Technology Upgrade Program and its related financial and accounting impact.</w:t>
      </w:r>
    </w:p>
    <w:p>
      <w:pPr>
        <w:spacing w:after="0" w:line="211" w:lineRule="exact"/>
        <w:rPr>
          <w:sz w:val="20"/>
          <w:szCs w:val="20"/>
          <w:color w:val="auto"/>
        </w:rPr>
      </w:pPr>
    </w:p>
    <w:p>
      <w:pPr>
        <w:ind w:right="220" w:firstLine="571"/>
        <w:spacing w:after="0" w:line="264" w:lineRule="auto"/>
        <w:rPr>
          <w:sz w:val="20"/>
          <w:szCs w:val="20"/>
          <w:color w:val="auto"/>
        </w:rPr>
      </w:pPr>
      <w:r>
        <w:rPr>
          <w:rFonts w:ascii="Arial" w:cs="Arial" w:eastAsia="Arial" w:hAnsi="Arial"/>
          <w:sz w:val="18"/>
          <w:szCs w:val="18"/>
          <w:color w:val="auto"/>
        </w:rPr>
        <w:t>In general, as a result of these and other factors, we have experienced, and expect to continue to experience, product shipments being weighted heavily towards the second half of the year, with the highest percentage of product shipments in the fourth quarter of the year. Consistent with prior results, we also expect product shipments from the fourth quarter to the following first quarter to decrease.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20" w:firstLine="571"/>
        <w:spacing w:after="0" w:line="289" w:lineRule="auto"/>
        <w:rPr>
          <w:sz w:val="20"/>
          <w:szCs w:val="20"/>
          <w:color w:val="auto"/>
        </w:rPr>
      </w:pPr>
      <w:r>
        <w:rPr>
          <w:rFonts w:ascii="Arial" w:cs="Arial" w:eastAsia="Arial" w:hAnsi="Arial"/>
          <w:sz w:val="16"/>
          <w:szCs w:val="16"/>
          <w:color w:val="auto"/>
        </w:rPr>
        <w:t>In particular,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the FDA approval or commercial launch of a new product, whether our own or of one of our competitors, potential new customers may reconsider their purchasing decision or take additional time to consider the new approval or product in their purchasing decision. For example, in 2015, we believe that the timing of the regulatory approval and commercial launch of t:slim G4 contributed to our product shipments being weighted even more heavily towards the fourth quarter of the year. Similarly, in 2016, we believe that our pump shipments were negatively impacted during the three-month period ended September 30, 2016, as we announced the launches of the t:slim X2 Pump and the Technology Upgrade Program during that quarter, and one of our competitors announced the future availability of two new products. However, we are not able to quantify the extent of the impact of these events on our potential customers’ purchasing decisions.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20" w:firstLine="571"/>
        <w:spacing w:after="0" w:line="293" w:lineRule="auto"/>
        <w:rPr>
          <w:sz w:val="20"/>
          <w:szCs w:val="20"/>
          <w:color w:val="auto"/>
        </w:rPr>
      </w:pPr>
      <w:r>
        <w:rPr>
          <w:rFonts w:ascii="Arial" w:cs="Arial" w:eastAsia="Arial" w:hAnsi="Arial"/>
          <w:sz w:val="16"/>
          <w:szCs w:val="16"/>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and scrap and inventory obsolescence. Manufacturing overhead expenses are currently a significant portion of our per-unit costs but continue to decline as our production volumes grow. These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continue to gain broader market acceptance and our product sales increase.</w:t>
      </w:r>
    </w:p>
    <w:p>
      <w:pPr>
        <w:spacing w:after="0" w:line="165"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among our pump products that utilize the same core infrastructure. However, we do expect our overall gross margin to fluctuate in future quarterly periods as a result of numerous factors besides those associated with production volumes, such as the Technology Upgrade Program and its related financial and accounting impact, the changing mix of products sold with different gross margins, the changing percentage of products sold to distributors versus directly to individual customers, varying levels of reimbursement among third-party payors, the timing and success of new regulatory approvals and product launches, warranty and training costs, and changes in our manufacturing processes, costs or output, changes in our manufacturing capacity or output as well as the impact of implementing additional automated manufacturing equipment and expanding our manufacturing facilities as we attempt to manufacture our products on a larger scale.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Our selling, general and administrative, or SG&amp;A, expenses primarily consist of salary, cash-based incentive compensation, fringe benefits and non-cash stock-based compensation for our executive, financial, marketing, sales, business development, regulatory affairs and administrative functions.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We expect our SG&amp;A expenses to increase as our business expands, including the potential future expansion of the number of sales territories in which we operate.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research and development, or R&amp;D, activities primarily consist of engineering and research programs associated with our products under development, as well as R&amp;D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payments under our licensing, development and commercialization agreements and other indirect costs. We expect our R&amp;D expenses, including clinical trial costs, to increase as we initiate and advance our development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Our other income and expense primarily consists of interest expense and amortization of debt discount and issuance costs associated with the Term Loan Agreement. At September 30, 2016, there was $45.8 million of outstanding principal under the Term Loan Agreement, which accrues interest at a rate of 11.5% per annum. We expect interest expense to increase in 2016 as a result of additional borrowings under the Term Loan Agreement as compared to 2015 (see the section below entitled “Indebtedness”).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1"/>
        </w:trPr>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4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84"/>
              </w:rPr>
              <w:t>2015</w:t>
            </w:r>
          </w:p>
        </w:tc>
        <w:tc>
          <w:tcPr>
            <w:tcW w:w="180" w:type="dxa"/>
            <w:vAlign w:val="bottom"/>
          </w:tcPr>
          <w:p>
            <w:pPr>
              <w:spacing w:after="0"/>
              <w:rPr>
                <w:sz w:val="14"/>
                <w:szCs w:val="14"/>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20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55,336</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43,730</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41,809</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30,609</w:t>
            </w:r>
          </w:p>
        </w:tc>
        <w:tc>
          <w:tcPr>
            <w:tcW w:w="180" w:type="dxa"/>
            <w:vAlign w:val="bottom"/>
            <w:tcBorders>
              <w:bottom w:val="single" w:sz="8" w:color="CFF0FC"/>
            </w:tcBorders>
          </w:tcPr>
          <w:p>
            <w:pPr>
              <w:spacing w:after="0"/>
              <w:rPr>
                <w:sz w:val="19"/>
                <w:szCs w:val="19"/>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13,121</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20,683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63,768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58,077</w:t>
            </w:r>
          </w:p>
        </w:tc>
        <w:tc>
          <w:tcPr>
            <w:tcW w:w="180" w:type="dxa"/>
            <w:vAlign w:val="bottom"/>
          </w:tcPr>
          <w:p>
            <w:pPr>
              <w:spacing w:after="0"/>
              <w:rPr>
                <w:sz w:val="19"/>
                <w:szCs w:val="19"/>
                <w:color w:val="auto"/>
              </w:rPr>
            </w:pPr>
          </w:p>
        </w:tc>
      </w:tr>
      <w:tr>
        <w:trPr>
          <w:trHeight w:val="23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12,828</w:t>
            </w:r>
          </w:p>
        </w:tc>
        <w:tc>
          <w:tcPr>
            <w:tcW w:w="180" w:type="dxa"/>
            <w:vAlign w:val="bottom"/>
            <w:shd w:val="clear" w:color="auto" w:fill="CFF0FC"/>
          </w:tcPr>
          <w:p>
            <w:pPr>
              <w:spacing w:after="0"/>
              <w:rPr>
                <w:sz w:val="19"/>
                <w:szCs w:val="19"/>
                <w:color w:val="auto"/>
              </w:rPr>
            </w:pPr>
          </w:p>
        </w:tc>
      </w:tr>
      <w:tr>
        <w:trPr>
          <w:trHeight w:val="223"/>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26,837</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78,232</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70,905</w:t>
            </w:r>
          </w:p>
        </w:tc>
        <w:tc>
          <w:tcPr>
            <w:tcW w:w="180" w:type="dxa"/>
            <w:vAlign w:val="bottom"/>
            <w:tcBorders>
              <w:bottom w:val="single" w:sz="8" w:color="CFF0FC"/>
            </w:tcBorders>
          </w:tcPr>
          <w:p>
            <w:pPr>
              <w:spacing w:after="0"/>
              <w:rPr>
                <w:sz w:val="19"/>
                <w:szCs w:val="19"/>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(64,705)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(57,784)</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gridSpan w:val="2"/>
          </w:tcPr>
          <w:p>
            <w:pPr>
              <w:ind w:left="260"/>
              <w:spacing w:after="0"/>
              <w:rPr>
                <w:sz w:val="20"/>
                <w:szCs w:val="20"/>
                <w:color w:val="auto"/>
              </w:rPr>
            </w:pPr>
            <w:r>
              <w:rPr>
                <w:rFonts w:ascii="Arial" w:cs="Arial" w:eastAsia="Arial" w:hAnsi="Arial"/>
                <w:sz w:val="18"/>
                <w:szCs w:val="18"/>
                <w:color w:val="auto"/>
              </w:rPr>
              <w:t>Interest and other expense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(4,177)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(2,791)</w:t>
            </w:r>
          </w:p>
        </w:tc>
      </w:tr>
      <w:tr>
        <w:trPr>
          <w:trHeight w:val="223"/>
        </w:trPr>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(60,328)</w:t>
            </w:r>
          </w:p>
        </w:tc>
        <w:tc>
          <w:tcPr>
            <w:tcW w:w="18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2016 and 2015</w:t>
      </w:r>
    </w:p>
    <w:p>
      <w:pPr>
        <w:spacing w:after="0" w:line="229" w:lineRule="exact"/>
        <w:rPr>
          <w:sz w:val="20"/>
          <w:szCs w:val="20"/>
          <w:color w:val="auto"/>
        </w:rPr>
      </w:pPr>
    </w:p>
    <w:p>
      <w:pPr>
        <w:jc w:val="both"/>
        <w:ind w:right="240" w:firstLine="571"/>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Sales for the three months ended September 30, 2016 were $12.3 million, representing a decrease of 22% compared to sales of $15.7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2015.</w:t>
      </w:r>
    </w:p>
    <w:p>
      <w:pPr>
        <w:spacing w:after="0" w:line="170" w:lineRule="exact"/>
        <w:rPr>
          <w:sz w:val="20"/>
          <w:szCs w:val="20"/>
          <w:color w:val="auto"/>
        </w:rPr>
      </w:pPr>
    </w:p>
    <w:p>
      <w:pPr>
        <w:jc w:val="both"/>
        <w:ind w:right="240" w:firstLine="571"/>
        <w:spacing w:after="0" w:line="312" w:lineRule="auto"/>
        <w:rPr>
          <w:sz w:val="20"/>
          <w:szCs w:val="20"/>
          <w:color w:val="auto"/>
        </w:rPr>
      </w:pPr>
      <w:r>
        <w:rPr>
          <w:rFonts w:ascii="Arial" w:cs="Arial" w:eastAsia="Arial" w:hAnsi="Arial"/>
          <w:sz w:val="16"/>
          <w:szCs w:val="16"/>
          <w:color w:val="auto"/>
        </w:rPr>
        <w:t>For the three months ended September 30, 2016 we deferred $8.4 million of pump sales as the result of our Technology Upgrade Program. Sales of insulin pumps were $6.9 million and $12.8 million, respectively, for the three months ended September 30, 2016 and 2015. Sales of pump-related supplies primarily accounted for the remainder of our sales during those periods. Sales of accessories were not significant in either of the reported periods.</w:t>
      </w:r>
    </w:p>
    <w:p>
      <w:pPr>
        <w:spacing w:after="0" w:line="14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net decrease in sales during the three months ended September 30, 2016 compared to the same period in 2015 was primarily attributable to our deferral of sales of eligible insulin pumps due to the Technology Upgrade Program. Notwithstanding the decrease in our reported sales during this period, we had a 14% increase in aggregate pump shipments from 3,431 in the third quarter of 2015 to 3,896 in the third quarter of 2016. We also experienced an increase in sales of pump-related supplies from our growing installed base.</w:t>
      </w:r>
    </w:p>
    <w:p>
      <w:pPr>
        <w:spacing w:after="0" w:line="187" w:lineRule="exact"/>
        <w:rPr>
          <w:sz w:val="20"/>
          <w:szCs w:val="20"/>
          <w:color w:val="auto"/>
        </w:rPr>
      </w:pPr>
    </w:p>
    <w:p>
      <w:pPr>
        <w:ind w:right="40" w:firstLine="571"/>
        <w:spacing w:after="0" w:line="272" w:lineRule="auto"/>
        <w:rPr>
          <w:sz w:val="20"/>
          <w:szCs w:val="20"/>
          <w:color w:val="auto"/>
        </w:rPr>
      </w:pPr>
      <w:r>
        <w:rPr>
          <w:rFonts w:ascii="Arial" w:cs="Arial" w:eastAsia="Arial" w:hAnsi="Arial"/>
          <w:sz w:val="17"/>
          <w:szCs w:val="17"/>
          <w:color w:val="auto"/>
        </w:rPr>
        <w:t>Our percentage of sales to distributors versus individual customers is principally determined by the mix of customers ordering our products within the period and whether or not we have a contractual arrangement with their underlying third-party insurance payor. Sales to distributors accounted for 67% and 77% of our total sales for the three months ended September 30, 2016 and 2015, respectively. The percentage of sales to distributors during the three months ended September 30, 2016 decreased five percentage points as a result of sales deferred due to the Technology Upgrade Program and the expected launch of the t:slim X2 Pump. In addition, the percentage decreased due to UnitedHealthcare’s decision to designate one of our competitors as their preferred, in-network durable medical equipment provider of insulin pumps for most customers over the age of 18, effective July 1, 2016. Previously, UnitedHealthcare’s members accessed our products through one of our distributors.</w:t>
      </w:r>
    </w:p>
    <w:p>
      <w:pPr>
        <w:spacing w:after="0" w:line="178" w:lineRule="exact"/>
        <w:rPr>
          <w:sz w:val="20"/>
          <w:szCs w:val="20"/>
          <w:color w:val="auto"/>
        </w:rPr>
      </w:pPr>
    </w:p>
    <w:p>
      <w:pPr>
        <w:ind w:right="40" w:firstLine="571"/>
        <w:spacing w:after="0" w:line="286" w:lineRule="auto"/>
        <w:rPr>
          <w:sz w:val="20"/>
          <w:szCs w:val="20"/>
          <w:color w:val="auto"/>
        </w:rPr>
      </w:pPr>
      <w:r>
        <w:rPr>
          <w:rFonts w:ascii="Arial" w:cs="Arial" w:eastAsia="Arial" w:hAnsi="Arial"/>
          <w:sz w:val="17"/>
          <w:szCs w:val="17"/>
          <w:i w:val="1"/>
          <w:iCs w:val="1"/>
          <w:color w:val="auto"/>
        </w:rPr>
        <w:t>Cost of Sales and Gross Profit (Loss)</w:t>
      </w:r>
      <w:r>
        <w:rPr>
          <w:rFonts w:ascii="Arial" w:cs="Arial" w:eastAsia="Arial" w:hAnsi="Arial"/>
          <w:sz w:val="17"/>
          <w:szCs w:val="17"/>
          <w:color w:val="auto"/>
        </w:rPr>
        <w:t>. Our cost of sales for the three months ended September 30, 2016 was $13.9 million, representing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36% compared to $10.2 million for the same period in 2015. Gross loss for the three months ended September 30, 2016 was $1.6 million and gross margin was (13)%, compared to gross profit of $5.5 million and gross margin of 35% for the same period in 2015.</w:t>
      </w:r>
    </w:p>
    <w:p>
      <w:pPr>
        <w:spacing w:after="0" w:line="166" w:lineRule="exact"/>
        <w:rPr>
          <w:sz w:val="20"/>
          <w:szCs w:val="20"/>
          <w:color w:val="auto"/>
        </w:rPr>
      </w:pPr>
    </w:p>
    <w:p>
      <w:pPr>
        <w:ind w:right="100" w:firstLine="629"/>
        <w:spacing w:after="0" w:line="276" w:lineRule="auto"/>
        <w:rPr>
          <w:sz w:val="20"/>
          <w:szCs w:val="20"/>
          <w:color w:val="auto"/>
        </w:rPr>
      </w:pPr>
      <w:r>
        <w:rPr>
          <w:rFonts w:ascii="Arial" w:cs="Arial" w:eastAsia="Arial" w:hAnsi="Arial"/>
          <w:sz w:val="17"/>
          <w:szCs w:val="17"/>
          <w:color w:val="auto"/>
        </w:rPr>
        <w:t>The decrease in our gross profit (loss) for the three months ended September 30, 2016 from the comparable period in 2015 was primarily due to the net $7.0 million reduction in gross profit associated with the Technology Upgrade Program. During the period, we recorded net deferrals of $8.4 million in sales and $1.4 million in cost of sales. In addition, we recorded a $1.1 million charge for inventory obsolescence as the result of the commercialization of the t:slim X2 Pump, the launch of the Technology Upgrade Program and the associated decrease in overall demand for our t:slim G4 Pump. This charge negatively impacted our gross margin during the three months ended September 30, 2016 by nine percentage points.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right="240" w:firstLine="593"/>
        <w:spacing w:after="0" w:line="257" w:lineRule="auto"/>
        <w:rPr>
          <w:sz w:val="20"/>
          <w:szCs w:val="20"/>
          <w:color w:val="auto"/>
        </w:rPr>
      </w:pPr>
      <w:r>
        <w:rPr>
          <w:rFonts w:ascii="Arial" w:cs="Arial" w:eastAsia="Arial" w:hAnsi="Arial"/>
          <w:sz w:val="18"/>
          <w:szCs w:val="18"/>
          <w:color w:val="auto"/>
        </w:rPr>
        <w:t>Our manufacturing overhead costs are a significant component of the costs of our products. Our gross margin was positively impacted by a substantial decrease in per-unit manufacturing overhead costs, which was driven by increased production volumes and manufacturing efficiencies. This improvement was offset by an increase in our non-manufacturing costs as a percentage of sales, which primarily consists of warranty, freight, training, and royalty costs. The gross margin was also impacted by an increase in sales of pump-related supplies, which generally have lower gross margins than our insulin pumps.</w:t>
      </w:r>
    </w:p>
    <w:p>
      <w:pPr>
        <w:spacing w:after="0" w:line="188" w:lineRule="exact"/>
        <w:rPr>
          <w:sz w:val="20"/>
          <w:szCs w:val="20"/>
          <w:color w:val="auto"/>
        </w:rPr>
      </w:pPr>
    </w:p>
    <w:p>
      <w:pPr>
        <w:ind w:firstLine="588"/>
        <w:spacing w:after="0" w:line="255" w:lineRule="auto"/>
        <w:rPr>
          <w:sz w:val="20"/>
          <w:szCs w:val="20"/>
          <w:color w:val="auto"/>
        </w:rPr>
      </w:pPr>
      <w:r>
        <w:rPr>
          <w:rFonts w:ascii="Arial" w:cs="Arial" w:eastAsia="Arial" w:hAnsi="Arial"/>
          <w:sz w:val="18"/>
          <w:szCs w:val="18"/>
          <w:color w:val="auto"/>
        </w:rPr>
        <w:t>During the period of the Technology Upgrade program, we expect the pump gross margin will fluctuate significantly. Following the expiration of the Technology Upgrade Program, we expect our gross margin on insulin pumps to be higher than our gross margin on pump-related supplies, which is consistent with our historical experience. We will continue to increase our manufacturing operations and costs as we address increasing production volume requirements. Therefore, our manufacturing overhead costs will continue to be a significant component of the costs of our products. As a result our manufacturing overhead costs will continue to impact our gross margins as we attempt to manufacture our products on a larger scale, launch new products, change our manufacturing processes, change our manufacturing capacity or output, implement additional automated manufacturing equipment and expand our manufacturing facilities.</w:t>
      </w:r>
    </w:p>
    <w:p>
      <w:pPr>
        <w:spacing w:after="0" w:line="189" w:lineRule="exact"/>
        <w:rPr>
          <w:sz w:val="20"/>
          <w:szCs w:val="20"/>
          <w:color w:val="auto"/>
        </w:rPr>
      </w:pPr>
    </w:p>
    <w:p>
      <w:pPr>
        <w:ind w:right="120" w:firstLine="571"/>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8% to $20.7 million for the three months ended September 30, 2016 from</w:t>
      </w:r>
      <w:r>
        <w:rPr>
          <w:rFonts w:ascii="Arial" w:cs="Arial" w:eastAsia="Arial" w:hAnsi="Arial"/>
          <w:sz w:val="17"/>
          <w:szCs w:val="17"/>
          <w:i w:val="1"/>
          <w:iCs w:val="1"/>
          <w:color w:val="auto"/>
        </w:rPr>
        <w:t xml:space="preserve"> </w:t>
      </w:r>
      <w:r>
        <w:rPr>
          <w:rFonts w:ascii="Arial" w:cs="Arial" w:eastAsia="Arial" w:hAnsi="Arial"/>
          <w:sz w:val="17"/>
          <w:szCs w:val="17"/>
          <w:color w:val="auto"/>
        </w:rPr>
        <w:t>$19.1 million for the same period in 2015. The increase in SG&amp;A expenses was primarily the result of the expansion of our commercial operations during 2016. We expanded the number of our sales territories from 60 to 72 in early 2016, as well as increased our customer and technical support personnel throughout the year to service our growing customer base. Territories are maintained by sales representatives and field clinical specialists, and supported by managed care liaisons, additional sales management and other customer support personnel. Employee-related expenses for our sales, general and administrative functions comprise the majority of the SG&amp;A expenses. Employee-related expenses in the third quarter of 2016 increased $1.9 million, offset by a decrease of $0.3 million in outside services and supplies.</w:t>
      </w:r>
    </w:p>
    <w:p>
      <w:pPr>
        <w:spacing w:after="0" w:line="178" w:lineRule="exact"/>
        <w:rPr>
          <w:sz w:val="20"/>
          <w:szCs w:val="20"/>
          <w:color w:val="auto"/>
        </w:rPr>
      </w:pPr>
    </w:p>
    <w:p>
      <w:pPr>
        <w:ind w:right="80" w:firstLine="571"/>
        <w:spacing w:after="0" w:line="279"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21% to $6.2 million for the three months ended September 30, 2016 from $5.1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in 2015. The increase in R&amp;D expenses was primarily the result of an increase of $1.7 million in clinical trial expenses, licensing fees, supplies and outside services, as well as an increase in employee-related expenses of $0.4 million. The increase was offset by a $1.0 million milestone payment made to DexCom, under the DexCom Agreement, in the three months ended September 30, 2015.</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Other Income and Expense</w:t>
      </w:r>
      <w:r>
        <w:rPr>
          <w:rFonts w:ascii="Arial" w:cs="Arial" w:eastAsia="Arial" w:hAnsi="Arial"/>
          <w:sz w:val="16"/>
          <w:szCs w:val="16"/>
          <w:color w:val="auto"/>
        </w:rPr>
        <w:t>. Other expense for the three months ended September 30, 2016 and 2015 was $1.4 million and $0.9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expense for both periods was primarily comprised of interest expense associated with the Term Loan Agreement. The increase in expense was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of additional borrowing under the Third Amendment in 2016. Interest currently accrues at a rate of 11.5% per annum. The outstanding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balances under the Term Loan Agreement was $45.8 million and $30.0 million as of September 30, 2016 and September 30, 2015, respectively. Other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both periods presented was not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2016 and 2015</w:t>
      </w:r>
    </w:p>
    <w:p>
      <w:pPr>
        <w:spacing w:after="0" w:line="229" w:lineRule="exact"/>
        <w:rPr>
          <w:sz w:val="20"/>
          <w:szCs w:val="20"/>
          <w:color w:val="auto"/>
        </w:rPr>
      </w:pPr>
    </w:p>
    <w:p>
      <w:pPr>
        <w:ind w:right="200" w:firstLine="571"/>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Sales for the nine months ended September 30, 2016 were $55.3 million, representing an increase of 27% compared to sales of $43.7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2015.</w:t>
      </w:r>
    </w:p>
    <w:p>
      <w:pPr>
        <w:spacing w:after="0" w:line="170" w:lineRule="exact"/>
        <w:rPr>
          <w:sz w:val="20"/>
          <w:szCs w:val="20"/>
          <w:color w:val="auto"/>
        </w:rPr>
      </w:pPr>
    </w:p>
    <w:p>
      <w:pPr>
        <w:jc w:val="both"/>
        <w:ind w:right="220" w:firstLine="571"/>
        <w:spacing w:after="0" w:line="312" w:lineRule="auto"/>
        <w:rPr>
          <w:sz w:val="20"/>
          <w:szCs w:val="20"/>
          <w:color w:val="auto"/>
        </w:rPr>
      </w:pPr>
      <w:r>
        <w:rPr>
          <w:rFonts w:ascii="Arial" w:cs="Arial" w:eastAsia="Arial" w:hAnsi="Arial"/>
          <w:sz w:val="16"/>
          <w:szCs w:val="16"/>
          <w:color w:val="auto"/>
        </w:rPr>
        <w:t>For the nine months ended September 30, 2016, we deferred $8.4 million of pump sales as the result of our Technology Upgrade Program. Sales of insulin pumps were $41.2 million and $35.8 million, respectively, for the nine months ended September 30, 2016 and 2015. Sales of pump-related supplies primarily accounted for the remainder of our sales during those periods. Sales of accessories were not significant in either of the reported periods.</w:t>
      </w:r>
    </w:p>
    <w:p>
      <w:pPr>
        <w:spacing w:after="0" w:line="147" w:lineRule="exact"/>
        <w:rPr>
          <w:sz w:val="20"/>
          <w:szCs w:val="20"/>
          <w:color w:val="auto"/>
        </w:rPr>
      </w:pPr>
    </w:p>
    <w:p>
      <w:pPr>
        <w:ind w:right="160" w:firstLine="571"/>
        <w:spacing w:after="0" w:line="279" w:lineRule="auto"/>
        <w:rPr>
          <w:sz w:val="20"/>
          <w:szCs w:val="20"/>
          <w:color w:val="auto"/>
        </w:rPr>
      </w:pPr>
      <w:r>
        <w:rPr>
          <w:rFonts w:ascii="Arial" w:cs="Arial" w:eastAsia="Arial" w:hAnsi="Arial"/>
          <w:sz w:val="17"/>
          <w:szCs w:val="17"/>
          <w:color w:val="auto"/>
        </w:rPr>
        <w:t>The increase in sales during the nine months ended September 30, 2016 compared to the same period in 2015 was primarily attributable to a 35% increase in pump shipments from 9,249 in the first nine months of 2015 to 12,520 in the first nine months of 2016. During the first nine months of 2016, we expanded from 60 to 72 sales territories. We also experienced an increase in sales of pump-related supplies from our growing installed base. The increase in sales was offset by the deferral of sales of eligible insulin pumps due to the Technology Upgrade Program.</w:t>
      </w:r>
    </w:p>
    <w:p>
      <w:pPr>
        <w:spacing w:after="0" w:line="171" w:lineRule="exact"/>
        <w:rPr>
          <w:sz w:val="20"/>
          <w:szCs w:val="20"/>
          <w:color w:val="auto"/>
        </w:rPr>
      </w:pPr>
    </w:p>
    <w:p>
      <w:pPr>
        <w:ind w:right="60" w:firstLine="588"/>
        <w:spacing w:after="0" w:line="255" w:lineRule="auto"/>
        <w:rPr>
          <w:sz w:val="20"/>
          <w:szCs w:val="20"/>
          <w:color w:val="auto"/>
        </w:rPr>
      </w:pPr>
      <w:r>
        <w:rPr>
          <w:rFonts w:ascii="Arial" w:cs="Arial" w:eastAsia="Arial" w:hAnsi="Arial"/>
          <w:sz w:val="18"/>
          <w:szCs w:val="18"/>
          <w:color w:val="auto"/>
        </w:rPr>
        <w:t>Our percentage of sales to distributors versus direct customers is principally determined by the mix of customers ordering our products within the period and whether or not we have a contractual arrangement with their underlying third-party insurance payor. Sales to distributors accounted for 74% and 77% of our total sales for the nine months ended September 30, 2016 and 2015, respectively. The percentage decrease was primarily due to UnitedHealthcare’s decision to designate one of our competitors as their preferred, in-network durable medical equipment provider of insulin pumps for most customers over the age of 18, effective July 1, 2016. In addition, the percentage decrease was partially the result of the deferrals associated with the Technology Upgrade Program and launch of the t:slim X2 Pump.</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jc w:val="both"/>
        <w:ind w:right="160" w:firstLine="571"/>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nine months ended September 30, 2016 was $41.8 million, representing an increase of 37%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$30.6 million for the same period in 2015. Gross profit for the nine months ended September 30, 2016 was $13.5 million and gross margin was 24%, compared to gross profit of $13.1 million and gross margin of 30% for the same period in 2015.</w:t>
      </w:r>
    </w:p>
    <w:p>
      <w:pPr>
        <w:spacing w:after="0" w:line="181" w:lineRule="exact"/>
        <w:rPr>
          <w:sz w:val="20"/>
          <w:szCs w:val="20"/>
          <w:color w:val="auto"/>
        </w:rPr>
      </w:pPr>
    </w:p>
    <w:p>
      <w:pPr>
        <w:ind w:right="100" w:firstLine="588"/>
        <w:spacing w:after="0" w:line="257" w:lineRule="auto"/>
        <w:rPr>
          <w:sz w:val="20"/>
          <w:szCs w:val="20"/>
          <w:color w:val="auto"/>
        </w:rPr>
      </w:pPr>
      <w:r>
        <w:rPr>
          <w:rFonts w:ascii="Arial" w:cs="Arial" w:eastAsia="Arial" w:hAnsi="Arial"/>
          <w:sz w:val="18"/>
          <w:szCs w:val="18"/>
          <w:color w:val="auto"/>
        </w:rPr>
        <w:t>Our gross profit for the nine months ended September 30, 2016 was negatively impacted by the net $7.0 million reduction in gross profit associated with the Technology Upgrade Program. During the period, we recorded net deferrals of $8.4 million in sales and $1.4 million in cost of sales. In addition, we recorded a $1.1 million charge for inventory obsolescence as the result of the commercialization of the t:slim X2 Pump, the launch of the Technology Upgrade Program and the associated decrease in overall demand for our t:slim G4 Pump. This charge negatively impacted our gross margin during the nine months ended September 30, 2016 by two percentage points.</w:t>
      </w:r>
    </w:p>
    <w:p>
      <w:pPr>
        <w:spacing w:after="0" w:line="188" w:lineRule="exact"/>
        <w:rPr>
          <w:sz w:val="20"/>
          <w:szCs w:val="20"/>
          <w:color w:val="auto"/>
        </w:rPr>
      </w:pPr>
    </w:p>
    <w:p>
      <w:pPr>
        <w:ind w:right="120" w:firstLine="588"/>
        <w:spacing w:after="0" w:line="312" w:lineRule="auto"/>
        <w:rPr>
          <w:sz w:val="20"/>
          <w:szCs w:val="20"/>
          <w:color w:val="auto"/>
        </w:rPr>
      </w:pPr>
      <w:r>
        <w:rPr>
          <w:rFonts w:ascii="Arial" w:cs="Arial" w:eastAsia="Arial" w:hAnsi="Arial"/>
          <w:sz w:val="16"/>
          <w:szCs w:val="16"/>
          <w:color w:val="auto"/>
        </w:rPr>
        <w:t>Our manufacturing overhead costs are a significant component of the costs of our products. Our gross margin was positively impacted by a substantial decrease in per-unit manufacturing overhead costs, which was driven by increased production volumes and manufacturing efficiencies. The gross margin was also impacted by an increase in sales of pump-related supplies, which generally have lower gross margins than our insulin pumps.</w:t>
      </w:r>
    </w:p>
    <w:p>
      <w:pPr>
        <w:spacing w:after="0" w:line="147" w:lineRule="exact"/>
        <w:rPr>
          <w:sz w:val="20"/>
          <w:szCs w:val="20"/>
          <w:color w:val="auto"/>
        </w:rPr>
      </w:pPr>
    </w:p>
    <w:p>
      <w:pPr>
        <w:ind w:right="20" w:firstLine="588"/>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10% to $63.8 million for the nine months ended September 30, 2016 from</w:t>
      </w:r>
      <w:r>
        <w:rPr>
          <w:rFonts w:ascii="Arial" w:cs="Arial" w:eastAsia="Arial" w:hAnsi="Arial"/>
          <w:sz w:val="16"/>
          <w:szCs w:val="16"/>
          <w:i w:val="1"/>
          <w:iCs w:val="1"/>
          <w:color w:val="auto"/>
        </w:rPr>
        <w:t xml:space="preserve"> </w:t>
      </w:r>
      <w:r>
        <w:rPr>
          <w:rFonts w:ascii="Arial" w:cs="Arial" w:eastAsia="Arial" w:hAnsi="Arial"/>
          <w:sz w:val="16"/>
          <w:szCs w:val="16"/>
          <w:color w:val="auto"/>
        </w:rPr>
        <w:t>$58.1 million for the same period in 2015. The increase in SG&amp;A expenses was primarily the result of the expansion of our commercial operations during the first quarter of 2016. Employee-related expenses for our sales, general and administrative functions comprise the majority of the SG&amp;A expenses. Such employee-related expenses increased $5.1 million in the nine months ended September 30, 2016 as compared to the same period in 2015, including an increase of $6.1 million in salaries, cash-based incentive compensation and fringe benefits, offset by a decrease in non-cash stock-based compensation of $1.0 million. SG&amp;A expenses also increased $0.6 million associated with outside services, marketing and promotional activities, tradeshows and travel expenses.</w:t>
      </w:r>
    </w:p>
    <w:p>
      <w:pPr>
        <w:spacing w:after="0" w:line="165" w:lineRule="exact"/>
        <w:rPr>
          <w:sz w:val="20"/>
          <w:szCs w:val="20"/>
          <w:color w:val="auto"/>
        </w:rPr>
      </w:pPr>
    </w:p>
    <w:p>
      <w:pPr>
        <w:ind w:right="100" w:firstLine="571"/>
        <w:spacing w:after="0" w:line="279"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13% to $14.5 million for the nine months ended September 30, 2016 from $12.8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in 2015. The increase in R&amp;D expenses was primarily the result of an increase of $1.8 million in clinical trial expenses, licensing fees, supplies and outside services, as well as an increase in employee-related expenses of $0.9 million. The increase was offset by a $1.0 million milestone payment made to DexCom under the DexCom Agreement in the nine months ended September 30, 2015.</w:t>
      </w:r>
    </w:p>
    <w:p>
      <w:pPr>
        <w:spacing w:after="0" w:line="171" w:lineRule="exact"/>
        <w:rPr>
          <w:sz w:val="20"/>
          <w:szCs w:val="20"/>
          <w:color w:val="auto"/>
        </w:rPr>
      </w:pPr>
    </w:p>
    <w:p>
      <w:pPr>
        <w:ind w:right="160" w:firstLine="571"/>
        <w:spacing w:after="0" w:line="257" w:lineRule="auto"/>
        <w:rPr>
          <w:sz w:val="20"/>
          <w:szCs w:val="20"/>
          <w:color w:val="auto"/>
        </w:rPr>
      </w:pPr>
      <w:r>
        <w:rPr>
          <w:rFonts w:ascii="Arial" w:cs="Arial" w:eastAsia="Arial" w:hAnsi="Arial"/>
          <w:sz w:val="18"/>
          <w:szCs w:val="18"/>
          <w:i w:val="1"/>
          <w:iCs w:val="1"/>
          <w:color w:val="auto"/>
        </w:rPr>
        <w:t xml:space="preserve">Other Income and Expense. </w:t>
      </w:r>
      <w:r>
        <w:rPr>
          <w:rFonts w:ascii="Arial" w:cs="Arial" w:eastAsia="Arial" w:hAnsi="Arial"/>
          <w:sz w:val="18"/>
          <w:szCs w:val="18"/>
          <w:color w:val="auto"/>
        </w:rPr>
        <w:t>Other expense for the nine months ended September 30, 2016 and 2015 was $3.9 million and $2.5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for both periods was primarily comprised of interest expense associated with the Term Loan Agreement. The increase in expense was due to $15.0 million of additional borrowing under the Third Amendment in the nine months ended September 30, 2016. The outstanding principal balance under the Term Loan Agreement was $45.8 million and $30.0 million as of September 30, 2016 and September 30, 2015, respectively. Other income for both periods presented was not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At September 30, 2016, we had $36.1 million in cash, cash equivalents and short-term investments, which included $2.0 million of restricted cash. We believe that our cash on hand, cash generated from operations, cash available under the Term Loan Agreement, proceeds from the exercise of options and warrants, and proceeds from employee contributions for the purchase of our common stock through our ESPP will be sufficient to satisfy our liquidity requirements for at least the next 12 months.</w:t>
      </w:r>
    </w:p>
    <w:p>
      <w:pPr>
        <w:spacing w:after="0" w:line="187" w:lineRule="exact"/>
        <w:rPr>
          <w:sz w:val="20"/>
          <w:szCs w:val="20"/>
          <w:color w:val="auto"/>
        </w:rPr>
      </w:pPr>
    </w:p>
    <w:p>
      <w:pPr>
        <w:ind w:right="280" w:firstLine="571"/>
        <w:spacing w:after="0" w:line="286" w:lineRule="auto"/>
        <w:rPr>
          <w:sz w:val="20"/>
          <w:szCs w:val="20"/>
          <w:color w:val="auto"/>
        </w:rPr>
      </w:pPr>
      <w:r>
        <w:rPr>
          <w:rFonts w:ascii="Arial" w:cs="Arial" w:eastAsia="Arial" w:hAnsi="Arial"/>
          <w:sz w:val="17"/>
          <w:szCs w:val="17"/>
          <w:color w:val="auto"/>
        </w:rPr>
        <w:t>We expect that our sales performance and the resulting operating income or loss, as well as the status of each of our new product development programs, will significantly impact our cash management decisions. We may also use additional cash for the manufacture of t:slim X2 Pumps to fulfill our obligations under the Technology Upgrade Program, which will be partially offset by any fees we collect under the program.</w:t>
      </w:r>
    </w:p>
    <w:p>
      <w:pPr>
        <w:spacing w:after="0" w:line="166" w:lineRule="exact"/>
        <w:rPr>
          <w:sz w:val="20"/>
          <w:szCs w:val="20"/>
          <w:color w:val="auto"/>
        </w:rPr>
      </w:pPr>
    </w:p>
    <w:p>
      <w:pPr>
        <w:ind w:right="60" w:firstLine="571"/>
        <w:spacing w:after="0" w:line="271" w:lineRule="auto"/>
        <w:rPr>
          <w:sz w:val="20"/>
          <w:szCs w:val="20"/>
          <w:color w:val="auto"/>
        </w:rPr>
      </w:pPr>
      <w:r>
        <w:rPr>
          <w:rFonts w:ascii="Arial" w:cs="Arial" w:eastAsia="Arial" w:hAnsi="Arial"/>
          <w:sz w:val="17"/>
          <w:szCs w:val="17"/>
          <w:color w:val="auto"/>
        </w:rPr>
        <w:t>We have utilized, and may continue to utilize, debt arrangements with debt providers and financial institutions to finance our operations. Factors such as interest rates, repayment terms and available cash will impact our decision regarding whether to continue to utilize debt arrangements as a source of cash, including whether to draw additional amounts available to us under the Term Loan Agreement. In November 2013, we completed an initial public offering of common stock that resulted in net proceeds of approximately $125.0 million and in the first quarter of 2015 we completed a public offering of common stock that resulted in net proceeds of approximately $64.9 million. In the future, we may give consideration to additional public offerings of equity securities as a source of financing. In December 2014, we filed a registration statement on Form S-3 with the Securities and Exchange Commission, or SEC, which was declared effective on December 19, 2014. Under this shelf registration statement, we may from time to time offer and sell any combination of common stock, preferred stock, warrants or units in one or more offerings.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left="58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Nine Months Ended</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 2016</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ind w:right="878"/>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tcPr>
          <w:p>
            <w:pPr>
              <w:jc w:val="right"/>
              <w:ind w:right="8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FF0FC"/>
            </w:tcBorders>
            <w:shd w:val="clear" w:color="auto" w:fill="000000"/>
          </w:tcPr>
          <w:p>
            <w:pPr>
              <w:spacing w:after="0" w:line="20" w:lineRule="exact"/>
              <w:rPr>
                <w:sz w:val="1"/>
                <w:szCs w:val="1"/>
                <w:color w:val="auto"/>
              </w:rPr>
            </w:pPr>
          </w:p>
        </w:tc>
        <w:tc>
          <w:tcPr>
            <w:tcW w:w="3480" w:type="dxa"/>
            <w:vAlign w:val="bottom"/>
            <w:tcBorders>
              <w:bottom w:val="single" w:sz="8" w:color="CFF0FC"/>
            </w:tcBorders>
          </w:tcPr>
          <w:p>
            <w:pPr>
              <w:spacing w:after="0" w:line="20" w:lineRule="exact"/>
              <w:rPr>
                <w:sz w:val="1"/>
                <w:szCs w:val="1"/>
                <w:color w:val="auto"/>
              </w:rPr>
            </w:pPr>
          </w:p>
        </w:tc>
        <w:tc>
          <w:tcPr>
            <w:tcW w:w="2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6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(47,591)</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(48,518)</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16,586</w:t>
            </w:r>
          </w:p>
        </w:tc>
        <w:tc>
          <w:tcPr>
            <w:tcW w:w="4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(25,132)</w:t>
            </w:r>
          </w:p>
        </w:tc>
        <w:tc>
          <w:tcPr>
            <w:tcW w:w="4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$47.6 million for the nine months ended September 30, 2016, compared to $48.5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2015. The change in net cash used in operating activities was primarily associated with changes in working capital, offset by the increase in our operating loss. The changes in working capital were primarily due to improvement in cash collections from accounts receivable and an increase in deferred revenue and guarantee liability associated with the Technology Upgrade Program, offset by changes in accounts payable, employee-related liabilities and an increase in inventory to meet higher production volumes, including those associated with new products, and an increase in prepaid expenses.</w:t>
      </w:r>
    </w:p>
    <w:p>
      <w:pPr>
        <w:spacing w:after="0" w:line="193"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provided by investing activities was $5.9 million for the nine months ended September 30, 2016,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purchase of $25.9 million of short-term investments and $6.2 million of property and equipment, offset by proceeds from sales and maturities of short-term investments of $38.0 million. Net cash used in investing activities was $6.4 million for the nine months ended September 30, 2015, which was primarily related to the net purchase of $67.5 million in short-term investments and $4.1 million of property and equipment, offset by proceeds from sales and maturities of short-term investments of $65.2 million.</w:t>
      </w:r>
    </w:p>
    <w:p>
      <w:pPr>
        <w:spacing w:after="0" w:line="18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$16.6 million for the nine months ended September 30, 2016,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net proceeds in the amount of $15.0 million in connection with the Third Amendment and $1.6 million in proceeds from the issuance of common stock through our ESPP, as well as the exercise of outstanding stock options and warrants. Net cash provided by financing activities was $67.0 million for the nine months ended September 30, 2015, which was primarily the result of the net proceeds from a public offering of our common stock in the amount of $64.9 million and $2.1 million in proceeds from the issuance of common stock through our ESPP, as well as the exercise of outstanding stock options and warrants.</w:t>
      </w:r>
    </w:p>
    <w:p>
      <w:pPr>
        <w:spacing w:after="0" w:line="193"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520" w:hanging="378"/>
        <w:spacing w:after="0"/>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generate sales, the timing of those sales and the collection of receivables generated from those sales from period to period;</w:t>
      </w:r>
    </w:p>
    <w:p>
      <w:pPr>
        <w:spacing w:after="0" w:line="248" w:lineRule="exact"/>
        <w:rPr>
          <w:rFonts w:ascii="Arial" w:cs="Arial" w:eastAsia="Arial" w:hAnsi="Arial"/>
          <w:sz w:val="16"/>
          <w:szCs w:val="16"/>
          <w:color w:val="auto"/>
        </w:rPr>
      </w:pPr>
    </w:p>
    <w:p>
      <w:pPr>
        <w:ind w:left="1520" w:hanging="378"/>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 and</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decision whether to draw additional amounts available under the Term Loan Agreement.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Technology Upgrade Program;</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our manufacturing capacity and efficiency;</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research and product development efforts, including clinical trial costs;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of equipment and other fixed assets;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expansion needs;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left="1520" w:hanging="378"/>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Although we believe the foregoing items reflect our most likely uses of cash in the short-term, we cannot predict with certainty all of our particular short-term cash uses or the timing or amount of cash used. If cash generated from operations is insufficient to satisfy our working capital and capital expenditure requirements, we may be required to sell additional equity or debt securities or obtain additional credit facilities. If we issue equity securities, our existing stockholders may experience dilution, and the new equity securities may have rights, preferences and privileges senior to those of our existing stockholders. If we issue debt securities or obtain additional credit facilities, we may incur debt service obligations, we may become subject to restrictions limiting our ability to operate our business and we may be required to encumber all or a portion of our assets. There can be no assurance that we will be able to raise any such capital on terms acceptable to us, if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At December 31, 2015, we had $30.2 million aggregate borrowings outstanding under the Term Loan Agreement. In January 2016, we entered into a third amendment to our Term Loan Agreement, which allowed us to borrow up to an additional $50.0 million. We borrowed $15.0 million in January 2016, and the Third Amendment provides us with a one-time option to draw up to an additional $35.0 million in increments of $5.0 million on or before December 31, 2016.</w:t>
      </w:r>
    </w:p>
    <w:p>
      <w:pPr>
        <w:spacing w:after="0" w:line="187" w:lineRule="exact"/>
        <w:rPr>
          <w:sz w:val="20"/>
          <w:szCs w:val="20"/>
          <w:color w:val="auto"/>
        </w:rPr>
      </w:pPr>
    </w:p>
    <w:p>
      <w:pPr>
        <w:ind w:right="160" w:firstLine="571"/>
        <w:spacing w:after="0" w:line="297" w:lineRule="auto"/>
        <w:rPr>
          <w:sz w:val="20"/>
          <w:szCs w:val="20"/>
          <w:color w:val="auto"/>
        </w:rPr>
      </w:pPr>
      <w:r>
        <w:rPr>
          <w:rFonts w:ascii="Arial" w:cs="Arial" w:eastAsia="Arial" w:hAnsi="Arial"/>
          <w:sz w:val="16"/>
          <w:szCs w:val="16"/>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Term Loan Agreement provides for prepayment fees in an amount equal to 1.0% of the outstanding balance of the loan if the loan is repaid prior to March 31, 2017, after which there is no prepayment fee.</w:t>
      </w:r>
    </w:p>
    <w:p>
      <w:pPr>
        <w:spacing w:after="0" w:line="158" w:lineRule="exact"/>
        <w:rPr>
          <w:sz w:val="20"/>
          <w:szCs w:val="20"/>
          <w:color w:val="auto"/>
        </w:rPr>
      </w:pPr>
    </w:p>
    <w:p>
      <w:pPr>
        <w:jc w:val="both"/>
        <w:ind w:right="80" w:firstLine="571"/>
        <w:spacing w:after="0" w:line="257" w:lineRule="auto"/>
        <w:rPr>
          <w:sz w:val="20"/>
          <w:szCs w:val="20"/>
          <w:color w:val="auto"/>
        </w:rPr>
      </w:pPr>
      <w:r>
        <w:rPr>
          <w:rFonts w:ascii="Arial" w:cs="Arial" w:eastAsia="Arial" w:hAnsi="Arial"/>
          <w:sz w:val="18"/>
          <w:szCs w:val="18"/>
          <w:color w:val="auto"/>
        </w:rPr>
        <w:t>We had elected to pay interest in cash at a rate of 11.5% per annum through September 30, 2015. For the nine months ended September 30, 2016 and the three months ended December 31, 2015, we elected to pay interest in cash at a rate of 9.5% per annum and to have a rate of 2.0% per annum added to the principal of the loan. As a result, $675,000 and $153,000 was added to the principal of the loan for the nine months ended September 30, 2016 and the three months ended December 31, 2015, respectively. As of September 30, 2016, we had $45.8 million of aggregate borrowings outstanding under the Term Loan Agreement.</w:t>
      </w:r>
    </w:p>
    <w:p>
      <w:pPr>
        <w:spacing w:after="0" w:line="188" w:lineRule="exact"/>
        <w:rPr>
          <w:sz w:val="20"/>
          <w:szCs w:val="20"/>
          <w:color w:val="auto"/>
        </w:rPr>
      </w:pPr>
    </w:p>
    <w:p>
      <w:pPr>
        <w:ind w:right="280" w:firstLine="571"/>
        <w:spacing w:after="0" w:line="312" w:lineRule="auto"/>
        <w:rPr>
          <w:sz w:val="20"/>
          <w:szCs w:val="20"/>
          <w:color w:val="auto"/>
        </w:rPr>
      </w:pPr>
      <w:r>
        <w:rPr>
          <w:rFonts w:ascii="Arial" w:cs="Arial" w:eastAsia="Arial" w:hAnsi="Arial"/>
          <w:sz w:val="16"/>
          <w:szCs w:val="16"/>
          <w:color w:val="auto"/>
        </w:rPr>
        <w:t>The loan is collateralized by all of our assets. The Term Loan Agreement also imposes various affirmative and negative covenants on us. The principal financial covenants require that we attain minimum annual revenues of $65.0 million in 2016, $80.0 million in 2017 and $95.0 million each year thereafter until the end of the term of the loan. At September 30, 2016, we were in compliance with all of the covenants in the Term Loan Agreement.</w:t>
      </w:r>
    </w:p>
    <w:p>
      <w:pPr>
        <w:spacing w:after="0" w:line="147" w:lineRule="exact"/>
        <w:rPr>
          <w:sz w:val="20"/>
          <w:szCs w:val="20"/>
          <w:color w:val="auto"/>
        </w:rPr>
      </w:pPr>
    </w:p>
    <w:p>
      <w:pPr>
        <w:ind w:firstLine="571"/>
        <w:spacing w:after="0" w:line="286" w:lineRule="auto"/>
        <w:rPr>
          <w:sz w:val="20"/>
          <w:szCs w:val="20"/>
          <w:color w:val="auto"/>
        </w:rPr>
      </w:pPr>
      <w:r>
        <w:rPr>
          <w:rFonts w:ascii="Arial" w:cs="Arial" w:eastAsia="Arial" w:hAnsi="Arial"/>
          <w:sz w:val="17"/>
          <w:szCs w:val="17"/>
          <w:color w:val="auto"/>
        </w:rPr>
        <w:t>Under the Third Amendment, we have agreed to pay, on the earlier of (i) the Maturity Date; (ii) the date that the loan under the Term Loan Agreement becomes due, and (iii) the date on which we make a voluntary pre-payment of the loan, a financing fee equal to three percent (3.0%) of the sum of (x) the aggregate amount drawn under the Third Amendment, and (y) any PIK Loans issued in relation to the Third Amendment.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2015, except for the accounting policies and estimates related to trade-in rights, which is included in note 2 in Part I, Item 1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2016, we did not have any off-balance sheet arrangements.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jc w:val="both"/>
        <w:ind w:right="140" w:firstLine="571"/>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September 30, 2016, this change would not have had a material effect on the fair value of our investment portfolio as of that date.</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25"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Our operations are located in the United States, and nearly all of our sales since inception have been made in U.S. dollars. Accordingly, we do not currently have any material exposure to foreign currency rate fluctuations. From time to time, we may have foreign currency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1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of September 30, 2016,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During the three months ended September 30, 2016, we developed and implemented new control procedures over financial reporting for the Technology Upgrade Program.</w:t>
      </w:r>
    </w:p>
    <w:p>
      <w:pPr>
        <w:spacing w:after="0" w:line="170"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Except as described above, there were no changes in our internal control over financial reporting (as defined in Rules 13a-15(f) and 15d-15(f) of the Exchange Act) during the quarter ended September 30, 2016 that materially affected, or are reasonably likely to materially affect, our internal control over financial reporting.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From time to time, we are involved in various legal proceedings, disputes and other claims arising in the ordinary course of our business.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or cash flows. However, regardless of the outcome, legal proceedings can have an adverse impact on us because of legal costs, diversion of management time and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The following sets forth certain risk factors associated with our business. The risk factors set forth below marked with an asterisk (*) next to the title contain changes to the description of the risk factors associated with our business previously disclosed in Part I, Item 1A of our Annual Report on Form 10-K for the year ended December 31, 2015.</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 *</w:t>
      </w:r>
    </w:p>
    <w:p>
      <w:pPr>
        <w:spacing w:after="0" w:line="225" w:lineRule="exact"/>
        <w:rPr>
          <w:sz w:val="20"/>
          <w:szCs w:val="20"/>
          <w:color w:val="auto"/>
        </w:rPr>
      </w:pPr>
    </w:p>
    <w:p>
      <w:pPr>
        <w:ind w:right="420" w:firstLine="518"/>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September 30, 2016, we had an accumulated deficit of $389.8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research and development of our products, the scaling of manufacturing operations and our commercial organization, the commercial launches of our products, and the assembly of a management team to manage our business.</w:t>
      </w:r>
    </w:p>
    <w:p>
      <w:pPr>
        <w:spacing w:after="0" w:line="17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began commercial sales of our first commercial product, the t:slim Pump, in the third quarter of 2012. We began commercial sales of the t:flex Pump in the second quarter of 2015 and the t:slim G4 Pump in the third quarter of 2015. In October 2016 we discontinued new shipments of our original t:slim Pump and launched a next-generation pump under the t:slim X2 name. Since the first quarter of 2013, we have been able to manufacture and sell our insulin pump products at a cost and in volumes sufficient to allow us to achieve a positive overall gross margin. For the years ended December 31, 2015 and 2014, our gross profit was $26.6 million and $15.2 million, respectively. For the three months ended September 30, 2016 and 2015, our gross profit (loss) was $(1.6) million and $5.5 million, respectively. Although we have achieved a positive overall gross margin, we still operate at a substantial net loss and expect that we will continue to do so for the next several years.</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To implement our business strategy we need to, among other things, grow our sales, clinical and marketing infrastructure to increase sales of our products, fund ongoing research and development activities, expand our manufacturing capabilities, and obtain regulatory clearance or approval to commercialize our products currently under development. We expect our expenses to increase significantly as we pursue these objectives. The extent of our future operating losses and the timing of profitability are highly uncertain, especially given that we intend to launch several new products and product features over the next several years. In addition, the Technology Upgrade Program makes forecasting our sales more difficult, because such forecasts depend on customer behavioral assumptions, such as the likelihood that the trade-in rights will be exercised. Any additional operating losses will have an adverse effect on our stockholders’ equity, and we cannot assure you that we will ever be able to achieve or sustain profitability.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b w:val="1"/>
          <w:bCs w:val="1"/>
          <w:i w:val="1"/>
          <w:iCs w:val="1"/>
          <w:color w:val="auto"/>
        </w:rPr>
        <w:t>The administration of the Technology Upgrade Program may result in unanticipated difficulties or costs, which may harm our financial condition or operating results; the Technology Upgrade Program will result in accounting complexities that may be difficult for investors to understand and may lead to confusion when comparing our historical and future financial results. *</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July 2016, we announced the implementation of a Technology Upgrade Program that allows eligible t:slim and t:slim G4 Pump customers the ability to trade in their existing pump for a t:slim X2 Pump, subject to the conditions specified in the Technology Upgrade Program. The Technology Upgrade Program is being offered to provide our existing customers the ability to upgrade to the features and capabilities of the t:slim X2 Pump. However, we do not have experience implementing and administering trade-in programs of this type and we may encounter unexpected difficulties or costs in administering or fulfilling our obligations under the Technology Upgrade Program.</w:t>
      </w:r>
    </w:p>
    <w:p>
      <w:pPr>
        <w:spacing w:after="0" w:line="188"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If we incur unexpected difficulties or costs in administering the Technology Upgrade Program, or if we do not derive the anticipated benefits to our business from offering the Technology Upgrade Program to our customers, it could have a material adverse effect on our financial condition and operating results.</w:t>
      </w:r>
    </w:p>
    <w:p>
      <w:pPr>
        <w:spacing w:after="0" w:line="18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Furthermore, the Technology Upgrade Program will result in a number of accounting complexities that will make comparisons of our future and historical financial results more difficult. In particular, United States generally accepted accounting principles, or GAAP, prevents us from recognizing, at the time of sale, the full amount of the revenue and cost of goods sold associated with the sale of t:slim and t:slim G4 Pumps made to eligible customers during the Technology Upgrade Program. Instead, depending on the type of pump sold, we will be required to defer some or all of the revenues and costs of goods sold until a later date, which will generally be the earlier of when our obligations under the Technology Upgrade Program are satisfied or when the Technology Upgrade Program expires. The amount and timing of the deferred revenues and cost of goods sold will depend on multiple factors that are based on future events that are difficult to estimate or predict, especially because we have not offered a similar trade-in program in the past. For example, we do not currently have sufficient history to reasonably estimate returns associated with the trade-in rights (a factor of the accounting analysis with respect to the t:slim Pump) or the likelihood that the trade-in rights will be exercised (a factor of the accounting analysis with respect to the t:slim G4 Pump). Accordingly, it is very difficult for us to estimate the amount of the deferrals with any level of certainty, which makes it very difficult for us to predict our GAAP results, including revenues and operating margins.</w:t>
      </w:r>
    </w:p>
    <w:p>
      <w:pPr>
        <w:spacing w:after="0" w:line="18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Despite our efforts to explain the anticipated accounting treatment, it is possible that investors or analysts will view the accounting treatment or the resulting impact on our GAAP financial results negatively, or it may lead to confusion when comparing our historical and future financial results, which may cause our stock price to decline. In addition, the complexities associated with the accounting treatment, or with the Technology Upgrade Program generally, may cause investors to avoid purchasing our common stock until the impact of the Technology Upgrade Program is better understood or the Company financial results and trends are more predictable, which also may adversely impact our stock price. Finally, while the anticipated accounting treatment for the Technology Upgrade Program as described above represents our current expectations based on information currently available, it is preliminary and subject to change in the future.</w:t>
      </w:r>
    </w:p>
    <w:p>
      <w:pPr>
        <w:spacing w:after="0" w:line="18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 *</w:t>
      </w:r>
    </w:p>
    <w:p>
      <w:pPr>
        <w:spacing w:after="0" w:line="101" w:lineRule="exact"/>
        <w:rPr>
          <w:sz w:val="20"/>
          <w:szCs w:val="20"/>
          <w:color w:val="auto"/>
        </w:rPr>
      </w:pPr>
    </w:p>
    <w:p>
      <w:pPr>
        <w:ind w:right="100" w:firstLine="571"/>
        <w:spacing w:after="0" w:line="286" w:lineRule="auto"/>
        <w:rPr>
          <w:sz w:val="20"/>
          <w:szCs w:val="20"/>
          <w:color w:val="auto"/>
        </w:rPr>
      </w:pPr>
      <w:r>
        <w:rPr>
          <w:rFonts w:ascii="Arial" w:cs="Arial" w:eastAsia="Arial" w:hAnsi="Arial"/>
          <w:sz w:val="16"/>
          <w:szCs w:val="16"/>
          <w:color w:val="auto"/>
        </w:rPr>
        <w:t>We believe that our ability to reduce the per-unit cost of our insulin pump products and related cartridges will have a significant impact on our ability to achieve profitability. Due to our existing production volumes relative to our potential production capacity, manufacturing costs are currently a significant portion of our per-unit costs. Our manufacturing costs include raw material procurement costs, labor costs, product-training expenses and expected warranty expenses. They also include manufacturing overhead costs, including expenses relating to quality assurance, inventory control, facilities, equipment, information technology, and operations management. If we are unable to sustain or reduce our overall manufacturing costs, including through arrangements such as volume purchase discounts, negotiation of improved pricing, more efficient training programs for customers, and improved warranty performance, it will be difficult to reduce our per unit manufacturing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experience disruption in our manufacturing productivity or incur duplicative or incremental costs as we manage the planned relocation of our manufacturing facility.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expected per unit costs. If we are unable to effectively manage our overall manufacturing costs, while increasing our production volumes, we may not be able to achieve or sustain profitability, which would have an adverse impact on our business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right="26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 *</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generate a significant majority of our commercial revenue from the sale of our family of insulin pump products, which include our t:slim, t:flex and t:slim G4 products.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of our insulin pumps may be negatively impacted by many factors, including:</w:t>
      </w:r>
    </w:p>
    <w:p>
      <w:pPr>
        <w:spacing w:after="0" w:line="225" w:lineRule="exact"/>
        <w:rPr>
          <w:sz w:val="20"/>
          <w:szCs w:val="20"/>
          <w:color w:val="auto"/>
        </w:rPr>
      </w:pPr>
    </w:p>
    <w:p>
      <w:pPr>
        <w:ind w:left="1040" w:right="50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reimbursement rates or policies relating to insulin pumps or similar products or technologies by third-party payors;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040" w:right="50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rFonts w:ascii="Arial" w:cs="Arial" w:eastAsia="Arial" w:hAnsi="Arial"/>
          <w:sz w:val="18"/>
          <w:szCs w:val="18"/>
          <w:color w:val="auto"/>
        </w:rPr>
      </w:pPr>
    </w:p>
    <w:p>
      <w:pPr>
        <w:ind w:left="1040" w:right="88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of our Tandem Device Updater to accurately and timely provide customers with remote access to new product features as anticipated;</w:t>
      </w:r>
    </w:p>
    <w:p>
      <w:pPr>
        <w:spacing w:after="0" w:line="170" w:lineRule="exact"/>
        <w:rPr>
          <w:rFonts w:ascii="Arial" w:cs="Arial" w:eastAsia="Arial" w:hAnsi="Arial"/>
          <w:sz w:val="18"/>
          <w:szCs w:val="18"/>
          <w:color w:val="auto"/>
        </w:rPr>
      </w:pPr>
    </w:p>
    <w:p>
      <w:pPr>
        <w:ind w:left="1040" w:right="56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 products obsolete or less desirable;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In addition, sales of any of our current or future insulin pump products with integration of CGM, such as the t:slim G4, are subject to the continuation of our applicable agreements with DexCom, which are subject to termination by DexCom, with or without cause, on relatively short notice.</w:t>
      </w:r>
    </w:p>
    <w:p>
      <w:pPr>
        <w:spacing w:after="0" w:line="14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 and negatively impact our ability to successfully launch future products currently under development.</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 *</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current business strategy is highly dependent on our family of insulin pump products, which include t:slim, t:flex and t:slim G4, achieving and maintaining market acceptance. In order for us to sell our products to people with insulin-dependent diabetes, we must convince them, their caregivers and healthcare providers that it is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as to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Achieving and maintaining market acceptance of our products could be negatively impacted by many factors, including:</w:t>
      </w:r>
    </w:p>
    <w:p>
      <w:pPr>
        <w:spacing w:after="0" w:line="225" w:lineRule="exact"/>
        <w:rPr>
          <w:sz w:val="20"/>
          <w:szCs w:val="20"/>
          <w:color w:val="auto"/>
        </w:rPr>
      </w:pPr>
    </w:p>
    <w:p>
      <w:pPr>
        <w:ind w:left="1040" w:right="44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our products to achieve wide acceptance among people with insulin-dependent diabetes, their caregivers, insulin-prescribing healthcare providers, third-party payors and key opinion leaders in the diabetes treatment community;</w:t>
      </w:r>
    </w:p>
    <w:p>
      <w:pPr>
        <w:spacing w:after="0" w:line="170" w:lineRule="exact"/>
        <w:rPr>
          <w:rFonts w:ascii="Arial" w:cs="Arial" w:eastAsia="Arial" w:hAnsi="Arial"/>
          <w:sz w:val="18"/>
          <w:szCs w:val="18"/>
          <w:color w:val="auto"/>
        </w:rPr>
      </w:pPr>
    </w:p>
    <w:p>
      <w:pPr>
        <w:ind w:left="1040" w:right="42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risks associated with the use of our insulin pump products or similar products or technologies generally;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left="1040" w:right="40" w:hanging="384"/>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discounts, rebates and other financial incentives that our competitors may offer for competitive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clinical studies relating to t:slim, t:flex, t:slim G4 or similar competitive products.</w:t>
      </w:r>
    </w:p>
    <w:p>
      <w:pPr>
        <w:spacing w:after="0" w:line="225"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In addition, t:slim, t:flex and t:slim G4 may be perceived by people with insulin-dependent diabetes, their caregivers or healthcare providers to be more complicated, less reliable or less effective than traditional insulin therapies, including MDI, and people may be unwilling to change their current treatment regimens.</w:t>
      </w:r>
    </w:p>
    <w:p>
      <w:pPr>
        <w:spacing w:after="0" w:line="1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Moreover, we believe that healthcare providers tend to be slow to change their medical treatment practices because of perceived liability risks arising from the use of new products and the uncertainty of third-party reimbursement. Accordingly, healthcare providers may not recommend our products until there is sufficient evidence to convince them to alter the treatment methods they typically recommend, such as receiving recommendations from prominent healthcare providers or other key opinion leaders in the diabetes treatment community that our products are effective in providing insulin therapy. Additionally, payors may have more stringent requirements for reimbursement.</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Further, even if we are able to convince people with insulin-dependent diabetes, their caregivers or healthcare providers that our products compare favorably to the products and treatment alternatives offered by our competitors,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third quarter of 2016, there were consumers interested in purchasing one of our insulin pump products who may have delayed the purchase decision in anticipation of the release of t:slim X2 or of a new product being launched by one of our competitors. It is also possible that consumers interested in purchasing any of our future products currently in development may delay the purchase of one of our current products.</w:t>
      </w:r>
    </w:p>
    <w:p>
      <w:pPr>
        <w:spacing w:after="0" w:line="189"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projected amounts. If our sales do not meet our projections, we may fail to meet our strategic objectives, and our business, financial condition and operating results could be materially and adversely affected.</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 *</w:t>
      </w:r>
    </w:p>
    <w:p>
      <w:pPr>
        <w:spacing w:after="0" w:line="17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have derived nearly all of our revenue from sales of insulin pumps and associated supplies, and expect to continue to do so until we are able to commercialize our other products that are currently under development.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Because we only recently initiated commercial sales of t:flex and t:slim G4, there remains some uncertainty regarding the coverage that third-party payors will offer for these products, particularly for individuals with type 2 diabetes where coverage requirements may necessitate additional laboratory tests or other information to support a determination of medical necessity. Access to adequate coverage and reimbursement for our current and future products by third-party payors is essential to the acceptance of our products by customers.</w:t>
      </w:r>
    </w:p>
    <w:p>
      <w:pPr>
        <w:spacing w:after="0" w:line="17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Many third-party payors use coverage decisions and payment amounts determined by the Centers for Medicare and Medicaid Services, or CMS, which administers the U.S. Medicare program, as guidelines in setting their coverage and reimbursement policies. Medicare periodically reviews its reimbursement practices for diabetes-related products. Medicare implemented a competitive bidding process for blood glucose strip reimbursement, which resulted in a significant reduction in the reimbursement rate for those products. More recently, Medicare has also initiated a competitive bidding process for insulin pumps in limited geographies.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payors may adopt similar policies in the future, which would adversely impact our ability to sell our products.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20" w:firstLine="518"/>
        <w:spacing w:after="0" w:line="271"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156 national and regional third-party payors in the United States. While we anticipate entering into additional contracts with third-party payors and adding coverage for future products under our current agreements, we cannot guarantee that we will succeed in doing so or that the reimbursement contracts that we are able to negotiate will enable us to sell our products on a profitable basis. In addition,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 *</w:t>
      </w:r>
    </w:p>
    <w:p>
      <w:pPr>
        <w:spacing w:after="0" w:line="170"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or technologies, or other activities of industry participants. We expect our products will compete directly with a number of traditional insulin pumps as well as other methods for the treatment of diabetes. In particular, we expect that the competitive landscape for t:flex, t:slim G4 and our products under development will be similar to that of t:slim.</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Many of our existing and potential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Other significant insulin pump suppliers in the United States include Animas Corporation, a division of Johnson &amp; Johnson, and Insulet Corporation. There are also newer companies entering the field.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Many of these more established competitors enjoy several competitive advantages over us, including:</w:t>
      </w:r>
    </w:p>
    <w:p>
      <w:pPr>
        <w:spacing w:after="0" w:line="225" w:lineRule="exact"/>
        <w:rPr>
          <w:sz w:val="20"/>
          <w:szCs w:val="20"/>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and product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and third-party payors;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diabetes industry;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some cases, an established base of long-time customers;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more experience in conducting research and development, manufacturing, clinical trials, and obtaining regulatory approval or clearance.</w:t>
      </w:r>
    </w:p>
    <w:p>
      <w:pPr>
        <w:spacing w:after="0" w:line="23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some instances, our competitors also offer products that include features that we do not currently offer. For instance, Medtronic currently offers a traditional insulin pump that is integrated with a CGM system with a threshold suspend feature and recently announced that it received FDA approval of a new insulin pump product with additional functionality and a new CGM system. Insulet also offers an insulin pump with a tubeless delivery system that does not utilize an infusion set. For these and other reasons, we may not be able to compete successfully against our current or potential future competitors. As a result, we may fail to meet our strategic objectives and forecasted budget, and our business, financial condition and operating results could be materially and adversely affected.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ind w:right="2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breakthroughs for the monitoring, treatment or prevention of diabetes or technological developments may render our products obsolete or less desirable.</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ability to achieve our strategic objectives will depend, among other things, on our ability to develop and commercialize products for the treatment of diabetes that offer distinct features,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technological or treatment advancements could occur in the future could cause consumers to delay the purchase of our products.</w:t>
      </w:r>
    </w:p>
    <w:p>
      <w:pPr>
        <w:spacing w:after="0" w:line="16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the entry of multiple new products has led some of our competitors to employ pricing strategies, including the use of discounts, rebates, low cost product upgrades or other financial incentives that could adversely affect sales of our products. If a competitor develops a product that competes with or is perceived to be superior to our own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16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continual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selling and training new customers on the use of our products, which could harm our ability to achieve our sales and service objectives. *</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only limited experience marketing and selling our products as well as training new customers on their use. For example, we do not have significant experience training new customers on the use of continuous glucose monitoring, which we are required to provide to customers in connection with the commercialization of t:slim G4. As a result, we may face unexpected challenges marketing and selling t:slim G4 and any future products that utilize continuous glucose monitoring. In addition, the vast majority of our existing customers are individuals with type 1 diabetes, and we have only limited experience marketing and selling our products to customers with type 2 diabetes. As a result, we may face unexpected challenges marketing and selling t:flex.</w:t>
      </w:r>
    </w:p>
    <w:p>
      <w:pPr>
        <w:spacing w:after="0" w:line="15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expect to derive nearly all of our revenue from the sale of t:slim X2, t:flex, and t:slim G4 Pumps and pump-related supplies unless and until we receive regulatory clearance or approval for other products currently in development. As a result, our financial condition and operating results are and will continue to be highly dependent on the ability of our sales representatives to adequately promote, market and sell our current family of insulin pumps,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expand our sales, marketing and clinical infrastructure effectively and on a timely basis, we may fail to increase our sales to meet our forecasts. *</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 key element of our business strategy is the continued expansion of our sales, clinical and marketing infrastructure to drive adoption of our products, which includes our team of diabetes educators that trains new customers on the use of our products. We have rapidly increased the number of sales, marketing and clinical personnel employed by us since the initial commercial launch of t:slim in 2012. However, we have faced considerable challenges in growing and managing our sales, marketing and clinical force over the past 12-18 months, including with respect to recruiting, training and assimilation of new territories and accounts. We expect to continue to face significant challenges as we manage and grow our sales, marketing and clinical infrastructure and work to motivate and retain the individuals who make up those networks. These challenges may be even greater in light of the recent expansion of our commercial organization during 2016, especially because newly hired sales, clinical and marketing representatives require training and take time to achieve full productivity. Moreover, the expansion of our sales force has disrupted, and we expect that it will continue to disrupt the productivity of our existing sales representatives. Unexpected turnover, especially during a period of anticipated expansion,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we may not be able to successfully train new customers on the use of our products,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-351155</wp:posOffset>
            </wp:positionV>
            <wp:extent cx="28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expect that the management and future expansion of our sales, marketing and clinical personnel will continue to place significant burdens on our management team. If we are unable to retain and expand our sales, marketing and clinical capabilities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sales and marketing efforts are dependent on independent distributors who are free to market products that compete with our own. If we are unable to maintain or expand our network of independent distributors, our sales may be negatively affected.</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For the year ended December 31, 2015, sales to approximately 40 independent distributors represented approximately 77% of our sales. While our goal is to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on a direct basis.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Some of our independent distributors account for a significant portion of our sales volume. For the year ended December 31, 2015, our two largest independent distributors comprised approximately 35% of our sales. If any of our key independent distributors were to cease to distribute our products,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 *</w:t>
      </w:r>
    </w:p>
    <w:p>
      <w:pPr>
        <w:spacing w:after="0" w:line="170" w:lineRule="exact"/>
        <w:rPr>
          <w:sz w:val="20"/>
          <w:szCs w:val="20"/>
          <w:color w:val="auto"/>
        </w:rPr>
      </w:pPr>
    </w:p>
    <w:p>
      <w:pPr>
        <w:ind w:right="140" w:firstLine="571"/>
        <w:spacing w:after="0" w:line="272"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these third parties on a timely basis or on acceptable terms, or these third parties do not successfully carry out their contractual duties or regulatory obligations or meet expected deadlines,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patients in our current and anticipated clinical trials and other third parties to manage such trials and to perform related data collection and analysis, and, as a result, we may face costs and delays that are outside of our control. *</w:t>
      </w:r>
    </w:p>
    <w:p>
      <w:pPr>
        <w:spacing w:after="0" w:line="18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The failure to retain a high percentage of our customers would negatively impact our revenue growth and may have a material adverse effect on our business, financial condition and operating results.</w:t>
      </w:r>
    </w:p>
    <w:p>
      <w:pPr>
        <w:spacing w:after="0" w:line="19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right="240" w:firstLine="518"/>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rapidly.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Moreover, even if our market research has allowed us to better understand the features consumers are seeking in an insulin pump to improve management of their diabetes therapy, there can be no assurance that consumers will actually purchase our products or that our competitors will not develop products with similar features.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5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may face difficulties encountered by companies early in their commercialization in competitive and rapidly evolving markets. *</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especially with respect to the impact of t:flex and t:slim G4 on our mix of product sales and our overall growth rate. More recently, our launch of the t:slim X2 and the FDA approval and launch of new products by one of our competitors makes forecasting our future sales and operating results even more challenging. In assessing our business prospects, you should consider the various risks and difficulties frequently encountered by companies early in their commercialization history in competitive and rapidly evolving markets, particularly companies that develop and sell medical devices. These risks include our ability to:</w:t>
      </w:r>
    </w:p>
    <w:p>
      <w:pPr>
        <w:spacing w:after="0" w:line="189" w:lineRule="exact"/>
        <w:rPr>
          <w:sz w:val="20"/>
          <w:szCs w:val="20"/>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 and improve the productivity of our sales, clinical and marketing infrastructure to grow sales of our existing and proposed products;</w:t>
      </w:r>
    </w:p>
    <w:p>
      <w:pPr>
        <w:spacing w:after="0" w:line="248" w:lineRule="exact"/>
        <w:rPr>
          <w:rFonts w:ascii="Arial" w:cs="Arial" w:eastAsia="Arial" w:hAnsi="Arial"/>
          <w:sz w:val="16"/>
          <w:szCs w:val="16"/>
          <w:color w:val="auto"/>
        </w:rPr>
      </w:pPr>
    </w:p>
    <w:p>
      <w:pPr>
        <w:ind w:left="1140" w:hanging="376"/>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awareness of our brand and build loyalty among people with insulin-dependent diabetes, their caregivers and healthcare providers;</w:t>
      </w:r>
    </w:p>
    <w:p>
      <w:pPr>
        <w:spacing w:after="0" w:line="248" w:lineRule="exact"/>
        <w:rPr>
          <w:rFonts w:ascii="Arial" w:cs="Arial" w:eastAsia="Arial" w:hAnsi="Arial"/>
          <w:sz w:val="16"/>
          <w:szCs w:val="16"/>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expanding operations, including complying with a broad range of legal requirements within a highly regulated industry;</w:t>
      </w:r>
    </w:p>
    <w:p>
      <w:pPr>
        <w:spacing w:after="0" w:line="225" w:lineRule="exact"/>
        <w:rPr>
          <w:rFonts w:ascii="Arial" w:cs="Arial" w:eastAsia="Arial" w:hAnsi="Arial"/>
          <w:sz w:val="18"/>
          <w:szCs w:val="18"/>
          <w:color w:val="auto"/>
        </w:rPr>
      </w:pPr>
    </w:p>
    <w:p>
      <w:pPr>
        <w:ind w:left="1140" w:right="20" w:hanging="376"/>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manufacturing capabilities, including increasing production of current products efficiently while maintaining quality standards and adapting our manufacturing facilities to the production of new products;</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commercialize proposed products and enhance our existing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risks may adversely affect our ability to manufacture products and could negatively impact our sales and operating margins. *</w:t>
      </w:r>
    </w:p>
    <w:p>
      <w:pPr>
        <w:spacing w:after="0" w:line="23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181"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challenge of implementing and maintaining acceptable quality systems while experiencing rapid growth;</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modify production lines to enable us to efficiently produce future products or implement changes in current products in response to regulatory requirements;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These risks are likely to be exacerbated by our limited experience with our current products and manufacturing processes. 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12-18 months. However, it is possible that we may not derive the anticipated improvements from these investments. We recently entered into a new lease agreement for additional facilities to consolidate substantially all of our manufacturing, warehousing and other operational needs, and any transition of our current manufacturing, warehousing and other operations to a new facility is subject to additional risk and uncertainty. If we fail to increase our production capacity efficiently while also maintaining quality requirements, our sales may not increase in line with our forecasts and our operating margins could fluctuate or decline.</w:t>
      </w:r>
    </w:p>
    <w:p>
      <w:pPr>
        <w:spacing w:after="0" w:line="19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addition, although we expect some of our products in development to share product features and components with our current products, manufacturing of these products may require the modification of our production lines, the hiring of specialized employees, the identification of new suppliers for specific components, the implementation of additional equipment and procedures, or the development of new manufacturing technologies. It may not be possible for us to manufacture these products at a cost or in quantities sufficient to make these products commercially viable.</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components, and the loss of any of these suppliers, or their inability to provide us with an adequate supply of materials, could harm our business. *</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 upon specifications, at acceptable costs and on a timely basis. Increases in our product sales, whether forecasted or unanticipated, could strain the ability of our suppliers to deliver an increasingly large supply of components in a manner that meets these various requirements.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do not have long-term supply agreements with any of our suppliers and, in many cases, we make our purchases on a purchase order basis. Under most of our supply agreements, we have no obligation to buy any given quantity of products, and our suppliers have no obligation to manufacture for us or sell to us any given quantity of products. As a result, our ability to purchase adequate quantities of our products may be limited. Additionally, our suppliers may encounter problems that limit their ability to manufacture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w:t>
      </w:r>
    </w:p>
    <w:p>
      <w:pPr>
        <w:spacing w:after="0" w:line="19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generally use a small number of suppliers for our products. Depending on a limited number of suppliers exposes us to risks, including limited control over pricing, availability, quality and delivery schedules. Moreover, due to the recent commercialization of our products and the limited amount of our sales to date,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firstLine="518"/>
        <w:spacing w:after="0" w:line="293"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or other regulatory agencies, and the failure of our suppliers to comply with strictly enforced regulatory requirements could expose us to regulatory action including warning letters, product recalls, termination of distribution, product seizures or civil penalties. It could also require us to cease using the components, seek alternative components or technologies and modify our products to incorporate alternative components or technologies, which could result in a requirement to seek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a single location comprised of five buildings, and any disruption at this location could adversely affect our business and operating results.</w:t>
      </w:r>
    </w:p>
    <w:p>
      <w:pPr>
        <w:spacing w:after="0" w:line="17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principal offices are presently located in five buildings in San Diego, California. Substantially all of our operations are presently conducted at this location, including our manufacturing processes, research and development activities, customer and technical support, and management and administrative functions. In addition, substantially all of our inventory of component supplies and finished goods is held at this location.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or finished goods, cause substantial delays in our operations, result in the loss of key information, and cause us to incur additional expenses. Our insurance may not cover our losses in any particular case. In addition, regardless of the level of insurance coverage, damage to our facilities may have a material adverse effect on our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our product offerings through our research and development efforts, we may fail to effectively compete or become profitable.</w:t>
      </w:r>
    </w:p>
    <w:p>
      <w:pPr>
        <w:spacing w:after="0" w:line="24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consumers, their caregivers, healthcare providers or third-party payors who reimburse consumers for our products. The success of any proposed product offerings will depend on numerous factors, including our ability to:</w:t>
      </w:r>
    </w:p>
    <w:p>
      <w:pPr>
        <w:spacing w:after="0" w:line="158" w:lineRule="exact"/>
        <w:rPr>
          <w:sz w:val="20"/>
          <w:szCs w:val="20"/>
          <w:color w:val="auto"/>
        </w:rPr>
      </w:pPr>
    </w:p>
    <w:p>
      <w:pPr>
        <w:ind w:left="1040" w:right="34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product features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introduce proposed products in sufficient quantities and in a timely manner;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If we fail to generate demand by developing products that incorporate features requested by consumers, their caregivers or healthcare providers, or if we do not obtain regulatory clearance or approval for proposed products in time to meet market demand, we may fail to generate sales sufficient to achieve or maintain profitability. We have in the past experienced, and we may in the future experience, delays in various phases of product development and commercial launch,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ind w:right="38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 *</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t:slim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received FDA approval under a PMA. However, there are no published studies to evaluate the safety or effectiveness of t:slim G4.</w:t>
      </w:r>
    </w:p>
    <w:p>
      <w:pPr>
        <w:spacing w:after="0" w:line="18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7" w:lineRule="exact"/>
        <w:rPr>
          <w:sz w:val="20"/>
          <w:szCs w:val="20"/>
          <w:color w:val="auto"/>
        </w:rPr>
      </w:pPr>
    </w:p>
    <w:p>
      <w:pPr>
        <w:ind w:right="280" w:firstLine="518"/>
        <w:spacing w:after="0" w:line="255" w:lineRule="auto"/>
        <w:rPr>
          <w:sz w:val="20"/>
          <w:szCs w:val="20"/>
          <w:color w:val="auto"/>
        </w:rPr>
      </w:pPr>
      <w:r>
        <w:rPr>
          <w:rFonts w:ascii="Arial" w:cs="Arial" w:eastAsia="Arial" w:hAnsi="Arial"/>
          <w:sz w:val="18"/>
          <w:szCs w:val="18"/>
          <w:color w:val="auto"/>
        </w:rPr>
        <w:t>Moreover, we monitor and investigate incoming customer complaints on an ongoing basis, particularly following the launch of new products or changes to our existing products. Changes to our existing products may include changes to hardware or software, including remote software updates made using our Tandem Device Updater, or changes to manufacturing methods or procedures. 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193"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and existing and potential collaborators, and could adversely affect our operating results and cause a decline in our stock price.</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166"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our collaborators and us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ind w:right="20" w:firstLine="518"/>
        <w:spacing w:after="0" w:line="273" w:lineRule="auto"/>
        <w:rPr>
          <w:sz w:val="20"/>
          <w:szCs w:val="20"/>
          <w:color w:val="auto"/>
        </w:rPr>
      </w:pPr>
      <w:r>
        <w:rPr>
          <w:rFonts w:ascii="Arial" w:cs="Arial" w:eastAsia="Arial" w:hAnsi="Arial"/>
          <w:sz w:val="17"/>
          <w:szCs w:val="17"/>
          <w:color w:val="auto"/>
        </w:rPr>
        <w:t>For example, we entered into a Development and Commercialization Agreement with DexCom, which provides us a non-exclusive license to integrate the DexCom G4 PLATINUM CGM System with t:slim G4 during the term of the agreement. This agreement currently runs until January 4, 2018, with automatic one-year renewals. The license granted covers the United States and other territories may be added from time to time. Under certain circumstances, the agreement may be terminated by either party without cause or on short notice. Termination of this agreement could require us to redesign t:slim G4 and attempt to integrate an alternative CGM system into our insulin pump systems, which would require significant development and regulatory activities that could result in an interruption in the availability of the product to our customers.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there are significant disruptions in our information technology systems, our business, financial condition and operating results could be adversely affected. *</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our cloud-based data management application, and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 marketed insulin pumps, and our products currently in development contain software, which could be subject to computer virus or hacker attacks or other failures. As a result of the recent FDA clearance of our Tandem Device Updater, which enables customers to remotely update the software on their insulin pumps, these risks are significantly increased.</w:t>
      </w:r>
    </w:p>
    <w:p>
      <w:pPr>
        <w:spacing w:after="0" w:line="17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updated software for our pumps, which we anticipate will allow customers remote access to new and enhanced features, including future continuous glucose monitoring integration and artificial pancreas pump algorithms. The failure of our Tandem Device Updater to provide software updates as we anticipate, including as a result of our inability to secure and maintain necessary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225"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Our rapid growth has placed, and we expect that it will continue to place, a significant strain on our management team and financial resources. For example, between December 31, 2014 and December 31, 2015 our employee base increased approximately 10% and we expect to continue to experience growth of our employee base during 2016. In addition, during late 2015 and early 2016 we experienced turnover among key employees in our sales, marketing and clinical functions, including the recent hiring of a new Chief Commercial Officer. Our failure to manage growth effectively could cause us to misallocate management or financial resources, and result in losses or weaknesses in our infrastructure, which could materially adversely affect our business. Additionally, our anticipated growth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the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124"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these funds may not be available on acceptable terms or at all. *</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At September 30, 2016, we had $36.1 million in cash, cash equivalents and short-term investments, which included $2.0 million of restricted cash. We believe that our cash on hand, cash available under the Term Loan Agreement, cash generated from operations, and cash proceeds from the exercise of warrants and options will be sufficient to satisfy our liquidity requirements for at least the next 12 months. However, the continued growth of our business, including the expansion of our sales, clinical and marketing infrastructure, research and development activities, and manufacturing capabilities, will continue to increase our expenses. In addition, the amount of our future product sales is difficult to predict and actual sales may not be in line with our forecasts. As a result, we may seek additional funds in the future. Our future capital requirements will depend on many factors, including:</w:t>
      </w:r>
    </w:p>
    <w:p>
      <w:pPr>
        <w:spacing w:after="0" w:line="165"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revenue generated by sales of our family of insulin pump products, and any other future products that we may develop and commercialize;</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sales and marketing infrastructure;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we incur in maintaining our manufacturing facility and adding additional manufacturing equipment and capacity;</w:t>
      </w:r>
    </w:p>
    <w:p>
      <w:pPr>
        <w:spacing w:after="0" w:line="225" w:lineRule="exact"/>
        <w:rPr>
          <w:rFonts w:ascii="Arial" w:cs="Arial" w:eastAsia="Arial" w:hAnsi="Arial"/>
          <w:sz w:val="18"/>
          <w:szCs w:val="18"/>
          <w:color w:val="auto"/>
        </w:rPr>
      </w:pPr>
    </w:p>
    <w:p>
      <w:pPr>
        <w:ind w:left="1040" w:right="58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associated with developing and commercializing our proposed products or technologies, including any costs associated with the administration of the Technology Upgrade Program;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current or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we incur in connection with potential litigation or governmental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a result of these and other factors, we do not know the extent to which we may be required to raise additional capital. We may in the future seek additional capital from public or private offerings of our capital stock, we may elect to borrow additional amounts under the Term Loan Agreement under new credit lines or other sources. In particular, we have an effective shelf registration statement on file with the SEC, under which we may offer to sell equity securities.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If we are unable to raise additional capital, we may not be able to expand our sales and marketing infrastructure, enhance our current products or develop new products, take advantage of future opportunities, or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 *</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81" w:lineRule="exact"/>
        <w:rPr>
          <w:sz w:val="20"/>
          <w:szCs w:val="20"/>
          <w:color w:val="auto"/>
        </w:rPr>
      </w:pPr>
    </w:p>
    <w:p>
      <w:pPr>
        <w:ind w:left="1040" w:right="80" w:hanging="384"/>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sales of our currently available insulin pump products and to commercialize and sell our future products, and the number of our products sold in each quarter;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and accounting impacts of the Technology Upgrade Program;</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pricing of our products and competitive products, including the use of discounts, rebates or other financial incentives by our competitors;</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grow an effective sales, clinical and marketing infrastructure;</w:t>
      </w:r>
    </w:p>
    <w:p>
      <w:pPr>
        <w:spacing w:after="0" w:line="225" w:lineRule="exact"/>
        <w:rPr>
          <w:rFonts w:ascii="Arial" w:cs="Arial" w:eastAsia="Arial" w:hAnsi="Arial"/>
          <w:sz w:val="18"/>
          <w:szCs w:val="18"/>
          <w:color w:val="auto"/>
        </w:rPr>
      </w:pPr>
    </w:p>
    <w:p>
      <w:pPr>
        <w:ind w:left="1040" w:right="340" w:hanging="384"/>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and reliability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revenue recognition associated with our product sales pursuant to applicable accounting standards.</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in the period leading up to the commercial launch of the t:slim X2 Pump, we believe there were an increasing number of customers anticipating its availability who delayed their purchasing decisions until they could include the t:slim X2 in their decision-making process.</w:t>
      </w:r>
    </w:p>
    <w:p>
      <w:pPr>
        <w:spacing w:after="0" w:line="18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addition, we will continue to increase our operating expenses as we expand our business. Accordingly, we may experience substantial variability in our operating results from quarter to quarter, including anticipated or unanticipated quarterly losses.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our indebtedness, which currently consists of our credit facility with Capital Royalty Partners. *</w:t>
      </w:r>
    </w:p>
    <w:p>
      <w:pPr>
        <w:spacing w:after="0" w:line="260"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At December 31, 2015, we had $30.2 million aggregate borrowings outstanding under the Term Loan Agreement. In January 2016, we entered into a third amendment to our Term Loan Agreement, which allowed us to borrow up to an additional $50.0 million. We borrowed $15.0 million in January 2016, and the Third Amendment provides us with a one-time option to draw up to an additional $35.0 million in increments of $5.0 million on or before December 31, 2016.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 If our cash balances or cash flows from operations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In addition, in the event of our breach of the Term Loan Agreement, we may be required to repay any outstanding amounts earlier than anticipated.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w:t>
      </w:r>
    </w:p>
    <w:p>
      <w:pPr>
        <w:spacing w:after="0" w:line="225"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therefore may not be able to engage in any of the foregoing transactions unless we obtain the consent of the lenders or terminate the applicable Term Loan Agreement. 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our agreement. Further, there is no guarantee that future working capital, borrowings or equity financing will be available to repay or refinance the amounts outstanding under a given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 *</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rely primarily on patent, trademark and trade secret laws, as well as confidentiality and non-disclosure agreements, to protect our proprietary technologies. As of September 30, 2016, our patent portfolio consisted of approximately 47 issued U.S. patents and 50 pending U.S. patent applications. Of these, our issued U.S. patents expire between approximately 2021 and 2035. We also have and are seeking patent protection for our proprietary technologies in other countries throughout the world. In addition, we also have two pending U.S. trademark applications as well as 23 trademark registrations, including 10 U.S. trademark registrations and 13 foreign trademark registrations.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6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rely on our trademarks and trade names to distinguish our products from the products of our competitors, and have registered or applied to register many of these trademarks. We cannot assure you that our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58"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desire to defend our patents or trademarks against challenges or to enforce our intellectual property rights. Litigation also puts our patents at risk of being invalidated or interpreted narrowly and our patent applications at risk of not issuing. Additionally, we may provoke third parties to assert 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3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From time to time, we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ind w:right="80" w:firstLine="518"/>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6"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 *</w:t>
      </w:r>
    </w:p>
    <w:p>
      <w:pPr>
        <w:spacing w:after="0" w:line="17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78"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We initially received pre-market clearance for t:slim under Section 510(k) of the FDCA in November 2011. We obtained 510(k) clearance for t:connect and t:flex in February 2013 and January 2015, respectively. From time to time, we may make modifications to these products that may require a new 510(k). We received 510(k) clearance for modifications to t:slim and its associated cartridge during 2014 and we are pursuing, and expect to continue to pursue, 510(k) clearance for additional modifications to t:slim and t:flex in the future. For instance, in July 2016 we received 510(k) clearance to reduce the age in our indications for use of the t:slim to age six. Also in July 2016, we received 510(k) clearance for the first use of our Tandem Device Updater.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In addition, the FDA may determine that future products will require the more costly, lengthy and uncertain PMA process.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25"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products are safe and effective for their intended users;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or lower than anticipated sales and have a material adverse effect on our reputation, business, financial condition and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right="20" w:firstLine="518"/>
        <w:spacing w:after="0" w:line="259" w:lineRule="auto"/>
        <w:rPr>
          <w:sz w:val="20"/>
          <w:szCs w:val="20"/>
          <w:color w:val="auto"/>
        </w:rPr>
      </w:pPr>
      <w:r>
        <w:rPr>
          <w:rFonts w:ascii="Arial" w:cs="Arial" w:eastAsia="Arial" w:hAnsi="Arial"/>
          <w:sz w:val="18"/>
          <w:szCs w:val="18"/>
          <w:color w:val="auto"/>
        </w:rPr>
        <w:t>Further, we may evaluate international expansion opportunities in the future.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comply any such requirements, our international expansion and business could be significantly harmed.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pre-market approvals, or may require us to cease marketing or recall the modified products until clearances are obtained.</w:t>
      </w:r>
    </w:p>
    <w:p>
      <w:pPr>
        <w:spacing w:after="0" w:line="17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previously concluded that new clearances or approvals were not necessary, we may be required to cease marketing or to recall the modified product until we obtain clearance or approval, and we may be subject to significant regulatory fines or penalties.</w:t>
      </w:r>
    </w:p>
    <w:p>
      <w:pPr>
        <w:spacing w:after="0" w:line="178"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Further, the FDA’s ongoing review of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our third-party suppliers or we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Our third-party suppliers and we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our suppliers or we have significant non-compliance issues or if any corrective action plan that our suppliers or we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FDA has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and have an adverse effect on our reputation, financial condition and operating results, which could impair our ability to produce our products in a cost-effective and timely manner.</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right="22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040" w:right="180" w:hanging="384"/>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healthcare programs’ Anti-Kickback Law,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040" w:right="34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040" w:right="12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HIPAA of 1996, which created federal criminal laws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 and</w:t>
      </w:r>
    </w:p>
    <w:p>
      <w:pPr>
        <w:spacing w:after="0" w:line="225" w:lineRule="exact"/>
        <w:rPr>
          <w:rFonts w:ascii="Arial" w:cs="Arial" w:eastAsia="Arial" w:hAnsi="Arial"/>
          <w:sz w:val="18"/>
          <w:szCs w:val="18"/>
          <w:color w:val="auto"/>
        </w:rPr>
      </w:pPr>
    </w:p>
    <w:p>
      <w:pPr>
        <w:ind w:left="1040" w:right="8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 person or entity can now be found guilty under the PPACA without actual knowledge of the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statutes. Possible sanctions for violation of these anti-kickback laws include monetary fines, civil and criminal penalties, exclusion from Medicare and Medicaid programs and forfeiture of amounts collected in violation of those prohibitions. Any violations of these laws, or any action against us for violation of these laws, even if we successfully defend against it, could result in a material adverse effect on our reputation, business, financial condition and operating results.</w:t>
      </w:r>
    </w:p>
    <w:p>
      <w:pPr>
        <w:spacing w:after="0" w:line="19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off-label promotion of our products.</w:t>
      </w:r>
    </w:p>
    <w:p>
      <w:pPr>
        <w:spacing w:after="0" w:line="225"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Product liability claims are expensive to defend and could result in substantial damage awards against us and harm our reputation.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Legislative or regulatory healthcare reforms may make it more difficult and costly for us to obtain regulatory clearance or approval of our products.</w:t>
      </w:r>
    </w:p>
    <w:p>
      <w:pPr>
        <w:spacing w:after="0" w:line="24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Recent political, economic and regulatory influences are subjecting the healthcare industry to fundamental changes. 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contain or reduce the cost of healthcare. This legislation and regulation may result in decreased reimbursement for medical devices, which may further exacerbate industry-wide pressure to reduce the prices charged for medical devices. This could harm our ability to market our products and generate sales.</w:t>
      </w:r>
    </w:p>
    <w:p>
      <w:pPr>
        <w:spacing w:after="0" w:line="19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products. Delays in receipt of or failure to receive regulatory clearances or approvals for our proposed products would have a material adverse effect on our business, financial condition and operating results.</w:t>
      </w:r>
    </w:p>
    <w:p>
      <w:pPr>
        <w:spacing w:after="0" w:line="18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Federal and state governments in the United States have enacted legislation to overhaul the nation’s healthcare system. While the goal of healthcare reform is to expand coverage to more individuals, it also involves increased government price controls, additional regulatory mandates and other measures designed to constrain medical costs. The PPACA substantially changes the way healthcare is financed by both governmental and private insurers, encourages improvements in the quality of healthcare items and services and significantly impacts the medical device industries. Among other things, the PPACA:</w:t>
      </w:r>
    </w:p>
    <w:p>
      <w:pPr>
        <w:spacing w:after="0" w:line="154" w:lineRule="exact"/>
        <w:rPr>
          <w:sz w:val="20"/>
          <w:szCs w:val="20"/>
          <w:color w:val="auto"/>
        </w:rPr>
      </w:pPr>
    </w:p>
    <w:p>
      <w:pPr>
        <w:ind w:left="1040" w:right="2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identify priorities in and conduct comparative clinical effectiveness research;</w:t>
      </w:r>
    </w:p>
    <w:p>
      <w:pPr>
        <w:spacing w:after="0" w:line="170" w:lineRule="exact"/>
        <w:rPr>
          <w:rFonts w:ascii="Arial" w:cs="Arial" w:eastAsia="Arial" w:hAnsi="Arial"/>
          <w:sz w:val="18"/>
          <w:szCs w:val="18"/>
          <w:color w:val="auto"/>
        </w:rPr>
      </w:pPr>
    </w:p>
    <w:p>
      <w:pPr>
        <w:ind w:left="1040" w:right="400" w:hanging="384"/>
        <w:spacing w:after="0" w:line="34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23" w:lineRule="exact"/>
        <w:rPr>
          <w:rFonts w:ascii="Arial" w:cs="Arial" w:eastAsia="Arial" w:hAnsi="Arial"/>
          <w:sz w:val="16"/>
          <w:szCs w:val="16"/>
          <w:color w:val="auto"/>
        </w:rPr>
      </w:pPr>
    </w:p>
    <w:p>
      <w:pPr>
        <w:ind w:left="1040" w:right="2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creates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Most recently, on August 2, 2011, the President signed into law the Budget Control Act of 2011, which, among other things, creates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aggregate reductions to Medicare payments to providers of up to 2% per fiscal year which commenced in 2013. The uncertainties regarding the ultimate features of the PPACA and other healthcare reform initiatives and their enactment and implementation may have an adverse effect on our customers’ purchasing decisions regarding our products. In the coming years,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or the PPACA, may have on our business and operations, and any of these impacts may be adverse on our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PPACA imposes, among other things, an annual excise tax of 2.3% on any entity that manufactures or imports medical devices offered for sale in the United States beginning in 2013. Under these provisions, the Congressional Research Service predicts that the total cost to the medical device industry may be up to $20 billion over the next decade. We do not believe that our current products are currently subject to this tax based on the retail exemption under applicable Treasury Regulations. However, the availability of this exemption is subject to interpretation by the IRS, and the IRS may disagree with our analysis. In addition, future products that we manufacture, produce or import may be subject to this tax. The financial impact this tax may have on our business is unclear and there can be no assurance that our business will not be materially adversely affected by 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certain of our executive officers, directors and principal stockholders will be able to exert control over us and our significant corporate decisions. *</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Based on an aggregate of 30,642,215 shares of our common stock outstanding as of September 30, 2016, our executive officers and directors, and their affiliates owned, in the aggregate, approximately 39%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interests of the aforementioned stockholders might not coincide with the interests of the other holders of our capital stock. This concentration of ownership may reduce the value of our common stock by, among other things:</w:t>
      </w:r>
    </w:p>
    <w:p>
      <w:pPr>
        <w:spacing w:after="0" w:line="170"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w:t>
      </w:r>
    </w:p>
    <w:p>
      <w:pPr>
        <w:spacing w:after="0" w:line="225"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040" w:right="2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040" w:right="26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provide for the removal of a director only with cause and then by the affirmative vote of the holders of a majority of the outstanding shares;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the vote of at least two-thirds of the outstanding shares to approve amendments to the certificate of incorporation or bylaws;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As of December 31, 2015, we had federal net operating loss, or NOL, carryforwards of approximately $226.3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which we refer to as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58" w:lineRule="exact"/>
        <w:rPr>
          <w:sz w:val="20"/>
          <w:szCs w:val="20"/>
          <w:color w:val="auto"/>
        </w:rPr>
      </w:pPr>
    </w:p>
    <w:p>
      <w:pPr>
        <w:jc w:val="both"/>
        <w:ind w:right="220" w:firstLine="518"/>
        <w:spacing w:after="0" w:line="288" w:lineRule="auto"/>
        <w:rPr>
          <w:sz w:val="20"/>
          <w:szCs w:val="20"/>
          <w:color w:val="auto"/>
        </w:rPr>
      </w:pPr>
      <w:r>
        <w:rPr>
          <w:rFonts w:ascii="Arial" w:cs="Arial" w:eastAsia="Arial" w:hAnsi="Arial"/>
          <w:sz w:val="16"/>
          <w:szCs w:val="16"/>
          <w:color w:val="auto"/>
        </w:rPr>
        <w:t>Although we have determined that it is more likely than not that an ownership change occurred in March 2015, we have not completed an update of our Section 382 analysis subsequent to December 31, 2013. When this analysis is finalized, we will reassess the amount of net operating losses and credits subject to limitation under Section 382.We may also experience ownership changes in the future as a result of subsequent shifts in our stock ownership.</w:t>
      </w:r>
    </w:p>
    <w:p>
      <w:pPr>
        <w:jc w:val="both"/>
        <w:ind w:right="240"/>
        <w:spacing w:after="0" w:line="261" w:lineRule="auto"/>
        <w:rPr>
          <w:sz w:val="20"/>
          <w:szCs w:val="20"/>
          <w:color w:val="auto"/>
        </w:rPr>
      </w:pPr>
      <w:r>
        <w:rPr>
          <w:rFonts w:ascii="Arial" w:cs="Arial" w:eastAsia="Arial" w:hAnsi="Arial"/>
          <w:sz w:val="18"/>
          <w:szCs w:val="18"/>
          <w:color w:val="auto"/>
        </w:rPr>
        <w:t>Accordingly, if we earn net taxable income, our ability to use net operating loss carryforwards to offset U.S. federal taxable income may become subject to limitations, which could potentially result in increases in our future tax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the Term Loan Agreement, we are precluded from paying any cash dividends. Accordingly, you may have to sell some or all of your shares of our common stock in order to generate cash flow from your investment. You may not receive a gain on your investment when you sell shares and you may lose the entire amount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Stock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5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ind w:right="460"/>
        <w:spacing w:after="0" w:line="277" w:lineRule="auto"/>
        <w:rPr>
          <w:sz w:val="20"/>
          <w:szCs w:val="20"/>
          <w:color w:val="auto"/>
        </w:rPr>
      </w:pPr>
      <w:r>
        <w:rPr>
          <w:rFonts w:ascii="Arial" w:cs="Arial" w:eastAsia="Arial" w:hAnsi="Arial"/>
          <w:sz w:val="18"/>
          <w:szCs w:val="18"/>
          <w:b w:val="1"/>
          <w:bCs w:val="1"/>
          <w:i w:val="1"/>
          <w:iCs w:val="1"/>
          <w:color w:val="auto"/>
        </w:rPr>
        <w:t>New 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On August 22, 2012, the SEC adopted a new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are currently investigating the use of conflict materials, if any, within our supply chain.</w:t>
      </w:r>
    </w:p>
    <w:p>
      <w:pPr>
        <w:spacing w:after="0" w:line="16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periodic reports and proxy statements; and</w:t>
      </w:r>
    </w:p>
    <w:p>
      <w:pPr>
        <w:spacing w:after="0" w:line="225" w:lineRule="exact"/>
        <w:rPr>
          <w:rFonts w:ascii="Arial" w:cs="Arial" w:eastAsia="Arial" w:hAnsi="Arial"/>
          <w:sz w:val="18"/>
          <w:szCs w:val="18"/>
          <w:color w:val="auto"/>
        </w:rPr>
      </w:pPr>
    </w:p>
    <w:p>
      <w:pPr>
        <w:ind w:left="1040" w:right="440" w:hanging="384"/>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we will rely on these exemptions. If some investors find our common stock less attractive as a result, there may be a less active trading market for our common stock, which could result in a reduction in the price of our common stock.</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Pursuant to the JOBS Act, our independent registered public accounting firm will not be required to attest to the effectiveness of our internal control over financial reporting for so long as we are an “emerging growth company.”</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Under existing SEC rules and regulations, we will be required to disclose changes made in our internal control over financial reporting on a quarterly basis and management will be required to assess the effectiveness of our controls annually. However, under the JOBS Act, our independent registered public accounting firm will not be required to attest to the effectiveness of our internal control over financial reporting pursuant to Section 404(b) of the Sarbanes-Oxley Act until we are no longer an “emerging growth company.” We could be an “emerging growth company” for up to five years from our November 2013 initial public offering.</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spacing w:after="0" w:line="18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right="120" w:firstLine="518"/>
        <w:spacing w:after="0" w:line="273" w:lineRule="auto"/>
        <w:rPr>
          <w:sz w:val="20"/>
          <w:szCs w:val="20"/>
          <w:color w:val="auto"/>
        </w:rPr>
      </w:pPr>
      <w:r>
        <w:rPr>
          <w:rFonts w:ascii="Arial" w:cs="Arial" w:eastAsia="Arial" w:hAnsi="Arial"/>
          <w:sz w:val="17"/>
          <w:szCs w:val="17"/>
          <w:color w:val="auto"/>
        </w:rPr>
        <w:t>We are required to disclose changes made in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w:t>
      </w:r>
    </w:p>
    <w:p>
      <w:pPr>
        <w:spacing w:after="0" w:line="225"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Prior to our initial public offering in November 2013, there was no public market for our common stock. The trading price of our common stock is likely to be volatile for the foreseeable future. Our stock price could be subject to wide fluctuations in response to a variety of factors, including the following:</w:t>
      </w:r>
    </w:p>
    <w:p>
      <w:pPr>
        <w:spacing w:after="0" w:line="181" w:lineRule="exact"/>
        <w:rPr>
          <w:sz w:val="20"/>
          <w:szCs w:val="20"/>
          <w:color w:val="auto"/>
        </w:rPr>
      </w:pPr>
    </w:p>
    <w:p>
      <w:pPr>
        <w:ind w:left="1040" w:right="70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 including the financial and accounting impacts of the Technology Upgrade Program;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introduction of proposed products, or announcements of significant contracts, licenses or acquisitions,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the perception of future sales, of shares of our common stock could materially reduce the market price of our common stock. *</w:t>
      </w:r>
    </w:p>
    <w:p>
      <w:pPr>
        <w:spacing w:after="0" w:line="24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We had outstanding 30,642,215 shares of common stock as of September 30, 2016, of which approximately 11,981,965 shares are restricted securities that may be sold only in accordance with the resale restrictions under Rule 144 of the Securities Act. In addition, as of September 30, 2016, we had outstanding options to purchase 6,785,803 shares of common stock and warrants to purchase 990,031 shares of common stock that, if exercised, will result in these additional shares becoming available for sale. As of September 30, 2016, there was also an aggregate of 2,537,585 shares of our common stock reserved for future grant or issuance under the 2013 Plan and the ESPP.</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ind w:firstLine="518"/>
        <w:spacing w:after="0" w:line="257" w:lineRule="auto"/>
        <w:rPr>
          <w:sz w:val="20"/>
          <w:szCs w:val="20"/>
          <w:color w:val="auto"/>
        </w:rPr>
      </w:pPr>
      <w:r>
        <w:rPr>
          <w:rFonts w:ascii="Arial" w:cs="Arial" w:eastAsia="Arial" w:hAnsi="Arial"/>
          <w:sz w:val="18"/>
          <w:szCs w:val="18"/>
          <w:color w:val="auto"/>
        </w:rPr>
        <w:t>Certain holders of shares of common stock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sold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88"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In the future, we also may issue our securities if we need to raise additional capital. The number of new shares of our common stock issued in connection with raising additional capital could constitute a material portion of the then-outstanding shares of our common stock.</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70"/>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w w:val="94"/>
              </w:rPr>
              <w:t>Amended and Restated Certificate of Incorporation as</w:t>
            </w:r>
          </w:p>
        </w:tc>
        <w:tc>
          <w:tcPr>
            <w:tcW w:w="0" w:type="dxa"/>
            <w:vAlign w:val="bottom"/>
          </w:tcPr>
          <w:p>
            <w:pPr>
              <w:spacing w:after="0"/>
              <w:rPr>
                <w:sz w:val="1"/>
                <w:szCs w:val="1"/>
                <w:color w:val="auto"/>
              </w:rPr>
            </w:pPr>
          </w:p>
        </w:tc>
      </w:tr>
      <w:tr>
        <w:trPr>
          <w:trHeight w:val="215"/>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currently in effect.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00" w:type="dxa"/>
            <w:vAlign w:val="bottom"/>
          </w:tcPr>
          <w:p>
            <w:pPr>
              <w:ind w:left="140"/>
              <w:spacing w:after="0"/>
              <w:rPr>
                <w:sz w:val="20"/>
                <w:szCs w:val="20"/>
                <w:color w:val="auto"/>
              </w:rPr>
            </w:pPr>
            <w:r>
              <w:rPr>
                <w:rFonts w:ascii="Arial" w:cs="Arial" w:eastAsia="Arial" w:hAnsi="Arial"/>
                <w:sz w:val="18"/>
                <w:szCs w:val="18"/>
                <w:color w:val="auto"/>
                <w:w w:val="95"/>
              </w:rPr>
              <w:t>Amended and Restated Bylaws as currently in effect.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9"/>
              </w:rPr>
              <w:t>Certification of Kim D. Blickenstaff, Chief Executive</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4200" w:type="dxa"/>
            <w:vAlign w:val="bottom"/>
          </w:tcPr>
          <w:p>
            <w:pPr>
              <w:ind w:left="140"/>
              <w:spacing w:after="0"/>
              <w:rPr>
                <w:sz w:val="20"/>
                <w:szCs w:val="20"/>
                <w:color w:val="auto"/>
              </w:rPr>
            </w:pPr>
            <w:r>
              <w:rPr>
                <w:rFonts w:ascii="Arial" w:cs="Arial" w:eastAsia="Arial" w:hAnsi="Arial"/>
                <w:sz w:val="18"/>
                <w:szCs w:val="18"/>
                <w:color w:val="auto"/>
                <w:w w:val="92"/>
              </w:rPr>
              <w:t>Officer, pursuant to Section 302 of the Sarbanes-Oxley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7"/>
              </w:rPr>
              <w:t>Certification of John Cajigas, Chief Financial Officer,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200" w:type="dxa"/>
            <w:vAlign w:val="bottom"/>
          </w:tcPr>
          <w:p>
            <w:pPr>
              <w:ind w:left="140"/>
              <w:spacing w:after="0"/>
              <w:rPr>
                <w:sz w:val="20"/>
                <w:szCs w:val="20"/>
                <w:color w:val="auto"/>
              </w:rPr>
            </w:pPr>
            <w:r>
              <w:rPr>
                <w:rFonts w:ascii="Arial" w:cs="Arial" w:eastAsia="Arial" w:hAnsi="Arial"/>
                <w:sz w:val="18"/>
                <w:szCs w:val="18"/>
                <w:color w:val="auto"/>
                <w:w w:val="94"/>
              </w:rPr>
              <w:t>pursuant to Section 302 of the Sarbanes-Oxley Act of</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9"/>
              </w:rPr>
              <w:t>Certification of Kim D. Blickenstaff, Chief Executive</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32.1*</w:t>
            </w:r>
          </w:p>
        </w:tc>
        <w:tc>
          <w:tcPr>
            <w:tcW w:w="4200" w:type="dxa"/>
            <w:vAlign w:val="bottom"/>
          </w:tcPr>
          <w:p>
            <w:pPr>
              <w:ind w:left="140"/>
              <w:spacing w:after="0"/>
              <w:rPr>
                <w:sz w:val="20"/>
                <w:szCs w:val="20"/>
                <w:color w:val="auto"/>
              </w:rPr>
            </w:pPr>
            <w:r>
              <w:rPr>
                <w:rFonts w:ascii="Arial" w:cs="Arial" w:eastAsia="Arial" w:hAnsi="Arial"/>
                <w:sz w:val="18"/>
                <w:szCs w:val="18"/>
                <w:color w:val="auto"/>
                <w:w w:val="96"/>
              </w:rPr>
              <w:t>Officer, pursuant to U.S.C. Section 1350, as adopted</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w w:val="94"/>
              </w:rPr>
              <w:t>pursuant to Section 906 of the Sarbanes-Oxley Act of</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4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7"/>
              </w:rPr>
              <w:t>Certification of John Cajigas, Chief Financial Officer,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4200" w:type="dxa"/>
            <w:vAlign w:val="bottom"/>
          </w:tcPr>
          <w:p>
            <w:pPr>
              <w:ind w:left="140"/>
              <w:spacing w:after="0"/>
              <w:rPr>
                <w:sz w:val="20"/>
                <w:szCs w:val="20"/>
                <w:color w:val="auto"/>
              </w:rPr>
            </w:pPr>
            <w:r>
              <w:rPr>
                <w:rFonts w:ascii="Arial" w:cs="Arial" w:eastAsia="Arial" w:hAnsi="Arial"/>
                <w:sz w:val="18"/>
                <w:szCs w:val="18"/>
                <w:color w:val="auto"/>
                <w:w w:val="89"/>
              </w:rPr>
              <w:t>pursuant to U.S.C. Section 1350, as adopted pursuant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20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101.CAL</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101.DEF</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4200" w:type="dxa"/>
            <w:vAlign w:val="bottom"/>
          </w:tcPr>
          <w:p>
            <w:pPr>
              <w:ind w:left="140"/>
              <w:spacing w:after="0"/>
              <w:rPr>
                <w:sz w:val="20"/>
                <w:szCs w:val="20"/>
                <w:color w:val="auto"/>
              </w:rPr>
            </w:pPr>
            <w:r>
              <w:rPr>
                <w:rFonts w:ascii="Arial" w:cs="Arial" w:eastAsia="Arial" w:hAnsi="Arial"/>
                <w:sz w:val="18"/>
                <w:szCs w:val="18"/>
                <w:color w:val="auto"/>
                <w:w w:val="92"/>
              </w:rPr>
              <w:t>XBRL Taxonomy Extension Label Linkbase Document.</w:t>
            </w:r>
          </w:p>
        </w:tc>
        <w:tc>
          <w:tcPr>
            <w:tcW w:w="0" w:type="dxa"/>
            <w:vAlign w:val="bottom"/>
          </w:tcPr>
          <w:p>
            <w:pPr>
              <w:spacing w:after="0"/>
              <w:rPr>
                <w:sz w:val="1"/>
                <w:szCs w:val="1"/>
                <w:color w:val="auto"/>
              </w:rPr>
            </w:pPr>
          </w:p>
        </w:tc>
      </w:tr>
      <w:tr>
        <w:trPr>
          <w:trHeight w:val="124"/>
        </w:trPr>
        <w:tc>
          <w:tcPr>
            <w:tcW w:w="960" w:type="dxa"/>
            <w:vAlign w:val="bottom"/>
          </w:tcPr>
          <w:p>
            <w:pPr>
              <w:spacing w:after="0"/>
              <w:rPr>
                <w:sz w:val="10"/>
                <w:szCs w:val="10"/>
                <w:color w:val="auto"/>
              </w:rPr>
            </w:pPr>
          </w:p>
        </w:tc>
        <w:tc>
          <w:tcPr>
            <w:tcW w:w="4200" w:type="dxa"/>
            <w:vAlign w:val="bottom"/>
          </w:tcPr>
          <w:p>
            <w:pPr>
              <w:ind w:left="140"/>
              <w:spacing w:after="0" w:line="124" w:lineRule="exact"/>
              <w:rPr>
                <w:sz w:val="20"/>
                <w:szCs w:val="20"/>
                <w:color w:val="auto"/>
              </w:rPr>
            </w:pPr>
            <w:r>
              <w:rPr>
                <w:rFonts w:ascii="Arial" w:cs="Arial" w:eastAsia="Arial" w:hAnsi="Arial"/>
                <w:sz w:val="14"/>
                <w:szCs w:val="14"/>
                <w:color w:val="auto"/>
              </w:rPr>
              <w:t>XBRL Taxonomy Extension Presentation Linkbase</w:t>
            </w:r>
          </w:p>
        </w:tc>
        <w:tc>
          <w:tcPr>
            <w:tcW w:w="0" w:type="dxa"/>
            <w:vAlign w:val="bottom"/>
          </w:tcPr>
          <w:p>
            <w:pPr>
              <w:spacing w:after="0"/>
              <w:rPr>
                <w:sz w:val="1"/>
                <w:szCs w:val="1"/>
                <w:color w:val="auto"/>
              </w:rPr>
            </w:pPr>
          </w:p>
        </w:tc>
      </w:tr>
    </w:tbl>
    <w:p>
      <w:pPr>
        <w:ind w:left="140"/>
        <w:spacing w:after="0"/>
        <w:tabs>
          <w:tab w:leader="none" w:pos="1080" w:val="left"/>
        </w:tabs>
        <w:rPr>
          <w:sz w:val="20"/>
          <w:szCs w:val="20"/>
          <w:color w:val="auto"/>
        </w:rPr>
      </w:pPr>
      <w:r>
        <w:rPr>
          <w:rFonts w:ascii="Arial" w:cs="Arial" w:eastAsia="Arial" w:hAnsi="Arial"/>
          <w:sz w:val="36"/>
          <w:szCs w:val="36"/>
          <w:color w:val="auto"/>
          <w:vertAlign w:val="superscript"/>
        </w:rPr>
        <w:t>101.PRE</w:t>
      </w:r>
      <w:r>
        <w:rPr>
          <w:sz w:val="20"/>
          <w:szCs w:val="20"/>
          <w:color w:val="auto"/>
        </w:rPr>
        <w:tab/>
      </w:r>
      <w:r>
        <w:rPr>
          <w:rFonts w:ascii="Arial" w:cs="Arial" w:eastAsia="Arial" w:hAnsi="Arial"/>
          <w:sz w:val="16"/>
          <w:szCs w:val="16"/>
          <w:color w:val="auto"/>
        </w:rPr>
        <w:t>Document.</w:t>
      </w:r>
    </w:p>
    <w:p>
      <w:pPr>
        <w:spacing w:after="0" w:line="11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any, 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Incorporated by Reference</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Date of First</w:t>
            </w:r>
          </w:p>
        </w:tc>
        <w:tc>
          <w:tcPr>
            <w:tcW w:w="10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80" w:type="dxa"/>
            <w:vAlign w:val="bottom"/>
          </w:tcPr>
          <w:p>
            <w:pPr>
              <w:ind w:left="360"/>
              <w:spacing w:after="0"/>
              <w:rPr>
                <w:sz w:val="20"/>
                <w:szCs w:val="20"/>
                <w:color w:val="auto"/>
              </w:rPr>
            </w:pPr>
            <w:r>
              <w:rPr>
                <w:rFonts w:ascii="Arial" w:cs="Arial" w:eastAsia="Arial" w:hAnsi="Arial"/>
                <w:sz w:val="18"/>
                <w:szCs w:val="18"/>
                <w:b w:val="1"/>
                <w:bCs w:val="1"/>
                <w:color w:val="auto"/>
              </w:rPr>
              <w:t>Form</w:t>
            </w:r>
          </w:p>
        </w:tc>
        <w:tc>
          <w:tcPr>
            <w:tcW w:w="172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File No.</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338"/>
        </w:trPr>
        <w:tc>
          <w:tcPr>
            <w:tcW w:w="880" w:type="dxa"/>
            <w:vAlign w:val="bottom"/>
          </w:tcPr>
          <w:p>
            <w:pPr>
              <w:ind w:left="360"/>
              <w:spacing w:after="0"/>
              <w:rPr>
                <w:sz w:val="20"/>
                <w:szCs w:val="20"/>
                <w:color w:val="auto"/>
              </w:rPr>
            </w:pPr>
            <w:r>
              <w:rPr>
                <w:rFonts w:ascii="Arial" w:cs="Arial" w:eastAsia="Arial" w:hAnsi="Arial"/>
                <w:sz w:val="18"/>
                <w:szCs w:val="18"/>
                <w:color w:val="auto"/>
              </w:rPr>
              <w:t>S-1/A</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tcPr>
          <w:p>
            <w:pPr>
              <w:ind w:left="360"/>
              <w:spacing w:after="0"/>
              <w:rPr>
                <w:sz w:val="20"/>
                <w:szCs w:val="20"/>
                <w:color w:val="auto"/>
              </w:rPr>
            </w:pPr>
            <w:r>
              <w:rPr>
                <w:rFonts w:ascii="Arial" w:cs="Arial" w:eastAsia="Arial" w:hAnsi="Arial"/>
                <w:sz w:val="18"/>
                <w:szCs w:val="18"/>
                <w:color w:val="auto"/>
              </w:rPr>
              <w:t>S-1/A</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728" w:lineRule="exact"/>
        <w:rPr>
          <w:sz w:val="20"/>
          <w:szCs w:val="20"/>
          <w:color w:val="auto"/>
        </w:rPr>
      </w:pPr>
    </w:p>
    <w:p>
      <w:pPr>
        <w:sectPr>
          <w:pgSz w:w="11900" w:h="16838" w:orient="portrait"/>
          <w:cols w:equalWidth="0" w:num="2">
            <w:col w:w="5160" w:space="260"/>
            <w:col w:w="5920"/>
          </w:cols>
          <w:pgMar w:left="240" w:top="121" w:right="319" w:bottom="1440" w:gutter="0" w:footer="0" w:header="0"/>
        </w:sectPr>
      </w:pPr>
    </w:p>
    <w:p>
      <w:pPr>
        <w:spacing w:after="0" w:line="37" w:lineRule="exact"/>
        <w:rPr>
          <w:sz w:val="20"/>
          <w:szCs w:val="20"/>
          <w:color w:val="auto"/>
        </w:rPr>
      </w:pPr>
    </w:p>
    <w:p>
      <w:pPr>
        <w:ind w:left="520" w:right="100" w:hanging="512"/>
        <w:spacing w:after="0" w:line="26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7400" w:type="dxa"/>
            <w:vAlign w:val="bottom"/>
            <w:gridSpan w:val="2"/>
          </w:tcPr>
          <w:p>
            <w:pPr>
              <w:ind w:left="2140"/>
              <w:spacing w:after="0"/>
              <w:rPr>
                <w:sz w:val="20"/>
                <w:szCs w:val="20"/>
                <w:color w:val="auto"/>
              </w:rPr>
            </w:pPr>
            <w:r>
              <w:rPr>
                <w:rFonts w:ascii="Arial" w:cs="Arial" w:eastAsia="Arial" w:hAnsi="Arial"/>
                <w:sz w:val="18"/>
                <w:szCs w:val="18"/>
                <w:color w:val="auto"/>
              </w:rPr>
              <w:t>Tandem Diabetes Care, Inc.</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Dated: November 1, 2016</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4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4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40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402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Cajigas</w:t>
            </w:r>
          </w:p>
        </w:tc>
      </w:tr>
      <w:tr>
        <w:trPr>
          <w:trHeight w:val="211"/>
        </w:trPr>
        <w:tc>
          <w:tcPr>
            <w:tcW w:w="4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John Cajigas</w:t>
            </w:r>
          </w:p>
        </w:tc>
      </w:tr>
    </w:tbl>
    <w:p>
      <w:pPr>
        <w:ind w:left="6620"/>
        <w:spacing w:after="0"/>
        <w:rPr>
          <w:sz w:val="20"/>
          <w:szCs w:val="20"/>
          <w:color w:val="auto"/>
        </w:rPr>
      </w:pPr>
      <w:r>
        <w:rPr>
          <w:rFonts w:ascii="Arial" w:cs="Arial" w:eastAsia="Arial" w:hAnsi="Arial"/>
          <w:sz w:val="17"/>
          <w:szCs w:val="17"/>
          <w:color w:val="auto"/>
        </w:rPr>
        <w:t>Executive Vice President, Chief Financial Officer and Treasurer</w:t>
      </w:r>
    </w:p>
    <w:p>
      <w:pPr>
        <w:spacing w:after="0" w:line="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2"/>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2"/>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2"/>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526"/>
        <w:spacing w:after="0" w:line="277" w:lineRule="auto"/>
        <w:tabs>
          <w:tab w:leader="none" w:pos="70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7" w:lineRule="auto"/>
        <w:tabs>
          <w:tab w:leader="none" w:pos="71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D. Blickenstaff</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-130175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Cajigas,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2"/>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2"/>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2"/>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526"/>
        <w:spacing w:after="0" w:line="277" w:lineRule="auto"/>
        <w:tabs>
          <w:tab w:leader="none" w:pos="70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7" w:lineRule="auto"/>
        <w:tabs>
          <w:tab w:leader="none" w:pos="71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Cajigas</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-130175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2016,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2016</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September 30, 2016, as filed with the Securities and Exchange Commission on the date hereof (the “Report”), I, John Cajigas,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2016</w:t>
      </w:r>
      <w:r>
        <w:rPr>
          <w:sz w:val="20"/>
          <w:szCs w:val="20"/>
          <w:color w:val="auto"/>
        </w:rPr>
        <w:tab/>
      </w:r>
      <w:r>
        <w:rPr>
          <w:rFonts w:ascii="Arial" w:cs="Arial" w:eastAsia="Arial" w:hAnsi="Arial"/>
          <w:sz w:val="16"/>
          <w:szCs w:val="16"/>
          <w:color w:val="auto"/>
        </w:rPr>
        <w:t>/s/ John Cajigas</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Ÿ"/>
      <w:numFmt w:val="bullet"/>
      <w:start w:val="1"/>
    </w:lvl>
  </w:abstractNum>
  <w:abstractNum w:abstractNumId="12">
    <w:nsid w:val="189A769B"/>
    <w:multiLevelType w:val="hybridMultilevel"/>
    <w:lvl w:ilvl="0">
      <w:lvlJc w:val="left"/>
      <w:lvlText w:val="Ÿ"/>
      <w:numFmt w:val="bullet"/>
      <w:start w:val="1"/>
    </w:lvl>
  </w:abstractNum>
  <w:abstractNum w:abstractNumId="13">
    <w:nsid w:val="54E49EB4"/>
    <w:multiLevelType w:val="hybridMultilevel"/>
    <w:lvl w:ilvl="0">
      <w:lvlJc w:val="left"/>
      <w:lvlText w:val="Ÿ"/>
      <w:numFmt w:val="bullet"/>
      <w:start w:val="1"/>
    </w:lvl>
  </w:abstractNum>
  <w:abstractNum w:abstractNumId="14">
    <w:nsid w:val="71F32454"/>
    <w:multiLevelType w:val="hybridMultilevel"/>
    <w:lvl w:ilvl="0">
      <w:lvlJc w:val="left"/>
      <w:lvlText w:val="Ÿ"/>
      <w:numFmt w:val="bullet"/>
      <w:start w:val="1"/>
    </w:lvl>
  </w:abstractNum>
  <w:abstractNum w:abstractNumId="15">
    <w:nsid w:val="2CA88611"/>
    <w:multiLevelType w:val="hybridMultilevel"/>
    <w:lvl w:ilvl="0">
      <w:lvlJc w:val="left"/>
      <w:lvlText w:val="Ÿ"/>
      <w:numFmt w:val="bullet"/>
      <w:start w:val="1"/>
    </w:lvl>
  </w:abstractNum>
  <w:abstractNum w:abstractNumId="16">
    <w:nsid w:val="836C40E"/>
    <w:multiLevelType w:val="hybridMultilevel"/>
    <w:lvl w:ilvl="0">
      <w:lvlJc w:val="left"/>
      <w:lvlText w:val="Ÿ"/>
      <w:numFmt w:val="bullet"/>
      <w:start w:val="1"/>
    </w:lvl>
  </w:abstractNum>
  <w:abstractNum w:abstractNumId="17">
    <w:nsid w:val="2901D82"/>
    <w:multiLevelType w:val="hybridMultilevel"/>
    <w:lvl w:ilvl="0">
      <w:lvlJc w:val="left"/>
      <w:lvlText w:val="Ÿ"/>
      <w:numFmt w:val="bullet"/>
      <w:start w:val="1"/>
    </w:lvl>
  </w:abstractNum>
  <w:abstractNum w:abstractNumId="18">
    <w:nsid w:val="3A95F874"/>
    <w:multiLevelType w:val="hybridMultilevel"/>
    <w:lvl w:ilvl="0">
      <w:lvlJc w:val="left"/>
      <w:lvlText w:val="Ÿ"/>
      <w:numFmt w:val="bullet"/>
      <w:start w:val="1"/>
    </w:lvl>
  </w:abstractNum>
  <w:abstractNum w:abstractNumId="19">
    <w:nsid w:val="8138641"/>
    <w:multiLevelType w:val="hybridMultilevel"/>
    <w:lvl w:ilvl="0">
      <w:lvlJc w:val="left"/>
      <w:lvlText w:val="Ÿ"/>
      <w:numFmt w:val="bullet"/>
      <w:start w:val="1"/>
    </w:lvl>
  </w:abstractNum>
  <w:abstractNum w:abstractNumId="20">
    <w:nsid w:val="1E7FF521"/>
    <w:multiLevelType w:val="hybridMultilevel"/>
    <w:lvl w:ilvl="0">
      <w:lvlJc w:val="left"/>
      <w:lvlText w:val="Ÿ"/>
      <w:numFmt w:val="bullet"/>
      <w:start w:val="1"/>
    </w:lvl>
  </w:abstractNum>
  <w:abstractNum w:abstractNumId="21">
    <w:nsid w:val="7C3DBD3D"/>
    <w:multiLevelType w:val="hybridMultilevel"/>
    <w:lvl w:ilvl="0">
      <w:lvlJc w:val="left"/>
      <w:lvlText w:val="Ÿ"/>
      <w:numFmt w:val="bullet"/>
      <w:start w:val="1"/>
    </w:lvl>
  </w:abstractNum>
  <w:abstractNum w:abstractNumId="22">
    <w:nsid w:val="737B8DDC"/>
    <w:multiLevelType w:val="hybridMultilevel"/>
    <w:lvl w:ilvl="0">
      <w:lvlJc w:val="left"/>
      <w:lvlText w:val="Ÿ"/>
      <w:numFmt w:val="bullet"/>
      <w:start w:val="1"/>
    </w:lvl>
  </w:abstractNum>
  <w:abstractNum w:abstractNumId="23">
    <w:nsid w:val="6CEAF087"/>
    <w:multiLevelType w:val="hybridMultilevel"/>
    <w:lvl w:ilvl="0">
      <w:lvlJc w:val="left"/>
      <w:lvlText w:val="Ÿ"/>
      <w:numFmt w:val="bullet"/>
      <w:start w:val="1"/>
    </w:lvl>
  </w:abstractNum>
  <w:abstractNum w:abstractNumId="24">
    <w:nsid w:val="22221A70"/>
    <w:multiLevelType w:val="hybridMultilevel"/>
    <w:lvl w:ilvl="0">
      <w:lvlJc w:val="left"/>
      <w:lvlText w:val="Ÿ"/>
      <w:numFmt w:val="bullet"/>
      <w:start w:val="1"/>
    </w:lvl>
  </w:abstractNum>
  <w:abstractNum w:abstractNumId="25">
    <w:nsid w:val="4516DDE9"/>
    <w:multiLevelType w:val="hybridMultilevel"/>
    <w:lvl w:ilvl="0">
      <w:lvlJc w:val="left"/>
      <w:lvlText w:val="Ÿ"/>
      <w:numFmt w:val="bullet"/>
      <w:start w:val="1"/>
    </w:lvl>
  </w:abstractNum>
  <w:abstractNum w:abstractNumId="26">
    <w:nsid w:val="3006C83E"/>
    <w:multiLevelType w:val="hybridMultilevel"/>
    <w:lvl w:ilvl="0">
      <w:lvlJc w:val="left"/>
      <w:lvlText w:val="Ÿ"/>
      <w:numFmt w:val="bullet"/>
      <w:start w:val="1"/>
    </w:lvl>
  </w:abstractNum>
  <w:abstractNum w:abstractNumId="27">
    <w:nsid w:val="614FD4A1"/>
    <w:multiLevelType w:val="hybridMultilevel"/>
    <w:lvl w:ilvl="0">
      <w:lvlJc w:val="left"/>
      <w:lvlText w:val="Ÿ"/>
      <w:numFmt w:val="bullet"/>
      <w:start w:val="1"/>
    </w:lvl>
  </w:abstractNum>
  <w:abstractNum w:abstractNumId="28">
    <w:nsid w:val="419AC241"/>
    <w:multiLevelType w:val="hybridMultilevel"/>
    <w:lvl w:ilvl="0">
      <w:lvlJc w:val="left"/>
      <w:lvlText w:val="Ÿ"/>
      <w:numFmt w:val="bullet"/>
      <w:start w:val="1"/>
    </w:lvl>
  </w:abstractNum>
  <w:abstractNum w:abstractNumId="29">
    <w:nsid w:val="5577F8E1"/>
    <w:multiLevelType w:val="hybridMultilevel"/>
    <w:lvl w:ilvl="0">
      <w:lvlJc w:val="left"/>
      <w:lvlText w:val="Ÿ"/>
      <w:numFmt w:val="bullet"/>
      <w:start w:val="1"/>
    </w:lvl>
  </w:abstractNum>
  <w:abstractNum w:abstractNumId="30">
    <w:nsid w:val="440BADFC"/>
    <w:multiLevelType w:val="hybridMultilevel"/>
    <w:lvl w:ilvl="0">
      <w:lvlJc w:val="left"/>
      <w:lvlText w:val="Ÿ"/>
      <w:numFmt w:val="bullet"/>
      <w:start w:val="1"/>
    </w:lvl>
  </w:abstractNum>
  <w:abstractNum w:abstractNumId="31">
    <w:nsid w:val="5072367"/>
    <w:multiLevelType w:val="hybridMultilevel"/>
    <w:lvl w:ilvl="0">
      <w:lvlJc w:val="left"/>
      <w:lvlText w:val="Ÿ"/>
      <w:numFmt w:val="bullet"/>
      <w:start w:val="1"/>
    </w:lvl>
  </w:abstractNum>
  <w:abstractNum w:abstractNumId="32">
    <w:nsid w:val="3804823E"/>
    <w:multiLevelType w:val="hybridMultilevel"/>
    <w:lvl w:ilvl="0">
      <w:lvlJc w:val="left"/>
      <w:lvlText w:val="Ÿ"/>
      <w:numFmt w:val="bullet"/>
      <w:start w:val="1"/>
    </w:lvl>
  </w:abstractNum>
  <w:abstractNum w:abstractNumId="33">
    <w:nsid w:val="77465F01"/>
    <w:multiLevelType w:val="hybridMultilevel"/>
    <w:lvl w:ilvl="0">
      <w:lvlJc w:val="left"/>
      <w:lvlText w:val="Ÿ"/>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2019-12-29T10:09:58Z</dcterms:created>
  <dcterms:modified xsi:type="dcterms:W3CDTF">2019-12-29T10:09:58Z</dcterms:modified>
</cp:coreProperties>
</file>