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8" w:lineRule="exact"/>
        <w:rPr>
          <w:sz w:val="24"/>
          <w:szCs w:val="24"/>
          <w:color w:val="auto"/>
        </w:rPr>
      </w:pPr>
    </w:p>
    <w:p>
      <w:pPr>
        <w:ind w:left="600" w:hanging="457"/>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0"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604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760" w:type="dxa"/>
            <w:vAlign w:val="bottom"/>
          </w:tcPr>
          <w:p>
            <w:pPr>
              <w:jc w:val="right"/>
              <w:ind w:right="61"/>
              <w:spacing w:after="0"/>
              <w:rPr>
                <w:sz w:val="20"/>
                <w:szCs w:val="20"/>
                <w:color w:val="auto"/>
              </w:rPr>
            </w:pPr>
            <w:r>
              <w:rPr>
                <w:rFonts w:ascii="Arial" w:cs="Arial" w:eastAsia="Arial" w:hAnsi="Arial"/>
                <w:sz w:val="18"/>
                <w:szCs w:val="18"/>
                <w:b w:val="1"/>
                <w:bCs w:val="1"/>
                <w:color w:val="auto"/>
              </w:rPr>
              <w:t>20-4327508</w:t>
            </w:r>
          </w:p>
        </w:tc>
      </w:tr>
      <w:tr>
        <w:trPr>
          <w:trHeight w:val="148"/>
        </w:trPr>
        <w:tc>
          <w:tcPr>
            <w:tcW w:w="6040" w:type="dxa"/>
            <w:vAlign w:val="bottom"/>
          </w:tcPr>
          <w:p>
            <w:pPr>
              <w:jc w:val="center"/>
              <w:ind w:right="35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760" w:type="dxa"/>
            <w:vAlign w:val="bottom"/>
          </w:tcPr>
          <w:p>
            <w:pPr>
              <w:jc w:val="center"/>
              <w:ind w:left="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40" w:type="dxa"/>
            <w:vAlign w:val="bottom"/>
          </w:tcPr>
          <w:p>
            <w:pPr>
              <w:jc w:val="center"/>
              <w:ind w:right="3559"/>
              <w:spacing w:after="0"/>
              <w:rPr>
                <w:sz w:val="20"/>
                <w:szCs w:val="20"/>
                <w:color w:val="auto"/>
              </w:rPr>
            </w:pPr>
            <w:r>
              <w:rPr>
                <w:rFonts w:ascii="Arial" w:cs="Arial" w:eastAsia="Arial" w:hAnsi="Arial"/>
                <w:sz w:val="14"/>
                <w:szCs w:val="14"/>
                <w:b w:val="1"/>
                <w:bCs w:val="1"/>
                <w:color w:val="auto"/>
                <w:w w:val="94"/>
              </w:rPr>
              <w:t>incorporation or organization)</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6"/>
              </w:rPr>
              <w:t>Identification No.)</w:t>
            </w:r>
          </w:p>
        </w:tc>
      </w:tr>
      <w:tr>
        <w:trPr>
          <w:trHeight w:val="232"/>
        </w:trPr>
        <w:tc>
          <w:tcPr>
            <w:tcW w:w="604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12400 High Bluff Drive</w:t>
            </w: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92130</w:t>
            </w:r>
          </w:p>
        </w:tc>
      </w:tr>
      <w:tr>
        <w:trPr>
          <w:trHeight w:val="229"/>
        </w:trPr>
        <w:tc>
          <w:tcPr>
            <w:tcW w:w="6040" w:type="dxa"/>
            <w:vAlign w:val="bottom"/>
          </w:tcPr>
          <w:p>
            <w:pPr>
              <w:ind w:left="420"/>
              <w:spacing w:after="0"/>
              <w:rPr>
                <w:sz w:val="20"/>
                <w:szCs w:val="20"/>
                <w:color w:val="auto"/>
              </w:rPr>
            </w:pPr>
            <w:r>
              <w:rPr>
                <w:rFonts w:ascii="Arial" w:cs="Arial" w:eastAsia="Arial" w:hAnsi="Arial"/>
                <w:sz w:val="18"/>
                <w:szCs w:val="18"/>
                <w:b w:val="1"/>
                <w:bCs w:val="1"/>
                <w:color w:val="auto"/>
              </w:rPr>
              <w:t>San Diego, California</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040" w:type="dxa"/>
            <w:vAlign w:val="bottom"/>
          </w:tcPr>
          <w:p>
            <w:pPr>
              <w:jc w:val="center"/>
              <w:ind w:right="3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60" w:type="dxa"/>
            <w:vAlign w:val="bottom"/>
          </w:tcPr>
          <w:p>
            <w:pPr>
              <w:spacing w:after="0"/>
              <w:rPr>
                <w:sz w:val="16"/>
                <w:szCs w:val="16"/>
                <w:color w:val="auto"/>
              </w:rPr>
            </w:pPr>
          </w:p>
        </w:tc>
      </w:tr>
      <w:tr>
        <w:trPr>
          <w:trHeight w:val="313"/>
        </w:trPr>
        <w:tc>
          <w:tcPr>
            <w:tcW w:w="6040" w:type="dxa"/>
            <w:vAlign w:val="bottom"/>
          </w:tcPr>
          <w:p>
            <w:pPr>
              <w:jc w:val="right"/>
              <w:ind w:right="1619"/>
              <w:spacing w:after="0"/>
              <w:rPr>
                <w:sz w:val="20"/>
                <w:szCs w:val="20"/>
                <w:color w:val="auto"/>
              </w:rPr>
            </w:pPr>
            <w:r>
              <w:rPr>
                <w:rFonts w:ascii="Arial" w:cs="Arial" w:eastAsia="Arial" w:hAnsi="Arial"/>
                <w:sz w:val="18"/>
                <w:szCs w:val="18"/>
                <w:b w:val="1"/>
                <w:bCs w:val="1"/>
                <w:color w:val="auto"/>
              </w:rPr>
              <w:t>(858) 366-6900</w:t>
            </w:r>
          </w:p>
        </w:tc>
        <w:tc>
          <w:tcPr>
            <w:tcW w:w="1760" w:type="dxa"/>
            <w:vAlign w:val="bottom"/>
          </w:tcPr>
          <w:p>
            <w:pPr>
              <w:spacing w:after="0"/>
              <w:rPr>
                <w:sz w:val="24"/>
                <w:szCs w:val="24"/>
                <w:color w:val="auto"/>
              </w:rPr>
            </w:pPr>
          </w:p>
        </w:tc>
      </w:tr>
      <w:tr>
        <w:trPr>
          <w:trHeight w:val="186"/>
        </w:trPr>
        <w:tc>
          <w:tcPr>
            <w:tcW w:w="6040" w:type="dxa"/>
            <w:vAlign w:val="bottom"/>
          </w:tcPr>
          <w:p>
            <w:pPr>
              <w:jc w:val="center"/>
              <w:ind w:left="14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bl>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6"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63"/>
        </w:trPr>
        <w:tc>
          <w:tcPr>
            <w:tcW w:w="3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420" w:type="dxa"/>
            <w:vAlign w:val="bottom"/>
          </w:tcPr>
          <w:p>
            <w:pPr>
              <w:spacing w:after="0"/>
              <w:rPr>
                <w:sz w:val="22"/>
                <w:szCs w:val="22"/>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TNDM</w:t>
            </w:r>
          </w:p>
        </w:tc>
        <w:tc>
          <w:tcPr>
            <w:tcW w:w="8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1340"/>
              <w:spacing w:after="0"/>
              <w:rPr>
                <w:sz w:val="20"/>
                <w:szCs w:val="20"/>
                <w:color w:val="auto"/>
              </w:rPr>
            </w:pPr>
            <w:r>
              <w:rPr>
                <w:rFonts w:ascii="Arial" w:cs="Arial" w:eastAsia="Arial" w:hAnsi="Arial"/>
                <w:sz w:val="14"/>
                <w:szCs w:val="14"/>
                <w:color w:val="auto"/>
              </w:rPr>
              <w:t>x</w:t>
            </w:r>
          </w:p>
        </w:tc>
        <w:tc>
          <w:tcPr>
            <w:tcW w:w="4020" w:type="dxa"/>
            <w:vAlign w:val="bottom"/>
          </w:tcPr>
          <w:p>
            <w:pPr>
              <w:ind w:left="124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24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6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020" w:type="dxa"/>
            <w:vAlign w:val="bottom"/>
          </w:tcPr>
          <w:p>
            <w:pPr>
              <w:ind w:left="124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0" w:lineRule="exact"/>
        <w:rPr>
          <w:sz w:val="24"/>
          <w:szCs w:val="24"/>
          <w:color w:val="auto"/>
        </w:rPr>
      </w:pPr>
    </w:p>
    <w:p>
      <w:pPr>
        <w:jc w:val="both"/>
        <w:ind w:right="54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ind w:left="820"/>
        <w:spacing w:after="0"/>
        <w:rPr>
          <w:sz w:val="20"/>
          <w:szCs w:val="20"/>
          <w:color w:val="auto"/>
        </w:rPr>
      </w:pPr>
      <w:r>
        <w:rPr>
          <w:rFonts w:ascii="Arial" w:cs="Arial" w:eastAsia="Arial" w:hAnsi="Arial"/>
          <w:sz w:val="14"/>
          <w:szCs w:val="14"/>
          <w:color w:val="auto"/>
        </w:rPr>
        <w:t>As of October 26, 2023, there were 65,209,703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123825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9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22"/>
        </w:trPr>
        <w:tc>
          <w:tcPr>
            <w:tcW w:w="76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Financial Information</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Financial Statements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Balance Sheets at September 30, 2023 (Unaudited) and December 31, 2022</w:t>
            </w:r>
          </w:p>
        </w:tc>
        <w:tc>
          <w:tcPr>
            <w:tcW w:w="18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1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75"/>
        </w:trPr>
        <w:tc>
          <w:tcPr>
            <w:tcW w:w="760" w:type="dxa"/>
            <w:vAlign w:val="bottom"/>
            <w:tcBorders>
              <w:top w:val="single" w:sz="8" w:color="CCEEFF"/>
            </w:tcBorders>
          </w:tcPr>
          <w:p>
            <w:pPr>
              <w:spacing w:after="0"/>
              <w:rPr>
                <w:sz w:val="15"/>
                <w:szCs w:val="15"/>
                <w:color w:val="auto"/>
              </w:rPr>
            </w:pPr>
          </w:p>
        </w:tc>
        <w:tc>
          <w:tcPr>
            <w:tcW w:w="990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w w:val="92"/>
              </w:rPr>
              <w:t>Condensed Consolidated Statements of Operations and Comprehensive Loss for the Three and Nine Months Ended September 30,</w:t>
            </w: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60" w:type="dxa"/>
            <w:vAlign w:val="bottom"/>
          </w:tcPr>
          <w:p>
            <w:pPr>
              <w:spacing w:after="0"/>
              <w:rPr>
                <w:sz w:val="17"/>
                <w:szCs w:val="17"/>
                <w:color w:val="auto"/>
              </w:rPr>
            </w:pPr>
          </w:p>
        </w:tc>
        <w:tc>
          <w:tcPr>
            <w:tcW w:w="9900" w:type="dxa"/>
            <w:vAlign w:val="bottom"/>
          </w:tcPr>
          <w:p>
            <w:pPr>
              <w:ind w:left="140"/>
              <w:spacing w:after="0" w:line="202" w:lineRule="exact"/>
              <w:rPr>
                <w:sz w:val="20"/>
                <w:szCs w:val="20"/>
                <w:color w:val="auto"/>
              </w:rPr>
            </w:pPr>
            <w:r>
              <w:rPr>
                <w:rFonts w:ascii="Arial" w:cs="Arial" w:eastAsia="Arial" w:hAnsi="Arial"/>
                <w:sz w:val="18"/>
                <w:szCs w:val="18"/>
                <w:color w:val="auto"/>
              </w:rPr>
              <w:t>2023 and 2022 (Unaudited)</w:t>
            </w:r>
          </w:p>
        </w:tc>
        <w:tc>
          <w:tcPr>
            <w:tcW w:w="180" w:type="dxa"/>
            <w:vAlign w:val="bottom"/>
            <w:gridSpan w:val="3"/>
          </w:tcPr>
          <w:p>
            <w:pPr>
              <w:jc w:val="center"/>
              <w:spacing w:after="0" w:line="202" w:lineRule="exact"/>
              <w:rPr>
                <w:sz w:val="20"/>
                <w:szCs w:val="20"/>
                <w:color w:val="auto"/>
              </w:rPr>
            </w:pPr>
            <w:r>
              <w:rPr>
                <w:rFonts w:ascii="Arial" w:cs="Arial" w:eastAsia="Arial" w:hAnsi="Arial"/>
                <w:sz w:val="18"/>
                <w:szCs w:val="18"/>
                <w:color w:val="0000FF"/>
                <w:w w:val="99"/>
              </w:rPr>
              <w:t>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9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Condensed Consolidated Statements of Stockholders’ Equity for the Three and Nine Months Ended September 30, 2023 and 2022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r>
      <w:tr>
        <w:trPr>
          <w:trHeight w:val="223"/>
        </w:trPr>
        <w:tc>
          <w:tcPr>
            <w:tcW w:w="760" w:type="dxa"/>
            <w:vAlign w:val="bottom"/>
            <w:tcBorders>
              <w:bottom w:val="single" w:sz="8" w:color="CCEEFF"/>
            </w:tcBorders>
            <w:shd w:val="clear" w:color="auto" w:fill="CCEEFF"/>
          </w:tcPr>
          <w:p>
            <w:pPr>
              <w:spacing w:after="0"/>
              <w:rPr>
                <w:sz w:val="19"/>
                <w:szCs w:val="19"/>
                <w:color w:val="auto"/>
              </w:rPr>
            </w:pPr>
          </w:p>
        </w:tc>
        <w:tc>
          <w:tcPr>
            <w:tcW w:w="99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(Unaudited)</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99"/>
              </w:rPr>
              <w:t>3</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189"/>
        </w:trPr>
        <w:tc>
          <w:tcPr>
            <w:tcW w:w="760" w:type="dxa"/>
            <w:vAlign w:val="bottom"/>
          </w:tcPr>
          <w:p>
            <w:pPr>
              <w:spacing w:after="0"/>
              <w:rPr>
                <w:sz w:val="16"/>
                <w:szCs w:val="16"/>
                <w:color w:val="auto"/>
              </w:rPr>
            </w:pP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w w:val="99"/>
              </w:rPr>
              <w:t>Condensed Consolidated Statements of Cash Flows for the Nine Months Ended September 30, 2023 and 2022 (Unaudited)</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Unaudited Condensed Consolidated Financial Statements</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24</w:t>
            </w: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38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38</w:t>
            </w:r>
          </w:p>
        </w:tc>
        <w:tc>
          <w:tcPr>
            <w:tcW w:w="22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9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Pr>
          <w:p>
            <w:pPr>
              <w:spacing w:after="0"/>
              <w:rPr>
                <w:sz w:val="23"/>
                <w:szCs w:val="23"/>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Other Information</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40</w:t>
            </w: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Risk Factors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40</w:t>
            </w:r>
          </w:p>
        </w:tc>
        <w:tc>
          <w:tcPr>
            <w:tcW w:w="22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Exhibits</w:t>
            </w:r>
          </w:p>
        </w:tc>
        <w:tc>
          <w:tcPr>
            <w:tcW w:w="360" w:type="dxa"/>
            <w:vAlign w:val="bottom"/>
            <w:gridSpan w:val="4"/>
          </w:tcPr>
          <w:p>
            <w:pPr>
              <w:jc w:val="center"/>
              <w:ind w:right="180"/>
              <w:spacing w:after="0" w:line="189" w:lineRule="exact"/>
              <w:rPr>
                <w:sz w:val="20"/>
                <w:szCs w:val="20"/>
                <w:color w:val="auto"/>
              </w:rPr>
            </w:pPr>
            <w:r>
              <w:rPr>
                <w:rFonts w:ascii="Arial" w:cs="Arial" w:eastAsia="Arial" w:hAnsi="Arial"/>
                <w:sz w:val="18"/>
                <w:szCs w:val="18"/>
                <w:color w:val="0000FF"/>
                <w:w w:val="89"/>
              </w:rPr>
              <w:t>47</w:t>
            </w:r>
          </w:p>
        </w:tc>
        <w:tc>
          <w:tcPr>
            <w:tcW w:w="220" w:type="dxa"/>
            <w:vAlign w:val="bottom"/>
          </w:tcPr>
          <w:p>
            <w:pPr>
              <w:spacing w:after="0"/>
              <w:rPr>
                <w:sz w:val="16"/>
                <w:szCs w:val="16"/>
                <w:color w:val="auto"/>
              </w:rPr>
            </w:pPr>
          </w:p>
        </w:tc>
      </w:tr>
      <w:tr>
        <w:trPr>
          <w:trHeight w:val="1472"/>
        </w:trPr>
        <w:tc>
          <w:tcPr>
            <w:tcW w:w="76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r>
      <w:tr>
        <w:trPr>
          <w:trHeight w:val="203"/>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2"/>
              <w:spacing w:after="0"/>
              <w:rPr>
                <w:sz w:val="20"/>
                <w:szCs w:val="20"/>
                <w:color w:val="auto"/>
              </w:rPr>
            </w:pPr>
            <w:r>
              <w:rPr>
                <w:rFonts w:ascii="Arial" w:cs="Arial" w:eastAsia="Arial" w:hAnsi="Arial"/>
                <w:sz w:val="14"/>
                <w:szCs w:val="14"/>
                <w:b w:val="1"/>
                <w:bCs w:val="1"/>
                <w:color w:val="auto"/>
                <w:w w:val="92"/>
              </w:rPr>
              <w:t>(Note 1)</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172,517</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418,547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444,384</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114,717</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111,117</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849,976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68,552</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110,626</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1,052,785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55,730</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9,595</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Employee-related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38,682</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13,121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29,325</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165,290</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Convertible senior notes, net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284,580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283,232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Deferred revenue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16,874</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625,909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612,838</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6"/>
        </w:trPr>
        <w:tc>
          <w:tcPr>
            <w:tcW w:w="8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Common stock, $0.001 par value; 200,000 shares authorized, 65,191 and 64,513 shares issued and outstanding</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September 30, 2023 and December 31, 2022, respectively.</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1,237,939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1,170,888</w:t>
            </w: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30"/>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(729,189)</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439,947</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1,052,785</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580,716</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283,252</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297,464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237,989</w:t>
            </w:r>
          </w:p>
        </w:tc>
        <w:tc>
          <w:tcPr>
            <w:tcW w:w="0" w:type="dxa"/>
            <w:vAlign w:val="bottom"/>
          </w:tcPr>
          <w:p>
            <w:pPr>
              <w:spacing w:after="0"/>
              <w:rPr>
                <w:sz w:val="1"/>
                <w:szCs w:val="1"/>
                <w:color w:val="auto"/>
              </w:rPr>
            </w:pP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36,798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127,063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103,529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Acquired in-process research and development expenses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121,298</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151,918</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472,565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372,534</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(75,070)</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other,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(47,349)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(188,944)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(76,738)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(48,970)</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(78,741)</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Unrealized gain (loss) on 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(49,752)</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(83,189)</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Net loss per share - 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Weighted average shares used to compute basic net loss per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65,117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64,236</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64,834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64,066</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to compute diluted net loss per</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65,117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64,237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64,834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64,067</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16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2023</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65,062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CFF0FC"/>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9"/>
              </w:rPr>
              <w:t>65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1,219,199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(1,193)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(888,837)</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329,234</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shd w:val="clear" w:color="auto" w:fill="CFF0FC"/>
          </w:tcPr>
          <w:p>
            <w:pPr>
              <w:ind w:left="180"/>
              <w:spacing w:after="0" w:line="135" w:lineRule="exact"/>
              <w:rPr>
                <w:sz w:val="20"/>
                <w:szCs w:val="20"/>
                <w:color w:val="auto"/>
              </w:rPr>
            </w:pPr>
            <w:r>
              <w:rPr>
                <w:rFonts w:ascii="Arial" w:cs="Arial" w:eastAsia="Arial" w:hAnsi="Arial"/>
                <w:sz w:val="14"/>
                <w:szCs w:val="14"/>
                <w:color w:val="auto"/>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gridSpan w:val="2"/>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(32,961)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(32,961)</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rPr>
                <w:sz w:val="20"/>
                <w:szCs w:val="20"/>
                <w:color w:val="auto"/>
              </w:rPr>
            </w:pPr>
            <w:r>
              <w:rPr>
                <w:rFonts w:ascii="Arial" w:cs="Arial" w:eastAsia="Arial" w:hAnsi="Arial"/>
                <w:sz w:val="14"/>
                <w:szCs w:val="14"/>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65,191</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1,237,939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(921,798)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314,000</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2023</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8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5"/>
                <w:szCs w:val="5"/>
                <w:color w:val="auto"/>
              </w:rPr>
            </w:pPr>
          </w:p>
        </w:tc>
        <w:tc>
          <w:tcPr>
            <w:tcW w:w="118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64,513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CFF0FC"/>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9"/>
              </w:rPr>
              <w:t>65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1,170,888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(1,817)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w w:val="93"/>
              </w:rPr>
              <w:t>(729,189)</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439,947</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740" w:type="dxa"/>
            <w:vAlign w:val="bottom"/>
            <w:shd w:val="clear" w:color="auto" w:fill="CFF0FC"/>
          </w:tcPr>
          <w:p>
            <w:pPr>
              <w:ind w:left="180"/>
              <w:spacing w:after="0" w:line="135" w:lineRule="exact"/>
              <w:rPr>
                <w:sz w:val="20"/>
                <w:szCs w:val="20"/>
                <w:color w:val="auto"/>
              </w:rPr>
            </w:pPr>
            <w:r>
              <w:rPr>
                <w:rFonts w:ascii="Arial" w:cs="Arial" w:eastAsia="Arial" w:hAnsi="Arial"/>
                <w:sz w:val="14"/>
                <w:szCs w:val="14"/>
                <w:color w:val="auto"/>
                <w:w w:val="98"/>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(6,505)</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(6,505)</w:t>
            </w:r>
          </w:p>
        </w:tc>
        <w:tc>
          <w:tcPr>
            <w:tcW w:w="0" w:type="dxa"/>
            <w:vAlign w:val="bottom"/>
          </w:tcPr>
          <w:p>
            <w:pPr>
              <w:spacing w:after="0"/>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740" w:type="dxa"/>
            <w:vAlign w:val="bottom"/>
          </w:tcPr>
          <w:p>
            <w:pPr>
              <w:ind w:left="180"/>
              <w:spacing w:after="0" w:line="135" w:lineRule="exact"/>
              <w:rPr>
                <w:sz w:val="20"/>
                <w:szCs w:val="20"/>
                <w:color w:val="auto"/>
              </w:rPr>
            </w:pPr>
            <w:r>
              <w:rPr>
                <w:rFonts w:ascii="Arial" w:cs="Arial" w:eastAsia="Arial" w:hAnsi="Arial"/>
                <w:sz w:val="14"/>
                <w:szCs w:val="14"/>
                <w:color w:val="auto"/>
                <w:w w:val="94"/>
              </w:rPr>
              <w:t>Issuance of common stock under Employee Stock Purchase</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6,804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6,804</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Plan</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65,485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65,485</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Foreign currency translation losses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ind w:left="480"/>
              <w:spacing w:after="0"/>
              <w:rPr>
                <w:sz w:val="20"/>
                <w:szCs w:val="20"/>
                <w:color w:val="auto"/>
              </w:rPr>
            </w:pPr>
            <w:r>
              <w:rPr>
                <w:rFonts w:ascii="Arial" w:cs="Arial" w:eastAsia="Arial" w:hAnsi="Arial"/>
                <w:sz w:val="14"/>
                <w:szCs w:val="14"/>
                <w:color w:val="auto"/>
                <w:w w:val="93"/>
              </w:rPr>
              <w:t>(192,609)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(192,609)</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September 30, 2023</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65,191</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1,237,939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4"/>
                <w:szCs w:val="14"/>
                <w:color w:val="auto"/>
                <w:w w:val="93"/>
              </w:rPr>
              <w:t>(921,798)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314,000</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 w:name="page6"/>
    <w:bookmarkEnd w:id="5"/>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2022</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3"/>
                <w:szCs w:val="3"/>
                <w:color w:val="auto"/>
              </w:rPr>
            </w:pPr>
          </w:p>
        </w:tc>
        <w:tc>
          <w:tcPr>
            <w:tcW w:w="136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3"/>
                <w:szCs w:val="3"/>
                <w:color w:val="auto"/>
              </w:rPr>
            </w:pPr>
          </w:p>
        </w:tc>
        <w:tc>
          <w:tcPr>
            <w:tcW w:w="1180" w:type="dxa"/>
            <w:vAlign w:val="bottom"/>
            <w:gridSpan w:val="2"/>
            <w:vMerge w:val="restart"/>
          </w:tcPr>
          <w:p>
            <w:pPr>
              <w:ind w:left="40"/>
              <w:spacing w:after="0" w:line="14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160" w:type="dxa"/>
            <w:vAlign w:val="bottom"/>
            <w:vMerge w:val="restart"/>
          </w:tcPr>
          <w:p>
            <w:pPr>
              <w:jc w:val="center"/>
              <w:ind w:right="88"/>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1,118,168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(664,366)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449,584</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Vesting of restricted stock units, net of shares withheld for</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94"/>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22,359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Arial" w:cs="Arial" w:eastAsia="Arial" w:hAnsi="Arial"/>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(48,970)</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64,265</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1,140,158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(713,336)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421,822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2022</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3"/>
                <w:szCs w:val="3"/>
                <w:color w:val="auto"/>
              </w:rPr>
            </w:pPr>
          </w:p>
        </w:tc>
        <w:tc>
          <w:tcPr>
            <w:tcW w:w="1380" w:type="dxa"/>
            <w:vAlign w:val="bottom"/>
            <w:gridSpan w:val="2"/>
            <w:vMerge w:val="restart"/>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3"/>
                <w:szCs w:val="3"/>
                <w:color w:val="auto"/>
              </w:rPr>
            </w:pPr>
          </w:p>
        </w:tc>
        <w:tc>
          <w:tcPr>
            <w:tcW w:w="1160" w:type="dxa"/>
            <w:vAlign w:val="bottom"/>
            <w:gridSpan w:val="2"/>
            <w:vMerge w:val="restart"/>
          </w:tcPr>
          <w:p>
            <w:pPr>
              <w:ind w:left="40"/>
              <w:spacing w:after="0" w:line="145"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3"/>
                <w:szCs w:val="3"/>
                <w:color w:val="auto"/>
              </w:rPr>
            </w:pPr>
          </w:p>
        </w:tc>
        <w:tc>
          <w:tcPr>
            <w:tcW w:w="1160" w:type="dxa"/>
            <w:vAlign w:val="bottom"/>
            <w:vMerge w:val="restart"/>
          </w:tcPr>
          <w:p>
            <w:pPr>
              <w:jc w:val="center"/>
              <w:ind w:right="108"/>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63,833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9"/>
              </w:rPr>
              <w:t>64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1,068,259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(634,595)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433,112</w:t>
            </w:r>
          </w:p>
        </w:tc>
        <w:tc>
          <w:tcPr>
            <w:tcW w:w="0" w:type="dxa"/>
            <w:vAlign w:val="bottom"/>
          </w:tcPr>
          <w:p>
            <w:pPr>
              <w:spacing w:after="0"/>
              <w:rPr>
                <w:sz w:val="1"/>
                <w:szCs w:val="1"/>
                <w:color w:val="auto"/>
              </w:rPr>
            </w:pPr>
          </w:p>
        </w:tc>
      </w:tr>
      <w:tr>
        <w:trPr>
          <w:trHeight w:val="204"/>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8"/>
              </w:rPr>
              <w:t>Vesting of restricted stock units, net of shares withheld for</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(3,527)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0" w:type="dxa"/>
            <w:vAlign w:val="bottom"/>
          </w:tcPr>
          <w:p>
            <w:pPr>
              <w:spacing w:after="0"/>
              <w:rPr>
                <w:sz w:val="1"/>
                <w:szCs w:val="1"/>
                <w:color w:val="auto"/>
              </w:rPr>
            </w:pPr>
          </w:p>
        </w:tc>
      </w:tr>
      <w:tr>
        <w:trPr>
          <w:trHeight w:val="184"/>
        </w:trPr>
        <w:tc>
          <w:tcPr>
            <w:tcW w:w="3740" w:type="dxa"/>
            <w:vAlign w:val="bottom"/>
          </w:tcPr>
          <w:p>
            <w:pPr>
              <w:ind w:left="180"/>
              <w:spacing w:after="0"/>
              <w:rPr>
                <w:sz w:val="20"/>
                <w:szCs w:val="20"/>
                <w:color w:val="auto"/>
              </w:rPr>
            </w:pPr>
            <w:r>
              <w:rPr>
                <w:rFonts w:ascii="Arial" w:cs="Arial" w:eastAsia="Arial" w:hAnsi="Arial"/>
                <w:sz w:val="14"/>
                <w:szCs w:val="14"/>
                <w:color w:val="auto"/>
                <w:w w:val="94"/>
              </w:rPr>
              <w:t>Issuance of common stock under Employee Stock Purchase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180"/>
              <w:spacing w:after="0"/>
              <w:rPr>
                <w:sz w:val="20"/>
                <w:szCs w:val="20"/>
                <w:color w:val="auto"/>
              </w:rPr>
            </w:pPr>
            <w:r>
              <w:rPr>
                <w:rFonts w:ascii="Arial" w:cs="Arial" w:eastAsia="Arial" w:hAnsi="Arial"/>
                <w:sz w:val="14"/>
                <w:szCs w:val="14"/>
                <w:color w:val="auto"/>
              </w:rPr>
              <w:t>Plan</w:t>
            </w: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2"/>
        </w:trPr>
        <w:tc>
          <w:tcPr>
            <w:tcW w:w="37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60,447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60,447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(3,899)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0" w:type="dxa"/>
            <w:vAlign w:val="bottom"/>
          </w:tcPr>
          <w:p>
            <w:pPr>
              <w:spacing w:after="0"/>
              <w:rPr>
                <w:sz w:val="1"/>
                <w:szCs w:val="1"/>
                <w:color w:val="auto"/>
              </w:rPr>
            </w:pPr>
          </w:p>
        </w:tc>
      </w:tr>
      <w:tr>
        <w:trPr>
          <w:trHeight w:val="204"/>
        </w:trPr>
        <w:tc>
          <w:tcPr>
            <w:tcW w:w="3740" w:type="dxa"/>
            <w:vAlign w:val="bottom"/>
          </w:tcPr>
          <w:p>
            <w:pPr>
              <w:ind w:left="180"/>
              <w:spacing w:after="0"/>
              <w:rPr>
                <w:sz w:val="20"/>
                <w:szCs w:val="20"/>
                <w:color w:val="auto"/>
              </w:rPr>
            </w:pPr>
            <w:r>
              <w:rPr>
                <w:rFonts w:ascii="Arial" w:cs="Arial" w:eastAsia="Arial" w:hAnsi="Arial"/>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ind w:left="10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(78,741)</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(78,741)</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64,265</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1,140,158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(713,336)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421,822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(192,609)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(78,741)</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10,689</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debt issuance costs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2,955</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Provision for inventory obsolescence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90"/>
        </w:trPr>
        <w:tc>
          <w:tcPr>
            <w:tcW w:w="8340" w:type="dxa"/>
            <w:vAlign w:val="bottom"/>
          </w:tcPr>
          <w:p>
            <w:pPr>
              <w:ind w:left="180"/>
              <w:spacing w:after="0"/>
              <w:rPr>
                <w:sz w:val="20"/>
                <w:szCs w:val="20"/>
                <w:color w:val="auto"/>
              </w:rPr>
            </w:pPr>
            <w:r>
              <w:rPr>
                <w:rFonts w:ascii="Arial" w:cs="Arial" w:eastAsia="Arial" w:hAnsi="Arial"/>
                <w:sz w:val="14"/>
                <w:szCs w:val="14"/>
                <w:color w:val="auto"/>
              </w:rPr>
              <w:t>Operating lease impairment charge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premium on short-term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190"/>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65,335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60,477</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Acquired in-process research and development expenses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78,750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31,016</w:t>
            </w:r>
          </w:p>
        </w:tc>
        <w:tc>
          <w:tcPr>
            <w:tcW w:w="0" w:type="dxa"/>
            <w:vAlign w:val="bottom"/>
          </w:tcPr>
          <w:p>
            <w:pPr>
              <w:spacing w:after="0"/>
              <w:rPr>
                <w:sz w:val="1"/>
                <w:szCs w:val="1"/>
                <w:color w:val="auto"/>
              </w:rPr>
            </w:pPr>
          </w:p>
        </w:tc>
      </w:tr>
      <w:tr>
        <w:trPr>
          <w:trHeight w:val="190"/>
        </w:trPr>
        <w:tc>
          <w:tcPr>
            <w:tcW w:w="8340" w:type="dxa"/>
            <w:vAlign w:val="bottom"/>
          </w:tcPr>
          <w:p>
            <w:pPr>
              <w:ind w:left="18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(4,796)</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Inventories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(37,062)</w:t>
            </w:r>
          </w:p>
        </w:tc>
        <w:tc>
          <w:tcPr>
            <w:tcW w:w="0" w:type="dxa"/>
            <w:vAlign w:val="bottom"/>
          </w:tcPr>
          <w:p>
            <w:pPr>
              <w:spacing w:after="0"/>
              <w:rPr>
                <w:sz w:val="1"/>
                <w:szCs w:val="1"/>
                <w:color w:val="auto"/>
              </w:rPr>
            </w:pPr>
          </w:p>
        </w:tc>
      </w:tr>
      <w:tr>
        <w:trPr>
          <w:trHeight w:val="190"/>
        </w:trPr>
        <w:tc>
          <w:tcPr>
            <w:tcW w:w="8340" w:type="dxa"/>
            <w:vAlign w:val="bottom"/>
          </w:tcPr>
          <w:p>
            <w:pPr>
              <w:ind w:left="36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90"/>
        </w:trPr>
        <w:tc>
          <w:tcPr>
            <w:tcW w:w="834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28,038</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Employee-related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0" w:type="dxa"/>
            <w:vAlign w:val="bottom"/>
          </w:tcPr>
          <w:p>
            <w:pPr>
              <w:spacing w:after="0"/>
              <w:rPr>
                <w:sz w:val="1"/>
                <w:szCs w:val="1"/>
                <w:color w:val="auto"/>
              </w:rPr>
            </w:pPr>
          </w:p>
        </w:tc>
      </w:tr>
      <w:tr>
        <w:trPr>
          <w:trHeight w:val="191"/>
        </w:trPr>
        <w:tc>
          <w:tcPr>
            <w:tcW w:w="83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4,998</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Operating leases and other 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24,305</w:t>
            </w:r>
          </w:p>
        </w:tc>
        <w:tc>
          <w:tcPr>
            <w:tcW w:w="0" w:type="dxa"/>
            <w:vAlign w:val="bottom"/>
          </w:tcPr>
          <w:p>
            <w:pPr>
              <w:spacing w:after="0"/>
              <w:rPr>
                <w:sz w:val="1"/>
                <w:szCs w:val="1"/>
                <w:color w:val="auto"/>
              </w:rPr>
            </w:pPr>
          </w:p>
        </w:tc>
      </w:tr>
      <w:tr>
        <w:trPr>
          <w:trHeight w:val="190"/>
        </w:trPr>
        <w:tc>
          <w:tcPr>
            <w:tcW w:w="834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39"/>
        </w:trPr>
        <w:tc>
          <w:tcPr>
            <w:tcW w:w="8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44,644</w:t>
            </w:r>
          </w:p>
        </w:tc>
        <w:tc>
          <w:tcPr>
            <w:tcW w:w="0" w:type="dxa"/>
            <w:vAlign w:val="bottom"/>
          </w:tcPr>
          <w:p>
            <w:pPr>
              <w:spacing w:after="0"/>
              <w:rPr>
                <w:sz w:val="1"/>
                <w:szCs w:val="1"/>
                <w:color w:val="auto"/>
              </w:rPr>
            </w:pPr>
          </w:p>
        </w:tc>
      </w:tr>
      <w:tr>
        <w:trPr>
          <w:trHeight w:val="190"/>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short-term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(391,025)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(362,494)</w:t>
            </w: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Proceeds from maturities and redemptions of short-term investments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415,485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422,907</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(28,470)</w:t>
            </w:r>
          </w:p>
        </w:tc>
        <w:tc>
          <w:tcPr>
            <w:tcW w:w="0" w:type="dxa"/>
            <w:vAlign w:val="bottom"/>
          </w:tcPr>
          <w:p>
            <w:pPr>
              <w:spacing w:after="0"/>
              <w:rPr>
                <w:sz w:val="1"/>
                <w:szCs w:val="1"/>
                <w:color w:val="auto"/>
              </w:rPr>
            </w:pPr>
          </w:p>
        </w:tc>
      </w:tr>
      <w:tr>
        <w:trPr>
          <w:trHeight w:val="190"/>
        </w:trPr>
        <w:tc>
          <w:tcPr>
            <w:tcW w:w="8340" w:type="dxa"/>
            <w:vAlign w:val="bottom"/>
          </w:tcPr>
          <w:p>
            <w:pPr>
              <w:ind w:left="20"/>
              <w:spacing w:after="0"/>
              <w:rPr>
                <w:sz w:val="20"/>
                <w:szCs w:val="20"/>
                <w:color w:val="auto"/>
              </w:rPr>
            </w:pPr>
            <w:r>
              <w:rPr>
                <w:rFonts w:ascii="Arial" w:cs="Arial" w:eastAsia="Arial" w:hAnsi="Arial"/>
                <w:sz w:val="14"/>
                <w:szCs w:val="14"/>
                <w:color w:val="auto"/>
              </w:rPr>
              <w:t>Acquisitions, including in-process research and development, net of cash acquired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(25,697)</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intangible assets and strategic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(8,855)</w:t>
            </w:r>
          </w:p>
        </w:tc>
        <w:tc>
          <w:tcPr>
            <w:tcW w:w="0" w:type="dxa"/>
            <w:vAlign w:val="bottom"/>
          </w:tcPr>
          <w:p>
            <w:pPr>
              <w:spacing w:after="0"/>
              <w:rPr>
                <w:sz w:val="1"/>
                <w:szCs w:val="1"/>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(69,156)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(2,609)</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11,369</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0"/>
        </w:trPr>
        <w:tc>
          <w:tcPr>
            <w:tcW w:w="834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39"/>
        </w:trPr>
        <w:tc>
          <w:tcPr>
            <w:tcW w:w="8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10,777</w:t>
            </w:r>
          </w:p>
        </w:tc>
        <w:tc>
          <w:tcPr>
            <w:tcW w:w="0" w:type="dxa"/>
            <w:vAlign w:val="bottom"/>
          </w:tcPr>
          <w:p>
            <w:pPr>
              <w:spacing w:after="0"/>
              <w:rPr>
                <w:sz w:val="1"/>
                <w:szCs w:val="1"/>
                <w:color w:val="auto"/>
              </w:rPr>
            </w:pPr>
          </w:p>
        </w:tc>
      </w:tr>
      <w:tr>
        <w:trPr>
          <w:trHeight w:val="190"/>
        </w:trPr>
        <w:tc>
          <w:tcPr>
            <w:tcW w:w="8340" w:type="dxa"/>
            <w:vAlign w:val="bottom"/>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39"/>
        </w:trPr>
        <w:tc>
          <w:tcPr>
            <w:tcW w:w="8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(92,906)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52,605</w:t>
            </w:r>
          </w:p>
        </w:tc>
        <w:tc>
          <w:tcPr>
            <w:tcW w:w="0" w:type="dxa"/>
            <w:vAlign w:val="bottom"/>
          </w:tcPr>
          <w:p>
            <w:pPr>
              <w:spacing w:after="0"/>
              <w:rPr>
                <w:sz w:val="1"/>
                <w:szCs w:val="1"/>
                <w:color w:val="auto"/>
              </w:rPr>
            </w:pPr>
          </w:p>
        </w:tc>
      </w:tr>
      <w:tr>
        <w:trPr>
          <w:trHeight w:val="190"/>
        </w:trPr>
        <w:tc>
          <w:tcPr>
            <w:tcW w:w="834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172,517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71,181</w:t>
            </w:r>
          </w:p>
        </w:tc>
        <w:tc>
          <w:tcPr>
            <w:tcW w:w="0" w:type="dxa"/>
            <w:vAlign w:val="bottom"/>
          </w:tcPr>
          <w:p>
            <w:pPr>
              <w:spacing w:after="0"/>
              <w:rPr>
                <w:sz w:val="1"/>
                <w:szCs w:val="1"/>
                <w:color w:val="auto"/>
              </w:rPr>
            </w:pPr>
          </w:p>
        </w:tc>
      </w:tr>
      <w:tr>
        <w:trPr>
          <w:trHeight w:val="39"/>
        </w:trPr>
        <w:tc>
          <w:tcPr>
            <w:tcW w:w="8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obligations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340" w:type="dxa"/>
            <w:vAlign w:val="bottom"/>
          </w:tcPr>
          <w:p>
            <w:pPr>
              <w:ind w:left="20"/>
              <w:spacing w:after="0"/>
              <w:rPr>
                <w:sz w:val="20"/>
                <w:szCs w:val="20"/>
                <w:color w:val="auto"/>
              </w:rPr>
            </w:pPr>
            <w:r>
              <w:rPr>
                <w:rFonts w:ascii="Arial" w:cs="Arial" w:eastAsia="Arial" w:hAnsi="Arial"/>
                <w:sz w:val="14"/>
                <w:szCs w:val="14"/>
                <w:color w:val="auto"/>
              </w:rPr>
              <w:t>Purchases of property and equipment included in 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3,224</w:t>
            </w:r>
          </w:p>
        </w:tc>
        <w:tc>
          <w:tcPr>
            <w:tcW w:w="1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4,319</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costs in accounts payable</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right="220" w:firstLine="810"/>
        <w:spacing w:after="0" w:line="286" w:lineRule="auto"/>
        <w:rPr>
          <w:sz w:val="20"/>
          <w:szCs w:val="20"/>
          <w:color w:val="auto"/>
        </w:rPr>
      </w:pPr>
      <w:r>
        <w:rPr>
          <w:rFonts w:ascii="Arial" w:cs="Arial" w:eastAsia="Arial" w:hAnsi="Arial"/>
          <w:sz w:val="17"/>
          <w:szCs w:val="17"/>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spacing w:after="0" w:line="16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has an advanced algorithm for managing insulin delivery, and is designed to display continuous glucose monitoring (CGM) sensor information directly on the pump home screen. The Company’s insulin pump products are compatible with other complementary digital health offerings, such as the mobile application, cloud-based diabetes management applications and the Tandem Device Updater, a Mac- and PC-compatible tool that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spacing w:after="0" w:line="188"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2022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76"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right="260" w:firstLine="810"/>
        <w:spacing w:after="0" w:line="311" w:lineRule="auto"/>
        <w:rPr>
          <w:sz w:val="20"/>
          <w:szCs w:val="20"/>
          <w:color w:val="auto"/>
        </w:rPr>
      </w:pPr>
      <w:r>
        <w:rPr>
          <w:rFonts w:ascii="Arial" w:cs="Arial" w:eastAsia="Arial" w:hAnsi="Arial"/>
          <w:sz w:val="16"/>
          <w:szCs w:val="16"/>
          <w:color w:val="auto"/>
        </w:rPr>
        <w:t>The change in fair value of common stock warrants for the three and nine months ended September 30, 2022, which was previously reported separately, is now reported as a component of interest income and other, net on the condensed consolidated statements of operations. In addition, certain prior year balances on the condensed consolidated statement of cash flows have been reclassified to conform to the current year presentation.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during the nine months ended September 30, 2023, as compared to those disclosed in the Company’s 2022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right="60" w:firstLine="810"/>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spacing w:after="0" w:line="83"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The Company’s convertible senior notes are carried at amortized cost on the condensed consolidated balance sheets (see Note 7, “Debt”). The Company measures the fair value of its convertible senior notes for disclosure purposes. The Company estimated the fair value of its convertible senior notes to be $273.9 million and $260.5 million at September 30, 2023 and December 31, 2022, respectively, based on Level 2 quoted market prices as of those dates.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Right-of-Use Assets and Liabilities</w:t>
      </w:r>
    </w:p>
    <w:p>
      <w:pPr>
        <w:spacing w:after="0" w:line="198"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entered into or reassessed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w:t>
      </w:r>
      <w:r>
        <w:rPr>
          <w:rFonts w:ascii="Arial" w:cs="Arial" w:eastAsia="Arial" w:hAnsi="Arial"/>
          <w:sz w:val="18"/>
          <w:szCs w:val="18"/>
          <w:i w:val="1"/>
          <w:iCs w:val="1"/>
          <w:color w:val="auto"/>
        </w:rPr>
        <w:t>n</w:t>
      </w:r>
    </w:p>
    <w:p>
      <w:pPr>
        <w:spacing w:after="0" w:line="185"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intangible asset impairment losses during the nine months ended September 30, 2023 and 2022.</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98"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The Company holds equity investments totaling $10.1 million in two separate private companies, each of which represented less than 5% of the outstanding equity of the respective company as of the date of investment. The investments are carried at cost minus impairment, if any, adjusted for changes in observable prices. The investments were included as a component of other long-term assets on the condensed consolidated balance sheets at September 30, 2023. The Company monitors these investments to evaluate whether a decline in value has occurred based on the implied value of recent company financings, public market prices of comparable companies and general market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Performance Obligations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 Company considers the individual deliverables in its product offering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Tandem Source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Tandem Choice Program</w:t>
      </w:r>
    </w:p>
    <w:p>
      <w:pPr>
        <w:spacing w:after="0" w:line="198"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In September 2022, the Company launched a new technology access program referred to as Tandem Choice, that provides eligible, in-warranty t:slim X2 customers in the United States with the flexibility to obtain the newest hardware platform, Tandem Mobi, when it becomes commercially available. Participating customers have the right to purchase the alternative Tandem pump for a fee, referred to as Choice Right. Tandem Choice expires on December 31, 2024. The program was determined to create a material right for which a portion of each t:slim X2 pump transaction price was allocated and deferred.</w:t>
      </w:r>
    </w:p>
    <w:p>
      <w:pPr>
        <w:spacing w:after="0" w:line="215"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In the third quarter of 2023, the Company announced a reduction in the price of the Tandem Choice program whereby purchasers of the X2 pump can obtain the Tandem Mobi. The change in the program resulted in an increase to the amount of the transaction price allocated to the material right as the Company expects more customers to exercise the right as compared to the prior existing program price. The amount of revenue deferred in the third quarter of 2023 related to the Choice program was $8.2 million.</w:t>
      </w:r>
    </w:p>
    <w:p>
      <w:pPr>
        <w:spacing w:after="0" w:line="146"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For purposes of evaluating Tandem Choice in accordance with ASC 606, the Company has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 At September 30, 2023 and December 31, 2022, $18.4 million and $6.8 million, respectively, were allocated to the material right provided to customers and recorded in current deferred revenue on the condensed consolidated balance sheets.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9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using historical experience. Insulin pumps returned to the Company may be refurbished and redeployed. Experience has shown that initial data for any given pump version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condensed consolidated statements of operations.</w:t>
      </w:r>
    </w:p>
    <w:p>
      <w:pPr>
        <w:spacing w:after="0" w:line="12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three and nine months ended September 30, 2023 and 2022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26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7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38,917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30,401</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23,224</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(decreases) in warranty estimates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248"/>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the period</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37,757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As of September 30, 2023 and December 31, 2022, total product warranty reserves were included in the following condensed consolidated balance sheet accounts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2022</w:t>
            </w:r>
          </w:p>
        </w:tc>
      </w:tr>
      <w:tr>
        <w:trPr>
          <w:trHeight w:val="226"/>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17,280</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19,257</w:t>
            </w: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the employees’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98"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w:t>
      </w:r>
    </w:p>
    <w:p>
      <w:pPr>
        <w:spacing w:after="0" w:line="152"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For the three and nine months ended September 30, 2023, there was no difference in the weighted average number of shares used to calculate basic and diluted net loss per share due to the Company’s net loss position for each of the periods presented. For the three and nine months ended September 30, 2022, the net loss used in the calculation of diluted net loss per share was increased by $12,000 and $103,000, respectively, to remove the gain recognized from the change in fair value of certain common stock warrants based on the dilutive effect of assumed exercise, and the denominator was increased by 937 shares and 959 shares, respectively, calculated under the treasury stock method.</w:t>
      </w:r>
    </w:p>
    <w:p>
      <w:pPr>
        <w:spacing w:after="0" w:line="136"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3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2"/>
              </w:rPr>
              <w:t>Three Months Ended</w:t>
            </w:r>
          </w:p>
        </w:tc>
        <w:tc>
          <w:tcPr>
            <w:tcW w:w="3240" w:type="dxa"/>
            <w:vAlign w:val="bottom"/>
            <w:gridSpan w:val="3"/>
            <w:vMerge w:val="restart"/>
          </w:tcPr>
          <w:p>
            <w:pPr>
              <w:jc w:val="right"/>
              <w:ind w:right="33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2200" w:type="dxa"/>
            <w:vAlign w:val="bottom"/>
            <w:tcBorders>
              <w:bottom w:val="single" w:sz="8" w:color="auto"/>
            </w:tcBorders>
            <w:gridSpan w:val="3"/>
          </w:tcPr>
          <w:p>
            <w:pPr>
              <w:jc w:val="center"/>
              <w:ind w:left="933"/>
              <w:spacing w:after="0"/>
              <w:rPr>
                <w:sz w:val="20"/>
                <w:szCs w:val="20"/>
                <w:color w:val="auto"/>
              </w:rPr>
            </w:pPr>
            <w:r>
              <w:rPr>
                <w:rFonts w:ascii="Arial" w:cs="Arial" w:eastAsia="Arial" w:hAnsi="Arial"/>
                <w:sz w:val="16"/>
                <w:szCs w:val="16"/>
                <w:b w:val="1"/>
                <w:bCs w:val="1"/>
                <w:color w:val="auto"/>
                <w:w w:val="89"/>
              </w:rPr>
              <w:t>September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Awards granted under the ESPP</w:t>
            </w:r>
          </w:p>
        </w:tc>
        <w:tc>
          <w:tcPr>
            <w:tcW w:w="15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02"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September 30, 2023 and December 31, 2022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September 30, 2023</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3"/>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163,806</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163,057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2022</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100,602</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contractual maturities of available-for-sale debt securities as of September 30, 2023,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Years to Maturity</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4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At September 30, 2023</w:t>
            </w:r>
          </w:p>
        </w:tc>
        <w:tc>
          <w:tcPr>
            <w:tcW w:w="2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ind w:left="120"/>
              <w:spacing w:after="0" w:line="175" w:lineRule="exact"/>
              <w:rPr>
                <w:sz w:val="20"/>
                <w:szCs w:val="20"/>
                <w:color w:val="auto"/>
              </w:rPr>
            </w:pPr>
            <w:r>
              <w:rPr>
                <w:rFonts w:ascii="Arial" w:cs="Arial" w:eastAsia="Arial" w:hAnsi="Arial"/>
                <w:sz w:val="16"/>
                <w:szCs w:val="16"/>
                <w:b w:val="1"/>
                <w:bCs w:val="1"/>
                <w:color w:val="auto"/>
              </w:rPr>
              <w:t>Within One Year</w:t>
            </w:r>
          </w:p>
        </w:tc>
        <w:tc>
          <w:tcPr>
            <w:tcW w:w="2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212"/>
              <w:spacing w:after="0" w:line="175" w:lineRule="exact"/>
              <w:rPr>
                <w:sz w:val="20"/>
                <w:szCs w:val="20"/>
                <w:color w:val="auto"/>
              </w:rPr>
            </w:pPr>
            <w:r>
              <w:rPr>
                <w:rFonts w:ascii="Arial" w:cs="Arial" w:eastAsia="Arial" w:hAnsi="Arial"/>
                <w:sz w:val="16"/>
                <w:szCs w:val="16"/>
                <w:b w:val="1"/>
                <w:bCs w:val="1"/>
                <w:color w:val="auto"/>
                <w:w w:val="97"/>
              </w:rPr>
              <w:t>One to Two Years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right"/>
              <w:ind w:right="112"/>
              <w:spacing w:after="0" w:line="175" w:lineRule="exact"/>
              <w:rPr>
                <w:sz w:val="20"/>
                <w:szCs w:val="20"/>
                <w:color w:val="auto"/>
              </w:rPr>
            </w:pPr>
            <w:r>
              <w:rPr>
                <w:rFonts w:ascii="Arial" w:cs="Arial" w:eastAsia="Arial" w:hAnsi="Arial"/>
                <w:sz w:val="16"/>
                <w:szCs w:val="16"/>
                <w:b w:val="1"/>
                <w:bCs w:val="1"/>
                <w:color w:val="auto"/>
                <w:w w:val="95"/>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Government-sponsored enterprises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163,057</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98,898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131,745</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109,751</w:t>
            </w: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810"/>
        <w:spacing w:after="0" w:line="261"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44"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The Company reviews the portfolio of available-for-sale debt securities quarterly to determine if any investment is impaired due to changes in credit risk or other potential valuation concerns. Unrealized losses on available-for-sale debt securities at September 30, 2023 were primarily due to an increase in market interest rates after certain debt securities were purchased.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Composition of Certain Financial Statement Items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net consisted of the following at September 30, 2023 and December 31, 2022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7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2022</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119,044</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85"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the allowance for estimated accounts receivable credit losses for the three and nine months ended September 30, 2023 and 2022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740" w:type="dxa"/>
            <w:vAlign w:val="bottom"/>
            <w:gridSpan w:val="4"/>
          </w:tcPr>
          <w:p>
            <w:pPr>
              <w:jc w:val="right"/>
              <w:ind w:right="273"/>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vMerge w:val="restart"/>
          </w:tcPr>
          <w:p>
            <w:pPr>
              <w:jc w:val="right"/>
              <w:ind w:right="32"/>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6"/>
                <w:szCs w:val="16"/>
                <w:b w:val="1"/>
                <w:bCs w:val="1"/>
                <w:color w:val="auto"/>
                <w:w w:val="95"/>
              </w:rPr>
              <w:t>September 30,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(1,292)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80" w:type="dxa"/>
            <w:vAlign w:val="bottom"/>
            <w:gridSpan w:val="8"/>
          </w:tcPr>
          <w:p>
            <w:pPr>
              <w:ind w:left="820"/>
              <w:spacing w:after="0"/>
              <w:rPr>
                <w:sz w:val="20"/>
                <w:szCs w:val="20"/>
                <w:color w:val="auto"/>
              </w:rPr>
            </w:pPr>
            <w:r>
              <w:rPr>
                <w:rFonts w:ascii="Arial" w:cs="Arial" w:eastAsia="Arial" w:hAnsi="Arial"/>
                <w:sz w:val="18"/>
                <w:szCs w:val="18"/>
                <w:color w:val="auto"/>
                <w:w w:val="96"/>
              </w:rPr>
              <w:t>Inventories consisted of the following at September 30, 2023 and December 31, 2022 (in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5"/>
          </w:tcPr>
          <w:p>
            <w:pPr>
              <w:ind w:lef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5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0" w:type="dxa"/>
            <w:vAlign w:val="bottom"/>
          </w:tcPr>
          <w:p>
            <w:pPr>
              <w:spacing w:after="0"/>
              <w:rPr>
                <w:sz w:val="1"/>
                <w:szCs w:val="1"/>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46"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ind w:left="1000" w:right="240" w:hanging="971"/>
        <w:spacing w:after="0" w:line="235"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67" w:lineRule="exact"/>
        <w:rPr>
          <w:sz w:val="20"/>
          <w:szCs w:val="20"/>
          <w:color w:val="auto"/>
        </w:rPr>
      </w:pPr>
    </w:p>
    <w:p>
      <w:pPr>
        <w:ind w:left="1000" w:right="60" w:hanging="971"/>
        <w:spacing w:after="0" w:line="235"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67" w:lineRule="exact"/>
        <w:rPr>
          <w:sz w:val="20"/>
          <w:szCs w:val="20"/>
          <w:color w:val="auto"/>
        </w:rPr>
      </w:pPr>
    </w:p>
    <w:p>
      <w:pPr>
        <w:ind w:left="1000" w:right="580" w:hanging="971"/>
        <w:spacing w:after="0" w:line="235" w:lineRule="auto"/>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September 30, 2023 and December 31, 2022, and indicates the fair value hierarchy of the valuation techniques used by the Company to determine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September 30, 2023</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63,810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63,810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5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150,742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150,742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595,126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on the Company’s condensed consolidated balance sheets. The Company is required to recognize operating lease right-of-use assets and liabilities, and begin recording lease expense when the Company takes possession of the leased property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w:t>
      </w:r>
    </w:p>
    <w:p>
      <w:pPr>
        <w:spacing w:after="0" w:line="13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 Lease</w:t>
      </w:r>
    </w:p>
    <w:p>
      <w:pPr>
        <w:spacing w:after="0" w:line="198" w:lineRule="exact"/>
        <w:rPr>
          <w:sz w:val="20"/>
          <w:szCs w:val="20"/>
          <w:color w:val="auto"/>
        </w:rPr>
      </w:pPr>
    </w:p>
    <w:p>
      <w:pPr>
        <w:ind w:right="100" w:firstLine="810"/>
        <w:spacing w:after="0" w:line="275" w:lineRule="auto"/>
        <w:rPr>
          <w:sz w:val="20"/>
          <w:szCs w:val="20"/>
          <w:color w:val="auto"/>
        </w:rPr>
      </w:pPr>
      <w:r>
        <w:rPr>
          <w:rFonts w:ascii="Arial" w:cs="Arial" w:eastAsia="Arial" w:hAnsi="Arial"/>
          <w:sz w:val="17"/>
          <w:szCs w:val="17"/>
          <w:color w:val="auto"/>
        </w:rPr>
        <w:t>In September 2021, the Company entered into a lease agreement for 181,949 square feet of general administrative, laboratory, and research and development office space (the Premises) located on High Bluff Drive in San Diego, California (Headquarters Lease), formerly referred to as the Tech Center Lease. Possession of the Premises will be tendered to the Company by the landlord in two phases, with Phase I consisting of 143,850 rentable square feet, and Phase II consisting of 38,099 rentable square feet. The Headquarters Lease also includes a first right of offer with respect to an additional 34,569 rentable square feet of general office space should the space become available.</w:t>
      </w:r>
    </w:p>
    <w:p>
      <w:pPr>
        <w:spacing w:after="0" w:line="136"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The Phase I Commencement Date occurred in March 2022 when the Company was tendered possession of the Phase I portion of the Premises, and rent payments commenced in September 2022 (Phase I Rent Commencement Date). The Phase II Commencement Date is expected to occur upon the earlier of (i) the date upon which the Company first commences business in the Phase II portion of the Premises, and (ii) May 1, 2025 (Phase II Rent Commencement Date).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spacing w:after="0" w:line="121"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initial base rent for the Headquarters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condensed consolidated balance sheet on the Phase I Commencement Date in the first quarter of 2022.</w:t>
      </w:r>
    </w:p>
    <w:p>
      <w:pPr>
        <w:spacing w:after="0" w:line="151"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In the second quarter of 2023, the Company began using Phase I of the Headquarters Lease for operations that previously occupied 77,458 square feet of leased space located on Roselle Street (Roselle leases) in San Diego, California. The Roselle leases expired in May 2023. Also in the second quarter of 2023, the Company relocated operations that occupied 73,929 square feet of leased space on Vista Sorrento Parkway in San Diego, California (Vista Sorrento Lease) to the new Headquarters Lease location.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Impairment Charge</w:t>
      </w:r>
    </w:p>
    <w:p>
      <w:pPr>
        <w:spacing w:after="0" w:line="185"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During the second quarter of 2023, the Company consolidated facilities by moving the administrative functions and other operations from the Vista Sorrento Lease facility to the new Headquarters Lease location. In connection with permanently ceasing use of the Vista Sorrento facility, the Company recorded a $14.1 million impairment charge as the carrying amount of the assets related to the Vista Sorrento Lease exceeded its fair value based on the Company’s estimate of future discounted cash flows related to the leased facility. Estimates used to determine the present value of future cash flows over the remaining lease term included projected sublease income and a discount rate. The $14.1 million charge was comprised of an $11.2 million impairment of operating lease right-of-use assets and a $2.9 million write-off of fixed assets consisting primarily of leasehold improvements, and was recorded as a component of selling, general and administrative expenses in the condensed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Supplemental Lease Disclosure Information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costs recorded in the condensed consolidated statements of operations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100" w:type="dxa"/>
            <w:vAlign w:val="bottom"/>
            <w:gridSpan w:val="5"/>
          </w:tcPr>
          <w:p>
            <w:pPr>
              <w:jc w:val="right"/>
              <w:ind w:right="41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43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impairment charge</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13,393</w:t>
            </w:r>
          </w:p>
        </w:tc>
      </w:tr>
      <w:tr>
        <w:trPr>
          <w:trHeight w:val="21"/>
        </w:trPr>
        <w:tc>
          <w:tcPr>
            <w:tcW w:w="436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49"/>
        </w:trPr>
        <w:tc>
          <w:tcPr>
            <w:tcW w:w="7840" w:type="dxa"/>
            <w:vAlign w:val="bottom"/>
            <w:gridSpan w:val="7"/>
          </w:tcPr>
          <w:p>
            <w:pPr>
              <w:ind w:left="820"/>
              <w:spacing w:after="0"/>
              <w:rPr>
                <w:sz w:val="20"/>
                <w:szCs w:val="20"/>
                <w:color w:val="auto"/>
              </w:rPr>
            </w:pPr>
            <w:r>
              <w:rPr>
                <w:rFonts w:ascii="Arial" w:cs="Arial" w:eastAsia="Arial" w:hAnsi="Arial"/>
                <w:sz w:val="18"/>
                <w:szCs w:val="18"/>
                <w:color w:val="auto"/>
                <w:w w:val="94"/>
              </w:rPr>
              <w:t>Maturities of operating lease liabilities at September 30, 2023 were as follows (in thousands):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5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17,198</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17,068</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103,844</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177,107</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(43,477)</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133,630</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(17,618)</w:t>
            </w: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212529"/>
        </w:rPr>
        <w:t>The weighted-average remaining lease term and weighted-average discount rate for operating leases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180" w:type="dxa"/>
            <w:vAlign w:val="bottom"/>
            <w:gridSpan w:val="2"/>
          </w:tcPr>
          <w:p>
            <w:pPr>
              <w:ind w:left="360"/>
              <w:spacing w:after="0"/>
              <w:rPr>
                <w:sz w:val="20"/>
                <w:szCs w:val="20"/>
                <w:color w:val="auto"/>
              </w:rPr>
            </w:pPr>
            <w:r>
              <w:rPr>
                <w:rFonts w:ascii="Arial" w:cs="Arial" w:eastAsia="Arial" w:hAnsi="Arial"/>
                <w:sz w:val="16"/>
                <w:szCs w:val="16"/>
                <w:b w:val="1"/>
                <w:bCs w:val="1"/>
                <w:color w:val="auto"/>
              </w:rPr>
              <w:t>September 30, 2023</w:t>
            </w:r>
          </w:p>
        </w:tc>
        <w:tc>
          <w:tcPr>
            <w:tcW w:w="2080" w:type="dxa"/>
            <w:vAlign w:val="bottom"/>
          </w:tcPr>
          <w:p>
            <w:pPr>
              <w:jc w:val="right"/>
              <w:ind w:right="293"/>
              <w:spacing w:after="0"/>
              <w:rPr>
                <w:sz w:val="20"/>
                <w:szCs w:val="20"/>
                <w:color w:val="auto"/>
              </w:rPr>
            </w:pPr>
            <w:r>
              <w:rPr>
                <w:rFonts w:ascii="Arial" w:cs="Arial" w:eastAsia="Arial" w:hAnsi="Arial"/>
                <w:sz w:val="16"/>
                <w:szCs w:val="16"/>
                <w:b w:val="1"/>
                <w:bCs w:val="1"/>
                <w:color w:val="auto"/>
              </w:rPr>
              <w:t>December 31, 2022</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08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5.3 %</w:t>
            </w:r>
          </w:p>
        </w:tc>
      </w:tr>
    </w:tbl>
    <w:p>
      <w:pPr>
        <w:spacing w:after="0" w:line="322" w:lineRule="exact"/>
        <w:rPr>
          <w:sz w:val="20"/>
          <w:szCs w:val="20"/>
          <w:color w:val="auto"/>
        </w:rPr>
      </w:pPr>
    </w:p>
    <w:p>
      <w:pPr>
        <w:ind w:right="880" w:firstLine="810"/>
        <w:spacing w:after="0" w:line="277"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 $9.2 million and $9.4 million for the nine months ended September 30, 2023 and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Lease For Which Accounting Has Not Yet Commenced</w:t>
      </w:r>
    </w:p>
    <w:p>
      <w:pPr>
        <w:spacing w:after="0" w:line="185" w:lineRule="exact"/>
        <w:rPr>
          <w:sz w:val="20"/>
          <w:szCs w:val="20"/>
          <w:color w:val="auto"/>
        </w:rPr>
      </w:pPr>
    </w:p>
    <w:p>
      <w:pPr>
        <w:ind w:right="120" w:firstLine="810"/>
        <w:spacing w:after="0" w:line="296" w:lineRule="auto"/>
        <w:rPr>
          <w:sz w:val="20"/>
          <w:szCs w:val="20"/>
          <w:color w:val="auto"/>
        </w:rPr>
      </w:pPr>
      <w:r>
        <w:rPr>
          <w:rFonts w:ascii="Arial" w:cs="Arial" w:eastAsia="Arial" w:hAnsi="Arial"/>
          <w:sz w:val="16"/>
          <w:szCs w:val="16"/>
          <w:color w:val="auto"/>
        </w:rPr>
        <w:t>As of September 30, 2023, the Phase II Commencement Date for the Headquarters Lease had not yet occurred. Accordingly, the condensed consolidated balance sheet at September 30, 2023 does not include operating lease right-of-use assets and operating lease liabilities, and the condensed consolidated statements of operations for the three and nine months ended September 30, 2023 and 2022 do not include any lease costs, related to Phase II of the Headquarters Lease. In addition, the above disclosures of the Company’s lease costs, maturities of operating lease liabilities, weighted-average remaining lease term, and weighted-average discount rate do not include any amounts related to Phase II of the Headquarters Lease.</w:t>
      </w:r>
    </w:p>
    <w:p>
      <w:pPr>
        <w:spacing w:after="0" w:line="134"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Company currently estimates that Phase II Commencement Date will occur in the first quarter of 2025, at which time the Phase II operating lease right-of-use assets and liabilities will be recorded. Future minimum payments for monthly base rent due under Phase II of the Headquarters Lease, are currently estimated to be $34.7 million in total from 2025 through 2035, subject to the actual Phase II Commencement Date. Because the incremental borrowing rate will not be available until the Phase II Commencement Date, we are not yet able to determine the Phase II operating lease right-of-use assets and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spacing w:after="0" w:line="214"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before the maturity date.</w:t>
      </w:r>
    </w:p>
    <w:p>
      <w:pPr>
        <w:spacing w:after="0" w:line="211" w:lineRule="exact"/>
        <w:rPr>
          <w:sz w:val="20"/>
          <w:szCs w:val="20"/>
          <w:color w:val="auto"/>
        </w:rPr>
      </w:pPr>
    </w:p>
    <w:p>
      <w:pPr>
        <w:ind w:right="240" w:firstLine="810"/>
        <w:spacing w:after="0" w:line="259"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w:t>
      </w:r>
    </w:p>
    <w:p>
      <w:pPr>
        <w:spacing w:after="0" w:line="214"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215"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before November 1, 2024, in multiples of $1,000 principal amounts, only under the following circumstances:</w:t>
      </w:r>
    </w:p>
    <w:p>
      <w:pPr>
        <w:spacing w:after="0" w:line="197" w:lineRule="exact"/>
        <w:rPr>
          <w:sz w:val="20"/>
          <w:szCs w:val="20"/>
          <w:color w:val="auto"/>
        </w:rPr>
      </w:pPr>
    </w:p>
    <w:p>
      <w:pPr>
        <w:ind w:left="1300" w:right="120" w:hanging="482"/>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210" w:lineRule="exact"/>
        <w:rPr>
          <w:rFonts w:ascii="Arial" w:cs="Arial" w:eastAsia="Arial" w:hAnsi="Arial"/>
          <w:sz w:val="18"/>
          <w:szCs w:val="18"/>
          <w:color w:val="auto"/>
        </w:rPr>
      </w:pPr>
    </w:p>
    <w:p>
      <w:pPr>
        <w:ind w:left="1300" w:right="20" w:hanging="482"/>
        <w:spacing w:after="0" w:line="286"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60" w:hanging="482"/>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8" w:name="page19"/>
    <w:bookmarkEnd w:id="18"/>
    <w:p>
      <w:pPr>
        <w:ind w:right="6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97"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net carrying amount of the Notes on the condensed consolidated balance sheets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r>
      <w:tr>
        <w:trPr>
          <w:trHeight w:val="230"/>
        </w:trPr>
        <w:tc>
          <w:tcPr>
            <w:tcW w:w="72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r>
      <w:tr>
        <w:trPr>
          <w:trHeight w:val="248"/>
        </w:trPr>
        <w:tc>
          <w:tcPr>
            <w:tcW w:w="7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carrying amount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284,580</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283,232</w:t>
            </w:r>
          </w:p>
        </w:tc>
      </w:tr>
      <w:tr>
        <w:trPr>
          <w:trHeight w:val="20"/>
        </w:trPr>
        <w:tc>
          <w:tcPr>
            <w:tcW w:w="7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color w:val="auto"/>
        </w:rPr>
        <w:t>The Notes will have a dilutive effect to the extent the average market price per share of common stock for a given reporting period exceeds the conversion price of $112.57. As of September 30, 2023 and December 31, 2022, the if-converted value of the Notes did not exceed the principal amount.</w:t>
      </w:r>
    </w:p>
    <w:p>
      <w:pPr>
        <w:spacing w:after="0" w:line="83"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As of September 30, 2023, the unamortized debt issuance costs of $2.9 million associated with the Notes will be amortized to interest expense, at an effective interest rate of 2.2% over the remaining period of approximately 1.6 years.</w:t>
      </w:r>
    </w:p>
    <w:p>
      <w:pPr>
        <w:spacing w:after="0" w:line="143" w:lineRule="exact"/>
        <w:rPr>
          <w:sz w:val="20"/>
          <w:szCs w:val="20"/>
          <w:color w:val="auto"/>
        </w:rPr>
      </w:pPr>
    </w:p>
    <w:p>
      <w:pPr>
        <w:ind w:right="120" w:firstLine="810"/>
        <w:spacing w:after="0" w:line="275" w:lineRule="auto"/>
        <w:rPr>
          <w:sz w:val="20"/>
          <w:szCs w:val="20"/>
          <w:color w:val="auto"/>
        </w:rPr>
      </w:pPr>
      <w:r>
        <w:rPr>
          <w:rFonts w:ascii="Arial" w:cs="Arial" w:eastAsia="Arial" w:hAnsi="Arial"/>
          <w:sz w:val="17"/>
          <w:szCs w:val="17"/>
          <w:color w:val="auto"/>
        </w:rPr>
        <w:t>In October 2023, the Company was notified that additional interest beyond the 1.50% per annum has been accruing on the Notes since May 2021, pursuant to the terms of the indenture. This additional interest continues to accrue at a rate of 0.50% per annum on the outstanding principal amount of the Notes, and as of September 30, 2023 amounts to approximately $3.1 million in the aggregate. The overdue unpaid interest itself accrues interest at a rate of 2.50% per annum. The Company has deposited the full amount for these payments with the trustee for the Notes and are coordinating with the trustee for the payments to be completed as soon as reasonably practicable in the fourth quarter of 2023.</w:t>
      </w:r>
    </w:p>
    <w:p>
      <w:pPr>
        <w:spacing w:after="0" w:line="203"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following table details interest expense related to the Notes recognized for the three and nine months ended September 30, 2023 and 2022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26"/>
        </w:trPr>
        <w:tc>
          <w:tcPr>
            <w:tcW w:w="34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Contractual interest expense</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3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r>
      <w:tr>
        <w:trPr>
          <w:trHeight w:val="248"/>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460" w:hanging="328"/>
        <w:spacing w:after="0" w:line="277" w:lineRule="auto"/>
        <w:tabs>
          <w:tab w:leader="none" w:pos="591"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interest expense for the three and nine months ended September 30, 2023 includes $3.1 million of additional interest as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120" w:firstLine="810"/>
        <w:spacing w:after="0" w:line="301" w:lineRule="auto"/>
        <w:rPr>
          <w:sz w:val="20"/>
          <w:szCs w:val="20"/>
          <w:color w:val="auto"/>
        </w:rPr>
      </w:pPr>
      <w:r>
        <w:rPr>
          <w:rFonts w:ascii="Arial" w:cs="Arial" w:eastAsia="Arial" w:hAnsi="Arial"/>
          <w:sz w:val="16"/>
          <w:szCs w:val="16"/>
          <w:color w:val="auto"/>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condensed consolidated balance sheet and will not be remeasured.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52"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On May 18, 2022, the Company entered into a three-year Revolving Line of Credit Agreement that provided the Company with a maximum principal borrowing amount of $100.0 million (Line of Credit), reduced by any letters of credit issued and outstanding under a $15.0 million letter of credit sub-limit. On August 2, 2023, the Revolving Line of Credit Agreement was amended to reduce the maximum principal borrowing amount to $50.0 million for the remainder of the term, limited to a percentage of eligible accounts receivable during the third quarter of 2023. The Line of Credit allows the Company to request advances thereunder, and to use the proceeds of such advances for general corporate purposes, including working capital and capital expenditures. The Line of Credit matures on the earlier of (i) May 18, 2025 or (ii) the Springing Maturity Date, unless renewed at maturity upon approval by the Company’s board of directors and the lender. The Springing Maturity Date is any date during the 91 days before the May 1, 2025 maturity date of the Company’s Convertible Senior Notes, that the Company does not satisfy a predefined liquidity threshold. The Line of Credit is secured by a first priority security interest in substantially all of the assets of the Company and its subsidiaries.</w:t>
      </w:r>
    </w:p>
    <w:p>
      <w:pPr>
        <w:spacing w:after="0" w:line="194" w:lineRule="exact"/>
        <w:rPr>
          <w:sz w:val="20"/>
          <w:szCs w:val="20"/>
          <w:color w:val="auto"/>
        </w:rPr>
      </w:pPr>
    </w:p>
    <w:p>
      <w:pPr>
        <w:ind w:right="100" w:firstLine="810"/>
        <w:spacing w:after="0" w:line="239" w:lineRule="auto"/>
        <w:rPr>
          <w:sz w:val="20"/>
          <w:szCs w:val="20"/>
          <w:color w:val="auto"/>
        </w:rPr>
      </w:pPr>
      <w:r>
        <w:rPr>
          <w:rFonts w:ascii="Arial" w:cs="Arial" w:eastAsia="Arial" w:hAnsi="Arial"/>
          <w:sz w:val="18"/>
          <w:szCs w:val="18"/>
          <w:color w:val="auto"/>
        </w:rPr>
        <w:t>During the term of the Line of Credit, the Company is required to maintain compliance with two financial maintenance covenants: a minimum consolidated interest coverage ratio and a maximum consolidated net leverage ratio. The Company was in compliance with the minimum consolidated interest coverage ratio covenant as of September 30, 2023. The maximum consolidated net leverage ratio will not be tested as of September 30, 2023, in accordance with the August 2, 2023 amendment to the Revolving Line of Credit Agreement. Without the amendment, the Company would have been non-compliant with the maximum consolidated net leverage ratio covenant for the trailing twelve month measurement period ended September 30, 2023. The Company is currently not entitled to borrow any amounts under the Line of Credit as a result of its inadvertent failure to timely pay additional interest under the Notes.</w:t>
      </w:r>
    </w:p>
    <w:p>
      <w:pPr>
        <w:spacing w:after="0" w:line="218" w:lineRule="exact"/>
        <w:rPr>
          <w:sz w:val="20"/>
          <w:szCs w:val="20"/>
          <w:color w:val="auto"/>
        </w:rPr>
      </w:pPr>
    </w:p>
    <w:p>
      <w:pPr>
        <w:ind w:right="100" w:firstLine="810"/>
        <w:spacing w:after="0" w:line="293" w:lineRule="auto"/>
        <w:rPr>
          <w:sz w:val="20"/>
          <w:szCs w:val="20"/>
          <w:color w:val="auto"/>
        </w:rPr>
      </w:pPr>
      <w:r>
        <w:rPr>
          <w:rFonts w:ascii="Arial" w:cs="Arial" w:eastAsia="Arial" w:hAnsi="Arial"/>
          <w:sz w:val="16"/>
          <w:szCs w:val="16"/>
          <w:color w:val="auto"/>
        </w:rPr>
        <w:t>Advances drawn under the Line of Credit bear interest at an annual rate of (1) the SOFR Rate (as defined in the Line of Credit); plus (2) an applicable credit spread adjustment ranging from 0.10% to 0.25%; plus (3) an applicable margin ranging from 1.25% to 2.00%, and each advance will be payable on the Maturity Date with the interest on outstanding advances payable quarterly. The Credit Agreement also includes a commitment fee ranging from 0.20% to 0.35% per annum on the average daily unused amount of the Line of Credit, payable quarterly. The Company may, at its option, prepay any borrowings under the Line of Credit, in whole or in part at any time before the maturity date, without premium or penalty. As of September 30, 2023, the Company had no outstanding borrowings under the Line of Credit, and a $4.9 million outstanding standby letter of credit.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shares of the Company's common stock were reserved for future issuance at September 30, 2023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Shares reserved for issuance upon conversion of Convertible Senior Notes</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Shares underlying outstanding warrants</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Shares authorized for issuance pursuant to awards granted under the ESPP</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Arial" w:cs="Arial" w:eastAsia="Arial" w:hAnsi="Arial"/>
                <w:sz w:val="18"/>
                <w:szCs w:val="18"/>
                <w:color w:val="auto"/>
              </w:rPr>
              <w:t>18</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4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September 30, 2023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Issue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Exercise Price Per</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Warrants</w:t>
            </w:r>
          </w:p>
        </w:tc>
        <w:tc>
          <w:tcPr>
            <w:tcW w:w="3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Expiration Date of Warrants Outstanding</w:t>
            </w:r>
          </w:p>
        </w:tc>
        <w:tc>
          <w:tcPr>
            <w:tcW w:w="0" w:type="dxa"/>
            <w:vAlign w:val="bottom"/>
          </w:tcPr>
          <w:p>
            <w:pPr>
              <w:spacing w:after="0"/>
              <w:rPr>
                <w:sz w:val="1"/>
                <w:szCs w:val="1"/>
                <w:color w:val="auto"/>
              </w:rPr>
            </w:pPr>
          </w:p>
        </w:tc>
      </w:tr>
      <w:tr>
        <w:trPr>
          <w:trHeight w:val="213"/>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193,788</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20" w:firstLine="810"/>
        <w:spacing w:after="0" w:line="461" w:lineRule="auto"/>
        <w:rPr>
          <w:sz w:val="20"/>
          <w:szCs w:val="20"/>
          <w:color w:val="auto"/>
        </w:rPr>
      </w:pPr>
      <w:r>
        <w:rPr>
          <w:rFonts w:ascii="Arial" w:cs="Arial" w:eastAsia="Arial" w:hAnsi="Arial"/>
          <w:sz w:val="18"/>
          <w:szCs w:val="18"/>
          <w:color w:val="auto"/>
        </w:rPr>
        <w:t xml:space="preserve">Each warrant allows the holder to purchase one share of common stock at the per share exercise price of the warrant. </w:t>
      </w:r>
      <w:r>
        <w:rPr>
          <w:rFonts w:ascii="Arial" w:cs="Arial" w:eastAsia="Arial" w:hAnsi="Arial"/>
          <w:sz w:val="18"/>
          <w:szCs w:val="18"/>
          <w:b w:val="1"/>
          <w:bCs w:val="1"/>
          <w:i w:val="1"/>
          <w:iCs w:val="1"/>
          <w:color w:val="auto"/>
        </w:rPr>
        <w:t>Stock Plans</w:t>
      </w:r>
    </w:p>
    <w:p>
      <w:pPr>
        <w:spacing w:after="0" w:line="1"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then employees, officers, directors or consultants of the Company. The 2023 Plan replaced the Company’s Amended and Restated 2013 Stock Incentive Plan (2013 Plan), and no further equity awards will be granted under the 2013 Plan.</w:t>
      </w:r>
    </w:p>
    <w:p>
      <w:pPr>
        <w:spacing w:after="0" w:line="131"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The Company’s Employee Stock Purchase Plan (ESPP) was approved by the Board in October 2013. The ESPP enables eligible employees to purchase shares of the Company’s common stock using their after-tax payroll deductions, subject to certain conditions. The purchase price of common stock under the ESPP is the lesser of: (a) 85% of the fair market value of a share of the Company’s common stock on the first date of an offering or (b) 85% of the fair market value of a share of the Company’s common stock on the date of purchase. Generally, offerings under the ESPP consist of a two-year offering period with four six-month purchase periods which begin in May and November of each year.</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ind w:right="20" w:firstLine="810"/>
        <w:spacing w:after="0" w:line="290" w:lineRule="auto"/>
        <w:rPr>
          <w:sz w:val="20"/>
          <w:szCs w:val="20"/>
          <w:color w:val="auto"/>
        </w:rPr>
      </w:pPr>
      <w:r>
        <w:rPr>
          <w:rFonts w:ascii="Arial" w:cs="Arial" w:eastAsia="Arial" w:hAnsi="Arial"/>
          <w:sz w:val="16"/>
          <w:szCs w:val="16"/>
          <w:color w:val="auto"/>
        </w:rPr>
        <w:t>Restricted stock units (RSUs) have a grant value equal to the closing price of the Company’s common stock on the award date. RSUs granted before March 2022 generally vest over a four-year period based on continued service to the Company as to 25% of the underlying shares on the first anniversary of the award, with the balance of the RSUs vesting quarterly over the following three years. RSUs granted in March 2022 and thereafter vest over a three-year period based on continued service to the Company as to 33% of the underlying shares on the first anniversary of the award, with the balance of the RSUs vesting quarterly over the following two years. In addition, the Company granted 110,074 performance-based RSUs during the nine months ended September 30, 2023, and 53,662 performance-based RSUs during the nine months ended September 30, 2022. The performance-based RSUs have a grant value equal to the closing price of the Company’s common stock on the award date, and vest upon the Company’s actual performance relative to predefined performance metrics and subject to the awardee’s continuing service through the respective December 31, 2024 and 2025 measurement dates.</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total number of RSUs granted, which includes performance-based RSUs, and the respective weighted average grant date fair value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46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3"/>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440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2022</w:t>
            </w:r>
          </w:p>
        </w:tc>
      </w:tr>
      <w:tr>
        <w:trPr>
          <w:trHeight w:val="22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granted</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1,338,056</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1" w:name="page22"/>
    <w:bookmarkEnd w:id="21"/>
    <w:p>
      <w:pPr>
        <w:ind w:left="820"/>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right="160" w:firstLine="810"/>
        <w:spacing w:after="0" w:line="254" w:lineRule="auto"/>
        <w:rPr>
          <w:sz w:val="20"/>
          <w:szCs w:val="20"/>
          <w:color w:val="auto"/>
        </w:rPr>
      </w:pPr>
      <w:r>
        <w:rPr>
          <w:rFonts w:ascii="Arial" w:cs="Arial" w:eastAsia="Arial" w:hAnsi="Arial"/>
          <w:sz w:val="18"/>
          <w:szCs w:val="18"/>
          <w:color w:val="auto"/>
        </w:rPr>
        <w:t>Stock options have an exercise price equal to the closing price of the Company's common stock on the applicable grant date, and have a maximum term of ten years. Stock options granted before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 There have been no common stock options granted since the second quarter of 2022. Common stock options granted during the nine months ended September 30, 2022, along with the assumptions used in the Black-Scholes option pricing model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8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September 30, 2022</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w:t>
            </w: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83,008</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440" w:type="dxa"/>
            <w:vAlign w:val="bottom"/>
          </w:tcPr>
          <w:p>
            <w:pPr>
              <w:jc w:val="right"/>
              <w:ind w:right="132"/>
              <w:spacing w:after="0"/>
              <w:rPr>
                <w:sz w:val="20"/>
                <w:szCs w:val="20"/>
                <w:color w:val="auto"/>
              </w:rPr>
            </w:pPr>
            <w:r>
              <w:rPr>
                <w:rFonts w:ascii="Arial" w:cs="Arial" w:eastAsia="Arial" w:hAnsi="Arial"/>
                <w:sz w:val="18"/>
                <w:szCs w:val="18"/>
                <w:color w:val="auto"/>
              </w:rPr>
              <w:t>42.16</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12.52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26.57</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47.1 %</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380"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condensed consolidated statements of operations for all stock-based compensation arrangements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58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1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42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12,466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40,711</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r>
      <w:tr>
        <w:trPr>
          <w:trHeight w:val="223"/>
        </w:trPr>
        <w:tc>
          <w:tcPr>
            <w:tcW w:w="426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60,477</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$1.3 million at September 30, 2023, and $1.1 million at December 31,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9. Employee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8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starting in 2022, the Company matches a discretionary percentage of employee contributions.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For the three and nine months ended September 30, 2023, the Company recognized income tax expense of $2.2 million and $3.7 million, respectively, on a pre-tax loss of $30.7 million and $188.9 million, respectively. For the three and nine months ended September 30, 2022, the Company recognized income tax expense of $1.6 million and $2.0 million, respectively, on a pre-tax loss of $47.3 million and $76.7 million, respectively. Income tax expense for the three and nine months ended September 30, 2023 and 2022, was primarily attributable to federal, state and foreign income tax expense as a result of current taxable income in certain jurisdictions.</w:t>
      </w:r>
    </w:p>
    <w:p>
      <w:pPr>
        <w:spacing w:after="0" w:line="147"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For the three and nine months ended September 30, 2023, the Company calculated the provision for income taxes by applying an estimate of the annual effective tax rate for the full year to ordinary income (loss) adjusted by the tax impact of discrete items. For the three and nine months ended September 30, 2022, the Company calculated the provision for income taxes using a discrete effective tax rate method as the annual effective tax rate method would not provide a reliable estimate.</w:t>
      </w:r>
    </w:p>
    <w:p>
      <w:pPr>
        <w:spacing w:after="0" w:line="146"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The Company continues to maintain a full valuation allowance against its net deferred tax assets as of September 30, 2023, based on the current assessment that it is not more likely than not these future benefits will be realized before expiration.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and Geographic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w:t>
      </w:r>
    </w:p>
    <w:p>
      <w:pPr>
        <w:spacing w:after="0" w:line="198"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During the three and nine months ended September 30, 2023 and 2022,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2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7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422,985</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the United States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157,731</w:t>
            </w:r>
          </w:p>
        </w:tc>
      </w:tr>
      <w:tr>
        <w:trPr>
          <w:trHeight w:val="248"/>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580,716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45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3" w:name="page24"/>
    <w:bookmarkEnd w:id="23"/>
    <w:p>
      <w:pPr>
        <w:ind w:right="160" w:firstLine="810"/>
        <w:spacing w:after="0" w:line="259" w:lineRule="auto"/>
        <w:rPr>
          <w:sz w:val="20"/>
          <w:szCs w:val="20"/>
          <w:color w:val="auto"/>
        </w:rPr>
      </w:pPr>
      <w:r>
        <w:rPr>
          <w:rFonts w:ascii="Arial" w:cs="Arial" w:eastAsia="Arial" w:hAnsi="Arial"/>
          <w:sz w:val="18"/>
          <w:szCs w:val="18"/>
          <w:color w:val="auto"/>
        </w:rPr>
        <w:t>Sales to distributors accounted for 64% and 66% of the Company’s United States sales for the three months ended September 30, 2023 and 2022, respectively, and 64% and 65% of the Company’s United States sales for the nine-month periods ended September 30, 2023 and 2022, respectively. Sales to distributors accounted for 95% and 96% of the Company’s sales outside the United States for the three and nine-month periods ended September 30, 2023 and 2022,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Acquisitions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AMF Medical Acquisition</w:t>
      </w:r>
    </w:p>
    <w:p>
      <w:pPr>
        <w:spacing w:after="0" w:line="198" w:lineRule="exact"/>
        <w:rPr>
          <w:sz w:val="20"/>
          <w:szCs w:val="20"/>
          <w:color w:val="auto"/>
        </w:rPr>
      </w:pPr>
    </w:p>
    <w:p>
      <w:pPr>
        <w:ind w:right="260" w:firstLine="810"/>
        <w:spacing w:after="0" w:line="301" w:lineRule="auto"/>
        <w:rPr>
          <w:sz w:val="20"/>
          <w:szCs w:val="20"/>
          <w:color w:val="auto"/>
        </w:rPr>
      </w:pPr>
      <w:r>
        <w:rPr>
          <w:rFonts w:ascii="Arial" w:cs="Arial" w:eastAsia="Arial" w:hAnsi="Arial"/>
          <w:sz w:val="16"/>
          <w:szCs w:val="16"/>
          <w:color w:val="auto"/>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spacing w:after="0" w:line="117"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On January 19, 2023, the Company completed the acquisition of AMF Medical under the terms of the Purchase Agreement. The total aggregate consideration for the Transaction includes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next two years, and a payment of up to CHF 91.2 million upon obtaining regulatory clearance from the United States Food and Drug Administration of an automated controller enabled (ACE) pump. The contingent consideration will be recognized as each contingency is resolved and the respective consideration is paid or becomes payable. As of September 30, 2023, the contingencies related to the earnout milestones were not yet resolved and, therefore, the related amounts were not included in the fair value of the asset acquired and were not recognized as a liability on the condensed consolidated balance sheet at September 30, 2023. The Company funded the initial closing payment using existing cash balances. As of December 31, 2022, the previous strategic investment was included as a component of other long-term assets on the condensed consolidated balance sheet.</w:t>
      </w:r>
    </w:p>
    <w:p>
      <w:pPr>
        <w:spacing w:after="0" w:line="141"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The transaction was accounted for as an asset acquisition as substantially all the value of the gross assets was concentrated in a single asset. The Company recorded a $78.8 million charge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for the three and nine months ended September 30, 2023 included the operating results of AMF Medical since the date of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Capillary Biomedical Acquisition</w:t>
      </w:r>
    </w:p>
    <w:p>
      <w:pPr>
        <w:spacing w:after="0" w:line="19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On July 21, 2022, the Company acquired Capillary Biomedical, Inc. (Capillary Biomedical), an infusion set developer, for total cash consideration of $24.7 million, and the assumption of $4.7 million of long-term debt. The debt becomes due and payable upon the first sale or license of the commercialized product, and is included as a component of other long-term liabilities on the condensed consolidated balance sheets at September 30, 2023 and December 31, 2022. Capillary Biomedical’s extended-wear infusion set technology is currently in development and is not yet commercially available. The Company funded the purchase price using existing cash balances.</w:t>
      </w:r>
    </w:p>
    <w:p>
      <w:pPr>
        <w:spacing w:after="0" w:line="147"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The transaction was accounted for as an asset acquisition as substantially all the value of the gross assets was concentrated in a single asset. The Company recorded a $31.0 million charge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for the three and nine months ended September 30, 2023 included the operating results of Capillary Biomedical.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18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In May 2020, the Company was named as a defendant in three California state court class action lawsuits arising from a phishing incident that occurred in January 2020. Collectively, these lawsuits sought statutory, compensatory, actual, and punitive damages; equitable relief, including restitution; pre- and post-judgment interest; injunctive relief; and attorney fees, costs, and expenses from us. On July 24, 2020, these three lawsuits were consolidated into a single case in the Superior Court of the State of California in the County of San Bernardino entitled Joseph Deluna et al. v. Tandem Diabetes Care, Inc. The consolidated case alleged violations of the Confidentiality of Medical Information Act (CMIA), CCPA, California’s Unfair Competition Law (UCL), and breach of contract. The Company filed a demurrer on all claims, which was heard by the Court on October 20, 2020, and the demurrer to the CCPA claim was sustained. The plaintiffs filed a motion for class certification on January 7, 2022 and we filed a motion for summary adjudication on the CMIA claim on April 7, 2022. On February 8, 2023, the Court granted plaintiffs’ request to dismiss their remaining two claims with prejudice, and dismissed the motion for class certification, thereby terminating the case in the Superior Court. On March 7, 2023, the plaintiffs filed a notice of appeal of the Court’s order granting the Company’s motion for summary adjudication. On August 15, 2023, the parties reached a settlement and on August 21, 2023, the Court issued an order dismissing the appeal.</w:t>
      </w:r>
    </w:p>
    <w:p>
      <w:pPr>
        <w:spacing w:after="0" w:line="141"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 xml:space="preserve">On September 8, 2023, a purported stockholder of the Company filed a putative securities class action complaint (captioned </w:t>
      </w:r>
      <w:r>
        <w:rPr>
          <w:rFonts w:ascii="Arial" w:cs="Arial" w:eastAsia="Arial" w:hAnsi="Arial"/>
          <w:sz w:val="16"/>
          <w:szCs w:val="16"/>
          <w:i w:val="1"/>
          <w:iCs w:val="1"/>
          <w:color w:val="auto"/>
        </w:rPr>
        <w:t>Lowe v. Tandem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Diabetes Care, Inc., et al, </w:t>
      </w:r>
      <w:r>
        <w:rPr>
          <w:rFonts w:ascii="Arial" w:cs="Arial" w:eastAsia="Arial" w:hAnsi="Arial"/>
          <w:sz w:val="16"/>
          <w:szCs w:val="16"/>
          <w:color w:val="auto"/>
        </w:rPr>
        <w:t>Case No. 23-cv-1657) in the United States District Court for the Southern District of California against the Company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current executive officers. The complaint generally alleges that defendants violated Sections 10(b) and 20(a) of the Securities Exchange Act of 1934, as amended, by failing to properly account for and disclose the full impact that COVID-19, inflation, and the sales of competitors’ products were having on the Company’s sales and revenue. The complaint seeks unspecified monetary damages and other relief. Although the Company intends to vigorously defend against this claim, there is no guarantee that the Company will prevail. Accordingly, the Company is unable to determine the ultimate outcome of this lawsuit or determine the amount or range of potential losses associated with the lawsuit.</w:t>
      </w:r>
    </w:p>
    <w:p>
      <w:pPr>
        <w:spacing w:after="0" w:line="139"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September 30, 2023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85"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In connection with one of the Company’s operating leases (see Note 6, “Leases”), the Company has a $4.9 million unsecured irrevocable standby letter of credit arrangement with a bank (see Note 7, “Debt”), under which the landlord of the building is the beneficiary. The Company is required to maintain the standby letter of credit throughout the term of the lease, which expires in April 2035.</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5" w:name="page26"/>
    <w:bookmarkEnd w:id="25"/>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September 30, 2023 (Quarterly Report).</w:t>
      </w:r>
    </w:p>
    <w:p>
      <w:pPr>
        <w:spacing w:after="0" w:line="143"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138"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in the section entitled “Risk Factors” in Part I, Item 1A, of our Annual Report on Form 10-K for the year ended December 31, 2022 (Annual Report), in the section entitled “Risk Factors” in Part II, Item 1A, of our Quarterly Report on Form 10-Q for the quarter ended June 30, 2023, and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40"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8"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We are a medical device company focused on the design, development and commercialization of technology solutions for people living with diabetes. We consider our primary addressable market to be people who live with type 1 diabetes. Through our product development efforts, we are seeking to expand our addressable market to include people living with type 2 diabetes who require intensive insulin therapy. Diabetes management can vary greatly from person-to-person, creating multiple market segments based on clinical needs and personal preferences. Our goal is to lead in insulin therapy management across multiple of these market segments by providing a robust ecosystem and a portfolio of delivery devices, software, and data insight solutions to people living with diabetes, as well as their caregivers and healthcare providers.</w:t>
      </w:r>
    </w:p>
    <w:p>
      <w:pPr>
        <w:spacing w:after="0" w:line="137"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Since our initial commercial launch, we have rapidly innovated and brought more products to market than our competitors. Today, the t:slim X2 Insulin Delivery System is our flagship technology solution. In the four-year period ended September 30, 2023, we shipped approximately 444,000 t:slim X2 insulin pumps, which is representative of our in-warranty global installed customer base assuming the typical four-year reimbursement cycle. Approximately 308,000 of these pumps were shipped to customers in the United States and approximately 136,000 were shipped to customers outside the United States. Our products are currently available in approximately 25 countries outside the United States. The vast majority of our customers worldwide are people living with type 1 diabetes.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ind w:firstLine="810"/>
        <w:spacing w:after="0" w:line="257" w:lineRule="auto"/>
        <w:rPr>
          <w:sz w:val="20"/>
          <w:szCs w:val="20"/>
          <w:color w:val="auto"/>
        </w:rPr>
      </w:pPr>
      <w:r>
        <w:rPr>
          <w:rFonts w:ascii="Arial" w:cs="Arial" w:eastAsia="Arial" w:hAnsi="Arial"/>
          <w:sz w:val="18"/>
          <w:szCs w:val="18"/>
          <w:color w:val="auto"/>
        </w:rPr>
        <w:t>In addition, in July 2023, the FDA provided clearance for the Tandem Mobi insulin pump, which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A limited release of Tandem Mobi in the United States began in the fourth quarter of 2023 with full commercial availability expected to begin in early 2024.</w:t>
      </w:r>
    </w:p>
    <w:p>
      <w:pPr>
        <w:spacing w:after="0" w:line="161"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manufacturing, sales and support activities are scaling in anticipation of offering people living with diabetes a choice between the t:slim X2 and Tandem Mobi insulin pumps based on their individual needs and preferences.</w:t>
      </w:r>
    </w:p>
    <w:p>
      <w:pPr>
        <w:spacing w:after="0" w:line="130"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majority of our customers use their t:slim X2 with continuous glucose monitoring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U.S. Food and Drug Administration (FDA) to deliver automatic correction boluses in addition to adjusting insulin to help prevent high and low blood sugar.</w:t>
      </w:r>
    </w:p>
    <w:p>
      <w:pPr>
        <w:spacing w:after="0" w:line="152"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 t:slim X2 was the first pump on which remote software updates were made commercially available in the United States and Tandem Mobi will offer the same capability. Now available for t:slim X2 in the countries we serve worldwide, our Tandem Device Updater (TDU) has allowed hundreds of thousands of people to update their pump software from a personal computer. This offering is a competitive advantage that allows us to bring our customers clinical and lifestyle enhancements, such as new developments in our AID technology, CGM integrations and mobile app features. In the third quarter of 2022, we launched a new pump software update through TDU to allow all t:slim X2 pump users in the United States to bolus insulin using our smartphone app that is available on compatible iOS and Android devices.</w:t>
      </w:r>
    </w:p>
    <w:p>
      <w:pPr>
        <w:spacing w:after="0" w:line="151"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43"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the United States, we also offer a data management web application that provides users, their caregivers and their healthcare providers with a fast, easy and visual way to display diabetes therapy management data from our pumps, integrated CGMs and supported blood glucose meters. Our first-generation data management application, t:connect, was commercially introduced in the United States in 2013. In the second quarter of 2023, we began a scaled global launch of our second-generation data management application, Tandem Source.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198"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252" w:lineRule="exact"/>
        <w:rPr>
          <w:sz w:val="20"/>
          <w:szCs w:val="20"/>
          <w:color w:val="auto"/>
        </w:rPr>
      </w:pPr>
    </w:p>
    <w:p>
      <w:pPr>
        <w:jc w:val="both"/>
        <w:ind w:right="40" w:firstLine="810"/>
        <w:spacing w:after="0" w:line="255" w:lineRule="auto"/>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portfolio. Preferences in the size, shape, and mode of operation that comprise an insulin pump’s hardware often impact a person’s pump purchasing decision and overall user experience.</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t:slim X3</w:t>
      </w:r>
    </w:p>
    <w:p>
      <w:pPr>
        <w:spacing w:after="0" w:line="170"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i w:val="1"/>
          <w:iCs w:val="1"/>
          <w:color w:val="auto"/>
        </w:rPr>
        <w:t>Mobi: Tubeless</w:t>
      </w:r>
    </w:p>
    <w:p>
      <w:pPr>
        <w:spacing w:after="0" w:line="252" w:lineRule="exact"/>
        <w:rPr>
          <w:sz w:val="20"/>
          <w:szCs w:val="20"/>
          <w:color w:val="auto"/>
        </w:rPr>
      </w:pPr>
    </w:p>
    <w:p>
      <w:pPr>
        <w:jc w:val="both"/>
        <w:ind w:right="300" w:firstLine="810"/>
        <w:spacing w:after="0" w:line="259" w:lineRule="auto"/>
        <w:rPr>
          <w:sz w:val="20"/>
          <w:szCs w:val="20"/>
          <w:color w:val="auto"/>
        </w:rPr>
      </w:pPr>
      <w:r>
        <w:rPr>
          <w:rFonts w:ascii="Arial" w:cs="Arial" w:eastAsia="Arial" w:hAnsi="Arial"/>
          <w:sz w:val="18"/>
          <w:szCs w:val="18"/>
          <w:color w:val="auto"/>
        </w:rPr>
        <w:t>This offering is being developed to provide an alternative tubeless infusion site option for Tandem Mobi pump users. It will allow a Tandem Mobi pump to be worn completely on the user’s body with no tubing. A goal of this design is to allow people living with diabetes to customize the way they wear their pump with each cartridge change, switching between tubed and tubeless wear configurations, to best suit their personal preferences and lifestyle.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Sigi</w:t>
      </w:r>
    </w:p>
    <w:p>
      <w:pPr>
        <w:spacing w:after="0" w:line="185"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This ergonomic, rechargeable Sigi Patch Pump is being designed to reduce the burden of managing diabetes through its use of pre-filled insulin cartridges and compatibility with AID technology.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Extended Wear Infusion Sets</w:t>
      </w:r>
    </w:p>
    <w:p>
      <w:pPr>
        <w:spacing w:after="0" w:line="252"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Infusion sets provide additional choice and flexibility to people living with diabetes. Our goals for infusion set innovations focus on solutions that extend wear time and enhance user experience, while reducing occlusions, body burden and waste. In support of this effort, we are currently developing a unique extended wear infusion set technology.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Device Software</w:t>
      </w:r>
    </w:p>
    <w:p>
      <w:pPr>
        <w:spacing w:after="0" w:line="18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Control-IQ Advancements</w:t>
      </w:r>
    </w:p>
    <w:p>
      <w:pPr>
        <w:spacing w:after="0" w:line="19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We are continuing to drive innovation in our algorithms, emphasizing automation, personalization and simplification to continue to improve therapeutic outcomes and provide a positive patient experience. We recently began a pivotal study to support expanding indications to include people living with type 2 diabetes. We are also researching the use of different insulins with our Control-IQ technology.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Integration</w:t>
      </w:r>
    </w:p>
    <w:p>
      <w:pPr>
        <w:spacing w:after="0" w:line="185"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pacing w:after="0" w:line="143" w:lineRule="exact"/>
        <w:rPr>
          <w:sz w:val="20"/>
          <w:szCs w:val="20"/>
          <w:color w:val="auto"/>
        </w:rPr>
      </w:pPr>
    </w:p>
    <w:p>
      <w:pPr>
        <w:jc w:val="both"/>
        <w:ind w:right="40" w:firstLine="810"/>
        <w:spacing w:after="0" w:line="286" w:lineRule="auto"/>
        <w:rPr>
          <w:sz w:val="20"/>
          <w:szCs w:val="20"/>
          <w:color w:val="auto"/>
        </w:rPr>
      </w:pPr>
      <w:r>
        <w:rPr>
          <w:rFonts w:ascii="Arial" w:cs="Arial" w:eastAsia="Arial" w:hAnsi="Arial"/>
          <w:sz w:val="17"/>
          <w:szCs w:val="17"/>
          <w:i w:val="1"/>
          <w:iCs w:val="1"/>
          <w:color w:val="auto"/>
        </w:rPr>
        <w:t>Dexcom CGM</w:t>
      </w:r>
      <w:r>
        <w:rPr>
          <w:rFonts w:ascii="Arial" w:cs="Arial" w:eastAsia="Arial" w:hAnsi="Arial"/>
          <w:sz w:val="17"/>
          <w:szCs w:val="17"/>
          <w:color w:val="auto"/>
        </w:rPr>
        <w:t>: We have agreements with Dexcom, Inc. (Dexcom) to extend our current collaboration to include integration with their G7 CGM</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This will be the fourth generation of Dexcom CGM that we integrate with our devices. Integration of the t:slim X2 with Dexcom’s G7 is in the release process, which we plan to scale for full availability in the United States, followed by a rolling launch in international markets.</w:t>
      </w:r>
    </w:p>
    <w:p>
      <w:pPr>
        <w:spacing w:after="0" w:line="192"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i w:val="1"/>
          <w:iCs w:val="1"/>
          <w:color w:val="auto"/>
        </w:rPr>
        <w:t>Abbott CGM</w:t>
      </w:r>
      <w:r>
        <w:rPr>
          <w:rFonts w:ascii="Arial" w:cs="Arial" w:eastAsia="Arial" w:hAnsi="Arial"/>
          <w:sz w:val="18"/>
          <w:szCs w:val="18"/>
          <w:color w:val="auto"/>
        </w:rPr>
        <w:t>: We have an agreement with Abbott Laboratories (Abbott) to develop and commercialize integrated diabetes solutions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combine Abbott’s FreeStyle Libre CGM technology with our insulin delivery systems. This will be the first-generation of the Abbott Freestyle Libre CGM integrated with our t:slim X2. We intend to launch in the United States, and expand to additional geographies after obtaining regulatory clearances or approvals, where required.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18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Our key objectives include making these insights easy to understand, making the data available in real time, and providing the information in a flexible format through mobile or web apps. In addition, we are working to integrate health-related information from third-party sources and to use our data to support current and future products under development.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Settings Automation</w:t>
      </w:r>
    </w:p>
    <w:p>
      <w:pPr>
        <w:spacing w:after="0" w:line="185"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198"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From inception in 2012 through June 2018, we derived nearly all of our sales from the shipment of insulin pumps and associated supplies to customers in the United States. Starting in the third quarter of 2018, we began selling our t:slim X2 insulin pump in select geographies outside the United States and our technology solutions are now available in approximately 25 countries worldwide. We consider the number of insulin pump units shipped to be an important metric for managing our business.</w:t>
      </w:r>
    </w:p>
    <w:p>
      <w:pPr>
        <w:spacing w:after="0" w:line="146" w:lineRule="exact"/>
        <w:rPr>
          <w:sz w:val="20"/>
          <w:szCs w:val="20"/>
          <w:color w:val="auto"/>
        </w:rPr>
      </w:pPr>
    </w:p>
    <w:p>
      <w:pPr>
        <w:ind w:right="240" w:firstLine="810"/>
        <w:spacing w:after="0" w:line="259" w:lineRule="auto"/>
        <w:rPr>
          <w:sz w:val="20"/>
          <w:szCs w:val="20"/>
          <w:color w:val="auto"/>
        </w:rPr>
      </w:pPr>
      <w:r>
        <w:rPr>
          <w:rFonts w:ascii="Arial" w:cs="Arial" w:eastAsia="Arial" w:hAnsi="Arial"/>
          <w:sz w:val="18"/>
          <w:szCs w:val="18"/>
          <w:color w:val="auto"/>
        </w:rPr>
        <w:t>Insulin pumps in the markets we serve worldwide are generally subject to a four-year reimbursement cycle, imposed by the third-party insurance carrier, government plan or healthcare system that serves as the primary payor. In the four-year period ended September 30, 2023, we shipped approximately 444,000 insulin pumps worldwide, which is representative of our global in-warranty installed customer base. Our ending estimated worldwide installed base increased approximately 11% year over year.</w:t>
      </w:r>
    </w:p>
    <w:p>
      <w:pPr>
        <w:spacing w:after="0" w:line="146" w:lineRule="exact"/>
        <w:rPr>
          <w:sz w:val="20"/>
          <w:szCs w:val="20"/>
          <w:color w:val="auto"/>
        </w:rPr>
      </w:pPr>
    </w:p>
    <w:p>
      <w:pPr>
        <w:ind w:right="140" w:firstLine="810"/>
        <w:spacing w:after="0" w:line="293" w:lineRule="auto"/>
        <w:rPr>
          <w:sz w:val="20"/>
          <w:szCs w:val="20"/>
          <w:color w:val="auto"/>
        </w:rPr>
      </w:pPr>
      <w:r>
        <w:rPr>
          <w:rFonts w:ascii="Arial" w:cs="Arial" w:eastAsia="Arial" w:hAnsi="Arial"/>
          <w:sz w:val="16"/>
          <w:szCs w:val="16"/>
          <w:color w:val="auto"/>
        </w:rPr>
        <w:t>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typically take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spacing w:after="0" w:line="137"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Approximately 308,000 pumps were shipped to customers in the United States in the four-year period ended September 30, 2023, which is representative of our U.S. installed customer base. Pump shipments to customers in the United States by fiscal quarter for the current year and each of the previous five years, which aligns more closely with our typical renewal cycle,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United States Pump Unit Shipments</w:t>
            </w:r>
          </w:p>
        </w:tc>
        <w:tc>
          <w:tcPr>
            <w:tcW w:w="1300" w:type="dxa"/>
            <w:vAlign w:val="bottom"/>
          </w:tcPr>
          <w:p>
            <w:pPr>
              <w:spacing w:after="0"/>
              <w:rPr>
                <w:sz w:val="14"/>
                <w:szCs w:val="14"/>
                <w:color w:val="auto"/>
              </w:rPr>
            </w:pPr>
          </w:p>
        </w:tc>
      </w:tr>
      <w:tr>
        <w:trPr>
          <w:trHeight w:val="192"/>
        </w:trPr>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96"/>
        </w:trPr>
        <w:tc>
          <w:tcPr>
            <w:tcW w:w="420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9"/>
        </w:trPr>
        <w:tc>
          <w:tcPr>
            <w:tcW w:w="4200" w:type="dxa"/>
            <w:vAlign w:val="bottom"/>
            <w:tcBorders>
              <w:top w:val="single" w:sz="8" w:color="CCEEFF"/>
            </w:tcBorders>
            <w:shd w:val="clear" w:color="auto" w:fill="CCEEFF"/>
          </w:tcPr>
          <w:p>
            <w:pPr>
              <w:jc w:val="right"/>
              <w:ind w:right="3730"/>
              <w:spacing w:after="0"/>
              <w:rPr>
                <w:sz w:val="20"/>
                <w:szCs w:val="20"/>
                <w:color w:val="auto"/>
              </w:rPr>
            </w:pPr>
            <w:r>
              <w:rPr>
                <w:rFonts w:ascii="Arial" w:cs="Arial" w:eastAsia="Arial" w:hAnsi="Arial"/>
                <w:sz w:val="18"/>
                <w:szCs w:val="18"/>
                <w:color w:val="auto"/>
                <w:w w:val="89"/>
              </w:rPr>
              <w:t>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2019</w:t>
            </w:r>
          </w:p>
        </w:tc>
        <w:tc>
          <w:tcPr>
            <w:tcW w:w="1300" w:type="dxa"/>
            <w:vAlign w:val="bottom"/>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53,735</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70,825</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20,296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83,317</w:t>
            </w:r>
          </w:p>
        </w:tc>
      </w:tr>
      <w:tr>
        <w:trPr>
          <w:trHeight w:val="229"/>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83,554</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2023</w:t>
            </w:r>
          </w:p>
        </w:tc>
        <w:tc>
          <w:tcPr>
            <w:tcW w:w="1300" w:type="dxa"/>
            <w:vAlign w:val="bottom"/>
          </w:tcPr>
          <w:p>
            <w:pPr>
              <w:jc w:val="right"/>
              <w:spacing w:after="0"/>
              <w:rPr>
                <w:sz w:val="20"/>
                <w:szCs w:val="20"/>
                <w:color w:val="auto"/>
              </w:rPr>
            </w:pPr>
            <w:r>
              <w:rPr>
                <w:rFonts w:ascii="Arial" w:cs="Arial" w:eastAsia="Arial" w:hAnsi="Arial"/>
                <w:sz w:val="18"/>
                <w:szCs w:val="18"/>
                <w:color w:val="auto"/>
              </w:rPr>
              <w:t>17,003</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16,842</w:t>
            </w:r>
          </w:p>
        </w:tc>
        <w:tc>
          <w:tcPr>
            <w:tcW w:w="100" w:type="dxa"/>
            <w:vAlign w:val="bottom"/>
          </w:tcPr>
          <w:p>
            <w:pPr>
              <w:spacing w:after="0"/>
              <w:rPr>
                <w:sz w:val="20"/>
                <w:szCs w:val="20"/>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52,809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29" w:name="page30"/>
    <w:bookmarkEnd w:id="29"/>
    <w:p>
      <w:pPr>
        <w:ind w:firstLine="810"/>
        <w:spacing w:after="0" w:line="272" w:lineRule="auto"/>
        <w:rPr>
          <w:sz w:val="20"/>
          <w:szCs w:val="20"/>
          <w:color w:val="auto"/>
        </w:rPr>
      </w:pPr>
      <w:r>
        <w:rPr>
          <w:rFonts w:ascii="Arial" w:cs="Arial" w:eastAsia="Arial" w:hAnsi="Arial"/>
          <w:sz w:val="17"/>
          <w:szCs w:val="17"/>
          <w:color w:val="auto"/>
        </w:rPr>
        <w:t>Since beginning sales outside the United States in the third quarter of 2018, we shipped approximately 136,000 pumps and our products are now available in approximately 25 countries. The ordering patterns of, and levels of inventory carried by, our distributors outside the United States for pumps and supplies have historically been highly variable from period to period due to a number of factors, including summer vacations, the timing of product launches into new geographies and variability due to supply chain logistics, particularly during the global pandemic. This also influences the timing in which renewal eligibility begins for existing customers, which may not initially be consistent with trends in the U.S. market. We recently began completing a full four-year reimbursement cycle in an increasing number of our markets outside of the United States. Pump shipments to customers outside the United States by fiscal quarter for the current year and each of the previous five years,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Outside the United States Pump Unit Shipments</w:t>
            </w:r>
          </w:p>
        </w:tc>
        <w:tc>
          <w:tcPr>
            <w:tcW w:w="1300" w:type="dxa"/>
            <w:vAlign w:val="bottom"/>
          </w:tcPr>
          <w:p>
            <w:pPr>
              <w:spacing w:after="0"/>
              <w:rPr>
                <w:sz w:val="14"/>
                <w:szCs w:val="14"/>
                <w:color w:val="auto"/>
              </w:rPr>
            </w:pPr>
          </w:p>
        </w:tc>
      </w:tr>
      <w:tr>
        <w:trPr>
          <w:trHeight w:val="192"/>
        </w:trPr>
        <w:tc>
          <w:tcPr>
            <w:tcW w:w="4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95"/>
        </w:trPr>
        <w:tc>
          <w:tcPr>
            <w:tcW w:w="418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30"/>
        </w:trPr>
        <w:tc>
          <w:tcPr>
            <w:tcW w:w="4180" w:type="dxa"/>
            <w:vAlign w:val="bottom"/>
            <w:tcBorders>
              <w:top w:val="single" w:sz="8" w:color="CFF0FC"/>
            </w:tcBorders>
            <w:shd w:val="clear" w:color="auto" w:fill="CFF0FC"/>
          </w:tcPr>
          <w:p>
            <w:pPr>
              <w:jc w:val="right"/>
              <w:ind w:right="3710"/>
              <w:spacing w:after="0"/>
              <w:rPr>
                <w:sz w:val="20"/>
                <w:szCs w:val="20"/>
                <w:color w:val="auto"/>
              </w:rPr>
            </w:pPr>
            <w:r>
              <w:rPr>
                <w:rFonts w:ascii="Arial" w:cs="Arial" w:eastAsia="Arial" w:hAnsi="Arial"/>
                <w:sz w:val="18"/>
                <w:szCs w:val="18"/>
                <w:color w:val="auto"/>
                <w:w w:val="89"/>
              </w:rPr>
              <w:t>2018</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29"/>
        </w:trPr>
        <w:tc>
          <w:tcPr>
            <w:tcW w:w="4180" w:type="dxa"/>
            <w:vAlign w:val="bottom"/>
          </w:tcPr>
          <w:p>
            <w:pPr>
              <w:jc w:val="right"/>
              <w:ind w:right="3710"/>
              <w:spacing w:after="0"/>
              <w:rPr>
                <w:sz w:val="20"/>
                <w:szCs w:val="20"/>
                <w:color w:val="auto"/>
              </w:rPr>
            </w:pPr>
            <w:r>
              <w:rPr>
                <w:rFonts w:ascii="Arial" w:cs="Arial" w:eastAsia="Arial" w:hAnsi="Arial"/>
                <w:sz w:val="18"/>
                <w:szCs w:val="18"/>
                <w:color w:val="auto"/>
                <w:w w:val="89"/>
              </w:rPr>
              <w:t>2019</w:t>
            </w:r>
          </w:p>
        </w:tc>
        <w:tc>
          <w:tcPr>
            <w:tcW w:w="1300" w:type="dxa"/>
            <w:vAlign w:val="bottom"/>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29"/>
        </w:trPr>
        <w:tc>
          <w:tcPr>
            <w:tcW w:w="4180" w:type="dxa"/>
            <w:vAlign w:val="bottom"/>
            <w:shd w:val="clear" w:color="auto" w:fill="CCEEFF"/>
          </w:tcPr>
          <w:p>
            <w:pPr>
              <w:jc w:val="right"/>
              <w:ind w:right="3710"/>
              <w:spacing w:after="0"/>
              <w:rPr>
                <w:sz w:val="20"/>
                <w:szCs w:val="20"/>
                <w:color w:val="auto"/>
              </w:rPr>
            </w:pPr>
            <w:r>
              <w:rPr>
                <w:rFonts w:ascii="Arial" w:cs="Arial" w:eastAsia="Arial" w:hAnsi="Arial"/>
                <w:sz w:val="18"/>
                <w:szCs w:val="18"/>
                <w:color w:val="auto"/>
                <w:w w:val="89"/>
              </w:rPr>
              <w:t>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r>
      <w:tr>
        <w:trPr>
          <w:trHeight w:val="230"/>
        </w:trPr>
        <w:tc>
          <w:tcPr>
            <w:tcW w:w="4180" w:type="dxa"/>
            <w:vAlign w:val="bottom"/>
          </w:tcPr>
          <w:p>
            <w:pPr>
              <w:jc w:val="right"/>
              <w:ind w:right="3710"/>
              <w:spacing w:after="0"/>
              <w:rPr>
                <w:sz w:val="20"/>
                <w:szCs w:val="20"/>
                <w:color w:val="auto"/>
              </w:rPr>
            </w:pPr>
            <w:r>
              <w:rPr>
                <w:rFonts w:ascii="Arial" w:cs="Arial" w:eastAsia="Arial" w:hAnsi="Arial"/>
                <w:sz w:val="18"/>
                <w:szCs w:val="18"/>
                <w:color w:val="auto"/>
                <w:w w:val="89"/>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8,708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44,995</w:t>
            </w:r>
          </w:p>
        </w:tc>
      </w:tr>
      <w:tr>
        <w:trPr>
          <w:trHeight w:val="229"/>
        </w:trPr>
        <w:tc>
          <w:tcPr>
            <w:tcW w:w="4180" w:type="dxa"/>
            <w:vAlign w:val="bottom"/>
            <w:shd w:val="clear" w:color="auto" w:fill="CCEEFF"/>
          </w:tcPr>
          <w:p>
            <w:pPr>
              <w:jc w:val="right"/>
              <w:ind w:right="3710"/>
              <w:spacing w:after="0"/>
              <w:rPr>
                <w:sz w:val="20"/>
                <w:szCs w:val="20"/>
                <w:color w:val="auto"/>
              </w:rPr>
            </w:pPr>
            <w:r>
              <w:rPr>
                <w:rFonts w:ascii="Arial" w:cs="Arial" w:eastAsia="Arial" w:hAnsi="Arial"/>
                <w:sz w:val="18"/>
                <w:szCs w:val="18"/>
                <w:color w:val="auto"/>
                <w:w w:val="89"/>
              </w:rPr>
              <w:t>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w:t>
            </w:r>
          </w:p>
        </w:tc>
      </w:tr>
      <w:tr>
        <w:trPr>
          <w:trHeight w:val="230"/>
        </w:trPr>
        <w:tc>
          <w:tcPr>
            <w:tcW w:w="4180" w:type="dxa"/>
            <w:vAlign w:val="bottom"/>
          </w:tcPr>
          <w:p>
            <w:pPr>
              <w:jc w:val="right"/>
              <w:ind w:right="3710"/>
              <w:spacing w:after="0"/>
              <w:rPr>
                <w:sz w:val="20"/>
                <w:szCs w:val="20"/>
                <w:color w:val="auto"/>
              </w:rPr>
            </w:pPr>
            <w:r>
              <w:rPr>
                <w:rFonts w:ascii="Arial" w:cs="Arial" w:eastAsia="Arial" w:hAnsi="Arial"/>
                <w:sz w:val="18"/>
                <w:szCs w:val="18"/>
                <w:color w:val="auto"/>
                <w:w w:val="89"/>
              </w:rPr>
              <w:t>2023</w:t>
            </w:r>
          </w:p>
        </w:tc>
        <w:tc>
          <w:tcPr>
            <w:tcW w:w="130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10,530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20"/>
                <w:szCs w:val="20"/>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24,571</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Uncertainties Impacting Financial Results</w:t>
      </w:r>
    </w:p>
    <w:p>
      <w:pPr>
        <w:spacing w:after="0" w:line="185"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Our financial condition and operating results have historically fluctuated on a quarterly or annual basis. We expect these periodic fluctuations will continue to be impacted by a number of trends and uncertainties, including the following:</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Regulatory Approvals and Actions</w:t>
      </w:r>
    </w:p>
    <w:p>
      <w:pPr>
        <w:spacing w:after="0" w:line="185" w:lineRule="exact"/>
        <w:rPr>
          <w:sz w:val="20"/>
          <w:szCs w:val="20"/>
          <w:color w:val="auto"/>
        </w:rPr>
      </w:pPr>
    </w:p>
    <w:p>
      <w:pPr>
        <w:ind w:left="1140" w:right="80" w:hanging="322"/>
        <w:spacing w:after="0" w:line="259"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w:t>
      </w:r>
    </w:p>
    <w:p>
      <w:pPr>
        <w:spacing w:after="0" w:line="146" w:lineRule="exact"/>
        <w:rPr>
          <w:rFonts w:ascii="Arial" w:cs="Arial" w:eastAsia="Arial" w:hAnsi="Arial"/>
          <w:sz w:val="18"/>
          <w:szCs w:val="18"/>
          <w:color w:val="auto"/>
        </w:rPr>
      </w:pPr>
    </w:p>
    <w:p>
      <w:pPr>
        <w:ind w:left="1140" w:right="160" w:hanging="322"/>
        <w:spacing w:after="0" w:line="259"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adverse event involving any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Product - Launches and Reimbursement</w:t>
      </w:r>
    </w:p>
    <w:p>
      <w:pPr>
        <w:spacing w:after="0" w:line="185" w:lineRule="exact"/>
        <w:rPr>
          <w:sz w:val="20"/>
          <w:szCs w:val="20"/>
          <w:color w:val="auto"/>
        </w:rPr>
      </w:pPr>
    </w:p>
    <w:p>
      <w:pPr>
        <w:ind w:left="1140" w:hanging="322"/>
        <w:spacing w:after="0" w:line="259"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Tandem Choice program, and its related financial and accounting impact, may continue to materially impact our business until the conclusion of the program.</w:t>
      </w:r>
    </w:p>
    <w:p>
      <w:pPr>
        <w:spacing w:after="0" w:line="146" w:lineRule="exact"/>
        <w:rPr>
          <w:rFonts w:ascii="Arial" w:cs="Arial" w:eastAsia="Arial" w:hAnsi="Arial"/>
          <w:sz w:val="18"/>
          <w:szCs w:val="18"/>
          <w:color w:val="auto"/>
        </w:rPr>
      </w:pPr>
    </w:p>
    <w:p>
      <w:pPr>
        <w:ind w:left="1140" w:right="200" w:hanging="322"/>
        <w:spacing w:after="0" w:line="275" w:lineRule="auto"/>
        <w:tabs>
          <w:tab w:leader="none" w:pos="11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historically experienced higher net sales in our third and fourth quarters compared to the first half of the year. We believe our recently announced FDA clearance of Tandem Mobi and its anticipated launch has impacted and may impact the future timing of purchasing decisions by our current and prospective customers as the full commercial launch date approaches, resulting in delays that are unlike historical seasonal patterns or purchasing behaviors. Regulatory approval and/or upcoming launches of other new Tandem or competitor products could also adversely impact timing of purchasing decisions.</w:t>
      </w:r>
    </w:p>
    <w:p>
      <w:pPr>
        <w:spacing w:after="0" w:line="149" w:lineRule="exact"/>
        <w:rPr>
          <w:rFonts w:ascii="Arial" w:cs="Arial" w:eastAsia="Arial" w:hAnsi="Arial"/>
          <w:sz w:val="17"/>
          <w:szCs w:val="17"/>
          <w:color w:val="auto"/>
        </w:rPr>
      </w:pPr>
    </w:p>
    <w:p>
      <w:pPr>
        <w:ind w:left="1140" w:right="520" w:hanging="322"/>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and results of operations may be impacted by the failure to secure or retain adequate coverage or reimbursement for our current and future products from third-party payors.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0" w:name="page31"/>
    <w:bookmarkEnd w:id="30"/>
    <w:p>
      <w:pPr>
        <w:ind w:left="820"/>
        <w:spacing w:after="0"/>
        <w:rPr>
          <w:sz w:val="20"/>
          <w:szCs w:val="20"/>
          <w:color w:val="auto"/>
        </w:rPr>
      </w:pPr>
      <w:r>
        <w:rPr>
          <w:rFonts w:ascii="Arial" w:cs="Arial" w:eastAsia="Arial" w:hAnsi="Arial"/>
          <w:sz w:val="18"/>
          <w:szCs w:val="18"/>
          <w:color w:val="auto"/>
        </w:rPr>
        <w:t>Foreign Markets</w:t>
      </w:r>
    </w:p>
    <w:p>
      <w:pPr>
        <w:spacing w:after="0" w:line="198" w:lineRule="exact"/>
        <w:rPr>
          <w:sz w:val="20"/>
          <w:szCs w:val="20"/>
          <w:color w:val="auto"/>
        </w:rPr>
      </w:pPr>
    </w:p>
    <w:p>
      <w:pPr>
        <w:ind w:left="1140" w:right="80" w:hanging="322"/>
        <w:spacing w:after="0" w:line="259"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expanded our business and launched new products in select geographies outside the United States. The ordering patterns of our distributors outside the United States is highly variable from period to period. We commenced operations of a European distribution center beginning in the third quarter of 2022, which led to downward adjustments of inventory levels at our distributors in late 2022 and in the first half of 2023.</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Seasonality</w:t>
      </w:r>
    </w:p>
    <w:p>
      <w:pPr>
        <w:spacing w:after="0" w:line="185" w:lineRule="exact"/>
        <w:rPr>
          <w:sz w:val="20"/>
          <w:szCs w:val="20"/>
          <w:color w:val="auto"/>
        </w:rPr>
      </w:pPr>
    </w:p>
    <w:p>
      <w:pPr>
        <w:ind w:left="1140" w:right="120" w:hanging="322"/>
        <w:spacing w:after="0" w:line="25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 as well as the anticipated launch of new products.</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Macroeconomic Factors</w:t>
      </w:r>
    </w:p>
    <w:p>
      <w:pPr>
        <w:spacing w:after="0" w:line="185" w:lineRule="exact"/>
        <w:rPr>
          <w:sz w:val="20"/>
          <w:szCs w:val="20"/>
          <w:color w:val="auto"/>
        </w:rPr>
      </w:pPr>
    </w:p>
    <w:p>
      <w:pPr>
        <w:ind w:left="1140" w:right="80" w:hanging="322"/>
        <w:spacing w:after="0" w:line="277" w:lineRule="auto"/>
        <w:tabs>
          <w:tab w:leader="none" w:pos="1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and market uncertainty, such as recessionary concerns, inflation, changes in discretionary spending and increased interest rates have impacted our customers’ purchasing decisions and the buying patterns of our distributors.</w:t>
      </w:r>
    </w:p>
    <w:p>
      <w:pPr>
        <w:spacing w:after="0" w:line="129" w:lineRule="exact"/>
        <w:rPr>
          <w:rFonts w:ascii="Arial" w:cs="Arial" w:eastAsia="Arial" w:hAnsi="Arial"/>
          <w:sz w:val="18"/>
          <w:szCs w:val="18"/>
          <w:color w:val="auto"/>
        </w:rPr>
      </w:pPr>
    </w:p>
    <w:p>
      <w:pPr>
        <w:ind w:left="1140" w:hanging="322"/>
        <w:spacing w:after="0" w:line="263" w:lineRule="auto"/>
        <w:tabs>
          <w:tab w:leader="none" w:pos="1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inflation and the effects of other macroeconomic factors and concerns have continued to disrupt our relationships with suppliers, third-party manufacturers, healthcare providers, distributors and our existing or potential customers. We are experiencing higher costs as we navigate these global macroeconomic challenges.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right="120" w:firstLine="810"/>
        <w:spacing w:after="0" w:line="286" w:lineRule="auto"/>
        <w:rPr>
          <w:sz w:val="20"/>
          <w:szCs w:val="20"/>
          <w:color w:val="auto"/>
        </w:rPr>
      </w:pPr>
      <w:r>
        <w:rPr>
          <w:rFonts w:ascii="Arial" w:cs="Arial" w:eastAsia="Arial" w:hAnsi="Arial"/>
          <w:sz w:val="16"/>
          <w:szCs w:val="16"/>
          <w:color w:val="auto"/>
        </w:rPr>
        <w:t>We offer products for people with insulin-dependent diabetes in approximately 25 countries. The t:slim X2 insulin pump is our flagship pump platform. Our other products include disposable insulin cartridges and infusion sets, as well as our complementary t:connect, TDU and mobile application products.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Results—Product Launches and Reimbursement,” above.</w:t>
      </w:r>
    </w:p>
    <w:p>
      <w:pPr>
        <w:spacing w:after="0" w:line="176"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September 2022, we began offering the Tandem Choice program to eligible t:slim X2 customers to provide a pathway to ownership of our newest hardware platform, Tandem Mobi, for a fee when available. Tandem Choice expires on December 31, 2024. The accounting treatment for Tandem Choice is complex (see Note 2, “Summary of Significant Accounting Policies”). Initially, the program requires the deferral of some portion of sales for shipments of eligible pumps, which began in the third quarter of 2022. No election is made by the customer at the time of the initial sale, nor does the right offered to the customer impact the economics associated with how or when the initial pump sale is reimbursed. If a customer elects to participate in Tandem Choice at a future date beginning with the launch of our next generation hardware platform, Tandem Mobi, we will recognize the existing deferral, incremental fees received and the associated costs of providing the new hardware, Tandem Mobi, at the time of fulfillment. Any remaining deferrals will be recognized at program expiration. At this time, we are not able to estimate the financial impact for the duration of Tandem Choice.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40" w:firstLine="810"/>
        <w:spacing w:after="0" w:line="293" w:lineRule="auto"/>
        <w:rPr>
          <w:sz w:val="20"/>
          <w:szCs w:val="20"/>
          <w:color w:val="auto"/>
        </w:rPr>
      </w:pPr>
      <w:r>
        <w:rPr>
          <w:rFonts w:ascii="Arial" w:cs="Arial" w:eastAsia="Arial" w:hAnsi="Arial"/>
          <w:sz w:val="16"/>
          <w:szCs w:val="16"/>
          <w:color w:val="auto"/>
        </w:rPr>
        <w:t>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Therefore, the percentage of pump sales relative to total sales could have a significant impact on our overall gross margin percentage.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have approximately 110 sales territories in the United States, which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198" w:lineRule="exact"/>
        <w:rPr>
          <w:sz w:val="20"/>
          <w:szCs w:val="20"/>
          <w:color w:val="auto"/>
        </w:rPr>
      </w:pPr>
    </w:p>
    <w:p>
      <w:pPr>
        <w:ind w:right="840" w:firstLine="810"/>
        <w:spacing w:after="0" w:line="277" w:lineRule="auto"/>
        <w:rPr>
          <w:sz w:val="20"/>
          <w:szCs w:val="20"/>
          <w:color w:val="auto"/>
        </w:rPr>
      </w:pPr>
      <w:r>
        <w:rPr>
          <w:rFonts w:ascii="Arial" w:cs="Arial" w:eastAsia="Arial" w:hAnsi="Arial"/>
          <w:sz w:val="18"/>
          <w:szCs w:val="18"/>
          <w:color w:val="auto"/>
        </w:rPr>
        <w:t>Acquired IPR&amp;D reflects costs of external research and development projects acquired directly in a transaction other than a business combination, that do not have an alternative future use.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85"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Other income and expense primarily consists of interest earned on our cash equivalents and short-term investments, foreign currency transaction gains and losses, and interest expense which includes the amortization of debt issuance costs related to our 1.50% Convertible Senior Notes due May 2025 (Notes) and our line of credit facility.</w:t>
      </w:r>
    </w:p>
    <w:p>
      <w:pPr>
        <w:spacing w:after="0" w:line="157"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On or about October 24, 2023, we were notified that additional interest beyond the 1.50% per annum has been accruing on the Notes since May 2021, pursuant to the terms of the indenture. This additional interest continues to accrue at a rate of 0.50% per annum on the outstanding principal amount of the Notes, and as of November 1, 2023 amounts to approximately $3.2 million in the aggregate. The overdue unpaid interest itself accrues interest at a rate of 2.50% per annum. We are coordinating with the trustee for the Notes to pay all overdue amounts as soon as reasonably practicable in the fourth quarter of 2023. See “Risk Factors—An event of default has occurred under the indenture governing our 1.50% Convertible Senior Notes due 2025.”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480" w:firstLine="810"/>
        <w:spacing w:after="0" w:line="342"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4"/>
            <w:vMerge w:val="restart"/>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130,222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146,035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403,964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422,985</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Outside the United States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55,400</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58,512</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146,958</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157,731</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185,622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204,547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550,922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580,716</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95,869</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98"/>
              </w:rPr>
              <w:t>100,122</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276,527</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283,252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89,753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104,425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274,395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297,464</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79,328</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84,104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266,752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237,989</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41,970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36,798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127,063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103,529</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31,016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78,750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121,298</w:t>
            </w: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8"/>
              </w:rPr>
              <w:t>151,918</w:t>
            </w: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472,565</w:t>
            </w: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372,534</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(31,545)</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(47,493)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(198,170)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(75,070)</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 and other, net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17,305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(1,576)</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(8,079)</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9,226</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(30,729)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(47,349)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(188,944)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(76,738)</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1,621</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32"/>
              <w:spacing w:after="0"/>
              <w:rPr>
                <w:sz w:val="20"/>
                <w:szCs w:val="20"/>
                <w:color w:val="auto"/>
              </w:rPr>
            </w:pPr>
            <w:r>
              <w:rPr>
                <w:rFonts w:ascii="Arial" w:cs="Arial" w:eastAsia="Arial" w:hAnsi="Arial"/>
                <w:sz w:val="18"/>
                <w:szCs w:val="18"/>
                <w:color w:val="auto"/>
              </w:rPr>
              <w:t>3,665</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(32,961)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(48,970)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(192,609)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(78,741)</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right="20" w:firstLine="810"/>
        <w:spacing w:after="0" w:line="311" w:lineRule="auto"/>
        <w:rPr>
          <w:sz w:val="20"/>
          <w:szCs w:val="20"/>
          <w:color w:val="auto"/>
        </w:rPr>
      </w:pPr>
      <w:r>
        <w:rPr>
          <w:rFonts w:ascii="Arial" w:cs="Arial" w:eastAsia="Arial" w:hAnsi="Arial"/>
          <w:sz w:val="16"/>
          <w:szCs w:val="16"/>
          <w:color w:val="auto"/>
        </w:rPr>
        <w:t>For the three months ended September 30, 2023, sales were $185.6 million, which included $55.4 million of sales outside the United States. For the three months ended September 30, 2023, we deferred $8.2 million of pump sales as the result of Tandem Choice, which launched in the United States in September of 2022. Sales were $204.5 million for the same period in 2022, which included $58.5 million of sales outside the United States.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8"/>
              </w:rPr>
              <w:t>Three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72,093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65,339</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Deferral for Tandem Choice program</w:t>
            </w:r>
          </w:p>
        </w:tc>
        <w:tc>
          <w:tcPr>
            <w:tcW w:w="18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(1,275)%</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 Sales in the United States</w:t>
            </w:r>
          </w:p>
        </w:tc>
        <w:tc>
          <w:tcPr>
            <w:tcW w:w="186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130,222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146,035</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1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ind w:right="40" w:firstLine="810"/>
        <w:spacing w:after="0" w:line="287" w:lineRule="auto"/>
        <w:rPr>
          <w:sz w:val="20"/>
          <w:szCs w:val="20"/>
          <w:color w:val="auto"/>
        </w:rPr>
      </w:pPr>
      <w:r>
        <w:rPr>
          <w:rFonts w:ascii="Arial" w:cs="Arial" w:eastAsia="Arial" w:hAnsi="Arial"/>
          <w:sz w:val="16"/>
          <w:szCs w:val="16"/>
          <w:color w:val="auto"/>
        </w:rPr>
        <w:t>Pump sales in the United States were $66.4 million for the third quarter of 2023, compared to $81.3 million in the third quarter of 2022 as pump shipments decreased 17% compared to the same period in 2022. We continued to face challenging marketplace dynamics and economic conditions similar to recent quarters, with inflation and the threat of recession impacting pump purchasing decisions. Additionally, we believe the anticipation for the full release of the Dexcom G7 sensor integration with t:slim X2 and the recent FDA clearance of Tandem Mobi have begun to impact the timing of purchasing decisions for those who prefer those offerings, resulting in some customers delaying current purchases until full commercial availability of each product in future periods. Sales of pump-related supplies increased 10% primarily due to a 10% year-over-year increase in our ending estimated installed base of customers in the United States. Sales to distributors accounted for 64% and 66% of our total sales in the United States for the three months ended September 30, 2023 and 2022, respectively. Sales in the United States for the three months ended September 30, 2023 and 2022 were reduced by a deferral of $8.2 million and $0.6 million, respectively, as the result of our Tandem Choice program which launched in September of 2022. The increase in the revenue deferral for Tandem Choice in 2023 as compared to 2022, was primarily a result of a reduction in the Tandem Choice program price which became effective in the third quarter of 2023, resulting in an increase to our estimate of the future customer participation rate and, therefore, a higher deferral per pump sold, coupled with the Tandem Choice program being in effect for the entire third quarter of 2023.</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outside the United States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6"/>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2"/>
        </w:trPr>
        <w:tc>
          <w:tcPr>
            <w:tcW w:w="59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0"/>
        </w:trPr>
        <w:tc>
          <w:tcPr>
            <w:tcW w:w="5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 Change</w:t>
            </w:r>
          </w:p>
        </w:tc>
      </w:tr>
      <w:tr>
        <w:trPr>
          <w:trHeight w:val="26"/>
        </w:trPr>
        <w:tc>
          <w:tcPr>
            <w:tcW w:w="5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Supplies and other</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31,127</w:t>
            </w:r>
          </w:p>
        </w:tc>
        <w:tc>
          <w:tcPr>
            <w:tcW w:w="18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8%</w:t>
            </w:r>
          </w:p>
        </w:tc>
      </w:tr>
      <w:tr>
        <w:trPr>
          <w:trHeight w:val="248"/>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Outside the United States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58,512</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120" w:firstLine="810"/>
        <w:spacing w:after="0" w:line="272" w:lineRule="auto"/>
        <w:rPr>
          <w:sz w:val="20"/>
          <w:szCs w:val="20"/>
          <w:color w:val="auto"/>
        </w:rPr>
      </w:pPr>
      <w:r>
        <w:rPr>
          <w:rFonts w:ascii="Arial" w:cs="Arial" w:eastAsia="Arial" w:hAnsi="Arial"/>
          <w:sz w:val="17"/>
          <w:szCs w:val="17"/>
          <w:color w:val="auto"/>
        </w:rPr>
        <w:t>Pump sales outside the United States were $21.7 million for the third quarter of 2023, compared to $27.4 million in the third quarter of 2022. Pump shipments decreased 34% compared to the same period in the prior year. The decrease in pump sales was offset by an increase in average selling prices due primarily to geographical mix. Sales of pump-related supplies increased 8% primarily due to a 13% year-over-year increase in our ending estimated installed base of customers outside the United States. The year-over-year changes in pump and supply shipments were not necessarily indicative of actual customer demand, as they were heavily influenced by variability in historical ordering patterns of our distributors prior to commencement of operations at our centralized European distribution center in late 2022. Sales to distributors accounted for 95% and 96% of our total sales outside the United States for the three-month periods ended September 30, 2023 and 2022,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 and Gross Profit</w:t>
      </w:r>
    </w:p>
    <w:p>
      <w:pPr>
        <w:spacing w:after="0" w:line="189" w:lineRule="exact"/>
        <w:rPr>
          <w:sz w:val="20"/>
          <w:szCs w:val="20"/>
          <w:color w:val="auto"/>
        </w:rPr>
      </w:pPr>
    </w:p>
    <w:p>
      <w:pPr>
        <w:jc w:val="both"/>
        <w:ind w:right="80" w:firstLine="810"/>
        <w:spacing w:after="0" w:line="263" w:lineRule="auto"/>
        <w:rPr>
          <w:sz w:val="20"/>
          <w:szCs w:val="20"/>
          <w:color w:val="auto"/>
        </w:rPr>
      </w:pPr>
      <w:r>
        <w:rPr>
          <w:rFonts w:ascii="Arial" w:cs="Arial" w:eastAsia="Arial" w:hAnsi="Arial"/>
          <w:sz w:val="18"/>
          <w:szCs w:val="18"/>
          <w:color w:val="auto"/>
        </w:rPr>
        <w:t>Our cost of sales for the three months ended September 30, 2023 was $95.9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resulting in gross profit of $89.8 million, compared to cost of sales of $100.1 million and gross profit of $104.4 million for the same period in 2022. The gross margin for the three months ended September 30, 2023 and 2022 was 48% and 51%, respectively.</w:t>
      </w:r>
    </w:p>
    <w:p>
      <w:pPr>
        <w:spacing w:after="0" w:line="143" w:lineRule="exact"/>
        <w:rPr>
          <w:sz w:val="20"/>
          <w:szCs w:val="20"/>
          <w:color w:val="auto"/>
        </w:rPr>
      </w:pPr>
    </w:p>
    <w:p>
      <w:pPr>
        <w:ind w:right="420" w:firstLine="810"/>
        <w:spacing w:after="0" w:line="259" w:lineRule="auto"/>
        <w:rPr>
          <w:sz w:val="20"/>
          <w:szCs w:val="20"/>
          <w:color w:val="auto"/>
        </w:rPr>
      </w:pPr>
      <w:r>
        <w:rPr>
          <w:rFonts w:ascii="Arial" w:cs="Arial" w:eastAsia="Arial" w:hAnsi="Arial"/>
          <w:sz w:val="18"/>
          <w:szCs w:val="18"/>
          <w:color w:val="auto"/>
        </w:rPr>
        <w:t>Gross profit for the three months ended September 30, 2023 was reduced by $8.2 million from the impact of Tandem Choice, resulting in a gross margin reduction of more than two percentage points. The impact on gross margin from our Tandem Choice program will fluctuate through the expiration of the program based on the timing of availability of a new hardware platform, Tandem Mobi, and the number of eligible customers who ultimately elect to participate.</w:t>
      </w:r>
    </w:p>
    <w:p>
      <w:pPr>
        <w:spacing w:after="0" w:line="160"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Excluding the impact of Tandem Choice, gross margin was consistent with the prior year. Gross margin benefited from progress in underlying fundamentals, including an increase in average selling prices and manufacturing efficiencies, as well as leverage of fixed overhead. Gross margin further benefited from reduction in the impact of certain high-cost raw materials acquired in the prior year. More specifically, the higher cost of raw materials acquired in the prior year stemmed from supply chain challenges during the COVID-19 global pandemic, where certain pump materials were sourced from alternative suppliers to reduce the risk of component shortages. The impact in the quarter of these high-cost raw materials was reduced to less than one percent of sales. These benefits were offset by the impact of product and geographical mix. Pump sales, which have the highest gross margin, were 43% of total worldwide sales, excluding the impact of Tandem Choice, in the third quarter of 2023, compared to 53% in the third quarter of 2022.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Our operating expenses for the three months ended September 30, 2023 were $121.3 million, compared to $151.9 million for the three months ended September 30, 2022. The $30.6 million decrease was primarily driven by $31.0 million of acquired in-process research and development expenses incurred in 2022 in connection with our acquisition of Capillary Biomedical (see Note 12, “Acquisitions”).</w:t>
      </w:r>
    </w:p>
    <w:p>
      <w:pPr>
        <w:spacing w:after="0" w:line="143" w:lineRule="exact"/>
        <w:rPr>
          <w:sz w:val="20"/>
          <w:szCs w:val="20"/>
          <w:color w:val="auto"/>
        </w:rPr>
      </w:pPr>
    </w:p>
    <w:p>
      <w:pPr>
        <w:ind w:right="80" w:firstLine="810"/>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decreased 6% to $79.3 million for the three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from $84.1 million for the same period in 2022. The decrease of $4.8 million was largely driven by lower employee-related expenses of $2.3 million, as well as reduced costs pertaining to certain facilities expense savings from our facilities consolidation initiatives.</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14% to $42.0 million for the three months ended September 30, 2023,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$36.8 million for the same period in 2022. The increase in R&amp;D expenses was primarily the result of a $3.2 million increase in salaries and related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our acquisitions and an increase in personnel to support our product development efforts. We also experienced a $2.0 million increase in other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discretionary spending, including supplies, outside services and equipment costs.</w:t>
      </w:r>
    </w:p>
    <w:p>
      <w:pPr>
        <w:spacing w:after="0" w:line="184" w:lineRule="exact"/>
        <w:rPr>
          <w:sz w:val="20"/>
          <w:szCs w:val="20"/>
          <w:color w:val="auto"/>
        </w:rPr>
      </w:pPr>
    </w:p>
    <w:p>
      <w:pPr>
        <w:ind w:right="180" w:firstLine="810"/>
        <w:spacing w:after="0" w:line="342" w:lineRule="auto"/>
        <w:rPr>
          <w:sz w:val="20"/>
          <w:szCs w:val="20"/>
          <w:color w:val="auto"/>
        </w:rPr>
      </w:pPr>
      <w:r>
        <w:rPr>
          <w:rFonts w:ascii="Arial" w:cs="Arial" w:eastAsia="Arial" w:hAnsi="Arial"/>
          <w:sz w:val="16"/>
          <w:szCs w:val="16"/>
          <w:i w:val="1"/>
          <w:iCs w:val="1"/>
          <w:color w:val="auto"/>
        </w:rPr>
        <w:t xml:space="preserve">Acquired In-Process Research and Development Expenses. </w:t>
      </w:r>
      <w:r>
        <w:rPr>
          <w:rFonts w:ascii="Arial" w:cs="Arial" w:eastAsia="Arial" w:hAnsi="Arial"/>
          <w:sz w:val="16"/>
          <w:szCs w:val="16"/>
          <w:color w:val="auto"/>
        </w:rPr>
        <w:t>Acquired IPR&amp;D expenses of $31.0 million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2022 represented the value of assets acquired, and acquisition related expenses, in connection with our acquisition of Capillary Biomedical.</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189"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Total other income (expense), net for the three months ended September 30, 2023 was $0.8 million income, compared to $0.1 million expense in the same period in 2022. Other income, net for the three months ended September 30, 2023 primarily consisted of $5.9 million of interest income earned on our cash equivalents and short-term investments, partially offset by $4.8 million of interest expense which included $3.1 million of additional interest as discussed above and the amortization of debt issuance costs related to our Convertible Senior Notes. Other expense, net for the three months ended September 30, 2022 primarily consisted of $1.7 million of interest income earned on our cash equivalents and short-term investments, partially offset by $1.6 million of interest expense which included the amortization of debt issuance costs related to our Notes.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We recognized income tax expense of $2.2 million on a pre-tax loss of $30.7 million for the three months ended September 30, 2023, compared to income tax expense of $1.6 million on a pre-tax loss of $47.3 million for the three months ended September 30, 2022. Income tax expense for the three months ended September 30, 2023 and 2022 was primarily attributable to federal, state and foreign income tax expense as a result of current taxable income in certain jurisdictions.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w:t>
      </w:r>
    </w:p>
    <w:p>
      <w:pPr>
        <w:spacing w:after="0" w:line="202"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For the nine months ended September 30, 2023, sales were $550.9 million, which included $147.0 million of sales outside the United States. For the nine months ended September 30, 2023, we deferred $12.6 million of pump sales as a result of Tandem Choice, which launched in the United States in September of 2022. For the nine months ended September 30, 2022, sales were $580.7 million, which included $157.7 million of sales outside the United States.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207,180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236,448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5"/>
              </w:rPr>
              <w:t>209,352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187,136</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Deferral for Tandem Choice program</w:t>
            </w:r>
          </w:p>
        </w:tc>
        <w:tc>
          <w:tcPr>
            <w:tcW w:w="18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(12,568)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(1,998)%</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 Sales in the United States</w:t>
            </w:r>
          </w:p>
        </w:tc>
        <w:tc>
          <w:tcPr>
            <w:tcW w:w="184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403,964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422,985</w:t>
            </w: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40" w:type="dxa"/>
            <w:vAlign w:val="bottom"/>
            <w:vMerge w:val="restart"/>
          </w:tcPr>
          <w:p>
            <w:pPr>
              <w:jc w:val="right"/>
              <w:ind w:right="150"/>
              <w:spacing w:after="0"/>
              <w:rPr>
                <w:sz w:val="20"/>
                <w:szCs w:val="20"/>
                <w:color w:val="auto"/>
              </w:rPr>
            </w:pPr>
            <w:r>
              <w:rPr>
                <w:rFonts w:ascii="Arial" w:cs="Arial" w:eastAsia="Arial" w:hAnsi="Arial"/>
                <w:sz w:val="18"/>
                <w:szCs w:val="18"/>
                <w:color w:val="auto"/>
              </w:rPr>
              <w:t>33</w:t>
            </w: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1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ind w:right="120" w:firstLine="810"/>
        <w:spacing w:after="0" w:line="287" w:lineRule="auto"/>
        <w:rPr>
          <w:sz w:val="20"/>
          <w:szCs w:val="20"/>
          <w:color w:val="auto"/>
        </w:rPr>
      </w:pPr>
      <w:r>
        <w:rPr>
          <w:rFonts w:ascii="Arial" w:cs="Arial" w:eastAsia="Arial" w:hAnsi="Arial"/>
          <w:sz w:val="16"/>
          <w:szCs w:val="16"/>
          <w:color w:val="auto"/>
        </w:rPr>
        <w:t>Pump sales in the United States were $207.2 million for the first nine months of 2023, compared to $236.4 million in the first nine months of 2022, as pump shipments decreased 12% compared to the same period in the prior year. We continued to face challenging marketplace dynamics and economic conditions, with inflation and the threat of recession impacting pump purchasing decisions. Additionally, we believe the anticipation for the full release of the Dexcom G7 sensor integration with t:slim X2 and the FDA clearance of Tandem Mobi in the third quarter of 2023 have begun to impact the timing of purchasing decisions for those who prefer those offerings, resulting in some customers delaying current purchases until full commercial availability of those products in future periods. Sales of pump-related supplies increased primarily due to a 10% year-over-year increase in our ending estimated installed base of customers in the United States. Sales to distributors accounted for 64% and 65% of our total sales in the United States for the nine months ended September 30, 2023 and 2022, respectively. Sales in the United States for the nine months ended September 30, 2023 and 2022 were reduced by a deferral of $12.6 million and $0.6 million, respectively, as the result of our Tandem Choice program which launched in September of 2022. The increase in the revenue deferral for Tandem Choice in 2023 as compared to 2022, was primarily a result of a reduction in the Tandem Choice program price which became effective in the third quarter of 2023, resulting in an increase to our estimate of the future customer participation rate and, therefore, a higher deferral per pump sold, coupled with the Tandem Choice program being in effect for the full nine months of 2023.</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outside the United States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Supplies and 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82,216</w:t>
            </w:r>
          </w:p>
        </w:tc>
        <w:tc>
          <w:tcPr>
            <w:tcW w:w="18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Outside the United States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146,958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157,731</w:t>
            </w:r>
          </w:p>
        </w:tc>
        <w:tc>
          <w:tcPr>
            <w:tcW w:w="18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Pump sales outside the United States were $67.2 million for the first nine months of 2023, compared to $75.5 million in the first nine months of 2022. We commenced operations of a centralized European distribution center in late 2022, which resulted in a material disruption to distributor ordering patterns in the first half of 2023 as affected distributors reduced their pump and supply inventory levels to adjust for the reduced transit time. As a result, pump shipments decreased 25% compared to the same period in the prior year and supply orders declined as well. The decrease in pump sales was offset by an increase in average selling prices due primarily to geographical mix. The year-over-year changes in pump and supply shipments were not necessarily indicative of actual customer demand, as they were heavily influenced by variability in historical ordering patterns of our distributors prior to commencement of operations at our centralized European distribution center in late 2022. Sales to distributors accounted for 94% of our total sales outside the United States for the nine-month period ended September 30, 2023, and 96% for the same period in 2022.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 and Gross Profit</w:t>
      </w:r>
    </w:p>
    <w:p>
      <w:pPr>
        <w:spacing w:after="0" w:line="256"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Our cost of sales for the nine months ended September 30, 2023 was $276.5 million resulting in gross profit of $274.4 million, compared to cost of sales of $283.3 million and gross profit of $297.5 million for the same period in 2022. The gross margin for the nine months ended September 30, 2023 was 50% compared to 51% in the same period in 2022.</w:t>
      </w:r>
    </w:p>
    <w:p>
      <w:pPr>
        <w:spacing w:after="0" w:line="211"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Gross profit for the nine months ended September 30, 2023 was reduced by $12.6 million from the impact of Tandem Choice, resulting in a gross margin reduction of approximately one percentage point, as well as the decrease in sales in the first half of 2023 associated with the European distribution center transition. The impact on gross margin from our Tandem Choice program will fluctuate through the expiration of the program based on the timing of availability of Tandem Mobi and the number of eligible customers who ultimately elect to participate.</w:t>
      </w:r>
    </w:p>
    <w:p>
      <w:pPr>
        <w:spacing w:after="0" w:line="131"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Excluding the impact of Tandem Choice, gross margin for the nine months ended September 30, 2023 was consistent with the same period in 2022. Gross margin benefited from progress in underlying fundamentals, including an increase in average selling prices and manufacturing efficiencies, as well as leverage of fixed overhead. Gross margin further benefited from the lower impact of certain high-cost raw materials acquired during the pandemic. These benefits were offset by the impact of product mix and geographical mix.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Our operating expenses for the nine months ended September 30, 2023 were $472.6 million, compared to $372.5 million for the nine months ended September 30, 2022. A significant portion of the increase was driven by certain unique or non-recurring transactions. In 2023, we incurred $78.8 million of acquired in-process research and development expenses in connection with our recent acquisition of AMF Medical, compared to $31.0 million of acquired IPR&amp;D expenses in connection with our acquisition of Capillary Biomedical in 2022 (see Note 12, “Acquisitions”). As a part of continued operating efficiency measures, in 2023 we also incurred a non-recurring operating lease impairment charge in SG&amp;A of $14.1 million as a result of a facilities consolidation (see Note 6, “Leases”), and employee severance costs of $2.7 million. Additionally, incremental personnel and discretionary spending attributable to our recent acquisitions in both SG&amp;A and R&amp;D was $15.2 million.</w:t>
      </w:r>
    </w:p>
    <w:p>
      <w:pPr>
        <w:spacing w:after="0" w:line="137" w:lineRule="exact"/>
        <w:rPr>
          <w:sz w:val="20"/>
          <w:szCs w:val="20"/>
          <w:color w:val="auto"/>
        </w:rPr>
      </w:pPr>
    </w:p>
    <w:p>
      <w:pPr>
        <w:ind w:right="220" w:firstLine="810"/>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12% to $266.8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2023, from $238.0 million for the same period in 2022. Excluding the impact of the $14.1 million lease impairment charge and $2.1 million in severance costs, the increase of $12.6 million was largely driven by $9.8 million in employee-related expenses. This was primarily the result of higher salaries and related benefits to provide continued support services for our growing installed customer base.</w:t>
      </w:r>
    </w:p>
    <w:p>
      <w:pPr>
        <w:spacing w:after="0" w:line="171"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23% to $127.1 million for the nine months ended September 30, 2023, from</w:t>
      </w:r>
      <w:r>
        <w:rPr>
          <w:rFonts w:ascii="Arial" w:cs="Arial" w:eastAsia="Arial" w:hAnsi="Arial"/>
          <w:sz w:val="18"/>
          <w:szCs w:val="18"/>
          <w:i w:val="1"/>
          <w:iCs w:val="1"/>
          <w:color w:val="auto"/>
        </w:rPr>
        <w:t xml:space="preserve"> </w:t>
      </w:r>
      <w:r>
        <w:rPr>
          <w:rFonts w:ascii="Arial" w:cs="Arial" w:eastAsia="Arial" w:hAnsi="Arial"/>
          <w:sz w:val="18"/>
          <w:szCs w:val="18"/>
          <w:color w:val="auto"/>
        </w:rPr>
        <w:t>$103.5 million for the same period in 2022. The increase in R&amp;D expenses was primarily the result of a $17.4 million increase in salaries and related benefits from our acquisitions and an increase in personnel to support our product development efforts. We also experienced a $6.2 million increase in other non-employee discretionary spending, including equipment, supplies and clinical trials costs.</w:t>
      </w:r>
    </w:p>
    <w:p>
      <w:pPr>
        <w:spacing w:after="0" w:line="146" w:lineRule="exact"/>
        <w:rPr>
          <w:sz w:val="20"/>
          <w:szCs w:val="20"/>
          <w:color w:val="auto"/>
        </w:rPr>
      </w:pPr>
    </w:p>
    <w:p>
      <w:pPr>
        <w:ind w:right="620" w:firstLine="810"/>
        <w:spacing w:after="0" w:line="279" w:lineRule="auto"/>
        <w:rPr>
          <w:sz w:val="20"/>
          <w:szCs w:val="20"/>
          <w:color w:val="auto"/>
        </w:rPr>
      </w:pPr>
      <w:r>
        <w:rPr>
          <w:rFonts w:ascii="Arial" w:cs="Arial" w:eastAsia="Arial" w:hAnsi="Arial"/>
          <w:sz w:val="17"/>
          <w:szCs w:val="17"/>
          <w:i w:val="1"/>
          <w:iCs w:val="1"/>
          <w:color w:val="auto"/>
        </w:rPr>
        <w:t xml:space="preserve">Acquired In-Process Research and Development Expenses. </w:t>
      </w:r>
      <w:r>
        <w:rPr>
          <w:rFonts w:ascii="Arial" w:cs="Arial" w:eastAsia="Arial" w:hAnsi="Arial"/>
          <w:sz w:val="17"/>
          <w:szCs w:val="17"/>
          <w:color w:val="auto"/>
        </w:rPr>
        <w:t>Acquired IPR&amp;D expenses of $78.8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represented the value of assets acquired, and acquisition related expenses, in connection with our acquisition of AMF Medical. Acquired IPR&amp;D expenses of $31.0 million for the nine months ended September 30, 2022 represented the value of IPR&amp;D assets acquired, and acquisition related expenses, in connection with our acquisition of Capillary Biomedical.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 Net</w:t>
      </w:r>
    </w:p>
    <w:p>
      <w:pPr>
        <w:spacing w:after="0" w:line="202"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Total other income (expense), net for the nine months ended September 30, 2023 was $9.2 million income, compared to $1.7 million expense in the same period in 2022. Other income, net for the nine months ended September 30, 2023 primarily consisted of $15.2 million of interest income earned on our cash equivalents and short-term investments, and $2.0 million in foreign currency transaction gains, partially offset by $8.1 million of interest expense which included $3.1 million of additional interest as discussed above and the amortization of debt issuance costs related to our Notes. Other expense, net for the nine months ended September 30, 2022 primarily consisted of $4.6 million of interest expense which included the amortization of debt issuance costs related to our Notes, partially offset by $2.9 million of interest income earned on our cash equivalents and short-term investments.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We recognized income tax expense of $3.7 million on a pre-tax loss of $188.9 million for the nine months ended September 30, 2023, compared to income tax expense of $2.0 million on a pre-tax loss of $76.7 million for the nine months ended September 30, 2022. Income tax expense for the nine months ended September 30, 2023 and 2022 was primarily attributable to federal, state and foreign income tax expense as a result of current taxable income in certain jurisdictions.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At September 30, 2023, we had $498.2 million in cash and cash equivalents and short-term investments. In addition, we have a Revolving Line of Credit (Line of Credit), which expires in May 2025 (see Note 7, “Debt”), under which we may borrow up to $50.0 million, less the amount of our standby letter of credit, provided we are currently not entitled to borrow any amounts under the Line of Credit as a result of our inadvertent failure to timely pay additional interest under the Notes. See above under “Other Income and Expense”. We believe that our cash and cash equivalents, short-term investments, borrowing availability under the Line of Credit, and future cash flows from operations will be sufficient to fund our ongoing core business activities for at least the next twelve months.</w:t>
      </w:r>
    </w:p>
    <w:p>
      <w:pPr>
        <w:spacing w:after="0" w:line="152"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Historically, our principal sources of cash have included cash collected from product sales, private and public offerings of equity securities, exercises of employee stock awards, and debt financing.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7" w:name="page38"/>
    <w:bookmarkEnd w:id="37"/>
    <w:p>
      <w:pPr>
        <w:jc w:val="both"/>
        <w:ind w:right="40" w:firstLine="810"/>
        <w:spacing w:after="0" w:line="263"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2023 and 2022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1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(24,594)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44,644</w:t>
            </w:r>
          </w:p>
        </w:tc>
      </w:tr>
      <w:tr>
        <w:trPr>
          <w:trHeight w:val="230"/>
        </w:trPr>
        <w:tc>
          <w:tcPr>
            <w:tcW w:w="8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10,777</w:t>
            </w:r>
          </w:p>
        </w:tc>
      </w:tr>
      <w:tr>
        <w:trPr>
          <w:trHeight w:val="22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52,605</w:t>
            </w:r>
          </w:p>
        </w:tc>
      </w:tr>
      <w:tr>
        <w:trPr>
          <w:trHeight w:val="21"/>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used in operating activities was $24.6 million for the nine months ended September 30, 2023, compared to $44.6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cash provided by operating activities in the same period in 2022. The reduction in net cash provided by operating activities for 2023 compared to 2022 was primarily a result of the increase in net loss, which included $78.8 million of acquired in-process research and development expenses and a $14.1 million operating lease impairment charge in 2023, as well as working capital changes. Working capital changes during the first nine months of 2023 primarily consisted of increases in inventories and prepaids and other current assets, partially offset by a decrease in accounts receivable and an increase in deferred revenue. Accounts receivable decreased to $100.3 million at September 30, 2023, from $114.7 million at December 31, 2022. Inventories increased to $143.5 million at September 30, 2023, from $111.1 million at December 31, 2022 primarily due to a return to target stocking levels post-pandemic as supply chain constraints subsided, as well as the scaling up of inventory to meet anticipated demand for Tandem Mobi.</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$69.2 million for the nine months ended September 30, 2023, which primarily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consisted of $391.0 million of purchases of short-term investments, $69.5 million for the acquisition of AMF Medical, including transaction costs (see Note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 “Acquisitions”), and $21.6 million in purchases of property and equipment of which $8.7 million was associated with improvements to the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Headquarters lease facility which is now complete (see Note 6, “Leases”), offset by $415.5 million in proceeds from maturities and redemptions of short-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investments. Net cash used in investing activities was $2.6 million for the nine months ended September 30, 2022, which primarily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$362.5 million of purchases of short-term investments, $28.5 million in purchases of property and equipment, and $25.7 million paid for the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Capillary Biomedical, including transaction costs (see Note 12, “Acquisitions”), offset by $422.9 million in proceeds from maturities and redemptions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170"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$1.5 million for the nine months ended September 30, 2023,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proceeds from the issuance of common stock under our stock plans, net of payments for related tax withholdings. Net cash provided by financing activities was $10.8 million for the nine months ended September 30, 2022, which primarily consisted of proceeds from the issuance of common stock under our stock plans, net of payments for related tax withholdings.</w:t>
      </w:r>
    </w:p>
    <w:p>
      <w:pPr>
        <w:spacing w:after="0" w:line="146"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800" w:right="340" w:hanging="496"/>
        <w:spacing w:after="0" w:line="27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contractual debt obligations, including periodic interest payments;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proceeds from the issuance of equity awards pursuant to employee stock plans;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left="1800" w:right="660" w:hanging="496"/>
        <w:spacing w:after="0" w:line="277" w:lineRule="auto"/>
        <w:tabs>
          <w:tab w:leader="none" w:pos="17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Both our primary short-term and long-term capital needs are expected to include expenditures related to:</w:t>
      </w:r>
    </w:p>
    <w:p>
      <w:pPr>
        <w:spacing w:after="0" w:line="225" w:lineRule="exact"/>
        <w:rPr>
          <w:sz w:val="20"/>
          <w:szCs w:val="20"/>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38"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20"/>
          <w:szCs w:val="20"/>
          <w:color w:val="auto"/>
        </w:rPr>
      </w:pPr>
      <w:r>
        <w:rPr>
          <w:rFonts w:ascii="Arial" w:cs="Arial" w:eastAsia="Arial" w:hAnsi="Arial"/>
          <w:sz w:val="18"/>
          <w:szCs w:val="18"/>
          <w:color w:val="auto"/>
        </w:rPr>
        <w:t>acquisitions, including contingent earnout payments that become payable upon the achievement of certain milestones;</w:t>
      </w:r>
    </w:p>
    <w:p>
      <w:pPr>
        <w:spacing w:after="0" w:line="215" w:lineRule="exact"/>
        <w:rPr>
          <w:rFonts w:ascii="Arial" w:cs="Arial" w:eastAsia="Arial" w:hAnsi="Arial"/>
          <w:sz w:val="20"/>
          <w:szCs w:val="20"/>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leasing or licensing of equipment, technology, intellectual property and other assets;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w:t>
      </w:r>
    </w:p>
    <w:p>
      <w:pPr>
        <w:spacing w:after="0" w:line="225" w:lineRule="exact"/>
        <w:rPr>
          <w:rFonts w:ascii="Arial" w:cs="Arial" w:eastAsia="Arial" w:hAnsi="Arial"/>
          <w:sz w:val="18"/>
          <w:szCs w:val="18"/>
          <w:color w:val="auto"/>
        </w:rPr>
      </w:pPr>
    </w:p>
    <w:p>
      <w:pPr>
        <w:ind w:left="1800" w:right="400" w:hanging="496"/>
        <w:spacing w:after="0" w:line="277" w:lineRule="auto"/>
        <w:tabs>
          <w:tab w:leader="none" w:pos="17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for the development, improvement and acquisition of manufacturing, testing and packaging equipment to support business growth and increase capacity;</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costs related to acquisitions of businesses,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spacing w:after="0" w:line="151"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Interest Rate Risks</w:t>
      </w:r>
    </w:p>
    <w:p>
      <w:pPr>
        <w:spacing w:after="0" w:line="198"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We invest our excess cash in marketable securities consisting primarily of U.S. Treasury securities, U.S. Government-sponsored enterprise securities, commercial paper and corporate debt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Credit rating agencies have, from time to time, issued downgrades or revised outlooks to negative for certain issuers of the debt securities held in our short-term investment portfolio. We review our portfolio of available-for-sale debt securities quarterly to determine if any investment is impaired due to changes in credit risk or other potential valuation concerns. Unrealized losses on available-for-sale debt securities at September 30, 2023 were primarily due to an increase in market interest rates after certain debt securities were purchased. Based on the credit quality of the available-for-sale debt securities in an unrealized loss position, and our current estimates of future cash flows to be collected from those securities, we believe the unrealized losses were not credit losses (see Note 3, “Short-Term Investments”).</w:t>
      </w:r>
    </w:p>
    <w:p>
      <w:pPr>
        <w:spacing w:after="0" w:line="126"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43"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 significant impact on the realized value of our investment portfolio. If a 10% change in interest rates were to have occurred on September 30, 2023, it would not have had a material effect on the fair value of our investment portfolio as of that date.</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related to the Convertible Senior Notes (see Note 7,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85"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Our operations are primarily located in the United States. In addition, we have a sales and marketing office in Canada, a distribution center in the Netherlands and, beginning in 2023, a research and development facility in Switzerland associated with the acquisition of AMF Medical. Our sales to customers in the United States are made in U.S. dollars. Sales from our distribution center in the Netherlands are made to independent distributors under agreements denominated in Euros. In addition, a portion of our sales in Canada are denominated in Canadian dollars. Accordingly, we believe our exposure to foreign currency rate fluctuations is primarily related to our operations in Canada and Europe, and acquisition related contingent earnout payments (see Note 12, “Acquisitions”), where fluctuations in the rate of exchange between the U.S. dollar and the local currency could adversely affect our financial results.</w:t>
      </w:r>
    </w:p>
    <w:p>
      <w:pPr>
        <w:spacing w:after="0" w:line="154"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As we expand and further develop our operations in markets outside the United States, particularly in Europe, we will be exposed to additional foreign currency exchange rate risk. In addition, from time to time, we may have foreign currency exchange risk related to existing assets and liabilities, other committed transactions and forecasted future cash flows. In certain circumstances, we may seek to manage such foreign currency exchange risk by using derivative instruments such as foreign currency exchange forward contracts to hedge our risk. However, we may choose not to hedge some exposures for a variety of reasons, including prohibitive economic costs.</w:t>
      </w:r>
    </w:p>
    <w:p>
      <w:pPr>
        <w:spacing w:after="0" w:line="1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60" w:firstLine="8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0" w:name="page41"/>
    <w:bookmarkEnd w:id="40"/>
    <w:p>
      <w:pPr>
        <w:ind w:right="80" w:firstLine="810"/>
        <w:spacing w:after="0" w:line="259" w:lineRule="auto"/>
        <w:rPr>
          <w:sz w:val="20"/>
          <w:szCs w:val="20"/>
          <w:color w:val="auto"/>
        </w:rPr>
      </w:pPr>
      <w:r>
        <w:rPr>
          <w:rFonts w:ascii="Arial" w:cs="Arial" w:eastAsia="Arial" w:hAnsi="Arial"/>
          <w:sz w:val="18"/>
          <w:szCs w:val="18"/>
          <w:color w:val="auto"/>
        </w:rPr>
        <w:t>As of September 30, 2023,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September 30, 2023.</w:t>
      </w:r>
    </w:p>
    <w:p>
      <w:pPr>
        <w:spacing w:after="0" w:line="16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September 30, 2023 that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Except as set forth above under the caption “Commitments and Contingencies - Legal and Regulatory Matters” in Part I, Notes to Unaudited Condensed Consolidated Financial Statements, Subsection 13 of this Quarterly Report, as of September 30, 2023, we do not believe we are currently a party to any material legal proceedings, regulatory matters, or other disputes or claims. Regardless of the merits of the claims raised or the outcome, legal proceedings, regulatory matters, and other disputes and claims may have an adverse impact on the Company as a result of defense and settlement costs, diversion of management time and resources,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Except as set forth below, we are not aware of any material changes to the risk factors set forth under the caption “Risk Factors” in Part II, Item 1A of the Annual Report and Part II, Item 1A of the Quarterly Report for the quarterly period ended June 30, 2023, which are incorporated herein by reference. The risks described in the Annual Report, in the Quarterly Report for the period ended June 30, 2023, and below are not the only ones we face. Additional risks that we currently do not know about or that we currently believe to be immaterial may also impair our business, financial condition, operating results, liquidity, and future prospects.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event of default has occurred under the indenture governing our 1.50% Convertible Senior Notes due 2025</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On or about October 24, 2023, we were notified that additional interest has been accruing on the Convertible Senior Notes (“Notes”) since May 2021 pursuant to the terms of the indenture, as a result of our failure to timely remove the restrictive legends on the Notes and switch the Notes to an unrestricted CUSIP. This additional interest continues to accrue at a rate of 0.50% per annum on the outstanding principal amount of the Notes, and as of November 1, 2023 amounts to approximately $3.2 million in the aggregate. The overdue unpaid interest itself accrues interest at a rate of 2.50% per annum. We have deposited the full amount for these payments with the trustee for the Notes and are coordinating with the trustee for the payments to be completed as soon as reasonably practicable in the fourth quarter of 2023. However, the failure to pay these overdue amounts constitutes an event of default under the indenture, and the trustee or the holders of at least 25% of the outstanding principal amount of Notes can elect to declare all outstanding amounts under the Notes immediately due and payable while this event of default is continuing. Early repayment of the Notes would likely significantly impact our liquidity and financial condition, which could have a material adverse effect on our business. In addition, we cannot access funds under our $50.0 million Line of Credit due to the event of default under the indenture governing the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the subject of a putative securities class action lawsuit, and additional securities litigation may be brought against us in the future.</w:t>
      </w:r>
    </w:p>
    <w:p>
      <w:pPr>
        <w:spacing w:after="0" w:line="196"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On September 8, 2023, a purported stockholder of the Company filed a putative securities class action complaint (captioned Lowe v. Tandem Diabetes Care, Inc., et al, Case No. 23-cv-1657) in the United States District Court for the Southern District of California against us and certain of our current executive officers. The complaint generally alleges that defendants violated Sections 10(b) and 20(a) of the Securities Exchange Act of 1934, as amended, by failing to properly account for and disclose the full impact that COVID-19, inflation, and the sales of competitors’ products were having on our sales and revenue. The complaint seeks unspecified monetary damages and other relief. It is possible that additional lawsuits will be filed, or allegations made by stockholders, with respect to these same or other matters and also naming us and/or our officers and directors as defendants. Although we intend to vigorously defend against this claim, there is no guarantee that we will prevail. Accordingly, we are unable to determine the ultimate outcome of this lawsuit or determine the amount or range of potential losses associated with the lawsuit. While we carry liability insurance, there is no assurance that any losses we incur in connection with the current lawsuit or any future lawsuit will be covered or that coverage, if any, will be sufficient. In addition, the current lawsuit and similar future litigation could result in substantial costs and a diversion of management’s attention and resources, which could harm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Competitive products, therapeutic techniques, or other technological developments and breakthroughs for the monitoring, treatment or prevention of diabetes may render our products obsolete or less desirable.</w:t>
      </w:r>
    </w:p>
    <w:p>
      <w:pPr>
        <w:spacing w:after="0" w:line="130"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25"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39"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reimbursement approval and rebate policies, which may adversely affect our ability to generate revenue.</w:t>
      </w:r>
    </w:p>
    <w:p>
      <w:pPr>
        <w:spacing w:after="0" w:line="13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For example, in August 2023, a rebate agreement with the French Comité économique des produits de santé (CEPS) for sales of our t:slim X2 with Control-IQ pump in France went into effect. The rebate agreement with CEPS provides for specified reimbursements and requires specified rebates be paid, and we are currently in the process of determining the impact and allocation of such reimbursements and rebates under the agreement. While we currently cannot estimate the amount of such reimbursements and rebates that will be allocable to us, we may ultimately determine that we need to pay all or a portion of the rebates. Any such rebates that we are required to pay could adversely affect our ability to generate revenue from sales of t:slim X2 with Control-IQ in France.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Privacy and Security</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data, or those of our third-party business partners, or failures of our software used with our pumps to perform as we anticipate, could materially disrupt our operations or compromise sensitive information relating to our customers, suppliers, employees or other individuals, which could damage our relationships, expose us to litigation or regulatory proceedings, or harm our reputation.</w:t>
      </w:r>
    </w:p>
    <w:p>
      <w:pPr>
        <w:spacing w:after="0" w:line="146" w:lineRule="exact"/>
        <w:rPr>
          <w:sz w:val="20"/>
          <w:szCs w:val="20"/>
          <w:color w:val="auto"/>
        </w:rPr>
      </w:pPr>
    </w:p>
    <w:p>
      <w:pPr>
        <w:ind w:right="20" w:firstLine="810"/>
        <w:spacing w:after="0" w:line="285" w:lineRule="auto"/>
        <w:rPr>
          <w:sz w:val="20"/>
          <w:szCs w:val="20"/>
          <w:color w:val="auto"/>
        </w:rPr>
      </w:pPr>
      <w:r>
        <w:rPr>
          <w:rFonts w:ascii="Arial" w:cs="Arial" w:eastAsia="Arial" w:hAnsi="Arial"/>
          <w:sz w:val="16"/>
          <w:szCs w:val="16"/>
          <w:color w:val="auto"/>
        </w:rPr>
        <w:t>The efficient operation of our business depends on our information technology and communication systems, as well as those of our suppliers, contract manufacturers, distributors and other third-party business partners. We rely on such systems to effectively store, process and transmit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These systems and the underlying data are vulnerable to damage or interruption from a number of causes, including earthquakes, fires, floods and other natural disasters, terrorist attacks, attacks by computer viruses or hackers, malware, ransomware or other destructive software, cyber-attacks, social-engineering attacks (including phishing and deep fakes, which may be increasingly more difficult to identify as fake), malicious code, denial-of-service attacks, credential harvesting, supply chain attacks, power losses, and computer system, data network failures, and other similar threats. Cyber-attacks, malicious internet-based activity, online and offline fraud, and other similar activities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Threat actors may continue to develop and use more sophisticated tools and techniques (including AI) that are specifically designed to circumvent security controls, evade detection, and obfuscate forensic evidence, making it more difficult for us to identify, investigate and recover from incidents. Notably,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Additionally, to offer our products to our customers and operate our business, we use a number of products and services, such as IT networks and systems, including those we own and operate as well as others provided by third-party providers. Our ability to provide our products could be interrupted if these systems were impacted by a ransomware or other cyber-attack.</w:t>
      </w:r>
    </w:p>
    <w:p>
      <w:pPr>
        <w:spacing w:after="0" w:line="344"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Should any of the risks described herein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Further, many of our third-party service providers are subject to similar risks. 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an award. In addition, supply chain attacks have increased in frequency and severity, and we cannot guarantee that third parties’ infrastructure in our supply chain or our third-party partners’ supply chains have not been compromised.</w:t>
      </w:r>
    </w:p>
    <w:p>
      <w:pPr>
        <w:spacing w:after="0" w:line="15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addition to the risks regarding information technology systems and processing of sensitive information, our insulin pumps and other products rely on software, some of which is developed by third-party service providers, that could contain vulnerabilities.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These risks significantly increased when we began use of our Tandem Device Updater, which enables customers to remotely update software on their insulin pumps and may be higher after we launched our new mobile application in the second half of 2020. These risks may have further increased in the second half of 2022 when we enabled users to control insulin boluses through the mobile app.</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4" w:name="page45"/>
    <w:bookmarkEnd w:id="44"/>
    <w:p>
      <w:pPr>
        <w:ind w:right="300" w:firstLine="810"/>
        <w:spacing w:after="0" w:line="273" w:lineRule="auto"/>
        <w:rPr>
          <w:sz w:val="20"/>
          <w:szCs w:val="20"/>
          <w:color w:val="auto"/>
        </w:rPr>
      </w:pPr>
      <w:r>
        <w:rPr>
          <w:rFonts w:ascii="Arial" w:cs="Arial" w:eastAsia="Arial" w:hAnsi="Arial"/>
          <w:sz w:val="17"/>
          <w:szCs w:val="17"/>
          <w:color w:val="auto"/>
        </w:rPr>
        <w:t>Moreover, remote work has become more common and has increased risks to our information technology systems and data, as more of our employees use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51"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 Certain data privacy and security obligations may require us to implement and maintain reasonable or specific security measures or industry standards to protect our information technology systems and sensitive information.</w:t>
      </w:r>
    </w:p>
    <w:p>
      <w:pPr>
        <w:spacing w:after="0" w:line="147"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(such as the incident described below)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spacing w:after="0" w:line="138" w:lineRule="exact"/>
        <w:rPr>
          <w:sz w:val="20"/>
          <w:szCs w:val="20"/>
          <w:color w:val="auto"/>
        </w:rPr>
      </w:pPr>
    </w:p>
    <w:p>
      <w:pPr>
        <w:ind w:right="360" w:firstLine="810"/>
        <w:spacing w:after="0" w:line="30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0"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The failure of our or our service providers’ information technology systems or our pumps’ software or other mobile or cloud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or ability to provide our products and services.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use the system to complete the update, could result in decreased sales, increased warranty costs, and harm to our reputation, any of which could have a material adverse effect on our business, financial condition and operating results.</w:t>
      </w:r>
    </w:p>
    <w:p>
      <w:pPr>
        <w:spacing w:after="0" w:line="131"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Our sensitive information could be leaked, disclosed, or revealed as a result of or in connection with our employee’s, personnel’s, or vendor’s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Additionally, where AI/ML technologies ingests personal data and makes connections using such data, those technologies may reveal other personal or sensitive information generated by the model.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AI-based outputs are deemed to be biased, we could face adverse consequences, including exposure to reputational and competitive harm, customer loss, and legal liability.</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5" w:name="page46"/>
    <w:bookmarkEnd w:id="45"/>
    <w:p>
      <w:pPr>
        <w:ind w:right="80"/>
        <w:spacing w:after="0" w:line="301" w:lineRule="auto"/>
        <w:rPr>
          <w:sz w:val="20"/>
          <w:szCs w:val="20"/>
          <w:color w:val="auto"/>
        </w:rPr>
      </w:pPr>
      <w:r>
        <w:rPr>
          <w:rFonts w:ascii="Arial" w:cs="Arial" w:eastAsia="Arial" w:hAnsi="Arial"/>
          <w:sz w:val="16"/>
          <w:szCs w:val="16"/>
          <w:b w:val="1"/>
          <w:bCs w:val="1"/>
          <w:i w:val="1"/>
          <w:iCs w:val="1"/>
          <w:color w:val="auto"/>
        </w:rPr>
        <w:t>We may be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30"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 (or processing)) sensitive information.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46"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There are a number of laws in the United States governing the privacy and security of personal information, including data breach notification laws, personal data privacy laws, consumer protection laws (e.g., Section 5 of the Federal Trade Commission Act), and other similar laws (e.g., wiretapping laws). For example, the U.S.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w:t>
      </w:r>
    </w:p>
    <w:p>
      <w:pPr>
        <w:spacing w:after="0" w:line="147" w:lineRule="exact"/>
        <w:rPr>
          <w:sz w:val="20"/>
          <w:szCs w:val="20"/>
          <w:color w:val="auto"/>
        </w:rPr>
      </w:pPr>
    </w:p>
    <w:p>
      <w:pPr>
        <w:ind w:right="280" w:firstLine="810"/>
        <w:spacing w:after="0" w:line="275" w:lineRule="auto"/>
        <w:rPr>
          <w:sz w:val="20"/>
          <w:szCs w:val="20"/>
          <w:color w:val="auto"/>
        </w:rPr>
      </w:pPr>
      <w:r>
        <w:rPr>
          <w:rFonts w:ascii="Arial" w:cs="Arial" w:eastAsia="Arial" w:hAnsi="Arial"/>
          <w:sz w:val="17"/>
          <w:szCs w:val="17"/>
          <w:color w:val="auto"/>
        </w:rPr>
        <w:t>For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149" w:lineRule="exact"/>
        <w:rPr>
          <w:sz w:val="20"/>
          <w:szCs w:val="20"/>
          <w:color w:val="auto"/>
        </w:rPr>
      </w:pPr>
    </w:p>
    <w:p>
      <w:pPr>
        <w:ind w:right="60" w:firstLine="810"/>
        <w:spacing w:after="0" w:line="286" w:lineRule="auto"/>
        <w:rPr>
          <w:sz w:val="20"/>
          <w:szCs w:val="20"/>
          <w:color w:val="auto"/>
        </w:rPr>
      </w:pPr>
      <w:r>
        <w:rPr>
          <w:rFonts w:ascii="Arial" w:cs="Arial" w:eastAsia="Arial" w:hAnsi="Arial"/>
          <w:sz w:val="16"/>
          <w:szCs w:val="16"/>
          <w:color w:val="auto"/>
        </w:rPr>
        <w:t>As another example, the California Consumer Privacy Act of 2018 (CCPA), as amended by the California Privacy Rights Act of 2020 (CPRA) (collectively, “CCPA”),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information and establishing a new regulatory agency to implement and enforce the law. Other states, such as Virginia and Colorado, have also passed comprehensive privacy laws, and similar laws are being considered in several other states, as well as at the federal and local levels. These state laws and the CCPA provide individuals with certain rights over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w:t>
      </w:r>
    </w:p>
    <w:p>
      <w:pPr>
        <w:spacing w:after="0" w:line="133" w:lineRule="exact"/>
        <w:rPr>
          <w:sz w:val="20"/>
          <w:szCs w:val="20"/>
          <w:color w:val="auto"/>
        </w:rPr>
      </w:pPr>
    </w:p>
    <w:p>
      <w:pPr>
        <w:ind w:right="100" w:firstLine="810"/>
        <w:spacing w:after="0" w:line="311" w:lineRule="auto"/>
        <w:rPr>
          <w:sz w:val="20"/>
          <w:szCs w:val="20"/>
          <w:color w:val="auto"/>
        </w:rPr>
      </w:pPr>
      <w:r>
        <w:rPr>
          <w:rFonts w:ascii="Arial" w:cs="Arial" w:eastAsia="Arial" w:hAnsi="Arial"/>
          <w:sz w:val="16"/>
          <w:szCs w:val="16"/>
          <w:color w:val="auto"/>
        </w:rPr>
        <w:t>Outside the United States, an increasing number of laws, regulations, and industry standards govern data privacy and security. For example, the European Union’s General Data Protection Regulation (“EU GDPR”), the United Kingdom’s GDPR (“UK GDPR”), and Canada’s Personal Information Protection and Electronic Documents Act (“PIPEDA”) or the applicable provincial alternatives, impose strict requirements for processing personal data.</w:t>
      </w:r>
    </w:p>
    <w:p>
      <w:pPr>
        <w:spacing w:after="0" w:line="108"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For example, under the EU GDPR, companies may face temporary or definitive bans on data processing and other corrective actions; fines of up to 20 million Euros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PIPEDA and various related provincial laws, as well as Canada’s Anti-Spam Legislation (“CASL”), may apply to our operations.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20" w:firstLine="810"/>
        <w:spacing w:after="0" w:line="272" w:lineRule="auto"/>
        <w:rPr>
          <w:sz w:val="20"/>
          <w:szCs w:val="20"/>
          <w:color w:val="auto"/>
        </w:rPr>
      </w:pPr>
      <w:r>
        <w:rPr>
          <w:rFonts w:ascii="Arial" w:cs="Arial" w:eastAsia="Arial" w:hAnsi="Arial"/>
          <w:sz w:val="17"/>
          <w:szCs w:val="17"/>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and CPRA, other U.S. state comprehensive privacy laws, the EU and UK GDPR, and the UK Age Appropriate Design Code, impose various obligations on companies that process children data, including by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as a user under the age of 18 years old). These laws may be subject to legal challenges and changing interpretations, which may further complicate our efforts to comply with these laws.</w:t>
      </w:r>
    </w:p>
    <w:p>
      <w:pPr>
        <w:spacing w:after="0" w:line="150"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31"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color w:val="auto"/>
        </w:rPr>
        <w:t>The development and use of generative AI/ML technologies present various privacy and security risks that may impact our business. AI/ML are subject to privacy and data security laws, as well as increasing regulation and scrutiny. Several jurisdictions around the globe, including Europe and certain U.S. states, have proposed or enacted laws governing AI/ML. For example, European regulators have proposed a stringent AI regulation, and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40"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We may be subject to new laws governing the privacy of consumer health data. For example, Washington’s My Health My Data Act (“MHMD”) broadly defines consumer health data, places restrictions on processing such data (including imposing stringent requirements for consent), provides consumers certain rights with respect to their health data, and creates a private right of action to allow individuals to sue for violations of the law. Other states are considering and may adopt similar laws.</w:t>
      </w:r>
    </w:p>
    <w:p>
      <w:pPr>
        <w:spacing w:after="0" w:line="160" w:lineRule="exact"/>
        <w:rPr>
          <w:sz w:val="20"/>
          <w:szCs w:val="20"/>
          <w:color w:val="auto"/>
        </w:rPr>
      </w:pPr>
    </w:p>
    <w:p>
      <w:pPr>
        <w:ind w:firstLine="810"/>
        <w:spacing w:after="0" w:line="267" w:lineRule="auto"/>
        <w:rPr>
          <w:sz w:val="20"/>
          <w:szCs w:val="20"/>
          <w:color w:val="auto"/>
        </w:rPr>
      </w:pPr>
      <w:r>
        <w:rPr>
          <w:rFonts w:ascii="Arial" w:cs="Arial" w:eastAsia="Arial" w:hAnsi="Arial"/>
          <w:sz w:val="17"/>
          <w:szCs w:val="17"/>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organizations based in the United States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Additionally,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EU personal data to the United States.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7" w:name="page48"/>
    <w:bookmarkEnd w:id="47"/>
    <w:p>
      <w:pPr>
        <w:ind w:right="60" w:firstLine="810"/>
        <w:spacing w:after="0" w:line="269" w:lineRule="auto"/>
        <w:rPr>
          <w:sz w:val="20"/>
          <w:szCs w:val="20"/>
          <w:color w:val="auto"/>
        </w:rPr>
      </w:pPr>
      <w:r>
        <w:rPr>
          <w:rFonts w:ascii="Arial" w:cs="Arial" w:eastAsia="Arial" w:hAnsi="Arial"/>
          <w:sz w:val="17"/>
          <w:szCs w:val="17"/>
          <w:color w:val="auto"/>
        </w:rPr>
        <w:t>In addition to data privacy and security laws, we are contractually subject to industry standards adopted by industry groups and we are, or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55"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125"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37"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374" w:lineRule="exact"/>
        <w:rPr>
          <w:sz w:val="20"/>
          <w:szCs w:val="20"/>
          <w:color w:val="auto"/>
        </w:rPr>
      </w:pPr>
    </w:p>
    <w:p>
      <w:pPr>
        <w:jc w:val="center"/>
        <w:ind w:right="9140"/>
        <w:spacing w:after="0"/>
        <w:rPr>
          <w:sz w:val="20"/>
          <w:szCs w:val="20"/>
          <w:color w:val="auto"/>
        </w:rPr>
      </w:pPr>
      <w:r>
        <w:rPr>
          <w:rFonts w:ascii="Arial" w:cs="Arial" w:eastAsia="Arial" w:hAnsi="Arial"/>
          <w:sz w:val="17"/>
          <w:szCs w:val="17"/>
          <w:b w:val="1"/>
          <w:bCs w:val="1"/>
          <w:color w:val="auto"/>
        </w:rPr>
        <w:t>Item 5. Other Information.</w:t>
      </w:r>
    </w:p>
    <w:p>
      <w:pPr>
        <w:spacing w:after="0" w:line="200" w:lineRule="exact"/>
        <w:rPr>
          <w:sz w:val="20"/>
          <w:szCs w:val="20"/>
          <w:color w:val="auto"/>
        </w:rPr>
      </w:pPr>
    </w:p>
    <w:p>
      <w:pPr>
        <w:jc w:val="center"/>
        <w:ind w:right="91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7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82"/>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4200" w:type="dxa"/>
            <w:vAlign w:val="bottom"/>
            <w:tcBorders>
              <w:bottom w:val="single" w:sz="8" w:color="auto"/>
            </w:tcBorders>
            <w:gridSpan w:val="7"/>
          </w:tcPr>
          <w:p>
            <w:pPr>
              <w:spacing w:after="0" w:line="182" w:lineRule="exact"/>
              <w:rPr>
                <w:rFonts w:ascii="Arial" w:cs="Arial" w:eastAsia="Arial" w:hAnsi="Arial"/>
                <w:sz w:val="18"/>
                <w:szCs w:val="18"/>
                <w:color w:val="auto"/>
                <w:w w:val="91"/>
              </w:rPr>
            </w:pPr>
            <w:hyperlink r:id="rId65">
              <w:r>
                <w:rPr>
                  <w:rFonts w:ascii="Arial" w:cs="Arial" w:eastAsia="Arial" w:hAnsi="Arial"/>
                  <w:sz w:val="18"/>
                  <w:szCs w:val="18"/>
                  <w:color w:val="auto"/>
                  <w:w w:val="91"/>
                </w:rPr>
                <w:t>Amended and Restated Certificate of Incorporation of the</w:t>
              </w:r>
            </w:hyperlink>
          </w:p>
        </w:tc>
        <w:tc>
          <w:tcPr>
            <w:tcW w:w="5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3440" w:type="dxa"/>
            <w:vAlign w:val="bottom"/>
            <w:gridSpan w:val="3"/>
            <w:vMerge w:val="restart"/>
          </w:tcPr>
          <w:p>
            <w:pPr>
              <w:spacing w:after="0" w:line="156" w:lineRule="exact"/>
              <w:rPr>
                <w:rFonts w:ascii="Arial" w:cs="Arial" w:eastAsia="Arial" w:hAnsi="Arial"/>
                <w:sz w:val="18"/>
                <w:szCs w:val="18"/>
                <w:color w:val="auto"/>
                <w:w w:val="89"/>
              </w:rPr>
            </w:pPr>
            <w:hyperlink r:id="rId65">
              <w:r>
                <w:rPr>
                  <w:rFonts w:ascii="Arial" w:cs="Arial" w:eastAsia="Arial" w:hAnsi="Arial"/>
                  <w:sz w:val="18"/>
                  <w:szCs w:val="18"/>
                  <w:color w:val="auto"/>
                  <w:w w:val="89"/>
                </w:rPr>
                <w:t>Registrant (as amended and currently in effect).</w:t>
              </w:r>
            </w:hyperlink>
          </w:p>
        </w:tc>
        <w:tc>
          <w:tcPr>
            <w:tcW w:w="13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3440" w:type="dxa"/>
            <w:vAlign w:val="bottom"/>
            <w:tcBorders>
              <w:bottom w:val="single" w:sz="8" w:color="auto"/>
            </w:tcBorders>
            <w:gridSpan w:val="3"/>
            <w:vMerge w:val="continue"/>
          </w:tcPr>
          <w:p>
            <w:pPr>
              <w:spacing w:after="0"/>
              <w:rPr>
                <w:sz w:val="3"/>
                <w:szCs w:val="3"/>
                <w:color w:val="auto"/>
              </w:rPr>
            </w:pPr>
          </w:p>
        </w:tc>
        <w:tc>
          <w:tcPr>
            <w:tcW w:w="13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4460" w:type="dxa"/>
            <w:vAlign w:val="bottom"/>
            <w:tcBorders>
              <w:bottom w:val="single" w:sz="8" w:color="auto"/>
            </w:tcBorders>
            <w:gridSpan w:val="11"/>
          </w:tcPr>
          <w:p>
            <w:pPr>
              <w:spacing w:after="0"/>
              <w:rPr>
                <w:rFonts w:ascii="Arial" w:cs="Arial" w:eastAsia="Arial" w:hAnsi="Arial"/>
                <w:sz w:val="18"/>
                <w:szCs w:val="18"/>
                <w:color w:val="auto"/>
                <w:w w:val="89"/>
              </w:rPr>
            </w:pPr>
            <w:hyperlink r:id="rId66">
              <w:r>
                <w:rPr>
                  <w:rFonts w:ascii="Arial" w:cs="Arial" w:eastAsia="Arial" w:hAnsi="Arial"/>
                  <w:sz w:val="18"/>
                  <w:szCs w:val="18"/>
                  <w:color w:val="auto"/>
                  <w:w w:val="89"/>
                </w:rPr>
                <w:t>Amended and Restated Bylaws of the Registrant (as amended</w:t>
              </w:r>
            </w:hyperlink>
          </w:p>
        </w:tc>
        <w:tc>
          <w:tcPr>
            <w:tcW w:w="2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740" w:type="dxa"/>
            <w:vAlign w:val="bottom"/>
            <w:gridSpan w:val="13"/>
            <w:vMerge w:val="restart"/>
          </w:tcPr>
          <w:p>
            <w:pPr>
              <w:spacing w:after="0" w:line="156" w:lineRule="exact"/>
              <w:rPr>
                <w:rFonts w:ascii="Arial" w:cs="Arial" w:eastAsia="Arial" w:hAnsi="Arial"/>
                <w:sz w:val="18"/>
                <w:szCs w:val="18"/>
                <w:color w:val="auto"/>
              </w:rPr>
            </w:pPr>
            <w:hyperlink r:id="rId66">
              <w:r>
                <w:rPr>
                  <w:rFonts w:ascii="Arial" w:cs="Arial" w:eastAsia="Arial" w:hAnsi="Arial"/>
                  <w:sz w:val="18"/>
                  <w:szCs w:val="18"/>
                  <w:color w:val="auto"/>
                </w:rPr>
                <w:t>and currently in effect).</w:t>
              </w:r>
            </w:hyperlink>
          </w:p>
        </w:tc>
        <w:tc>
          <w:tcPr>
            <w:tcW w:w="0" w:type="dxa"/>
            <w:vAlign w:val="bottom"/>
          </w:tcPr>
          <w:p>
            <w:pPr>
              <w:spacing w:after="0"/>
              <w:rPr>
                <w:sz w:val="1"/>
                <w:szCs w:val="1"/>
                <w:color w:val="auto"/>
              </w:rPr>
            </w:pPr>
          </w:p>
        </w:tc>
      </w:tr>
      <w:tr>
        <w:trPr>
          <w:trHeight w:val="40"/>
        </w:trPr>
        <w:tc>
          <w:tcPr>
            <w:tcW w:w="1060" w:type="dxa"/>
            <w:vAlign w:val="bottom"/>
          </w:tcPr>
          <w:p>
            <w:pPr>
              <w:spacing w:after="0"/>
              <w:rPr>
                <w:sz w:val="3"/>
                <w:szCs w:val="3"/>
                <w:color w:val="auto"/>
              </w:rPr>
            </w:pPr>
          </w:p>
        </w:tc>
        <w:tc>
          <w:tcPr>
            <w:tcW w:w="474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4740" w:type="dxa"/>
            <w:vAlign w:val="bottom"/>
            <w:gridSpan w:val="13"/>
          </w:tcPr>
          <w:p>
            <w:pPr>
              <w:spacing w:after="0"/>
              <w:rPr>
                <w:rFonts w:ascii="Arial" w:cs="Arial" w:eastAsia="Arial" w:hAnsi="Arial"/>
                <w:sz w:val="18"/>
                <w:szCs w:val="18"/>
                <w:color w:val="auto"/>
                <w:w w:val="91"/>
              </w:rPr>
            </w:pPr>
            <w:hyperlink r:id="rId67">
              <w:r>
                <w:rPr>
                  <w:rFonts w:ascii="Arial" w:cs="Arial" w:eastAsia="Arial" w:hAnsi="Arial"/>
                  <w:sz w:val="18"/>
                  <w:szCs w:val="18"/>
                  <w:color w:val="auto"/>
                  <w:w w:val="91"/>
                </w:rPr>
                <w:t>Separation Agreement, executed as of August 18, 2023, entered</w:t>
              </w:r>
            </w:hyperlink>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4600" w:type="dxa"/>
            <w:vAlign w:val="bottom"/>
            <w:tcBorders>
              <w:top w:val="single" w:sz="8" w:color="auto"/>
            </w:tcBorders>
            <w:gridSpan w:val="12"/>
          </w:tcPr>
          <w:p>
            <w:pPr>
              <w:spacing w:after="0" w:line="156" w:lineRule="exact"/>
              <w:rPr>
                <w:rFonts w:ascii="Arial" w:cs="Arial" w:eastAsia="Arial" w:hAnsi="Arial"/>
                <w:sz w:val="18"/>
                <w:szCs w:val="18"/>
                <w:color w:val="auto"/>
                <w:w w:val="96"/>
              </w:rPr>
            </w:pPr>
            <w:hyperlink r:id="rId67">
              <w:r>
                <w:rPr>
                  <w:rFonts w:ascii="Arial" w:cs="Arial" w:eastAsia="Arial" w:hAnsi="Arial"/>
                  <w:sz w:val="18"/>
                  <w:szCs w:val="18"/>
                  <w:color w:val="auto"/>
                  <w:w w:val="96"/>
                </w:rPr>
                <w:t>into by and between Tandem Diabetes Care, Inc. and Brian</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line="169" w:lineRule="exact"/>
              <w:rPr>
                <w:rFonts w:ascii="Arial" w:cs="Arial" w:eastAsia="Arial" w:hAnsi="Arial"/>
                <w:sz w:val="18"/>
                <w:szCs w:val="18"/>
                <w:color w:val="auto"/>
                <w:w w:val="86"/>
              </w:rPr>
            </w:pPr>
            <w:hyperlink r:id="rId67">
              <w:r>
                <w:rPr>
                  <w:rFonts w:ascii="Arial" w:cs="Arial" w:eastAsia="Arial" w:hAnsi="Arial"/>
                  <w:sz w:val="18"/>
                  <w:szCs w:val="18"/>
                  <w:color w:val="auto"/>
                  <w:w w:val="86"/>
                </w:rPr>
                <w:t>Hansen.</w:t>
              </w:r>
            </w:hyperlink>
          </w:p>
        </w:tc>
        <w:tc>
          <w:tcPr>
            <w:tcW w:w="3660" w:type="dxa"/>
            <w:vAlign w:val="bottom"/>
            <w:tcBorders>
              <w:top w:val="single" w:sz="8" w:color="auto"/>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5"/>
              </w:rPr>
              <w:t>31.1</w:t>
            </w:r>
          </w:p>
        </w:tc>
        <w:tc>
          <w:tcPr>
            <w:tcW w:w="4740" w:type="dxa"/>
            <w:vAlign w:val="bottom"/>
            <w:gridSpan w:val="13"/>
          </w:tcPr>
          <w:p>
            <w:pPr>
              <w:spacing w:after="0"/>
              <w:rPr>
                <w:sz w:val="20"/>
                <w:szCs w:val="20"/>
                <w:color w:val="auto"/>
              </w:rPr>
            </w:pPr>
            <w:r>
              <w:rPr>
                <w:rFonts w:ascii="Arial" w:cs="Arial" w:eastAsia="Arial" w:hAnsi="Arial"/>
                <w:sz w:val="18"/>
                <w:szCs w:val="18"/>
                <w:color w:val="auto"/>
              </w:rPr>
              <w:t>Certification of John F. Sheridan, Chief Executive Officer,</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320" w:type="dxa"/>
            <w:vAlign w:val="bottom"/>
            <w:gridSpan w:val="10"/>
            <w:vMerge w:val="restart"/>
          </w:tcPr>
          <w:p>
            <w:pPr>
              <w:spacing w:after="0" w:line="156" w:lineRule="exact"/>
              <w:rPr>
                <w:sz w:val="20"/>
                <w:szCs w:val="20"/>
                <w:color w:val="auto"/>
              </w:rPr>
            </w:pPr>
            <w:r>
              <w:rPr>
                <w:rFonts w:ascii="Arial" w:cs="Arial" w:eastAsia="Arial" w:hAnsi="Arial"/>
                <w:sz w:val="18"/>
                <w:szCs w:val="18"/>
                <w:color w:val="auto"/>
                <w:w w:val="90"/>
              </w:rPr>
              <w:t>pursuant to Section 302 of the Sarbanes-Oxley Act of 2002.</w:t>
            </w:r>
          </w:p>
        </w:tc>
        <w:tc>
          <w:tcPr>
            <w:tcW w:w="4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060" w:type="dxa"/>
            <w:vAlign w:val="bottom"/>
          </w:tcPr>
          <w:p>
            <w:pPr>
              <w:spacing w:after="0"/>
              <w:rPr>
                <w:sz w:val="3"/>
                <w:szCs w:val="3"/>
                <w:color w:val="auto"/>
              </w:rPr>
            </w:pPr>
          </w:p>
        </w:tc>
        <w:tc>
          <w:tcPr>
            <w:tcW w:w="4320" w:type="dxa"/>
            <w:vAlign w:val="bottom"/>
            <w:tcBorders>
              <w:bottom w:val="single" w:sz="8" w:color="auto"/>
            </w:tcBorders>
            <w:gridSpan w:val="10"/>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5"/>
              </w:rPr>
              <w:t>31.2</w:t>
            </w:r>
          </w:p>
        </w:tc>
        <w:tc>
          <w:tcPr>
            <w:tcW w:w="43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3"/>
              </w:rPr>
              <w:t>Certification of Leigh A. Vosseller, Chief Financial Officer,</w:t>
            </w:r>
          </w:p>
        </w:tc>
        <w:tc>
          <w:tcPr>
            <w:tcW w:w="4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320" w:type="dxa"/>
            <w:vAlign w:val="bottom"/>
            <w:gridSpan w:val="10"/>
            <w:vMerge w:val="restart"/>
          </w:tcPr>
          <w:p>
            <w:pPr>
              <w:spacing w:after="0" w:line="156" w:lineRule="exact"/>
              <w:rPr>
                <w:sz w:val="20"/>
                <w:szCs w:val="20"/>
                <w:color w:val="auto"/>
              </w:rPr>
            </w:pPr>
            <w:r>
              <w:rPr>
                <w:rFonts w:ascii="Arial" w:cs="Arial" w:eastAsia="Arial" w:hAnsi="Arial"/>
                <w:sz w:val="18"/>
                <w:szCs w:val="18"/>
                <w:color w:val="auto"/>
                <w:w w:val="90"/>
              </w:rPr>
              <w:t>pursuant to Section 302 of the Sarbanes-Oxley Act of 2002.</w:t>
            </w:r>
          </w:p>
        </w:tc>
        <w:tc>
          <w:tcPr>
            <w:tcW w:w="4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4320" w:type="dxa"/>
            <w:vAlign w:val="bottom"/>
            <w:tcBorders>
              <w:bottom w:val="single" w:sz="8" w:color="auto"/>
            </w:tcBorders>
            <w:gridSpan w:val="10"/>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32.1*</w:t>
            </w:r>
          </w:p>
        </w:tc>
        <w:tc>
          <w:tcPr>
            <w:tcW w:w="4740" w:type="dxa"/>
            <w:vAlign w:val="bottom"/>
            <w:gridSpan w:val="13"/>
          </w:tcPr>
          <w:p>
            <w:pPr>
              <w:spacing w:after="0"/>
              <w:rPr>
                <w:sz w:val="20"/>
                <w:szCs w:val="20"/>
                <w:color w:val="auto"/>
              </w:rPr>
            </w:pPr>
            <w:r>
              <w:rPr>
                <w:rFonts w:ascii="Arial" w:cs="Arial" w:eastAsia="Arial" w:hAnsi="Arial"/>
                <w:sz w:val="18"/>
                <w:szCs w:val="18"/>
                <w:color w:val="auto"/>
              </w:rPr>
              <w:t>Certification of John F. Sheridan, Chief Executive Officer,</w:t>
            </w:r>
          </w:p>
        </w:tc>
        <w:tc>
          <w:tcPr>
            <w:tcW w:w="0" w:type="dxa"/>
            <w:vAlign w:val="bottom"/>
          </w:tcPr>
          <w:p>
            <w:pPr>
              <w:spacing w:after="0"/>
              <w:rPr>
                <w:sz w:val="1"/>
                <w:szCs w:val="1"/>
                <w:color w:val="auto"/>
              </w:rPr>
            </w:pPr>
          </w:p>
        </w:tc>
      </w:tr>
      <w:tr>
        <w:trPr>
          <w:trHeight w:val="156"/>
        </w:trPr>
        <w:tc>
          <w:tcPr>
            <w:tcW w:w="1060" w:type="dxa"/>
            <w:vAlign w:val="bottom"/>
            <w:vMerge w:val="continue"/>
          </w:tcPr>
          <w:p>
            <w:pPr>
              <w:spacing w:after="0"/>
              <w:rPr>
                <w:sz w:val="13"/>
                <w:szCs w:val="13"/>
                <w:color w:val="auto"/>
              </w:rPr>
            </w:pPr>
          </w:p>
        </w:tc>
        <w:tc>
          <w:tcPr>
            <w:tcW w:w="4200" w:type="dxa"/>
            <w:vAlign w:val="bottom"/>
            <w:tcBorders>
              <w:top w:val="single" w:sz="8" w:color="auto"/>
            </w:tcBorders>
            <w:gridSpan w:val="7"/>
          </w:tcPr>
          <w:p>
            <w:pPr>
              <w:spacing w:after="0" w:line="156" w:lineRule="exact"/>
              <w:rPr>
                <w:sz w:val="20"/>
                <w:szCs w:val="20"/>
                <w:color w:val="auto"/>
              </w:rPr>
            </w:pPr>
            <w:r>
              <w:rPr>
                <w:rFonts w:ascii="Arial" w:cs="Arial" w:eastAsia="Arial" w:hAnsi="Arial"/>
                <w:sz w:val="18"/>
                <w:szCs w:val="18"/>
                <w:color w:val="auto"/>
                <w:w w:val="91"/>
              </w:rPr>
              <w:t>pursuant to U.S.C. Section 1350, as adopted pursuant to</w:t>
            </w:r>
          </w:p>
        </w:tc>
        <w:tc>
          <w:tcPr>
            <w:tcW w:w="5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480" w:type="dxa"/>
            <w:vAlign w:val="bottom"/>
            <w:tcBorders>
              <w:top w:val="single" w:sz="8" w:color="auto"/>
              <w:bottom w:val="single" w:sz="8" w:color="auto"/>
            </w:tcBorders>
            <w:gridSpan w:val="5"/>
          </w:tcPr>
          <w:p>
            <w:pPr>
              <w:spacing w:after="0" w:line="169" w:lineRule="exact"/>
              <w:rPr>
                <w:sz w:val="20"/>
                <w:szCs w:val="20"/>
                <w:color w:val="auto"/>
              </w:rPr>
            </w:pPr>
            <w:r>
              <w:rPr>
                <w:rFonts w:ascii="Arial" w:cs="Arial" w:eastAsia="Arial" w:hAnsi="Arial"/>
                <w:sz w:val="18"/>
                <w:szCs w:val="18"/>
                <w:color w:val="auto"/>
                <w:w w:val="90"/>
              </w:rPr>
              <w:t>Section 906 of the Sarbanes-Oxley Act of 2002.</w:t>
            </w:r>
          </w:p>
        </w:tc>
        <w:tc>
          <w:tcPr>
            <w:tcW w:w="560" w:type="dxa"/>
            <w:vAlign w:val="bottom"/>
            <w:tcBorders>
              <w:top w:val="single" w:sz="8" w:color="auto"/>
            </w:tcBorders>
          </w:tcPr>
          <w:p>
            <w:pPr>
              <w:spacing w:after="0"/>
              <w:rPr>
                <w:sz w:val="14"/>
                <w:szCs w:val="14"/>
                <w:color w:val="auto"/>
              </w:rPr>
            </w:pPr>
          </w:p>
        </w:tc>
        <w:tc>
          <w:tcPr>
            <w:tcW w:w="7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32.2*</w:t>
            </w:r>
          </w:p>
        </w:tc>
        <w:tc>
          <w:tcPr>
            <w:tcW w:w="4740" w:type="dxa"/>
            <w:vAlign w:val="bottom"/>
            <w:gridSpan w:val="13"/>
          </w:tcPr>
          <w:p>
            <w:pPr>
              <w:spacing w:after="0"/>
              <w:rPr>
                <w:sz w:val="20"/>
                <w:szCs w:val="20"/>
                <w:color w:val="auto"/>
              </w:rPr>
            </w:pPr>
            <w:r>
              <w:rPr>
                <w:rFonts w:ascii="Arial" w:cs="Arial" w:eastAsia="Arial" w:hAnsi="Arial"/>
                <w:sz w:val="18"/>
                <w:szCs w:val="18"/>
                <w:color w:val="auto"/>
              </w:rPr>
              <w:t>Certification of Leigh A. Vosseller, Chief Financial Officer,</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4300" w:type="dxa"/>
            <w:vAlign w:val="bottom"/>
            <w:tcBorders>
              <w:top w:val="single" w:sz="8" w:color="auto"/>
            </w:tcBorders>
            <w:gridSpan w:val="9"/>
          </w:tcPr>
          <w:p>
            <w:pPr>
              <w:spacing w:after="0" w:line="156" w:lineRule="exact"/>
              <w:rPr>
                <w:sz w:val="20"/>
                <w:szCs w:val="20"/>
                <w:color w:val="auto"/>
              </w:rPr>
            </w:pPr>
            <w:r>
              <w:rPr>
                <w:rFonts w:ascii="Arial" w:cs="Arial" w:eastAsia="Arial" w:hAnsi="Arial"/>
                <w:sz w:val="18"/>
                <w:szCs w:val="18"/>
                <w:color w:val="auto"/>
                <w:w w:val="94"/>
              </w:rPr>
              <w:t>pursuant to U.S.C. Section 1350, as adopted pursuant to</w:t>
            </w:r>
          </w:p>
        </w:tc>
        <w:tc>
          <w:tcPr>
            <w:tcW w:w="4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040" w:type="dxa"/>
            <w:vAlign w:val="bottom"/>
            <w:tcBorders>
              <w:top w:val="single" w:sz="8" w:color="auto"/>
            </w:tcBorders>
            <w:gridSpan w:val="6"/>
          </w:tcPr>
          <w:p>
            <w:pPr>
              <w:spacing w:after="0" w:line="169" w:lineRule="exact"/>
              <w:rPr>
                <w:sz w:val="20"/>
                <w:szCs w:val="20"/>
                <w:color w:val="auto"/>
              </w:rPr>
            </w:pPr>
            <w:r>
              <w:rPr>
                <w:rFonts w:ascii="Arial" w:cs="Arial" w:eastAsia="Arial" w:hAnsi="Arial"/>
                <w:sz w:val="18"/>
                <w:szCs w:val="18"/>
                <w:color w:val="auto"/>
              </w:rPr>
              <w:t>Section 906 of the Sarbanes-Oxley Act of 2002.</w:t>
            </w:r>
          </w:p>
        </w:tc>
        <w:tc>
          <w:tcPr>
            <w:tcW w:w="7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3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12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7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76"/>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4"/>
              </w:rPr>
              <w:t>101.CAL</w:t>
            </w:r>
          </w:p>
        </w:tc>
        <w:tc>
          <w:tcPr>
            <w:tcW w:w="4740" w:type="dxa"/>
            <w:vAlign w:val="bottom"/>
            <w:gridSpan w:val="13"/>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148"/>
        </w:trPr>
        <w:tc>
          <w:tcPr>
            <w:tcW w:w="1060" w:type="dxa"/>
            <w:vAlign w:val="bottom"/>
            <w:vMerge w:val="continue"/>
          </w:tcPr>
          <w:p>
            <w:pPr>
              <w:spacing w:after="0"/>
              <w:rPr>
                <w:sz w:val="12"/>
                <w:szCs w:val="12"/>
                <w:color w:val="auto"/>
              </w:rPr>
            </w:pPr>
          </w:p>
        </w:tc>
        <w:tc>
          <w:tcPr>
            <w:tcW w:w="4740" w:type="dxa"/>
            <w:vAlign w:val="bottom"/>
            <w:gridSpan w:val="13"/>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474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2"/>
              </w:rPr>
              <w:t>101.DEF</w:t>
            </w:r>
          </w:p>
        </w:tc>
        <w:tc>
          <w:tcPr>
            <w:tcW w:w="4740" w:type="dxa"/>
            <w:vAlign w:val="bottom"/>
            <w:gridSpan w:val="13"/>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148"/>
        </w:trPr>
        <w:tc>
          <w:tcPr>
            <w:tcW w:w="1060" w:type="dxa"/>
            <w:vAlign w:val="bottom"/>
            <w:vMerge w:val="continue"/>
          </w:tcPr>
          <w:p>
            <w:pPr>
              <w:spacing w:after="0"/>
              <w:rPr>
                <w:sz w:val="12"/>
                <w:szCs w:val="12"/>
                <w:color w:val="auto"/>
              </w:rPr>
            </w:pPr>
          </w:p>
        </w:tc>
        <w:tc>
          <w:tcPr>
            <w:tcW w:w="4740" w:type="dxa"/>
            <w:vAlign w:val="bottom"/>
            <w:gridSpan w:val="13"/>
            <w:vMerge w:val="restart"/>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474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06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4740" w:type="dxa"/>
            <w:vAlign w:val="bottom"/>
            <w:gridSpan w:val="13"/>
          </w:tcPr>
          <w:p>
            <w:pPr>
              <w:spacing w:after="0"/>
              <w:rPr>
                <w:sz w:val="20"/>
                <w:szCs w:val="20"/>
                <w:color w:val="auto"/>
              </w:rPr>
            </w:pPr>
            <w:r>
              <w:rPr>
                <w:rFonts w:ascii="Arial" w:cs="Arial" w:eastAsia="Arial" w:hAnsi="Arial"/>
                <w:sz w:val="18"/>
                <w:szCs w:val="18"/>
                <w:color w:val="auto"/>
                <w:w w:val="97"/>
              </w:rPr>
              <w:t>Inline XBRL Taxonomy Extension Label Linkbase Document.</w:t>
            </w:r>
          </w:p>
        </w:tc>
        <w:tc>
          <w:tcPr>
            <w:tcW w:w="0" w:type="dxa"/>
            <w:vAlign w:val="bottom"/>
          </w:tcPr>
          <w:p>
            <w:pPr>
              <w:spacing w:after="0"/>
              <w:rPr>
                <w:sz w:val="1"/>
                <w:szCs w:val="1"/>
                <w:color w:val="auto"/>
              </w:rPr>
            </w:pPr>
          </w:p>
        </w:tc>
      </w:tr>
      <w:tr>
        <w:trPr>
          <w:trHeight w:val="110"/>
        </w:trPr>
        <w:tc>
          <w:tcPr>
            <w:tcW w:w="1060" w:type="dxa"/>
            <w:vAlign w:val="bottom"/>
          </w:tcPr>
          <w:p>
            <w:pPr>
              <w:spacing w:after="0"/>
              <w:rPr>
                <w:sz w:val="9"/>
                <w:szCs w:val="9"/>
                <w:color w:val="auto"/>
              </w:rPr>
            </w:pPr>
          </w:p>
        </w:tc>
        <w:tc>
          <w:tcPr>
            <w:tcW w:w="4740" w:type="dxa"/>
            <w:vAlign w:val="bottom"/>
            <w:gridSpan w:val="13"/>
          </w:tcPr>
          <w:p>
            <w:pPr>
              <w:spacing w:after="0" w:line="111" w:lineRule="exact"/>
              <w:rPr>
                <w:sz w:val="20"/>
                <w:szCs w:val="20"/>
                <w:color w:val="auto"/>
              </w:rPr>
            </w:pPr>
            <w:r>
              <w:rPr>
                <w:rFonts w:ascii="Arial" w:cs="Arial" w:eastAsia="Arial" w:hAnsi="Arial"/>
                <w:sz w:val="12"/>
                <w:szCs w:val="12"/>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-2700655</wp:posOffset>
            </wp:positionV>
            <wp:extent cx="7132320" cy="377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-2058035</wp:posOffset>
            </wp:positionV>
            <wp:extent cx="713232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-1414780</wp:posOffset>
            </wp:positionV>
            <wp:extent cx="7132320" cy="377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-892175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266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0"/>
        <w:spacing w:after="0"/>
        <w:tabs>
          <w:tab w:leader="none" w:pos="1040" w:val="left"/>
        </w:tabs>
        <w:rPr>
          <w:sz w:val="20"/>
          <w:szCs w:val="20"/>
          <w:color w:val="auto"/>
        </w:rPr>
      </w:pPr>
      <w:r>
        <w:rPr>
          <w:rFonts w:ascii="Arial" w:cs="Arial" w:eastAsia="Arial" w:hAnsi="Arial"/>
          <w:sz w:val="35"/>
          <w:szCs w:val="35"/>
          <w:color w:val="auto"/>
          <w:vertAlign w:val="superscript"/>
        </w:rPr>
        <w:t>101.PRE</w:t>
      </w:r>
      <w:r>
        <w:rPr>
          <w:sz w:val="20"/>
          <w:szCs w:val="20"/>
          <w:color w:val="auto"/>
        </w:rPr>
        <w:tab/>
      </w:r>
      <w:r>
        <w:rPr>
          <w:rFonts w:ascii="Arial" w:cs="Arial" w:eastAsia="Arial" w:hAnsi="Arial"/>
          <w:sz w:val="16"/>
          <w:szCs w:val="16"/>
          <w:color w:val="auto"/>
        </w:rPr>
        <w:t>Document.</w:t>
      </w:r>
    </w:p>
    <w:p>
      <w:pPr>
        <w:ind w:left="1060" w:right="300" w:hanging="667"/>
        <w:spacing w:after="0" w:line="189" w:lineRule="auto"/>
        <w:tabs>
          <w:tab w:leader="none" w:pos="1060" w:val="left"/>
        </w:tabs>
        <w:numPr>
          <w:ilvl w:val="0"/>
          <w:numId w:val="13"/>
        </w:numPr>
        <w:rPr>
          <w:rFonts w:ascii="Arial" w:cs="Arial" w:eastAsia="Arial" w:hAnsi="Arial"/>
          <w:sz w:val="28"/>
          <w:szCs w:val="28"/>
          <w:color w:val="auto"/>
          <w:vertAlign w:val="subscript"/>
        </w:rPr>
      </w:pPr>
      <w:r>
        <w:rPr>
          <w:rFonts w:ascii="Arial" w:cs="Arial" w:eastAsia="Arial" w:hAnsi="Arial"/>
          <w:sz w:val="15"/>
          <w:szCs w:val="15"/>
          <w:color w:val="auto"/>
        </w:rPr>
        <w:t>Cover Page Interactive Data File (embedded within the Inline XBRL Document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8"/>
                <w:szCs w:val="18"/>
                <w:b w:val="1"/>
                <w:bCs w:val="1"/>
                <w:color w:val="auto"/>
              </w:rPr>
              <w:t>Provided</w:t>
            </w:r>
          </w:p>
        </w:tc>
      </w:tr>
      <w:tr>
        <w:trPr>
          <w:trHeight w:val="243"/>
        </w:trPr>
        <w:tc>
          <w:tcPr>
            <w:tcW w:w="3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1"/>
                <w:szCs w:val="21"/>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Herewith</w:t>
            </w:r>
          </w:p>
        </w:tc>
      </w:tr>
      <w:tr>
        <w:trPr>
          <w:trHeight w:val="169"/>
        </w:trPr>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Date of First</w:t>
            </w:r>
          </w:p>
        </w:tc>
        <w:tc>
          <w:tcPr>
            <w:tcW w:w="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Exhibit</w:t>
            </w:r>
          </w:p>
        </w:tc>
        <w:tc>
          <w:tcPr>
            <w:tcW w:w="1040" w:type="dxa"/>
            <w:vAlign w:val="bottom"/>
          </w:tcPr>
          <w:p>
            <w:pPr>
              <w:spacing w:after="0"/>
              <w:rPr>
                <w:sz w:val="14"/>
                <w:szCs w:val="14"/>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10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File No.</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202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4"/>
              </w:rPr>
              <w:t>Number</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3, 2023</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40" w:type="dxa"/>
            <w:vAlign w:val="bottom"/>
          </w:tcPr>
          <w:p>
            <w:pPr>
              <w:spacing w:after="0"/>
              <w:rPr>
                <w:sz w:val="24"/>
                <w:szCs w:val="24"/>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August 3, 2023</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40" w:type="dxa"/>
            <w:vAlign w:val="bottom"/>
          </w:tcPr>
          <w:p>
            <w:pPr>
              <w:spacing w:after="0"/>
              <w:rPr>
                <w:sz w:val="24"/>
                <w:szCs w:val="24"/>
                <w:color w:val="auto"/>
              </w:rPr>
            </w:pPr>
          </w:p>
        </w:tc>
      </w:tr>
      <w:tr>
        <w:trPr>
          <w:trHeight w:val="499"/>
        </w:trPr>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August 18, 2023</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40" w:type="dxa"/>
            <w:vAlign w:val="bottom"/>
          </w:tcPr>
          <w:p>
            <w:pPr>
              <w:spacing w:after="0"/>
              <w:rPr>
                <w:sz w:val="24"/>
                <w:szCs w:val="24"/>
                <w:color w:val="auto"/>
              </w:rPr>
            </w:pPr>
          </w:p>
        </w:tc>
      </w:tr>
    </w:tbl>
    <w:p>
      <w:pPr>
        <w:spacing w:after="0" w:line="2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1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X</w:t>
      </w:r>
    </w:p>
    <w:p>
      <w:pPr>
        <w:spacing w:after="0" w:line="303" w:lineRule="exact"/>
        <w:rPr>
          <w:sz w:val="20"/>
          <w:szCs w:val="20"/>
          <w:color w:val="auto"/>
        </w:rPr>
      </w:pPr>
    </w:p>
    <w:p>
      <w:pPr>
        <w:sectPr>
          <w:pgSz w:w="11900" w:h="16838" w:orient="portrait"/>
          <w:cols w:equalWidth="0" w:num="2">
            <w:col w:w="5800" w:space="0"/>
            <w:col w:w="5440"/>
          </w:cols>
          <w:pgMar w:left="320" w:top="891" w:right="339" w:bottom="1440" w:gutter="0" w:footer="0" w:header="0"/>
          <w:type w:val="continuous"/>
        </w:sectPr>
      </w:pPr>
    </w:p>
    <w:p>
      <w:pPr>
        <w:spacing w:after="0" w:line="124" w:lineRule="exact"/>
        <w:rPr>
          <w:sz w:val="20"/>
          <w:szCs w:val="20"/>
          <w:color w:val="auto"/>
        </w:rPr>
      </w:pPr>
    </w:p>
    <w:p>
      <w:pPr>
        <w:ind w:right="240" w:firstLine="8"/>
        <w:spacing w:after="0" w:line="248"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9" w:name="page50"/>
    <w:bookmarkEnd w:id="49"/>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F. Sheridan</w:t>
      </w:r>
    </w:p>
    <w:p>
      <w:pPr>
        <w:ind w:left="6300"/>
        <w:spacing w:after="0" w:line="203" w:lineRule="auto"/>
        <w:rPr>
          <w:sz w:val="20"/>
          <w:szCs w:val="20"/>
          <w:color w:val="auto"/>
        </w:rPr>
      </w:pPr>
      <w:r>
        <w:rPr>
          <w:rFonts w:ascii="Arial" w:cs="Arial" w:eastAsia="Arial" w:hAnsi="Arial"/>
          <w:sz w:val="18"/>
          <w:szCs w:val="18"/>
          <w:color w:val="auto"/>
        </w:rPr>
        <w:t>President and Chief Executive Officer</w:t>
      </w:r>
    </w:p>
    <w:p>
      <w:pPr>
        <w:ind w:left="6300"/>
        <w:spacing w:after="0" w:line="219"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Leigh A. Vosseller</w:t>
      </w:r>
    </w:p>
    <w:p>
      <w:pPr>
        <w:ind w:left="6300"/>
        <w:spacing w:after="0" w:line="215" w:lineRule="auto"/>
        <w:rPr>
          <w:sz w:val="20"/>
          <w:szCs w:val="20"/>
          <w:color w:val="auto"/>
        </w:rPr>
      </w:pPr>
      <w:r>
        <w:rPr>
          <w:rFonts w:ascii="Arial" w:cs="Arial" w:eastAsia="Arial" w:hAnsi="Arial"/>
          <w:sz w:val="17"/>
          <w:szCs w:val="17"/>
          <w:color w:val="auto"/>
        </w:rPr>
        <w:t>Executive Vice President, Chief Financial Officer and Treasurer</w:t>
      </w:r>
    </w:p>
    <w:p>
      <w:pPr>
        <w:ind w:left="6300"/>
        <w:spacing w:after="0" w:line="219"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1350" w:right="4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F. Sheridan</w:t>
      </w:r>
    </w:p>
    <w:p>
      <w:pPr>
        <w:ind w:left="684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 2023</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Tandem Diabetes Care, Inc.</w:t>
      </w:r>
    </w:p>
    <w:p>
      <w:pPr>
        <w:spacing w:after="0" w:line="23" w:lineRule="exact"/>
        <w:rPr>
          <w:sz w:val="20"/>
          <w:szCs w:val="20"/>
          <w:color w:val="auto"/>
        </w:rPr>
      </w:pPr>
    </w:p>
    <w:p>
      <w:pPr>
        <w:ind w:left="6380"/>
        <w:spacing w:after="0"/>
        <w:tabs>
          <w:tab w:leader="none" w:pos="68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Leigh A. Vosseller</w:t>
      </w:r>
    </w:p>
    <w:p>
      <w:pPr>
        <w:ind w:left="684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6840"/>
        <w:spacing w:after="0"/>
        <w:rPr>
          <w:sz w:val="20"/>
          <w:szCs w:val="20"/>
          <w:color w:val="auto"/>
        </w:rPr>
      </w:pPr>
      <w:r>
        <w:rPr>
          <w:rFonts w:ascii="Arial" w:cs="Arial" w:eastAsia="Arial" w:hAnsi="Arial"/>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 2023</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right="360" w:firstLine="810"/>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2023,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F. Sheridan</w:t>
      </w: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277"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right="360" w:firstLine="810"/>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September 30, 2023,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Leigh A. Vosseller</w:t>
      </w:r>
    </w:p>
    <w:p>
      <w:pPr>
        <w:ind w:left="686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6860"/>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65" Type="http://schemas.openxmlformats.org/officeDocument/2006/relationships/hyperlink" Target="https://www.sec.gov/Archives/edgar/data/1438133/000143813323000153/exhibit31amendedandrestate.htm" TargetMode="External"/><Relationship Id="rId66" Type="http://schemas.openxmlformats.org/officeDocument/2006/relationships/hyperlink" Target="https://www.sec.gov/Archives/edgar/data/1438133/000143813323000153/exhibit32amendedandrestate.htm" TargetMode="External"/><Relationship Id="rId67" Type="http://schemas.openxmlformats.org/officeDocument/2006/relationships/hyperlink" Target="https://www.sec.gov/Archives/edgar/data/1438133/000143813323000179/exhibit101separ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2023-11-01T15:29:01Z</dcterms:created>
  <dcterms:modified xsi:type="dcterms:W3CDTF">2023-11-01T15:29:01Z</dcterms:modified>
</cp:coreProperties>
</file>